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>
  <w:body>
    <w:p>
      <w:r>
        <w:t xml:space="preserve">Table of contents</w:t>
      </w:r>
    </w:p>
    <w:p>
      <w:pPr>
        <w:tabs>
          <w:tab w:val="left" w:pos="567"/>
          <w:tab w:val="right" w:leader="dot" w:pos="9070"/>
        </w:tabs>
      </w:pPr>
      <w:hyperlink r:id="rId9">
        <w:r>
          <w:t xml:space="preserve">1</w:t>
        </w:r>
        <w:r>
          <w:tab/>
        </w:r>
        <w:r>
          <w:t xml:space="preserve">General provisions</w:t>
        </w:r>
        <w:r>
          <w:tab/>
        </w:r>
        <w:r>
          <w:t xml:space="preserve">4</w:t>
        </w:r>
      </w:hyperlink>
    </w:p>
    <w:p>
      <w:pPr>
        <w:tabs>
          <w:tab w:val="left" w:pos="567"/>
          <w:tab w:val="right" w:leader="dot" w:pos="9070"/>
        </w:tabs>
      </w:pPr>
      <w:hyperlink r:id="rId9">
        <w:r>
          <w:t xml:space="preserve">21</w:t>
        </w:r>
        <w:r>
          <w:tab/>
        </w:r>
        <w:r>
          <w:t xml:space="preserve">Project finance, security and the order of application of proceeds</w:t>
        </w:r>
        <w:r>
          <w:tab/>
        </w:r>
        <w:r>
          <w:t xml:space="preserve">15</w:t>
        </w:r>
      </w:hyperlink>
    </w:p>
    <w:p>
      <w:pPr>
        <w:tabs>
          <w:tab w:val="left" w:pos="567"/>
          <w:tab w:val="right" w:leader="dot" w:pos="9070"/>
        </w:tabs>
      </w:pPr>
      <w:hyperlink r:id="rId9">
        <w:r>
          <w:t xml:space="preserve">22</w:t>
        </w:r>
        <w:r>
          <w:tab/>
        </w:r>
        <w:r>
          <w:t xml:space="preserve">Governing law</w:t>
        </w:r>
        <w:r>
          <w:tab/>
        </w:r>
        <w:r>
          <w:t xml:space="preserve">31</w:t>
        </w:r>
      </w:hyperlink>
    </w:p>
    <w:p>
      <w:pPr>
        <w:tabs>
          <w:tab w:val="left" w:pos="567"/>
          <w:tab w:val="right" w:leader="dot" w:pos="9070"/>
        </w:tabs>
      </w:pPr>
      <w:hyperlink r:id="rId9">
        <w:r>
          <w:t xml:space="preserve">23</w:t>
          <w:tab/>
          <w:t xml:space="preserve">Interpretation and defined terms</w:t>
        </w:r>
        <w:r>
          <w:tab/>
        </w:r>
        <w:r>
          <w:t xml:space="preserve">38</w:t>
        </w:r>
      </w:hyperlink>
    </w:p>
    <w:p>
      <w:pPr>
        <w:tabs>
          <w:tab w:val="left" w:pos="567"/>
          <w:tab w:val="right" w:leader="dot" w:pos="9070"/>
        </w:tabs>
      </w:pPr>
      <w:hyperlink r:id="rId9">
        <w:r>
          <w:t xml:space="preserve">24</w:t>
        </w:r>
        <w:r>
          <w:tab/>
        </w:r>
        <w:r>
          <w:t xml:space="preserve">Notices and service of process</w:t>
        </w:r>
        <w:r>
          <w:tab/>
        </w:r>
        <w:r>
          <w:t xml:space="preserve">42</w:t>
        </w:r>
      </w:hyperlink>
    </w:p>
    <w:p>
      <w:pPr>
        <w:tabs>
          <w:tab w:val="left" w:pos="567"/>
          <w:tab w:val="right" w:leader="dot" w:pos="9070"/>
        </w:tabs>
      </w:pPr>
      <w:hyperlink r:id="rId9">
        <w:r>
          <w:t xml:space="preserve">25</w:t>
        </w:r>
        <w:r>
          <w:tab/>
        </w:r>
        <w:r>
          <w:t xml:space="preserve">Counterparts</w:t>
        </w:r>
        <w:r>
          <w:tab/>
        </w:r>
        <w:r>
          <w:t xml:space="preserve">47</w:t>
        </w:r>
      </w:hyperlink>
    </w:p>
    <w:sectPr>
      <w:pgSz w:w="11906" w:h="16838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BoldClause">
    <w:name w:val="Bold Clause"/>
    <w:rPr>
      <w:b/>
    </w:rPr>
  </w:style>
  <w:style w:type="character" w:styleId="StrongEmph">
    <w:name w:val="Strong Emph"/>
    <w:rPr>
      <w:b/>
      <w:i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9" Type="http://schemas.openxmlformats.org/officeDocument/2006/relationships/hyperlink" Target="https://example.invalid/clause" TargetMode="External"/></Relationships>
</file>