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p>
      <w:r>
        <w:rPr>
          <w:i/>
        </w:rPr>
        <w:t xml:space="preserve">Preservation of the Security</w:t>
      </w:r>
    </w:p>
    <w:p>
      <w:r>
        <w:rPr>
          <w:i/>
        </w:rPr>
        <w:t xml:space="preserve">the borrower shall notify</w:t>
      </w:r>
    </w:p>
    <w:p>
      <w:r>
        <w:t xml:space="preserve">under </w:t>
      </w:r>
      <w:r>
        <w:rPr>
          <w:i/>
        </w:rPr>
        <w:t xml:space="preserve">Ejemplo de Ley Sintetica</w:t>
      </w:r>
    </w:p>
    <w:p>
      <w:r>
        <w:rPr>
          <w:i/>
        </w:rPr>
        <w:t xml:space="preserve">Force Majeure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BoldClause">
    <w:name w:val="Bold Clause"/>
    <w:rPr>
      <w:b/>
    </w:rPr>
  </w:style>
  <w:style w:type="character" w:styleId="StrongEmph">
    <w:name w:val="Strong Emph"/>
    <w:rPr>
      <w:b/>
      <w:i/>
    </w:rPr>
  </w:style>
</w:styles>
</file>