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t xml:space="preserve">The threshold is </w:t>
      </w:r>
      <w:r>
        <w:rPr>
          <w:rFonts w:ascii="Symbol" w:hAnsi="Symbol"/>
        </w:rPr>
        <w:t>a</w:t>
      </w:r>
      <w:r>
        <w:t xml:space="preserve"> per cent.</w:t>
      </w:r>
    </w:p>
    <w:p>
      <w:r>
        <w:rPr>
          <w:rFonts w:ascii="Wingdings" w:hAnsi="Wingdings"/>
        </w:rPr>
        <w:t>ü</w:t>
      </w:r>
      <w:r>
        <w:t xml:space="preserve"> Completed.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BoldClause">
    <w:name w:val="Bold Clause"/>
    <w:rPr>
      <w:b/>
    </w:rPr>
  </w:style>
  <w:style w:type="character" w:styleId="StrongEmph">
    <w:name w:val="Strong Emph"/>
    <w:rPr>
      <w:b/>
      <w:i/>
    </w:rPr>
  </w:style>
</w:styles>
</file>