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温林桂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温林桂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黄娇妹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19384.40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10833.0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2063.04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14.56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2005.0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产业扶贫种植柚子苗，实际投入0.0元，实际收益0.0元，盈利0.0元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31092.0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31042.0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除落实“三保障”扶贫政策以外的转移性收入明细：1.医疗报销14.56元；2.医疗救助2005.0元；3.慰问金1500.0元；4.以奖代补0.0元。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3199.56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3199.56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转移性支出明细：1.社会保障支出1180.0元；2.其他转移性支出2019.56元。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27892.44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13946.22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朱焕庭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18820005650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