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温美灵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441424199107106363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64782.47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65221.09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72168.4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57620.0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57620.0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59621.0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5198.47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4937.09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8374.2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3173.2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4046.85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3166.85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2360.0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15183.9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15338.56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17202.1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