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刘春胜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刘春胜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刘汉基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刘汉村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86.93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产业扶贫种养项目，实际投入450.0元，实际收益13000.0元，盈利12550.0元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刘汉村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50888.93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2686.93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47838.93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11959.73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何定团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15986481548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