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李正飞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李正飞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曾裕美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李汉昌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李正飞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中国人寿保险销售员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曾裕美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李汉昌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清远市健兴机械租赁有限公司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7330.5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126969.5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111500.0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7330.5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8139.0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4569.0元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125019.5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41673.17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何明东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13825004075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