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钟兆才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钟兆才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19183.08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17751.2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1.医疗报销0.0元；2.医疗救助0.0元；3.养老保险金2040.0元；4.生态补偿0.0元；其他转移性收入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5274.7元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18653.08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18653.08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范丹虹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13660440011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