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李惠城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李惠城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李宝英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李保华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罗春娣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廖丽容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李林武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技能劳动力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,缺资金,自身发展动力不足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2081.04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18387.63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2701.1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廖丽容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鸿凯电子有限公司文员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李林武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梅州市振和机械实业有限公司司机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6861.57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119640.34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6861.57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32178.77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1.医疗报销18387.63元；2.医疗救助2701.1元；3.养老保险金2081.04元；4.生态补偿0.0元；其他转移性收入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6159.0元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24628.73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24628.73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转移性支出明细：1.社会保障支出3540.0元；2.其他转移性支出21088.73元。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95011.61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15835.27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谢健飞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17817719372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