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02｜岗位分类选择器：逐图开发注释</w:t>
      </w:r>
    </w:p>
    <w:p>
      <w:pPr>
        <w:pStyle w:val="Subtitle"/>
      </w:pPr>
      <w:r>
        <w:t>统一岗位字典、分级选择、别名搜索与版本迁移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HICV-RS-02-DEV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10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分组概览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模块边界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同一岗位选择器的 10 个数据切片，覆盖金融、专业服务、产品、运营、市场、公关、销售、旅游和服务业。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目标用户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建档用户、简历编辑用户、岗位匹配和运营配置人员。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入口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建档向导或编辑器中打开“目标岗位”。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出口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用户确认一个标准叶子岗位并回填 role_id。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核心产物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job_taxonomy、job_alias、taxonomy_version 和历史岗位迁移映射。</w:t>
            </w:r>
          </w:p>
        </w:tc>
      </w:tr>
    </w:tbl>
    <w:p>
      <w:pPr>
        <w:spacing w:after="0"/>
      </w:pPr>
    </w:p>
    <w:p>
      <w:pPr>
        <w:pStyle w:val="Heading1"/>
      </w:pPr>
      <w:r>
        <w:t>2. 本组统一开发要求</w:t>
      </w:r>
    </w:p>
    <w:p>
      <w:pPr>
        <w:pStyle w:val="ListBullet"/>
        <w:keepLines/>
      </w:pPr>
      <w:r>
        <w:t>10 张截图应共用一个可配置的多级选择器，截图差异仅来自字典数据，不拆成 10 套页面。</w:t>
      </w:r>
    </w:p>
    <w:p>
      <w:pPr>
        <w:pStyle w:val="ListBullet"/>
        <w:keepLines/>
      </w:pPr>
      <w:r>
        <w:t>岗位必须有稳定 ID、层级、别名、排序、启停状态和版本；前端不得只保存中文名称。</w:t>
      </w:r>
    </w:p>
    <w:p>
      <w:pPr>
        <w:pStyle w:val="ListBullet"/>
        <w:keepLines/>
      </w:pPr>
      <w:r>
        <w:t>后台需提供可审计的字典维护、批量导入、重复检测和停用岗位迁移功能。</w:t>
      </w:r>
    </w:p>
    <w:p>
      <w:pPr>
        <w:pStyle w:val="ListBullet"/>
        <w:keepLines/>
      </w:pPr>
      <w:r>
        <w:t>搜索同时覆盖标准名、别名和拼音/英文；搜索结果要能回到原层级位置。</w:t>
      </w:r>
    </w:p>
    <w:p>
      <w:pPr>
        <w:pStyle w:val="ListBullet"/>
        <w:keepLines/>
      </w:pPr>
      <w:r>
        <w:t>同一岗位字典供技能推荐、AI 改写、JD 匹配和岗位推荐复用。</w:t>
      </w:r>
    </w:p>
    <w:p>
      <w:pPr>
        <w:pStyle w:val="Heading1"/>
      </w:pPr>
      <w:r>
        <w:t>3. 建议接口/服务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43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分类树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/job-taxonomy/tree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按版本返回树，可缓存并支持增量更新。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岗位搜索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/job-taxonomy/search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关键词、别名、分页、排序与高亮。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岗位解析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/job-taxonomy/resolve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把用户自由文本映射为候选标准岗位。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后台维护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/admin/job-taxonomy/*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增删改、排序、停用、合并、迁移和审计。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版本迁移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/job-taxonomy/migrations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历史 role_id 到现行 role_id 的映射。</w:t>
            </w:r>
          </w:p>
        </w:tc>
      </w:tr>
    </w:tbl>
    <w:p>
      <w:pPr>
        <w:pStyle w:val="Heading1"/>
      </w:pPr>
      <w:r>
        <w:t>4. 图片清单</w:t>
      </w:r>
    </w:p>
    <w:p>
      <w:pPr>
        <w:pStyle w:val="ListBullet"/>
      </w:pPr>
      <w:r>
        <w:t>01  金融｜投融资与银行  ·  01_金融_投融资与银行.png</w:t>
      </w:r>
    </w:p>
    <w:p>
      <w:pPr>
        <w:pStyle w:val="ListBullet"/>
      </w:pPr>
      <w:r>
        <w:t>02  金融｜证券、互联网金融与风控  ·  02_金融_证券互联网金融与风控.png</w:t>
      </w:r>
    </w:p>
    <w:p>
      <w:pPr>
        <w:pStyle w:val="ListBullet"/>
      </w:pPr>
      <w:r>
        <w:t>03  金融｜财税、保险、信托及其他  ·  03_金融_财税保险信托及其他.png</w:t>
      </w:r>
    </w:p>
    <w:p>
      <w:pPr>
        <w:pStyle w:val="ListBullet"/>
      </w:pPr>
      <w:r>
        <w:t>04  专业服务｜咨询、法务与翻译  ·  04_专业服务_咨询法务与翻译.png</w:t>
      </w:r>
    </w:p>
    <w:p>
      <w:pPr>
        <w:pStyle w:val="ListBullet"/>
      </w:pPr>
      <w:r>
        <w:t>05  产品｜产品、游戏、项目与数据  ·  05_产品_产品游戏项目与数据.png</w:t>
      </w:r>
    </w:p>
    <w:p>
      <w:pPr>
        <w:pStyle w:val="ListBullet"/>
      </w:pPr>
      <w:r>
        <w:t>06  运营｜内容、客服与用户运营  ·  06_运营_内容客服与用户运营.png</w:t>
      </w:r>
    </w:p>
    <w:p>
      <w:pPr>
        <w:pStyle w:val="ListBullet"/>
      </w:pPr>
      <w:r>
        <w:t>07  市场公关｜市场、公关、广告与活动  ·  07_市场公关_市场公关广告活动.png</w:t>
      </w:r>
    </w:p>
    <w:p>
      <w:pPr>
        <w:pStyle w:val="ListBullet"/>
      </w:pPr>
      <w:r>
        <w:t>08  销售｜广告、渠道、电话与在线销售  ·  08_销售_广告渠道电话与在线销售.png</w:t>
      </w:r>
    </w:p>
    <w:p>
      <w:pPr>
        <w:pStyle w:val="ListBullet"/>
      </w:pPr>
      <w:r>
        <w:t>09  旅游｜旅游服务与产品  ·  09_旅游_旅游服务与产品.png</w:t>
      </w:r>
    </w:p>
    <w:p>
      <w:pPr>
        <w:pStyle w:val="ListBullet"/>
      </w:pPr>
      <w:r>
        <w:t>10  服务业｜酒店、餐饮与零售  ·  10_服务业_酒店餐饮与零售.png</w:t>
      </w:r>
    </w:p>
    <w:p>
      <w:r>
        <w:br w:type="page"/>
      </w:r>
    </w:p>
    <w:p>
      <w:pPr>
        <w:pStyle w:val="Heading1"/>
      </w:pPr>
      <w:r>
        <w:t>01. 金融｜投融资与银行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01_金融_投融资与银行.png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9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金融_投融资与银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1/10  金融｜投融资与银行（原图：01_金融_投融资与银行.png）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展示并选择投融资、银行等岗位分支，最终落到可长期维护的标准岗位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01. 金融｜投融资与银行｜开发注释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金融｜证券、互联网金融与风控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02_金融_证券互联网金融与风控.png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3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金融_证券互联网金融与风控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3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2/10  金融｜证券、互联网金融与风控（原图：02_金融_证券互联网金融与风控.png）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展示并选择证券、互联网金融、风控等岗位分支，最终落到可长期维护的标准岗位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02. 金融｜证券、互联网金融与风控｜开发注释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金融｜财税、保险、信托及其他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03_金融_财税保险信托及其他.png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1029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金融_财税保险信托及其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02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3/10  金融｜财税、保险、信托及其他（原图：03_金融_财税保险信托及其他.png）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展示并选择财税、保险、信托与其他金融岗位，最终落到可长期维护的标准岗位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03. 金融｜财税、保险、信托及其他｜开发注释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专业服务｜咨询、法务与翻译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04_专业服务_咨询法务与翻译.png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002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专业服务_咨询法务与翻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00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4/10  专业服务｜咨询、法务与翻译（原图：04_专业服务_咨询法务与翻译.png）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展示并选择咨询、法务、知识产权、翻译等岗位，最终落到可长期维护的标准岗位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04. 专业服务｜咨询、法务与翻译｜开发注释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产品｜产品、游戏、项目与数据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05_产品_产品游戏项目与数据.png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23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产品_产品游戏项目与数据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2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5/10  产品｜产品、游戏、项目与数据（原图：05_产品_产品游戏项目与数据.png）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展示并选择产品经理、游戏策划、项目管理、数据产品等岗位，最终落到可长期维护的标准岗位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05. 产品｜产品、游戏、项目与数据｜开发注释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运营｜内容、客服与用户运营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06_运营_内容客服与用户运营.png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336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运营_内容客服与用户运营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3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6/10  运营｜内容、客服与用户运营（原图：06_运营_内容客服与用户运营.png）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展示并选择内容、用户、活动、社区、客服等岗位，最终落到可长期维护的标准岗位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06. 运营｜内容、客服与用户运营｜开发注释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市场公关｜市场、公关、广告与活动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07_市场公关_市场公关广告活动.png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399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市场公关_市场公关广告活动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39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7/10  市场公关｜市场、公关、广告与活动（原图：07_市场公关_市场公关广告活动.png）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展示并选择市场策划、品牌、公关、广告和活动执行等岗位，最终落到可长期维护的标准岗位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07. 市场公关｜市场、公关、广告与活动｜开发注释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销售｜广告、渠道、电话与在线销售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08_销售_广告渠道电话与在线销售.png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1238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销售_广告渠道电话与在线销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2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8/10  销售｜广告、渠道、电话与在线销售（原图：08_销售_广告渠道电话与在线销售.png）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展示并选择广告销售、渠道销售、电话销售、在线销售等岗位，最终落到可长期维护的标准岗位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08. 销售｜广告、渠道、电话与在线销售｜开发注释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旅游｜旅游服务与产品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09_旅游_旅游服务与产品.png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45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旅游_旅游服务与产品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4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9/10  旅游｜旅游服务与产品（原图：09_旅游_旅游服务与产品.png）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展示并选择导游、票务、旅游顾问、旅游产品等岗位，最终落到可长期维护的标准岗位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09. 旅游｜旅游服务与产品｜开发注释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服务业｜酒店、餐饮与零售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CE6F1"/>
          <w:left w:val="single" w:sz="4" w:space="0" w:color="DCE6F1"/>
          <w:bottom w:val="single" w:sz="4" w:space="0" w:color="DCE6F1"/>
          <w:right w:val="single" w:sz="4" w:space="0" w:color="DCE6F1"/>
          <w:insideH w:val="single" w:sz="4" w:space="0" w:color="DCE6F1"/>
          <w:insideV w:val="single" w:sz="4" w:space="0" w:color="DCE6F1"/>
        </w:tblBorders>
      </w:tblPr>
      <w:tblGrid>
        <w:gridCol w:w="3153"/>
        <w:gridCol w:w="3153"/>
        <w:gridCol w:w="3153"/>
      </w:tblGrid>
      <w:tr>
        <w:tc>
          <w:tcPr>
            <w:tcW w:type="dxa" w:w="3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文件：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10_服务业_酒店餐饮与零售.png</w:t>
            </w:r>
          </w:p>
        </w:tc>
        <w:tc>
          <w:tcPr>
            <w:tcW w:type="dxa" w:w="37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流程位置：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岗位分类弹层</w:t>
            </w:r>
          </w:p>
        </w:tc>
        <w:tc>
          <w:tcPr>
            <w:tcW w:type="dxa" w:w="2200"/>
            <w:shd w:fill="F4F8F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优先级：</w:t>
            </w: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P0</w:t>
            </w:r>
          </w:p>
        </w:tc>
      </w:tr>
    </w:tbl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532120" cy="204520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服务业_酒店餐饮与零售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045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10/10  服务业｜酒店、餐饮与零售（原图：10_服务业_酒店餐饮与零售.png）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页面目标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展示并选择酒店、餐饮、门店、零售服务等岗位，最终落到可长期维护的标准岗位 ID。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10. 服务业｜酒店、餐饮与零售｜开发注释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界面组件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一级职能导航；二级分组标题；三级岗位标签；搜索入口；关闭/确认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字段/数据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category_id；family_id；role_id；role_name；aliases[]；taxonomy_version；status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交互与状态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点击分类切换面板；点击岗位选中并回填；搜索结果定位原层级；关闭不保存临时选择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接口/后端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GET /job-taxonomy/tree；GET /job-taxonomy/search；后台字典支持增删改、排序、别名和停用迁移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校验与异常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岗位名与别名归一化去重；只允许叶子岗位提交；停用岗位返回 replacement_role_id；空/错误态可恢复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AI与安全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 可用于语义召回和排序，不可生成脱离字典的新 role_id；岗位选择不作为敏感属性推断依据</w:t>
            </w:r>
          </w:p>
        </w:tc>
      </w:tr>
      <w:tr>
        <w:trPr>
          <w:cantSplit/>
        </w:trPr>
        <w:tc>
          <w:tcPr>
            <w:tcW w:type="dxa" w:w="155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验收标准</w:t>
            </w:r>
          </w:p>
        </w:tc>
        <w:tc>
          <w:tcPr>
            <w:tcW w:type="dxa" w:w="75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展示内容与字典配置一致；选中项返回稳定 ID；搜索别名可命中；版本升级后历史简历可迁移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FF8E6"/>
          <w:left w:val="single" w:sz="4" w:space="0" w:color="FFF8E6"/>
          <w:bottom w:val="single" w:sz="4" w:space="0" w:color="FFF8E6"/>
          <w:right w:val="single" w:sz="4" w:space="0" w:color="FFF8E6"/>
          <w:insideH w:val="single" w:sz="4" w:space="0" w:color="FFF8E6"/>
          <w:insideV w:val="single" w:sz="4" w:space="0" w:color="FFF8E6"/>
        </w:tblBorders>
      </w:tblPr>
      <w:tblGrid>
        <w:gridCol w:w="9458"/>
      </w:tblGrid>
      <w:tr>
        <w:tc>
          <w:tcPr>
            <w:tcW w:type="dxa" w:w="9458"/>
            <w:shd w:fill="FFF8E6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B7791F"/>
                <w:sz w:val="20"/>
              </w:rPr>
              <w:t>实现备注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 10 张截图是同一岗位选择器的不同数据切片，应复用同一个组件和同一套接口；不要为每张截图开发独立页面。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02｜岗位分类选择器：逐图开发注释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02｜岗位分类选择器：逐图开发注释</dc:title>
  <dc:subject>AI简历产品逐图开发注释</dc:subject>
  <dc:creator/>
  <cp:keywords>AI简历, 产品需求, 开发注释, 截图索引</cp:keywords>
  <dc:description>根据原始截图整理；示例信息不得用于真实业务数据。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