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lang w:val="en-US" w:eastAsia="zh-CN"/>
        </w:rPr>
      </w:pPr>
      <w:r>
        <w:rPr>
          <w:rFonts w:hint="default" w:ascii="Times New Roman" w:hAnsi="Times New Roman" w:eastAsia="宋体" w:cs="Times New Roman"/>
          <w:sz w:val="21"/>
          <w:szCs w:val="21"/>
          <w:lang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20955</wp:posOffset>
            </wp:positionV>
            <wp:extent cx="1281430" cy="539750"/>
            <wp:effectExtent l="0" t="0" r="13970" b="12700"/>
            <wp:wrapTopAndBottom/>
            <wp:docPr id="3" name="图片 3" descr="微信图片_2018091317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913173704"/>
                    <pic:cNvPicPr>
                      <a:picLocks noChangeAspect="1"/>
                    </pic:cNvPicPr>
                  </pic:nvPicPr>
                  <pic:blipFill>
                    <a:blip r:embed="rId7"/>
                    <a:stretch>
                      <a:fillRect/>
                    </a:stretch>
                  </pic:blipFill>
                  <pic:spPr>
                    <a:xfrm>
                      <a:off x="0" y="0"/>
                      <a:ext cx="1281430" cy="539750"/>
                    </a:xfrm>
                    <a:prstGeom prst="rect">
                      <a:avLst/>
                    </a:prstGeom>
                  </pic:spPr>
                </pic:pic>
              </a:graphicData>
            </a:graphic>
          </wp:anchor>
        </w:drawing>
      </w:r>
      <w:r>
        <w:rPr>
          <w:rFonts w:hint="default" w:ascii="Times New Roman" w:hAnsi="Times New Roman" w:eastAsia="宋体"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eastAsia="宋体" w:cs="Times New Roman"/>
          <w:i/>
          <w:sz w:val="21"/>
          <w:lang w:val="en-US" w:eastAsia="zh-CN"/>
        </w:rPr>
      </w:pPr>
      <w:r>
        <w:rPr>
          <w:rFonts w:hint="default" w:ascii="Times New Roman" w:hAnsi="Times New Roman" w:eastAsia="宋体" w:cs="Times New Roman"/>
          <w:b/>
          <w:bCs/>
          <w:i/>
          <w:sz w:val="21"/>
          <w:lang w:eastAsia="zh-CN"/>
        </w:rPr>
        <w:t>Ver</w:t>
      </w:r>
      <w:r>
        <w:rPr>
          <w:rFonts w:hint="default" w:ascii="Times New Roman" w:hAnsi="Times New Roman" w:eastAsia="宋体" w:cs="Times New Roman"/>
          <w:b/>
          <w:bCs/>
          <w:i/>
          <w:sz w:val="21"/>
          <w:lang w:val="en-US" w:eastAsia="zh-CN"/>
        </w:rPr>
        <w:t>:</w:t>
      </w:r>
      <w:r>
        <w:rPr>
          <w:rFonts w:hint="default" w:ascii="Times New Roman" w:hAnsi="Times New Roman" w:eastAsia="宋体" w:cs="Times New Roman"/>
          <w:b/>
          <w:bCs/>
          <w:i/>
          <w:sz w:val="21"/>
          <w:lang w:eastAsia="zh-CN"/>
        </w:rPr>
        <w:t>1</w:t>
      </w:r>
      <w:r>
        <w:rPr>
          <w:rFonts w:hint="default" w:ascii="Times New Roman" w:hAnsi="Times New Roman" w:eastAsia="宋体" w:cs="Times New Roman"/>
          <w:b/>
          <w:bCs/>
          <w:i/>
          <w:sz w:val="21"/>
          <w:lang w:val="en-US" w:eastAsia="zh-CN"/>
        </w:rPr>
        <w:t>9</w:t>
      </w:r>
      <w:r>
        <w:rPr>
          <w:rFonts w:hint="default" w:ascii="Times New Roman" w:hAnsi="Times New Roman" w:eastAsia="宋体" w:cs="Times New Roman"/>
          <w:b/>
          <w:bCs/>
          <w:i/>
          <w:sz w:val="21"/>
          <w:lang w:eastAsia="zh-CN"/>
        </w:rPr>
        <w:t>0</w:t>
      </w:r>
      <w:r>
        <w:rPr>
          <w:rFonts w:hint="default" w:ascii="Times New Roman" w:hAnsi="Times New Roman" w:eastAsia="宋体" w:cs="Times New Roman"/>
          <w:b/>
          <w:bCs/>
          <w:i/>
          <w:sz w:val="21"/>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eastAsia="宋体" w:cs="Times New Roman"/>
          <w:b/>
          <w:bCs/>
          <w:sz w:val="21"/>
          <w:szCs w:val="24"/>
        </w:rPr>
      </w:pPr>
      <w:bookmarkStart w:id="15" w:name="_GoBack"/>
      <w:bookmarkEnd w:id="15"/>
      <w:r>
        <w:rPr>
          <w:rFonts w:hint="default" w:ascii="Times New Roman" w:hAnsi="Times New Roman" w:eastAsia="宋体" w:cs="Times New Roman"/>
          <w:b/>
          <w:bCs/>
          <w:sz w:val="21"/>
          <w:szCs w:val="24"/>
          <w:lang w:val="en-US" w:eastAsia="zh-CN"/>
        </w:rPr>
        <w:t>BW-SC005</w:t>
      </w:r>
      <w:r>
        <w:rPr>
          <w:rFonts w:hint="default" w:ascii="Times New Roman" w:hAnsi="Times New Roman" w:eastAsia="宋体" w:cs="Times New Roman"/>
          <w:b/>
          <w:bCs/>
          <w:sz w:val="21"/>
          <w:szCs w:val="24"/>
        </w:rPr>
        <w:t>人间充质干细胞(</w:t>
      </w:r>
      <w:r>
        <w:rPr>
          <w:rFonts w:hint="default" w:ascii="Times New Roman" w:hAnsi="Times New Roman" w:eastAsia="宋体" w:cs="Times New Roman"/>
          <w:b/>
          <w:bCs/>
          <w:sz w:val="21"/>
          <w:szCs w:val="24"/>
          <w:lang w:val="en-US" w:eastAsia="zh-CN"/>
        </w:rPr>
        <w:t>脂肪</w:t>
      </w:r>
      <w:r>
        <w:rPr>
          <w:rFonts w:hint="default" w:ascii="Times New Roman" w:hAnsi="Times New Roman" w:eastAsia="宋体" w:cs="Times New Roman"/>
          <w:b/>
          <w:bCs/>
          <w:sz w:val="21"/>
          <w:szCs w:val="24"/>
        </w:rPr>
        <w:t>来源)</w:t>
      </w:r>
    </w:p>
    <w:p>
      <w:pPr>
        <w:rPr>
          <w:rFonts w:hint="default" w:ascii="Times New Roman" w:hAnsi="Times New Roman" w:eastAsia="宋体" w:cs="Times New Roman"/>
          <w:lang w:val="en-US" w:eastAsia="zh-CN"/>
        </w:rPr>
      </w:pPr>
    </w:p>
    <w:p>
      <w:p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目录</w:t>
      </w:r>
    </w:p>
    <w:p>
      <w:pPr>
        <w:rPr>
          <w:rFonts w:hint="default" w:ascii="Times New Roman" w:hAnsi="Times New Roman" w:eastAsia="宋体" w:cs="Times New Roman"/>
          <w:b/>
          <w:bCs/>
          <w:lang w:val="en-US" w:eastAsia="zh-CN"/>
        </w:rPr>
      </w:pPr>
    </w:p>
    <w:sdt>
      <w:sdtPr>
        <w:rPr>
          <w:rFonts w:hint="default" w:ascii="Times New Roman" w:hAnsi="Times New Roman" w:eastAsia="宋体" w:cs="Times New Roman"/>
          <w:kern w:val="2"/>
          <w:sz w:val="21"/>
          <w:szCs w:val="24"/>
          <w:lang w:val="en-US" w:eastAsia="zh-CN" w:bidi="ar-SA"/>
        </w:rPr>
        <w:id w:val="147469438"/>
        <w:docPartObj>
          <w:docPartGallery w:val="Table of Contents"/>
          <w:docPartUnique/>
        </w:docPartObj>
      </w:sdtPr>
      <w:sdtEndPr>
        <w:rPr>
          <w:rFonts w:hint="default" w:ascii="Times New Roman" w:hAnsi="Times New Roman" w:eastAsia="宋体" w:cs="Times New Roman"/>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
              <w:bCs/>
              <w:lang w:val="en-US" w:eastAsia="zh-CN"/>
            </w:rPr>
            <w:fldChar w:fldCharType="begin"/>
          </w:r>
          <w:r>
            <w:rPr>
              <w:rFonts w:hint="default" w:ascii="Times New Roman" w:hAnsi="Times New Roman" w:eastAsia="宋体" w:cs="Times New Roman"/>
              <w:b/>
              <w:bCs/>
              <w:lang w:val="en-US" w:eastAsia="zh-CN"/>
            </w:rPr>
            <w:instrText xml:space="preserve">TOC \o "1-3" \h \u </w:instrText>
          </w:r>
          <w:r>
            <w:rPr>
              <w:rFonts w:hint="default" w:ascii="Times New Roman" w:hAnsi="Times New Roman" w:eastAsia="宋体" w:cs="Times New Roman"/>
              <w:b/>
              <w:bCs/>
              <w:lang w:val="en-US" w:eastAsia="zh-CN"/>
            </w:rPr>
            <w:fldChar w:fldCharType="separate"/>
          </w: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_Toc28692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产品构成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_Toc28692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_Toc9322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rPr>
            <w:t>产品</w:t>
          </w:r>
          <w:r>
            <w:rPr>
              <w:rFonts w:hint="default" w:ascii="Times New Roman" w:hAnsi="Times New Roman" w:eastAsia="宋体" w:cs="Times New Roman"/>
              <w:lang w:eastAsia="zh-CN"/>
            </w:rPr>
            <w:t>说明</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_Toc9322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_Toc103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贮存和产品稳定性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_Toc31079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实验前须知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_Toc31079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_Toc16302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安全信息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_Toc16302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_Toc4212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rPr>
            <w:t>操作步骤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_Toc4212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_Toc19714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购买须知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_Toc19714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rPr>
              <w:rFonts w:hint="default" w:ascii="Times New Roman" w:hAnsi="Times New Roman" w:eastAsia="宋体" w:cs="Times New Roman"/>
              <w:b/>
              <w:bCs/>
              <w:lang w:val="en-US" w:eastAsia="zh-CN"/>
            </w:rPr>
          </w:pPr>
          <w:r>
            <w:rPr>
              <w:rFonts w:hint="default" w:ascii="Times New Roman" w:hAnsi="Times New Roman" w:eastAsia="宋体" w:cs="Times New Roman"/>
              <w:bCs/>
              <w:lang w:val="en-US" w:eastAsia="zh-CN"/>
            </w:rPr>
            <w:fldChar w:fldCharType="end"/>
          </w:r>
        </w:p>
      </w:sdtContent>
    </w:sdt>
    <w:p>
      <w:pPr>
        <w:rPr>
          <w:rFonts w:hint="default" w:ascii="Times New Roman" w:hAnsi="Times New Roman" w:eastAsia="宋体" w:cs="Times New Roman"/>
          <w:b/>
          <w:bCs/>
          <w:lang w:val="en-US" w:eastAsia="zh-CN"/>
        </w:rPr>
      </w:pPr>
    </w:p>
    <w:p>
      <w:pPr>
        <w:pStyle w:val="2"/>
        <w:rPr>
          <w:rFonts w:hint="default" w:ascii="Times New Roman" w:hAnsi="Times New Roman" w:eastAsia="宋体" w:cs="Times New Roman"/>
          <w:sz w:val="21"/>
          <w:szCs w:val="44"/>
          <w:lang w:val="en-US" w:eastAsia="zh-CN"/>
        </w:rPr>
        <w:sectPr>
          <w:headerReference r:id="rId3" w:type="default"/>
          <w:footerReference r:id="rId4" w:type="default"/>
          <w:pgSz w:w="11906" w:h="16838"/>
          <w:pgMar w:top="1440" w:right="1800" w:bottom="1440" w:left="1800" w:header="567" w:footer="850" w:gutter="0"/>
          <w:pgNumType w:fmt="decimal"/>
          <w:cols w:space="425" w:num="1"/>
          <w:titlePg/>
          <w:docGrid w:type="lines" w:linePitch="312" w:charSpace="0"/>
        </w:sectPr>
      </w:pPr>
      <w:bookmarkStart w:id="0" w:name="_Toc15689"/>
    </w:p>
    <w:p>
      <w:pPr>
        <w:pStyle w:val="2"/>
        <w:rPr>
          <w:rFonts w:hint="default" w:ascii="Times New Roman" w:hAnsi="Times New Roman" w:eastAsia="宋体" w:cs="Times New Roman"/>
          <w:lang w:val="en-US" w:eastAsia="zh-CN"/>
        </w:rPr>
      </w:pPr>
      <w:bookmarkStart w:id="1" w:name="_Toc28692"/>
      <w:r>
        <w:rPr>
          <w:rFonts w:hint="default" w:ascii="Times New Roman" w:hAnsi="Times New Roman" w:eastAsia="宋体" w:cs="Times New Roman"/>
          <w:lang w:val="en-US" w:eastAsia="zh-CN"/>
        </w:rPr>
        <w:t>产品构成</w:t>
      </w:r>
      <w:bookmarkEnd w:id="0"/>
      <w:bookmarkEnd w:id="1"/>
    </w:p>
    <w:tbl>
      <w:tblPr>
        <w:tblStyle w:val="9"/>
        <w:tblpPr w:leftFromText="180" w:rightFromText="180" w:vertAnchor="page" w:horzAnchor="page" w:tblpX="1852" w:tblpY="2163"/>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1"/>
        <w:gridCol w:w="3952"/>
        <w:gridCol w:w="1249"/>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031"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产品编号</w:t>
            </w:r>
          </w:p>
        </w:tc>
        <w:tc>
          <w:tcPr>
            <w:tcW w:w="3952"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名称</w:t>
            </w:r>
          </w:p>
        </w:tc>
        <w:tc>
          <w:tcPr>
            <w:tcW w:w="1249"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规格</w:t>
            </w:r>
          </w:p>
        </w:tc>
        <w:tc>
          <w:tcPr>
            <w:tcW w:w="1208"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031"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lang w:val="en-US" w:eastAsia="zh-CN"/>
              </w:rPr>
            </w:pPr>
            <w:r>
              <w:rPr>
                <w:rFonts w:hint="default" w:ascii="Times New Roman" w:hAnsi="Times New Roman" w:eastAsia="宋体" w:cs="Times New Roman"/>
                <w:color w:val="000000"/>
                <w:sz w:val="21"/>
                <w:szCs w:val="21"/>
                <w:shd w:val="clear" w:color="auto" w:fill="FFFFFF"/>
              </w:rPr>
              <w:t>BW-SC00</w:t>
            </w:r>
            <w:r>
              <w:rPr>
                <w:rFonts w:hint="default" w:ascii="Times New Roman" w:hAnsi="Times New Roman" w:eastAsia="宋体" w:cs="Times New Roman"/>
                <w:color w:val="000000"/>
                <w:sz w:val="21"/>
                <w:szCs w:val="21"/>
                <w:shd w:val="clear" w:color="auto" w:fill="FFFFFF"/>
                <w:lang w:val="en-US" w:eastAsia="zh-CN"/>
              </w:rPr>
              <w:t>5</w:t>
            </w:r>
          </w:p>
        </w:tc>
        <w:tc>
          <w:tcPr>
            <w:tcW w:w="3952"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人间充质干细胞</w:t>
            </w:r>
            <w:r>
              <w:rPr>
                <w:rFonts w:hint="default" w:ascii="Times New Roman" w:hAnsi="Times New Roman" w:eastAsia="宋体" w:cs="Times New Roman"/>
                <w:color w:val="000000"/>
                <w:sz w:val="21"/>
                <w:szCs w:val="21"/>
                <w:shd w:val="clear" w:color="auto" w:fill="FFFFFF"/>
              </w:rPr>
              <w:t>(</w:t>
            </w:r>
            <w:r>
              <w:rPr>
                <w:rFonts w:hint="default" w:ascii="Times New Roman" w:hAnsi="Times New Roman" w:eastAsia="宋体" w:cs="Times New Roman"/>
                <w:color w:val="000000"/>
                <w:sz w:val="21"/>
                <w:szCs w:val="21"/>
                <w:shd w:val="clear" w:color="auto" w:fill="FFFFFF"/>
                <w:lang w:val="en-US" w:eastAsia="zh-CN"/>
              </w:rPr>
              <w:t>脂肪</w:t>
            </w:r>
            <w:r>
              <w:rPr>
                <w:rFonts w:hint="default" w:ascii="Times New Roman" w:hAnsi="Times New Roman" w:eastAsia="宋体" w:cs="Times New Roman"/>
                <w:color w:val="000000"/>
                <w:sz w:val="21"/>
                <w:szCs w:val="21"/>
                <w:shd w:val="clear" w:color="auto" w:fill="FFFFFF"/>
              </w:rPr>
              <w:t>来源</w:t>
            </w:r>
            <w:r>
              <w:rPr>
                <w:rFonts w:hint="default" w:ascii="Times New Roman" w:hAnsi="Times New Roman" w:eastAsia="宋体" w:cs="Times New Roman"/>
                <w:color w:val="000000"/>
                <w:sz w:val="21"/>
                <w:szCs w:val="21"/>
                <w:shd w:val="clear" w:color="auto" w:fill="FFFFFF"/>
              </w:rPr>
              <w:t xml:space="preserve">) </w:t>
            </w:r>
          </w:p>
        </w:tc>
        <w:tc>
          <w:tcPr>
            <w:tcW w:w="1249"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1×10</w:t>
            </w:r>
            <w:r>
              <w:rPr>
                <w:rFonts w:hint="default" w:ascii="Times New Roman" w:hAnsi="Times New Roman" w:eastAsia="宋体" w:cs="Times New Roman"/>
                <w:color w:val="000000"/>
                <w:sz w:val="21"/>
                <w:szCs w:val="21"/>
                <w:shd w:val="clear" w:color="auto" w:fill="FFFFFF"/>
                <w:vertAlign w:val="superscript"/>
              </w:rPr>
              <w:t>6</w:t>
            </w:r>
          </w:p>
        </w:tc>
        <w:tc>
          <w:tcPr>
            <w:tcW w:w="1208" w:type="dxa"/>
          </w:tcPr>
          <w:p>
            <w:pPr>
              <w:pStyle w:val="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lang w:val="en-US" w:eastAsia="zh-CN"/>
              </w:rPr>
            </w:pPr>
            <w:r>
              <w:rPr>
                <w:rFonts w:hint="default" w:ascii="Times New Roman" w:hAnsi="Times New Roman" w:eastAsia="宋体" w:cs="Times New Roman"/>
                <w:color w:val="000000"/>
                <w:sz w:val="21"/>
                <w:szCs w:val="21"/>
                <w:shd w:val="clear" w:color="auto" w:fill="FFFFFF"/>
              </w:rPr>
              <w:t>1</w:t>
            </w:r>
            <w:r>
              <w:rPr>
                <w:rFonts w:hint="default" w:ascii="Times New Roman" w:hAnsi="Times New Roman" w:eastAsia="宋体" w:cs="Times New Roman"/>
                <w:color w:val="000000"/>
                <w:sz w:val="21"/>
                <w:szCs w:val="21"/>
                <w:shd w:val="clear" w:color="auto" w:fill="FFFFFF"/>
                <w:lang w:val="en-US" w:eastAsia="zh-CN"/>
              </w:rPr>
              <w:t>管</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bCs w:val="0"/>
          <w:i w:val="0"/>
          <w:iCs w:val="0"/>
          <w:sz w:val="21"/>
          <w:szCs w:val="18"/>
          <w:lang w:val="en-US" w:eastAsia="zh-CN"/>
        </w:rPr>
      </w:pPr>
    </w:p>
    <w:p>
      <w:pPr>
        <w:pStyle w:val="2"/>
        <w:rPr>
          <w:rFonts w:hint="default" w:ascii="Times New Roman" w:hAnsi="Times New Roman" w:eastAsia="宋体" w:cs="Times New Roman"/>
          <w:lang w:eastAsia="zh-CN"/>
        </w:rPr>
      </w:pPr>
      <w:bookmarkStart w:id="2" w:name="_Toc3157"/>
      <w:bookmarkStart w:id="3" w:name="_Toc9322"/>
      <w:r>
        <w:rPr>
          <w:rFonts w:hint="default" w:ascii="Times New Roman" w:hAnsi="Times New Roman" w:eastAsia="宋体" w:cs="Times New Roman"/>
        </w:rPr>
        <w:t>产品</w:t>
      </w:r>
      <w:bookmarkEnd w:id="2"/>
      <w:r>
        <w:rPr>
          <w:rFonts w:hint="default" w:ascii="Times New Roman" w:hAnsi="Times New Roman" w:eastAsia="宋体" w:cs="Times New Roman"/>
          <w:lang w:eastAsia="zh-CN"/>
        </w:rPr>
        <w:t>说明</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人脂肪间充质干细胞（Mesenchymal Stem Cells，MSCs）是正常的脂肪组织来源的人间充质干细胞。人脂肪间充质干细胞是一种单层贴壁增殖的细胞。人脂肪间充质干细胞在体外具有很强的增殖能力，同时具有多项分化潜能。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eastAsia="zh-CN"/>
        </w:rPr>
      </w:pPr>
    </w:p>
    <w:p>
      <w:pPr>
        <w:pStyle w:val="2"/>
        <w:rPr>
          <w:rFonts w:hint="default" w:ascii="Times New Roman" w:hAnsi="Times New Roman" w:eastAsia="宋体" w:cs="Times New Roman"/>
          <w:lang w:val="en-US" w:eastAsia="zh-CN"/>
        </w:rPr>
      </w:pPr>
      <w:bookmarkStart w:id="4" w:name="_Toc23643"/>
      <w:bookmarkStart w:id="5" w:name="_Toc23925"/>
      <w:bookmarkStart w:id="6" w:name="_Toc103"/>
      <w:r>
        <w:rPr>
          <w:rFonts w:hint="default" w:ascii="Times New Roman" w:hAnsi="Times New Roman" w:eastAsia="宋体" w:cs="Times New Roman"/>
          <w:lang w:val="en-US" w:eastAsia="zh-CN"/>
        </w:rPr>
        <w:t>贮存和产品稳定性</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sz w:val="21"/>
          <w:szCs w:val="21"/>
          <w:lang w:val="en-US" w:eastAsia="zh-CN"/>
        </w:rPr>
        <w:t>干冰运输，</w:t>
      </w:r>
      <w:r>
        <w:rPr>
          <w:rFonts w:hint="default" w:ascii="Times New Roman" w:hAnsi="Times New Roman" w:eastAsia="宋体" w:cs="Times New Roman"/>
          <w:lang w:val="en-US" w:eastAsia="zh-CN"/>
        </w:rPr>
        <w:t>本产品经鉴定在有效期内性能稳定，</w:t>
      </w:r>
      <w:r>
        <w:rPr>
          <w:rFonts w:hint="default" w:ascii="Times New Roman" w:hAnsi="Times New Roman" w:eastAsia="宋体" w:cs="Times New Roman"/>
          <w:sz w:val="21"/>
          <w:szCs w:val="21"/>
          <w:lang w:val="en-US" w:eastAsia="zh-CN"/>
        </w:rPr>
        <w:t>可长期保存于液氮中</w:t>
      </w:r>
      <w:r>
        <w:rPr>
          <w:rFonts w:hint="default"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p>
    <w:p>
      <w:pPr>
        <w:pStyle w:val="2"/>
        <w:rPr>
          <w:rFonts w:hint="default" w:ascii="Times New Roman" w:hAnsi="Times New Roman" w:eastAsia="宋体" w:cs="Times New Roman"/>
          <w:lang w:val="en-US" w:eastAsia="zh-CN"/>
        </w:rPr>
      </w:pPr>
      <w:bookmarkStart w:id="7" w:name="_Toc31079"/>
      <w:r>
        <w:rPr>
          <w:rFonts w:hint="default" w:ascii="Times New Roman" w:hAnsi="Times New Roman" w:eastAsia="宋体" w:cs="Times New Roman"/>
          <w:lang w:val="en-US" w:eastAsia="zh-CN"/>
        </w:rPr>
        <w:t>实验前须知</w:t>
      </w:r>
      <w:bookmarkEnd w:id="7"/>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收到产品后请首先检查包装是否完好，培养基瓶是否有破损，培养基是否有漏液、结冰、浑浊等现象。如有，请第一时间和我们联系。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请严格无菌操作。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请仔细阅读产品说明书，了解产品相关信息，如使用方法，保存方式，有效期等，确保操作方式和说明书一致。若因操作方式和产品说明不一致导致出现的问题，责任由用户自行承担。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检查确认产品无任何问题后，如果不立即使用，请按要求存放。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p>
    <w:p>
      <w:pPr>
        <w:pStyle w:val="2"/>
        <w:rPr>
          <w:rFonts w:hint="default" w:ascii="Times New Roman" w:hAnsi="Times New Roman" w:eastAsia="宋体" w:cs="Times New Roman"/>
          <w:lang w:val="en-US" w:eastAsia="zh-CN"/>
        </w:rPr>
      </w:pPr>
      <w:bookmarkStart w:id="8" w:name="_Toc12119"/>
      <w:bookmarkStart w:id="9" w:name="_Toc22903"/>
      <w:bookmarkStart w:id="10" w:name="_Toc16302"/>
      <w:r>
        <w:rPr>
          <w:rFonts w:hint="default" w:ascii="Times New Roman" w:hAnsi="Times New Roman" w:eastAsia="宋体" w:cs="Times New Roman"/>
          <w:lang w:val="en-US" w:eastAsia="zh-CN"/>
        </w:rPr>
        <w:t>安全信息</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本产品经过了细菌、真菌、支原体，病毒等检测。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br w:type="page"/>
      </w:r>
    </w:p>
    <w:p>
      <w:pPr>
        <w:pStyle w:val="2"/>
        <w:rPr>
          <w:rFonts w:hint="default" w:ascii="Times New Roman" w:hAnsi="Times New Roman" w:eastAsia="宋体" w:cs="Times New Roman"/>
        </w:rPr>
      </w:pPr>
      <w:bookmarkStart w:id="11" w:name="_Toc31932"/>
      <w:bookmarkStart w:id="12" w:name="_Toc4212"/>
      <w:r>
        <w:rPr>
          <w:rFonts w:hint="default" w:ascii="Times New Roman" w:hAnsi="Times New Roman" w:eastAsia="宋体" w:cs="Times New Roman"/>
        </w:rPr>
        <w:t>操作步骤</w:t>
      </w:r>
      <w:bookmarkEnd w:id="11"/>
      <w:bookmarkEnd w:id="12"/>
    </w:p>
    <w:p>
      <w:pPr>
        <w:pStyle w:val="7"/>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b/>
          <w:bCs/>
          <w:color w:val="000000"/>
          <w:sz w:val="21"/>
          <w:szCs w:val="21"/>
          <w:shd w:val="clear" w:color="auto" w:fill="FFFFFF"/>
        </w:rPr>
      </w:pPr>
      <w:r>
        <w:rPr>
          <w:rFonts w:hint="default" w:ascii="Times New Roman" w:hAnsi="Times New Roman" w:eastAsia="宋体" w:cs="Times New Roman"/>
          <w:b/>
          <w:bCs/>
          <w:color w:val="000000"/>
          <w:sz w:val="21"/>
          <w:szCs w:val="21"/>
          <w:shd w:val="clear" w:color="auto" w:fill="FFFFFF"/>
        </w:rPr>
        <w:t>以下均为无菌操作：</w:t>
      </w:r>
    </w:p>
    <w:p>
      <w:pPr>
        <w:pStyle w:val="7"/>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color w:val="000000"/>
          <w:sz w:val="21"/>
          <w:szCs w:val="21"/>
          <w:shd w:val="clear" w:color="auto" w:fill="FFFFFF"/>
        </w:rPr>
      </w:pPr>
      <w:r>
        <w:rPr>
          <w:rFonts w:hint="default" w:ascii="Times New Roman" w:hAnsi="Times New Roman" w:eastAsia="宋体" w:cs="Times New Roman"/>
          <w:color w:val="000000"/>
          <w:sz w:val="21"/>
          <w:szCs w:val="21"/>
          <w:shd w:val="clear" w:color="auto" w:fill="FFFFFF"/>
        </w:rPr>
        <w:t>如果不立即使用，请将细胞放于液氮贮存；另外人间充质干细胞完全培养基由基础培养基和添加剂组成，如不立即使用，请将因子放于-20～-80℃保存，基础培养基放4℃保存。</w:t>
      </w:r>
    </w:p>
    <w:p>
      <w:pPr>
        <w:pStyle w:val="7"/>
        <w:widowControl/>
        <w:numPr>
          <w:ilvl w:val="255"/>
          <w:numId w:val="0"/>
        </w:numPr>
        <w:shd w:val="clear" w:color="auto" w:fill="FFFFFF"/>
        <w:spacing w:beforeAutospacing="0" w:afterAutospacing="0" w:line="420" w:lineRule="atLeast"/>
        <w:jc w:val="both"/>
        <w:rPr>
          <w:rFonts w:hint="default" w:ascii="Times New Roman" w:hAnsi="Times New Roman" w:eastAsia="宋体" w:cs="Times New Roman"/>
          <w:b/>
          <w:bCs/>
          <w:color w:val="000000"/>
          <w:sz w:val="21"/>
          <w:szCs w:val="21"/>
          <w:shd w:val="clear" w:color="auto" w:fill="FFFFFF"/>
        </w:rPr>
      </w:pPr>
    </w:p>
    <w:p>
      <w:pPr>
        <w:pStyle w:val="7"/>
        <w:keepNext w:val="0"/>
        <w:keepLines w:val="0"/>
        <w:pageBreakBefore w:val="0"/>
        <w:widowControl/>
        <w:numPr>
          <w:ilvl w:val="255"/>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b/>
          <w:bCs/>
          <w:color w:val="000000"/>
          <w:sz w:val="21"/>
          <w:szCs w:val="21"/>
          <w:shd w:val="clear" w:color="auto" w:fill="FFFFFF"/>
        </w:rPr>
        <w:t>间充质干细胞的复苏培养：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用75</w:t>
      </w:r>
      <w:r>
        <w:rPr>
          <w:rFonts w:hint="default" w:ascii="Times New Roman" w:hAnsi="Times New Roman" w:eastAsia="宋体" w:cs="Times New Roman"/>
          <w:szCs w:val="21"/>
          <w:lang w:val="en-US" w:eastAsia="zh-CN"/>
        </w:rPr>
        <w:t>%</w:t>
      </w:r>
      <w:r>
        <w:rPr>
          <w:rFonts w:hint="default" w:ascii="Times New Roman" w:hAnsi="Times New Roman" w:eastAsia="宋体" w:cs="Times New Roman"/>
          <w:szCs w:val="21"/>
        </w:rPr>
        <w:t>的酒精擦拭经过紫外线照射30分钟后的生物安全柜，提前将水浴锅预热至37℃。</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从液氮罐中取出细胞冻存管，小心操作，避免被液氮冻伤。迅速把冻存管放入37℃水浴锅中，使细胞融化。在这期间，要不断的晃动冻存管，让细胞在最短的时间内解冻。将细胞转移至含有培养基的15</w:t>
      </w:r>
      <w:r>
        <w:rPr>
          <w:rFonts w:hint="default"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mL离心管中，2</w:t>
      </w:r>
      <w:r>
        <w:rPr>
          <w:rFonts w:hint="default" w:ascii="Times New Roman" w:hAnsi="Times New Roman" w:eastAsia="宋体" w:cs="Times New Roman"/>
          <w:szCs w:val="21"/>
          <w:lang w:val="en-US" w:eastAsia="zh-CN"/>
        </w:rPr>
        <w:t>,</w:t>
      </w:r>
      <w:r>
        <w:rPr>
          <w:rFonts w:hint="default" w:ascii="Times New Roman" w:hAnsi="Times New Roman" w:eastAsia="宋体" w:cs="Times New Roman"/>
          <w:szCs w:val="21"/>
        </w:rPr>
        <w:t>000</w:t>
      </w:r>
      <w:r>
        <w:rPr>
          <w:rFonts w:hint="default"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rpm离心5分钟。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吸弃上清液，向冻存管内缓慢滴加培养液，吹打制成细胞悬液。</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用移液管将细胞缓慢滴加至培养板中，如需要则补充间充质干细胞完全培养基。保持细胞均匀分布。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复苏后观察细胞状态是否正常，为使细胞状态达到最好，等到细胞贴壁之后换液。间充质细胞培养需要每隔1天更换培养基。</w:t>
      </w:r>
    </w:p>
    <w:p>
      <w:pPr>
        <w:rPr>
          <w:rFonts w:hint="default" w:ascii="Times New Roman" w:hAnsi="Times New Roman" w:eastAsia="宋体" w:cs="Times New Roman"/>
          <w:b/>
          <w:bCs/>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Cs w:val="21"/>
        </w:rPr>
      </w:pPr>
      <w:r>
        <w:rPr>
          <w:rFonts w:hint="default" w:ascii="Times New Roman" w:hAnsi="Times New Roman" w:eastAsia="宋体" w:cs="Times New Roman"/>
          <w:b/>
          <w:bCs/>
          <w:szCs w:val="21"/>
        </w:rPr>
        <w:t>间充质干细胞的传代与日常培养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当间充质细胞密度大于80%以上，应及时进行传代，避免培养过大过密影响细胞活性。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根据细胞密度，确定传代比例；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将细胞培养板从培养箱取出，吸弃培养液上清，尽量将培养液吸取干净并</w:t>
      </w:r>
      <w:r>
        <w:rPr>
          <w:rFonts w:hint="default" w:ascii="Times New Roman" w:hAnsi="Times New Roman" w:eastAsia="宋体" w:cs="Times New Roman"/>
          <w:szCs w:val="21"/>
        </w:rPr>
        <w:t>保持细胞湿润状态</w:t>
      </w:r>
      <w:r>
        <w:rPr>
          <w:rFonts w:hint="default" w:ascii="Times New Roman" w:hAnsi="Times New Roman" w:eastAsia="宋体" w:cs="Times New Roman"/>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加入PBS清洗细胞两遍，注意将PBS沿着培养板壁加入，切勿直接滴落在细胞上以避免</w:t>
      </w:r>
      <w:r>
        <w:rPr>
          <w:rFonts w:hint="default" w:ascii="Times New Roman" w:hAnsi="Times New Roman" w:eastAsia="宋体" w:cs="Times New Roman"/>
          <w:szCs w:val="21"/>
        </w:rPr>
        <w:t>直接吹打细胞。吸弃PBS，加入0.25%胰蛋白酶消化液</w:t>
      </w:r>
      <w:r>
        <w:rPr>
          <w:rFonts w:hint="default" w:ascii="Times New Roman" w:hAnsi="Times New Roman" w:eastAsia="宋体" w:cs="Times New Roman"/>
          <w:szCs w:val="21"/>
          <w:lang w:eastAsia="zh-CN"/>
        </w:rPr>
        <w:t>，</w:t>
      </w:r>
      <w:r>
        <w:rPr>
          <w:rFonts w:hint="default" w:ascii="Times New Roman" w:hAnsi="Times New Roman" w:eastAsia="宋体" w:cs="Times New Roman"/>
          <w:szCs w:val="21"/>
        </w:rPr>
        <w:t>37℃细胞培养箱放置消化3分钟，</w:t>
      </w:r>
      <w:r>
        <w:rPr>
          <w:rFonts w:hint="default" w:ascii="Times New Roman" w:hAnsi="Times New Roman" w:eastAsia="宋体" w:cs="Times New Roman"/>
          <w:szCs w:val="21"/>
        </w:rPr>
        <w:t>在显微镜下观察细胞已经开始发生形变时便立即加入终止液终止消化，避免过度消化；</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轻轻吹打细胞使细胞脱落，然后进行离心；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弃上清，用5</w:t>
      </w:r>
      <w:r>
        <w:rPr>
          <w:rFonts w:hint="default"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mL移液管将细胞悬液按照传代比例移至培养板。</w:t>
      </w:r>
    </w:p>
    <w:p>
      <w:pPr>
        <w:pStyle w:val="7"/>
        <w:widowControl/>
        <w:shd w:val="clear" w:color="auto" w:fill="FFFFFF"/>
        <w:spacing w:beforeAutospacing="0" w:afterAutospacing="0"/>
        <w:jc w:val="both"/>
        <w:rPr>
          <w:rFonts w:hint="default" w:ascii="Times New Roman" w:hAnsi="Times New Roman" w:eastAsia="宋体" w:cs="Times New Roman"/>
          <w:b/>
          <w:bCs/>
          <w:sz w:val="21"/>
          <w:szCs w:val="21"/>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间充质干细胞细胞的冻存</w:t>
      </w:r>
    </w:p>
    <w:p>
      <w:pPr>
        <w:pStyle w:val="7"/>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冻存液的配制：90%的完全培养基+10%</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DMSO</w:t>
      </w:r>
      <w:r>
        <w:rPr>
          <w:rFonts w:hint="default" w:ascii="Times New Roman" w:hAnsi="Times New Roman" w:eastAsia="宋体" w:cs="Times New Roman"/>
          <w:sz w:val="21"/>
          <w:szCs w:val="21"/>
          <w:lang w:eastAsia="zh-CN"/>
        </w:rPr>
        <w:t>；</w:t>
      </w:r>
    </w:p>
    <w:p>
      <w:pPr>
        <w:pStyle w:val="7"/>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将细胞培养板从培养箱取出，吸去培养液上清，尽量将培养液吸取干净；</w:t>
      </w:r>
    </w:p>
    <w:p>
      <w:pPr>
        <w:pStyle w:val="7"/>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加入PBS清洗细胞两遍，注意将PBS沿着培养板壁加入，切勿直接滴落在细胞上。吸弃PBS，加入0.25%胰蛋白酶消化液</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在37</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细胞培养箱放置消化3分钟，在显微镜下观察细胞已经开始发生形变时，需要立即终止液终止消化，避免过度消化；</w:t>
      </w:r>
    </w:p>
    <w:p>
      <w:pPr>
        <w:pStyle w:val="7"/>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轻轻吹打细胞使其脱落，然后进行离心；</w:t>
      </w:r>
    </w:p>
    <w:p>
      <w:pPr>
        <w:pStyle w:val="7"/>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将细胞放入冻存管中，密封。放入程序降温盒中，放入-80</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短期保存，或-80</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放置过夜后转入液氮中长期保存。或者将细胞放入冻存管中，4</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放置30</w:t>
      </w:r>
      <w:r>
        <w:rPr>
          <w:rFonts w:hint="default" w:ascii="Times New Roman" w:hAnsi="Times New Roman" w:eastAsia="宋体" w:cs="Times New Roman"/>
          <w:sz w:val="21"/>
          <w:szCs w:val="21"/>
          <w:lang w:eastAsia="zh-CN"/>
        </w:rPr>
        <w:t>分钟</w:t>
      </w:r>
      <w:r>
        <w:rPr>
          <w:rFonts w:hint="default" w:ascii="Times New Roman" w:hAnsi="Times New Roman" w:eastAsia="宋体" w:cs="Times New Roman"/>
          <w:sz w:val="21"/>
          <w:szCs w:val="21"/>
        </w:rPr>
        <w:t>，-20</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放置2</w:t>
      </w:r>
      <w:r>
        <w:rPr>
          <w:rFonts w:hint="default" w:ascii="Times New Roman" w:hAnsi="Times New Roman" w:eastAsia="宋体" w:cs="Times New Roman"/>
          <w:sz w:val="21"/>
          <w:szCs w:val="21"/>
          <w:lang w:val="en-US" w:eastAsia="zh-CN"/>
        </w:rPr>
        <w:t>小时</w:t>
      </w:r>
      <w:r>
        <w:rPr>
          <w:rFonts w:hint="default" w:ascii="Times New Roman" w:hAnsi="Times New Roman" w:eastAsia="宋体" w:cs="Times New Roman"/>
          <w:sz w:val="21"/>
          <w:szCs w:val="21"/>
        </w:rPr>
        <w:t>,放入-80</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短期保存，或-80</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t>放置过夜后转入液氮中长期保存。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br w:type="page"/>
      </w:r>
    </w:p>
    <w:p>
      <w:pPr>
        <w:pStyle w:val="2"/>
        <w:rPr>
          <w:rFonts w:hint="default" w:ascii="Times New Roman" w:hAnsi="Times New Roman" w:eastAsia="宋体" w:cs="Times New Roman"/>
          <w:lang w:val="en-US" w:eastAsia="zh-CN"/>
        </w:rPr>
      </w:pPr>
      <w:bookmarkStart w:id="13" w:name="_Toc10326"/>
      <w:bookmarkStart w:id="14" w:name="_Toc19714"/>
      <w:r>
        <w:rPr>
          <w:rFonts w:hint="default" w:ascii="Times New Roman" w:hAnsi="Times New Roman" w:eastAsia="宋体" w:cs="Times New Roman"/>
          <w:lang w:val="en-US" w:eastAsia="zh-CN"/>
        </w:rPr>
        <w:t>购买须知</w:t>
      </w:r>
      <w:bookmarkEnd w:id="13"/>
      <w:bookmarkEnd w:id="14"/>
    </w:p>
    <w:p>
      <w:pPr>
        <w:widowControl w:val="0"/>
        <w:spacing w:line="36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根据说明书使用时，本产品应按其标签和</w:t>
      </w:r>
      <w:r>
        <w:rPr>
          <w:rFonts w:hint="default" w:ascii="Times New Roman" w:hAnsi="Times New Roman" w:eastAsia="宋体" w:cs="Times New Roman"/>
          <w:sz w:val="21"/>
          <w:lang w:eastAsia="zh-CN"/>
        </w:rPr>
        <w:t>BIOMIGA</w:t>
      </w:r>
      <w:r>
        <w:rPr>
          <w:rFonts w:hint="default" w:ascii="Times New Roman" w:hAnsi="Times New Roman" w:eastAsia="宋体" w:cs="Times New Roman"/>
          <w:sz w:val="21"/>
          <w:szCs w:val="21"/>
          <w:lang w:eastAsia="zh-CN"/>
        </w:rPr>
        <w:t>的文献中所述执行。</w:t>
      </w:r>
      <w:r>
        <w:rPr>
          <w:rFonts w:hint="default" w:ascii="Times New Roman" w:hAnsi="Times New Roman" w:eastAsia="宋体" w:cs="Times New Roman"/>
          <w:sz w:val="21"/>
          <w:lang w:eastAsia="zh-CN"/>
        </w:rPr>
        <w:t>BIOMIGA</w:t>
      </w:r>
      <w:r>
        <w:rPr>
          <w:rFonts w:hint="default" w:ascii="Times New Roman" w:hAnsi="Times New Roman" w:eastAsia="宋体" w:cs="Times New Roman"/>
          <w:sz w:val="21"/>
          <w:szCs w:val="21"/>
          <w:lang w:eastAsia="zh-CN"/>
        </w:rPr>
        <w:t>不提供任何其他类型的明示或暗示，包括但不限于适销性或适合某一特定目的的保证。在选择</w:t>
      </w:r>
      <w:r>
        <w:rPr>
          <w:rFonts w:hint="default" w:ascii="Times New Roman" w:hAnsi="Times New Roman" w:eastAsia="宋体" w:cs="Times New Roman"/>
          <w:sz w:val="21"/>
          <w:lang w:eastAsia="zh-CN"/>
        </w:rPr>
        <w:t>BIOMIGA</w:t>
      </w:r>
      <w:r>
        <w:rPr>
          <w:rFonts w:hint="default" w:ascii="Times New Roman" w:hAnsi="Times New Roman" w:eastAsia="宋体" w:cs="Times New Roman"/>
          <w:sz w:val="21"/>
          <w:szCs w:val="21"/>
          <w:lang w:eastAsia="zh-CN"/>
        </w:rPr>
        <w:t>时，违反本保证的，</w:t>
      </w:r>
      <w:r>
        <w:rPr>
          <w:rFonts w:hint="default" w:ascii="Times New Roman" w:hAnsi="Times New Roman" w:eastAsia="宋体" w:cs="Times New Roman"/>
          <w:sz w:val="21"/>
          <w:lang w:eastAsia="zh-CN"/>
        </w:rPr>
        <w:t>BIOMIGA</w:t>
      </w:r>
      <w:r>
        <w:rPr>
          <w:rFonts w:hint="default" w:ascii="Times New Roman" w:hAnsi="Times New Roman" w:eastAsia="宋体" w:cs="Times New Roman"/>
          <w:sz w:val="21"/>
          <w:szCs w:val="21"/>
          <w:lang w:eastAsia="zh-CN"/>
        </w:rPr>
        <w:t>唯一的义务和买方的唯一补救措施是更换产品，</w:t>
      </w:r>
      <w:r>
        <w:rPr>
          <w:rFonts w:hint="default" w:ascii="Times New Roman" w:hAnsi="Times New Roman" w:eastAsia="宋体" w:cs="Times New Roman"/>
          <w:sz w:val="21"/>
          <w:lang w:eastAsia="zh-CN"/>
        </w:rPr>
        <w:t>BIOMIGA</w:t>
      </w:r>
      <w:r>
        <w:rPr>
          <w:rFonts w:hint="default" w:ascii="Times New Roman" w:hAnsi="Times New Roman" w:eastAsia="宋体" w:cs="Times New Roman"/>
          <w:sz w:val="21"/>
          <w:szCs w:val="21"/>
          <w:lang w:eastAsia="zh-CN"/>
        </w:rPr>
        <w:t>应当没有任何直接或间接的，或使用引起的附带损害，或无法使用它产品的责任。</w:t>
      </w:r>
    </w:p>
    <w:p>
      <w:pPr>
        <w:widowControl w:val="0"/>
        <w:spacing w:line="36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如需技术支持或了解更多产品信息，请致电400</w:t>
      </w:r>
      <w:r>
        <w:rPr>
          <w:rFonts w:hint="default" w:ascii="Times New Roman" w:hAnsi="Times New Roman" w:eastAsia="宋体" w:cs="Times New Roman"/>
          <w:sz w:val="21"/>
          <w:szCs w:val="21"/>
          <w:lang w:eastAsia="zh-CN"/>
        </w:rPr>
        <w:t>-115-2855</w:t>
      </w:r>
      <w:r>
        <w:rPr>
          <w:rFonts w:hint="default" w:ascii="Times New Roman" w:hAnsi="Times New Roman" w:eastAsia="宋体" w:cs="Times New Roman"/>
          <w:sz w:val="21"/>
          <w:szCs w:val="21"/>
        </w:rPr>
        <w:t>与我们联系</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或访问我们的网站www.</w:t>
      </w:r>
      <w:r>
        <w:rPr>
          <w:rFonts w:hint="default" w:ascii="Times New Roman" w:hAnsi="Times New Roman" w:eastAsia="宋体" w:cs="Times New Roman"/>
          <w:sz w:val="21"/>
          <w:szCs w:val="21"/>
          <w:lang w:eastAsia="zh-CN"/>
        </w:rPr>
        <w:t>biomiga</w:t>
      </w:r>
      <w:r>
        <w:rPr>
          <w:rFonts w:hint="default" w:ascii="Times New Roman" w:hAnsi="Times New Roman" w:eastAsia="宋体" w:cs="Times New Roman"/>
          <w:sz w:val="21"/>
          <w:szCs w:val="21"/>
        </w:rPr>
        <w:t>.com.cn</w:t>
      </w:r>
      <w:r>
        <w:rPr>
          <w:rFonts w:hint="default" w:ascii="Times New Roman" w:hAnsi="Times New Roman" w:eastAsia="宋体" w:cs="Times New Roman"/>
          <w:sz w:val="21"/>
          <w:szCs w:val="21"/>
          <w:lang w:eastAsia="zh-CN"/>
        </w:rPr>
        <w:t>。</w:t>
      </w:r>
    </w:p>
    <w:p>
      <w:pPr>
        <w:jc w:val="right"/>
        <w:rPr>
          <w:rFonts w:hint="default" w:ascii="Times New Roman" w:hAnsi="Times New Roman" w:eastAsia="宋体" w:cs="Times New Roman"/>
          <w:sz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eastAsia="宋体" w:cs="Times New Roman"/>
          <w:sz w:val="21"/>
          <w:lang w:eastAsia="zh-CN"/>
        </w:rPr>
      </w:pPr>
      <w:r>
        <w:rPr>
          <w:rFonts w:hint="default" w:ascii="Times New Roman" w:hAnsi="Times New Roman" w:eastAsia="宋体" w:cs="Times New Roman"/>
          <w:sz w:val="21"/>
          <w:lang w:eastAsia="zh-CN"/>
        </w:rPr>
        <w:t>BIOMIGA（中国）</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eastAsia="宋体" w:cs="Times New Roman"/>
          <w:sz w:val="21"/>
          <w:lang w:eastAsia="zh-CN"/>
        </w:rPr>
      </w:pPr>
      <w:r>
        <w:rPr>
          <w:rFonts w:hint="default" w:ascii="Times New Roman" w:hAnsi="Times New Roman" w:eastAsia="宋体" w:cs="Times New Roman"/>
          <w:sz w:val="21"/>
          <w:lang w:eastAsia="zh-CN"/>
        </w:rPr>
        <w:t>全国服务热线：400-115-2855</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sz w:val="21"/>
          <w:lang w:eastAsia="zh-CN"/>
        </w:rPr>
        <w:t>邮箱：</w:t>
      </w:r>
      <w:r>
        <w:rPr>
          <w:rFonts w:hint="default" w:ascii="Times New Roman" w:hAnsi="Times New Roman" w:eastAsia="宋体" w:cs="Times New Roman"/>
          <w:sz w:val="21"/>
          <w:lang w:val="en-US" w:eastAsia="zh-CN"/>
        </w:rPr>
        <w:t>info</w:t>
      </w:r>
      <w:r>
        <w:rPr>
          <w:rFonts w:hint="default" w:ascii="Times New Roman" w:hAnsi="Times New Roman" w:eastAsia="宋体" w:cs="Times New Roman"/>
          <w:sz w:val="21"/>
          <w:lang w:eastAsia="zh-CN"/>
        </w:rPr>
        <w:t>@biomiga.com.cn</w:t>
      </w:r>
    </w:p>
    <w:sectPr>
      <w:footerReference r:id="rId5" w:type="default"/>
      <w:pgSz w:w="11906" w:h="16838"/>
      <w:pgMar w:top="1440" w:right="1800" w:bottom="1440" w:left="1800" w:header="567" w:footer="850"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eastAsiaTheme="minorEastAsia"/>
        <w:sz w:val="20"/>
        <w:szCs w:val="28"/>
        <w:lang w:val="en-US" w:eastAsia="zh-CN"/>
      </w:rPr>
    </w:pPr>
    <w:r>
      <w:rPr>
        <w:rFonts w:hint="default" w:ascii="Times New Roman" w:hAnsi="Times New Roman" w:cs="Times New Roman"/>
        <w:sz w:val="20"/>
        <w:szCs w:val="28"/>
        <w:lang w:val="en-US" w:eastAsia="zh-CN"/>
      </w:rPr>
      <w:fldChar w:fldCharType="begin"/>
    </w:r>
    <w:r>
      <w:rPr>
        <w:rFonts w:hint="default" w:ascii="Times New Roman" w:hAnsi="Times New Roman" w:cs="Times New Roman"/>
        <w:sz w:val="20"/>
        <w:szCs w:val="28"/>
        <w:lang w:val="en-US" w:eastAsia="zh-CN"/>
      </w:rPr>
      <w:instrText xml:space="preserve"> HYPERLINK "http://www.biomiga.com.cn" </w:instrText>
    </w:r>
    <w:r>
      <w:rPr>
        <w:rFonts w:hint="default" w:ascii="Times New Roman" w:hAnsi="Times New Roman" w:cs="Times New Roman"/>
        <w:sz w:val="20"/>
        <w:szCs w:val="28"/>
        <w:lang w:val="en-US" w:eastAsia="zh-CN"/>
      </w:rPr>
      <w:fldChar w:fldCharType="separate"/>
    </w:r>
    <w:r>
      <w:rPr>
        <w:rStyle w:val="11"/>
        <w:rFonts w:hint="default" w:ascii="Times New Roman" w:hAnsi="Times New Roman" w:cs="Times New Roman"/>
        <w:sz w:val="20"/>
        <w:szCs w:val="28"/>
        <w:lang w:val="en-US" w:eastAsia="zh-CN"/>
      </w:rPr>
      <w:t>www.biomiga.com.cn</w:t>
    </w:r>
    <w:r>
      <w:rPr>
        <w:rFonts w:hint="default" w:ascii="Times New Roman" w:hAnsi="Times New Roman" w:cs="Times New Roman"/>
        <w:sz w:val="20"/>
        <w:szCs w:val="28"/>
        <w:lang w:val="en-US" w:eastAsia="zh-CN"/>
      </w:rPr>
      <w:fldChar w:fldCharType="end"/>
    </w:r>
    <w:r>
      <w:rPr>
        <w:rFonts w:hint="default" w:ascii="Times New Roman" w:hAnsi="Times New Roman" w:cs="Times New Roman"/>
        <w:sz w:val="20"/>
        <w:szCs w:val="28"/>
        <w:lang w:val="en-US" w:eastAsia="zh-CN"/>
      </w:rPr>
      <w:t xml:space="preserve">                                         </w:t>
    </w:r>
    <w:r>
      <w:rPr>
        <w:rFonts w:hint="eastAsia" w:ascii="Times New Roman" w:hAnsi="Times New Roman" w:cs="Times New Roman"/>
        <w:sz w:val="20"/>
        <w:szCs w:val="28"/>
        <w:lang w:val="en-US" w:eastAsia="zh-CN"/>
      </w:rPr>
      <w:t xml:space="preserve">             </w:t>
    </w:r>
    <w:r>
      <w:rPr>
        <w:rFonts w:hint="default" w:ascii="Times New Roman" w:hAnsi="Times New Roman" w:cs="Times New Roman"/>
        <w:sz w:val="20"/>
        <w:szCs w:val="28"/>
        <w:lang w:val="en-US" w:eastAsia="zh-CN"/>
      </w:rPr>
      <w:t>400-115-2855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7" w:rightFromText="187" w:vertAnchor="text" w:tblpY="1"/>
      <w:tblW w:w="8523" w:type="dxa"/>
      <w:tblInd w:w="0" w:type="dxa"/>
      <w:tblLayout w:type="fixed"/>
      <w:tblCellMar>
        <w:top w:w="0" w:type="dxa"/>
        <w:left w:w="108" w:type="dxa"/>
        <w:bottom w:w="0" w:type="dxa"/>
        <w:right w:w="108" w:type="dxa"/>
      </w:tblCellMar>
    </w:tblPr>
    <w:tblGrid>
      <w:gridCol w:w="3836"/>
      <w:gridCol w:w="852"/>
      <w:gridCol w:w="3835"/>
    </w:tblGrid>
    <w:tr>
      <w:tblPrEx>
        <w:tblLayout w:type="fixed"/>
        <w:tblCellMar>
          <w:top w:w="0" w:type="dxa"/>
          <w:left w:w="108" w:type="dxa"/>
          <w:bottom w:w="0" w:type="dxa"/>
          <w:right w:w="108" w:type="dxa"/>
        </w:tblCellMar>
      </w:tblPrEx>
      <w:trPr>
        <w:trHeight w:val="151" w:hRule="atLeast"/>
      </w:trPr>
      <w:tc>
        <w:tcPr>
          <w:tcW w:w="3836" w:type="dxa"/>
          <w:tcBorders>
            <w:bottom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sz w:val="20"/>
              <w:szCs w:val="20"/>
              <w:lang w:val="en-US" w:eastAsia="zh-CN"/>
            </w:rPr>
          </w:pPr>
          <w:r>
            <w:rPr>
              <w:rFonts w:hint="default" w:ascii="Times New Roman" w:hAnsi="Times New Roman" w:cs="Times New Roman" w:eastAsiaTheme="majorEastAsia"/>
              <w:bCs/>
              <w:sz w:val="20"/>
              <w:szCs w:val="20"/>
              <w:lang w:eastAsia="zh-CN"/>
            </w:rPr>
            <w:fldChar w:fldCharType="begin"/>
          </w:r>
          <w:r>
            <w:rPr>
              <w:rFonts w:hint="default" w:ascii="Times New Roman" w:hAnsi="Times New Roman" w:cs="Times New Roman" w:eastAsiaTheme="majorEastAsia"/>
              <w:bCs/>
              <w:sz w:val="20"/>
              <w:szCs w:val="20"/>
              <w:lang w:eastAsia="zh-CN"/>
            </w:rPr>
            <w:instrText xml:space="preserve"> HYPERLINK "http://www.biomiga.com.cn" </w:instrText>
          </w:r>
          <w:r>
            <w:rPr>
              <w:rFonts w:hint="default" w:ascii="Times New Roman" w:hAnsi="Times New Roman" w:cs="Times New Roman" w:eastAsiaTheme="majorEastAsia"/>
              <w:bCs/>
              <w:sz w:val="20"/>
              <w:szCs w:val="20"/>
              <w:lang w:eastAsia="zh-CN"/>
            </w:rPr>
            <w:fldChar w:fldCharType="separate"/>
          </w:r>
          <w:r>
            <w:rPr>
              <w:rStyle w:val="11"/>
              <w:rFonts w:hint="default" w:ascii="Times New Roman" w:hAnsi="Times New Roman" w:cs="Times New Roman" w:eastAsiaTheme="majorEastAsia"/>
              <w:bCs/>
              <w:sz w:val="20"/>
              <w:szCs w:val="20"/>
              <w:lang w:eastAsia="zh-CN"/>
            </w:rPr>
            <w:t>www.biomiga.com.cn</w:t>
          </w:r>
          <w:r>
            <w:rPr>
              <w:rFonts w:hint="default" w:ascii="Times New Roman" w:hAnsi="Times New Roman" w:cs="Times New Roman" w:eastAsiaTheme="majorEastAsia"/>
              <w:bCs/>
              <w:sz w:val="20"/>
              <w:szCs w:val="20"/>
              <w:lang w:eastAsia="zh-CN"/>
            </w:rPr>
            <w:fldChar w:fldCharType="end"/>
          </w:r>
          <w:r>
            <w:rPr>
              <w:rFonts w:hint="eastAsia" w:ascii="Times New Roman" w:hAnsi="Times New Roman" w:cs="Times New Roman" w:eastAsiaTheme="majorEastAsia"/>
              <w:bCs/>
              <w:sz w:val="20"/>
              <w:szCs w:val="20"/>
              <w:lang w:val="en-US" w:eastAsia="zh-CN"/>
            </w:rPr>
            <w:t xml:space="preserve"> </w:t>
          </w:r>
        </w:p>
      </w:tc>
      <w:tc>
        <w:tcPr>
          <w:tcW w:w="852" w:type="dxa"/>
          <w:vMerge w:val="restart"/>
          <w:vAlign w:val="center"/>
        </w:tcPr>
        <w:p>
          <w:pPr>
            <w:pStyle w:val="12"/>
            <w:jc w:val="center"/>
            <w:rPr>
              <w:rFonts w:hint="eastAsia" w:ascii="Times New Roman" w:hAnsi="Times New Roman" w:cs="Times New Roman"/>
              <w:sz w:val="20"/>
              <w:szCs w:val="20"/>
              <w:lang w:eastAsia="zh-CN"/>
            </w:rPr>
          </w:pPr>
        </w:p>
        <w:p>
          <w:pPr>
            <w:pStyle w:val="12"/>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eastAsia="zh-CN"/>
            </w:rPr>
            <w:t>第</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lang w:val="zh-CN"/>
            </w:rPr>
            <w:t>2</w:t>
          </w:r>
          <w:r>
            <w:rPr>
              <w:rFonts w:hint="default" w:ascii="Times New Roman" w:hAnsi="Times New Roman" w:cs="Times New Roman"/>
              <w:sz w:val="20"/>
              <w:szCs w:val="20"/>
            </w:rPr>
            <w:fldChar w:fldCharType="end"/>
          </w:r>
          <w:r>
            <w:rPr>
              <w:rFonts w:hint="eastAsia" w:ascii="Times New Roman" w:hAnsi="Times New Roman" w:cs="Times New Roman"/>
              <w:sz w:val="20"/>
              <w:szCs w:val="20"/>
              <w:lang w:val="en-US" w:eastAsia="zh-CN"/>
            </w:rPr>
            <w:t>页</w:t>
          </w:r>
        </w:p>
      </w:tc>
      <w:tc>
        <w:tcPr>
          <w:tcW w:w="3835" w:type="dxa"/>
          <w:tcBorders>
            <w:bottom w:val="single" w:color="5B9BD5" w:themeColor="accent1" w:sz="4" w:space="0"/>
          </w:tcBorders>
        </w:tcPr>
        <w:p>
          <w:pPr>
            <w:pStyle w:val="5"/>
            <w:tabs>
              <w:tab w:val="center" w:pos="4320"/>
              <w:tab w:val="right" w:pos="8640"/>
              <w:tab w:val="clear" w:pos="4153"/>
              <w:tab w:val="clear" w:pos="8306"/>
            </w:tabs>
            <w:ind w:firstLine="2200" w:firstLineChars="1100"/>
            <w:rPr>
              <w:rFonts w:hint="default" w:ascii="Times New Roman" w:hAnsi="Times New Roman" w:cs="Times New Roman" w:eastAsiaTheme="majorEastAsia"/>
              <w:bCs/>
              <w:sz w:val="20"/>
              <w:szCs w:val="20"/>
              <w:lang w:eastAsia="zh-CN"/>
            </w:rPr>
          </w:pPr>
          <w:r>
            <w:rPr>
              <w:rFonts w:hint="default" w:ascii="Times New Roman" w:hAnsi="Times New Roman" w:cs="Times New Roman" w:eastAsiaTheme="majorEastAsia"/>
              <w:bCs/>
              <w:sz w:val="20"/>
              <w:szCs w:val="20"/>
              <w:lang w:eastAsia="zh-CN"/>
            </w:rPr>
            <w:t xml:space="preserve"> 400-115-2855                                          </w:t>
          </w:r>
        </w:p>
      </w:tc>
    </w:tr>
    <w:tr>
      <w:tblPrEx>
        <w:tblLayout w:type="fixed"/>
        <w:tblCellMar>
          <w:top w:w="0" w:type="dxa"/>
          <w:left w:w="108" w:type="dxa"/>
          <w:bottom w:w="0" w:type="dxa"/>
          <w:right w:w="108" w:type="dxa"/>
        </w:tblCellMar>
      </w:tblPrEx>
      <w:trPr>
        <w:trHeight w:val="150" w:hRule="atLeast"/>
      </w:trPr>
      <w:tc>
        <w:tcPr>
          <w:tcW w:w="3836" w:type="dxa"/>
          <w:tcBorders>
            <w:top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rPr>
          </w:pPr>
        </w:p>
      </w:tc>
      <w:tc>
        <w:tcPr>
          <w:tcW w:w="852" w:type="dxa"/>
          <w:vMerge w:val="continue"/>
        </w:tcPr>
        <w:p>
          <w:pPr>
            <w:pStyle w:val="5"/>
            <w:tabs>
              <w:tab w:val="center" w:pos="4320"/>
              <w:tab w:val="right" w:pos="8640"/>
              <w:tab w:val="clear" w:pos="4153"/>
              <w:tab w:val="clear" w:pos="8306"/>
            </w:tabs>
            <w:jc w:val="center"/>
            <w:rPr>
              <w:rFonts w:hint="default" w:ascii="Times New Roman" w:hAnsi="Times New Roman" w:cs="Times New Roman" w:eastAsiaTheme="majorEastAsia"/>
              <w:bCs/>
            </w:rPr>
          </w:pPr>
        </w:p>
      </w:tc>
      <w:tc>
        <w:tcPr>
          <w:tcW w:w="3835" w:type="dxa"/>
          <w:tcBorders>
            <w:top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rPr>
          </w:pPr>
        </w:p>
      </w:tc>
    </w:tr>
  </w:tbl>
  <w:p>
    <w:pPr>
      <w:pStyle w:val="4"/>
      <w:rPr>
        <w:rFonts w:hint="default"/>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ascii="Times New Roman" w:hAnsi="Times New Roman"/>
        <w:sz w:val="20"/>
        <w:szCs w:val="28"/>
      </w:rPr>
    </w:pPr>
    <w:r>
      <w:rPr>
        <w:rFonts w:hint="eastAsia" w:ascii="Times New Roman" w:hAnsi="Times New Roman"/>
        <w:sz w:val="20"/>
        <w:szCs w:val="28"/>
        <w:lang w:val="en-US" w:eastAsia="zh-CN"/>
      </w:rPr>
      <w:t>BW-SC005人间充质干细胞(脂肪来源)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34BB99"/>
    <w:multiLevelType w:val="singleLevel"/>
    <w:tmpl w:val="CD34BB99"/>
    <w:lvl w:ilvl="0" w:tentative="0">
      <w:start w:val="1"/>
      <w:numFmt w:val="decimal"/>
      <w:suff w:val="space"/>
      <w:lvlText w:val="%1."/>
      <w:lvlJc w:val="left"/>
    </w:lvl>
  </w:abstractNum>
  <w:abstractNum w:abstractNumId="1">
    <w:nsid w:val="EC481008"/>
    <w:multiLevelType w:val="singleLevel"/>
    <w:tmpl w:val="EC481008"/>
    <w:lvl w:ilvl="0" w:tentative="0">
      <w:start w:val="1"/>
      <w:numFmt w:val="decimal"/>
      <w:suff w:val="space"/>
      <w:lvlText w:val="%1."/>
      <w:lvlJc w:val="left"/>
    </w:lvl>
  </w:abstractNum>
  <w:abstractNum w:abstractNumId="2">
    <w:nsid w:val="3FFE99F4"/>
    <w:multiLevelType w:val="singleLevel"/>
    <w:tmpl w:val="3FFE99F4"/>
    <w:lvl w:ilvl="0" w:tentative="0">
      <w:start w:val="1"/>
      <w:numFmt w:val="decimal"/>
      <w:suff w:val="space"/>
      <w:lvlText w:val="%1."/>
      <w:lvlJc w:val="left"/>
    </w:lvl>
  </w:abstractNum>
  <w:abstractNum w:abstractNumId="3">
    <w:nsid w:val="6384573A"/>
    <w:multiLevelType w:val="singleLevel"/>
    <w:tmpl w:val="6384573A"/>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53E9F"/>
    <w:rsid w:val="06130509"/>
    <w:rsid w:val="09615139"/>
    <w:rsid w:val="0CD13CE8"/>
    <w:rsid w:val="10C53284"/>
    <w:rsid w:val="16932262"/>
    <w:rsid w:val="1E912432"/>
    <w:rsid w:val="216E5D8D"/>
    <w:rsid w:val="21E01631"/>
    <w:rsid w:val="25292467"/>
    <w:rsid w:val="2FF96EBC"/>
    <w:rsid w:val="31053E9F"/>
    <w:rsid w:val="342764E5"/>
    <w:rsid w:val="355A3455"/>
    <w:rsid w:val="38BF5674"/>
    <w:rsid w:val="3A4332CE"/>
    <w:rsid w:val="3A6B6F8A"/>
    <w:rsid w:val="3D37414B"/>
    <w:rsid w:val="3E820037"/>
    <w:rsid w:val="3F7D6D16"/>
    <w:rsid w:val="420D0724"/>
    <w:rsid w:val="5959027E"/>
    <w:rsid w:val="5A4979AE"/>
    <w:rsid w:val="65A90135"/>
    <w:rsid w:val="67F66E80"/>
    <w:rsid w:val="68F003E3"/>
    <w:rsid w:val="69C13240"/>
    <w:rsid w:val="6A365835"/>
    <w:rsid w:val="6D535020"/>
    <w:rsid w:val="70CF6614"/>
    <w:rsid w:val="75422460"/>
    <w:rsid w:val="7A483188"/>
    <w:rsid w:val="7CC2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Times New Roman" w:hAnsi="Times New Roman" w:eastAsia="宋体" w:cs="Times New Roman"/>
      <w:b/>
      <w:bCs/>
      <w:kern w:val="44"/>
      <w:szCs w:val="4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widowControl/>
      <w:tabs>
        <w:tab w:val="left" w:pos="5940"/>
      </w:tabs>
      <w:spacing w:line="300" w:lineRule="exact"/>
      <w:jc w:val="left"/>
    </w:pPr>
    <w:rPr>
      <w:rFonts w:ascii="Times New Roman" w:hAnsi="Times New Roman"/>
      <w:bCs/>
      <w:kern w:val="0"/>
      <w:sz w:val="22"/>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Normal (Web)"/>
    <w:basedOn w:val="1"/>
    <w:qFormat/>
    <w:uiPriority w:val="0"/>
    <w:pPr>
      <w:spacing w:beforeAutospacing="1"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styleId="12">
    <w:name w:val="No Spacing"/>
    <w:qFormat/>
    <w:uiPriority w:val="1"/>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2018-09-18T01:33:00Z</dcterms:created>
  <dc:creator>slp</dc:creator>
  <cp:lastModifiedBy>slp</cp:lastModifiedBy>
  <dcterms:modified xsi:type="dcterms:W3CDTF">2019-03-04T01:02:07Z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