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300" w:lineRule="auto"/>
      </w:pPr>
      <w:r>
        <w:rPr>
          <w:rFonts w:ascii="Calibri" w:hAnsi="Calibri" w:eastAsia="PingFang SC"/>
          <w:b/>
          <w:color w:val="5F6C7C"/>
          <w:sz w:val="20"/>
        </w:rPr>
        <w:t>GLOBAL QUANT WATCH</w:t>
      </w:r>
    </w:p>
    <w:p>
      <w:pPr>
        <w:spacing w:before="0" w:after="120" w:line="252" w:lineRule="auto"/>
      </w:pPr>
      <w:r>
        <w:rPr>
          <w:rFonts w:ascii="Calibri" w:hAnsi="Calibri" w:eastAsia="PingFang SC"/>
          <w:b/>
          <w:color w:val="0B2545"/>
          <w:sz w:val="48"/>
        </w:rPr>
        <w:t>量化预测模型与实盘训练 Agent 说明书</w:t>
      </w:r>
    </w:p>
    <w:p>
      <w:pPr>
        <w:spacing w:before="0" w:after="200" w:line="300" w:lineRule="auto"/>
      </w:pPr>
      <w:r>
        <w:rPr>
          <w:rFonts w:ascii="Calibri" w:hAnsi="Calibri" w:eastAsia="PingFang SC"/>
          <w:color w:val="5F6C7C"/>
          <w:sz w:val="21"/>
        </w:rPr>
        <w:t>版本：2026-06-17  |  适用市场：ASX / US / CN  |  文档用途：解释预测逻辑、训练机制、过拟合控制与下一步提升路线</w:t>
      </w:r>
    </w:p>
    <w:p>
      <w:pPr>
        <w:pBdr>
          <w:bottom w:val="single" w:sz="8" w:space="10" w:color="A8B5C6"/>
        </w:pBdr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核心结论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PingFang SC"/>
                <w:sz w:val="20"/>
              </w:rPr>
              <w:t>这次升级的重点不是机械提高置信度，而是把置信度做成更接近“可校准概率”的东西：只有当真实行情、新闻/宏观、因子、历史相似路径、模型集成和 agent 训练同时支持时，才允许置信度上行。新增三个实盘训练 agent 后，系统会以真实市场数据做纸面交易、记录止损和失败经验，并用长期记忆微调策略阈值。</w:t>
            </w:r>
          </w:p>
        </w:tc>
      </w:tr>
    </w:tbl>
    <w:p>
      <w:pPr>
        <w:spacing w:before="0" w:after="80" w:line="300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0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7A5A00"/>
                <w:sz w:val="21"/>
              </w:rPr>
              <w:t>风险边界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PingFang SC"/>
                <w:sz w:val="20"/>
              </w:rPr>
              <w:t>当前系统是交易决策辅助和纸面实盘训练系统，不直接替你向券商下真实订单。所有预测都可能失败；市场存在非平稳、突发事件、数据延迟、流动性和滑点问题。高置信度不等于保证收益。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1. 本次已完成的模型升级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训练层从 2 个 agent 扩展到 5 个：趋势、回撤、突破高频、新闻资金流、稳健配置。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候选策略从 4 类扩展到 10 类，覆盖趋势回踩、放量突破、超跌反弹、低波动突破、新闻确认趋势、利好修复和现金保护入场。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新增 evidence quality calibration：把新闻数量、真实因子覆盖、模型共识、历史相似路径、数据源降级和近期买入命中率一起用于置信度校准。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每个 agent 的买入阈值、止损、止盈、最长持有期和仓位大小按照风格独立设置，避免所有策略同质化。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止损或亏损退出会写入亏损复盘 lesson，长期记忆继承这些经验，用于降低同类形态或同一股票的偏置。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2050"/>
        <w:gridCol w:w="1050"/>
        <w:gridCol w:w="2700"/>
        <w:gridCol w:w="2260"/>
      </w:tblGrid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Agent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交易频率倾向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入场核心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风控逻辑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趋势 Agent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捕捉中短期动量延续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中等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趋势分、MACD、目标涨幅、量能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常规止损，盈利后比较是否过早止盈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回撤 Agent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寻找超跌后的修复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中等偏低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RSI 低位、最大上探空间、风险回落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更紧止损，失败后减少反弹形态频率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突破实盘训练 Agent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提高试错和交易频率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较高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放量、20日高位、5日走势不弱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小仓位、快止损、短持有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新闻资金流 Agent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把消息面转成交易证据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中等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新闻/因子证据、资金流、趋势确认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新闻证据薄时禁止升置信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稳健配置 Agent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控制回撤和组合暴露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低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风险分、流动性、共识和现金保护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单票小仓位，保留补仓/对冲空间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2. 一次完整预测如何发生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PingFang SC"/>
          <w:sz w:val="21"/>
        </w:rPr>
        <w:t>读取市场数据：按市场和标的读取真实 OHLCV、实时报价、指数状态、成交/订单流可用数据，并优先使用本地真实缓存避免休市重复消耗额度。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PingFang SC"/>
          <w:sz w:val="21"/>
        </w:rPr>
        <w:t>清洗与校验：统一代码、市场、时间、价格和成交量；拒绝用 ETF 冒充现金指数；数据源降级时保留 warning 并压低置信。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PingFang SC"/>
          <w:sz w:val="21"/>
        </w:rPr>
        <w:t>构造技术特征：计算 RSI、MACD、均线、波动率、5日变化、成交量比、趋势分、动量分、风险分和历史相似路径。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PingFang SC"/>
          <w:sz w:val="21"/>
        </w:rPr>
        <w:t>读取基本面与外部因子：公告、财报、宏观、板块、资金/空头、流动性、市场状态、相对强弱、回测校准等。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PingFang SC"/>
          <w:sz w:val="21"/>
        </w:rPr>
        <w:t>读取新闻与全球事件：股票直接新闻、行业上下游、竞品、宏观、央行、地缘政治、政策官员讲话、X/YouTube 等一手/准一手信号。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PingFang SC"/>
          <w:sz w:val="21"/>
        </w:rPr>
        <w:t>AI 和本地模型生成初始判断：规则模型、历史相似模型、因子模型、AI 文本推理和市场 regime 层共同生成预估涨幅、最大上探、下跌风险和动作建议。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PingFang SC"/>
          <w:sz w:val="21"/>
        </w:rPr>
        <w:t>置信度校准：根据近期命中率、买入达标率、证据质量、模型一致性和数据降级情况调整置信度，不把弱数据包装成高置信。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PingFang SC"/>
          <w:sz w:val="21"/>
        </w:rPr>
        <w:t>agent 覆盖层：5 个 agent 根据各自阈值决定是否纸面买入、加仓、持有、卖出或止损，并把结果写入长期记忆。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PingFang SC"/>
          <w:sz w:val="21"/>
        </w:rPr>
        <w:t>组合与仓位建议：结合总资金、可用资金、单票上限、当前持仓、后续补仓空间、风险暴露和对冲属性，给出更保守的交易建议。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3. 新闻解读层：从文本到交易因子</w:t>
      </w:r>
    </w:p>
    <w:p>
      <w:pPr>
        <w:spacing w:before="0" w:after="120" w:line="300" w:lineRule="auto"/>
      </w:pPr>
      <w:r>
        <w:rPr>
          <w:rFonts w:ascii="Calibri" w:hAnsi="Calibri" w:eastAsia="PingFang SC"/>
        </w:rPr>
        <w:t>新闻不是只看“公司名是否出现”。系统应把新闻拆成直接、行业、上下游、竞品、宏观、利率、政策、战争/地缘政治和大盘风险几个通道。每条新闻先提取实体、事件、方向、时间敏感度、影响范围和可信度，再映射到标的可能受益或受损的路径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2250"/>
        <w:gridCol w:w="2600"/>
        <w:gridCol w:w="306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新闻通道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提取内容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如何影响预测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防错处理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公司直接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财报、公告、订单、管理层、监管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直接改变盈利预期和短期情绪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核对日期和来源，避免旧闻当新信号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产业链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上游成本、下游需求、运输、能源、原材料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改变毛利率、销量和交付确定性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区分一次性事件和持续趋势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竞品/替代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竞品涨价、事故、产能、政策倾斜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可能形成替代受益或竞争压力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需要行业关系图，不能只靠关键词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宏观/利率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央行、通胀、就业、汇率、债券收益率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影响估值折现率、风险偏好和资金流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按市场和行业敏感度加权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地缘政治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战争、制裁、贸易限制、能源冲击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可能压制大盘或推升防御/资源类资产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不默认所有战争都让所有股票下跌，按行业暴露分解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社交/视频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X 热点、关键人物发言、YouTube 热搜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用于捕捉早期情绪和传播速度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降低权重，要求与价格/成交/可信来源交叉验证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4. 技术面与因子层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技术面：RSI 衡量短期超买超卖，MACD 衡量动量变化，均线和趋势分衡量方向，量比衡量资金参与度，波动率和回撤衡量风险。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成交与订单流：在有真实 tick/L1/L2 授权数据时，进一步识别主动买入、主动卖出、被动成交、价格阶梯和冲击成本；没有真实数据时不伪造成逐笔。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历史相似路径：寻找过去走势、成交量、波动和价格结构相似的片段，统计后续最大上探、最终收益、先止损概率和达到目标概率。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基本面因子：公告/财报、盈利质量、估值、行业景气、宏观敏感度、资金流、相对强弱、流动性和校准表现。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因子合格门槛：无量纲、丰富度、无未来函数、缺失值处理、极端值处理、标准化六项必须通过，否则降低权重。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550"/>
        <w:gridCol w:w="311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因子质量检查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标准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失败时的处理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无量纲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不同价格/市值/币种股票可比较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做收益率、分位数、z-score 或行业中性化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丰富度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信息维度互补，不重复堆相同指标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删除高度相关或边际贡献低的重复因子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无未来函数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决策时点必须已经可见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使用 point-in-time 数据和公告发布日期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缺失值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缺失原因可解释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单独标记缺失，不把缺失直接当 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极端值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异常值不支配模型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winsorize、robust scaling 或异常剔除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标准化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训练/预测同一变换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只用训练窗口拟合 scaler，避免泄漏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5. 当前模型集合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2850"/>
        <w:gridCol w:w="2350"/>
        <w:gridCol w:w="2610"/>
      </w:tblGrid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模型/模块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输入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输出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主要用途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规则技术模型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OHLCV、RSI、MACD、均线、量比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趋势/动量/风险分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基础方向判断和入场过滤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历史相似路径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走势、成交、波动、价格结构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未来收益分布、止损先触发概率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让预测参考过去类似市场经验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因子评分模型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基本面、宏观、资金、流动性、相对强弱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factor score 和证据覆盖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避免只看日内涨跌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新闻文本推理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多源新闻、社交、视频、宏观事件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利好/利空、影响路径、强弱相关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把消息面转成可解释证据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集成共识层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规则、AI、历史、因子、市场状态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预测涨幅、置信度、动作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减少单模型偏差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校准层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历史命中率、Brier/命中桶、数据降级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校准后的置信度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防止虚高置信和过拟合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agent 纸面训练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实时分析结果和当前价格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买/卖/持有、亏损 lesson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用策略表现反推阈值和仓位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6. 置信度为什么不能硬拉高</w:t>
      </w:r>
    </w:p>
    <w:p>
      <w:pPr>
        <w:spacing w:before="0" w:after="120" w:line="300" w:lineRule="auto"/>
      </w:pPr>
      <w:r>
        <w:rPr>
          <w:rFonts w:ascii="Calibri" w:hAnsi="Calibri" w:eastAsia="PingFang SC"/>
        </w:rPr>
        <w:t>置信度应代表“在当前证据条件下，目标事件发生的校准概率”。如果为了接近 75% 目标而简单加分，短期页面会好看，但真实交易会更容易过拟合。正确做法是让强证据提高置信，让弱证据和近期失败自动压低置信。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允许升置信的条件：新闻/因子覆盖足够、模型共识高、历史相似路径支持、近期买入达标率不差、行情源未严重降级。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必须降置信的条件：新闻为空、真实因子太少、单源降级、近期买入命中率低、预测过度依赖当天涨跌。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预测涨幅也要校准：弱证据时不只降置信，还要缩小预估涨幅和最大上探空间。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长期准确率提升来自记录每次预测样本、延迟回看结果、按时间切分训练/验证，而不是当天涨跌一变就马上反向。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7. 实盘训练 agent 如何提高策略</w:t>
      </w:r>
    </w:p>
    <w:p>
      <w:pPr>
        <w:spacing w:before="0" w:after="120" w:line="300" w:lineRule="auto"/>
      </w:pPr>
      <w:r>
        <w:rPr>
          <w:rFonts w:ascii="Calibri" w:hAnsi="Calibri" w:eastAsia="PingFang SC"/>
        </w:rPr>
        <w:t>这里的“实盘训练”指用真实市场数据做纸面交易，不直接下真实订单。每个 agent 在刷新时按照自己的风格评估候选股票：满足阈值就纸面买入，触及止损、目标、周期或信号转弱就卖出，并把结果写入记忆库。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PingFang SC"/>
          <w:sz w:val="21"/>
        </w:rPr>
        <w:t>历史回放：用最近约 220 根 K 线测试 10 类候选策略，统计交易次数、胜率、平均收益和最大回撤。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PingFang SC"/>
          <w:sz w:val="21"/>
        </w:rPr>
        <w:t>策略评分：score = 平均收益、胜率偏离、交易样本数和回撤惩罚的组合；交易太少不会被直接认定为最优。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PingFang SC"/>
          <w:sz w:val="21"/>
        </w:rPr>
        <w:t>阈值自调：表现好的策略降低一点入场阈值，提高交易机会；表现差的策略提高阈值或降低个股偏置。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PingFang SC"/>
          <w:sz w:val="21"/>
        </w:rPr>
        <w:t>仓位自控：突破 agent 小仓高频，稳健 agent 小仓低频，趋势 agent 中等仓位，避免有现金就全买一只。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PingFang SC"/>
          <w:sz w:val="21"/>
        </w:rPr>
        <w:t>失败学习：止损、信号转弱、临近周期仍亏损等原因会形成 lesson，并在后续训练中降低同类形态的信心。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8. 如何继续提高准确率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800"/>
        <w:gridCol w:w="2400"/>
        <w:gridCol w:w="3100"/>
        <w:gridCol w:w="3060"/>
      </w:tblGrid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改进方向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为什么有效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注意事项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更干净的 point-in-time 数据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避免未来函数，是所有模型准确率的地基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财报、公告、成分股、复权必须按当时可见状态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预测样本本地累计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让校准层看到足够多失败和成功样本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按市场、行业、周期分桶，不能混成一个大平均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更强标签体系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区分最终收益、最大上探、先止损、触达目标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15日涨5%和次日方向是不同任务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LightGBM/线性基线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对中小样本、非线性因子通常更稳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严格时间序列切分和早停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LSTM/Transformer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可学习序列状态和 regime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需要更多数据，否则比树模型更容易过拟合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交易成本/滑点模型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让纸面收益更接近真实收益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低流动性股票必须惩罚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组合优化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提高整体收益/回撤，而不是单票命中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使用行业、因子、市场 beta 和现金约束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9. 借鉴的开源量化项目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900"/>
        <w:gridCol w:w="37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可借鉴点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9"/>
              </w:rPr>
              <w:t>对本系统的启发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Microsoft Qlib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覆盖监督学习、市场动态建模、强化学习和从 alpha 到订单执行的研究管线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把因子、模型训练、回测、风险和执行拆成清晰模块；后续可接 LightGBM/LSTM/Transformer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FinRL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以市场环境、DRL agent 和金融应用三层组织，并常用 A2C/DDPG/PPO/TD3/SAC 等 agent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强化学习适合做仓位和交易时机实验，但必须先有稳定回测和风控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QuantConnect LEAN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事件驱动、模块化、支持回测/优化/实盘和多类数据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长期应向事件驱动架构靠拢，便于统一指数、个股、新闻和订单事件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Freqtrade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提供 dry-run、SQLite 持久化、回测、画图和机器学习策略优化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Calibri" w:hAnsi="Calibri" w:eastAsia="PingFang SC"/>
                <w:sz w:val="18"/>
              </w:rPr>
              <w:t>纸面训练、持久化日志、策略迭代和风险提示是实盘前必要环节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PingFang SC"/>
          <w:color w:val="5F6C7C"/>
          <w:sz w:val="17"/>
        </w:rPr>
        <w:t>来源：Qlib https://github.com/microsoft/qlib；FinRL https://github.com/AI4Finance-Foundation/FinRL；QuantConnect LEAN https://github.com/QuantConnect/Lean；Freqtrade https://github.com/freqtrade/freqtrade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10. 市场是否本身难以预测</w:t>
      </w:r>
    </w:p>
    <w:p>
      <w:pPr>
        <w:spacing w:before="0" w:after="120" w:line="300" w:lineRule="auto"/>
      </w:pPr>
      <w:r>
        <w:rPr>
          <w:rFonts w:ascii="Calibri" w:hAnsi="Calibri" w:eastAsia="PingFang SC"/>
        </w:rPr>
        <w:t>是的，特别是短周期。股票短期收益的信噪比很低，市场结构会变化，公开信息会被快速定价，突发事件和流动性冲击会让历史规律失效。因此系统不能承诺长期稳定高胜率，只能持续提高“可证伪、可校准、可复盘”的能力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更多数据有帮助，但只有在数据干净、时间戳正确、没有未来函数、覆盖足够长的不同市场 regime 时才有帮助。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更复杂模型不一定更好。小样本下，LightGBM/正则化线性模型/简单集成往往比深度模型更稳。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提高收益不等于只提高方向预测。仓位、止损、卖出纪律、交易成本和组合分散通常同样重要。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系统最应该优化的是校准后的期望收益：概率 × 幅度 - 风险 - 成本，而不是单一置信度。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11. 后续建议路线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PingFang SC"/>
          <w:sz w:val="21"/>
        </w:rPr>
        <w:t>把每次预测、实际 1/5/15 日结果、是否触达目标、是否先触发止损全部持久化到本地 record。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PingFang SC"/>
          <w:sz w:val="21"/>
        </w:rPr>
        <w:t>按市场和行业建立独立校准桶，避免 ASX、US、A股混在一起训练。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PingFang SC"/>
          <w:sz w:val="21"/>
        </w:rPr>
        <w:t>接入 Qlib 数据管线和 LightGBM 基线，先验证因子有效性，再接 LSTM/Transformer。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PingFang SC"/>
          <w:sz w:val="21"/>
        </w:rPr>
        <w:t>建立特征重要性和漂移检测：某个因子连续失效时自动降权，而不是继续硬用。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PingFang SC"/>
          <w:sz w:val="21"/>
        </w:rPr>
        <w:t>把 agent 的纸面交易收益改为含交易成本、滑点、最小成交量和最大持仓限制的净收益。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PingFang SC"/>
          <w:sz w:val="21"/>
        </w:rPr>
        <w:t>建立 walk-forward 回测：训练窗口、验证窗口、上线窗口分离，所有参数调整必须在未来窗口验证。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PingFang SC"/>
          <w:sz w:val="21"/>
        </w:rPr>
        <w:t>对新闻文本模型加入事件类型和行业知识图谱，让强相关、弱相关、传导相关分开计权。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12. 当前实现的可解释公式</w:t>
      </w:r>
    </w:p>
    <w:p>
      <w:pPr>
        <w:spacing w:before="0" w:after="120" w:line="300" w:lineRule="auto"/>
      </w:pPr>
      <w:r>
        <w:rPr>
          <w:rFonts w:ascii="Calibri" w:hAnsi="Calibri" w:eastAsia="PingFang SC"/>
        </w:rPr>
        <w:t>系统并不是单一公式给出买卖，而是多层打分。简化后可以理解为：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决策分数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PingFang SC"/>
                <w:sz w:val="20"/>
              </w:rPr>
              <w:t>Expected Edge = P(calibrated) x Expected Upside - Downside Risk - Data Penalty - Cost/Slippage + Agent Memory Bias。</w:t>
              <w:br/>
              <w:t>只有当 Expected Edge、策略约束、仓位约束和止损约束同时通过时，才推荐买入或进入观察。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PingFang SC"/>
        </w:rPr>
        <w:t>置信度上调来自证据质量和历史校准，不来自人为目标。比如你设置“15 日内上涨 5%、置信 75%”，系统会筛选并提醒接近该条件的股票；如果当前证据只能支持 52%，它应如实显示 52%，而不是为了满足目标显示 75%。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13. 交付说明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代码层已加入 3 个新增 agent、10 类候选策略、证据质量校准和亏损 lesson 记录。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这些改动会在刷新分析后逐步积累样本；初期置信度不会突然大幅上升，这是为了避免过拟合。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sz w:val="21"/>
        </w:rPr>
        <w:t>如果要进一步提升，下一步优先做本地 record 持久化审计、Qlib/LightGBM 训练入口和 walk-forward 评估面板。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color w:val="5F6C7C"/>
        <w:sz w:val="17"/>
      </w:rPr>
      <w:t>Decision support only - not investment advice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8" w:color="D5DCE6"/>
      </w:pBdr>
    </w:pPr>
    <w:r/>
    <w:r>
      <w:rPr>
        <w:rFonts w:ascii="Calibri" w:hAnsi="Calibri" w:eastAsia="PingFang SC"/>
        <w:b/>
        <w:color w:val="5F6C7C"/>
        <w:sz w:val="18"/>
      </w:rPr>
      <w:t>Global Quant Watch</w:t>
    </w:r>
    <w:r>
      <w:rPr>
        <w:rFonts w:ascii="Calibri" w:hAnsi="Calibri" w:eastAsia="PingFang SC"/>
        <w:color w:val="5F6C7C"/>
        <w:sz w:val="18"/>
      </w:rPr>
      <w:t xml:space="preserve">  |  Model Logic &amp; Agent Training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PingFang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PingFang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