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实验一：</w:t>
      </w:r>
      <w:r>
        <w:t>通信客户流失预警模型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1挖掘过程</w:t>
      </w:r>
    </w:p>
    <w:p>
      <w:pPr>
        <w:pStyle w:val="5"/>
        <w:numPr>
          <w:numId w:val="0"/>
        </w:numPr>
        <w:ind w:leftChars="0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业务理解</w:t>
      </w:r>
    </w:p>
    <w:p>
      <w:pPr>
        <w:ind w:firstLine="420"/>
      </w:pPr>
      <w:r>
        <w:rPr>
          <w:rFonts w:hint="eastAsia"/>
          <w:lang w:val="en-US" w:eastAsia="zh-CN"/>
        </w:rPr>
        <w:t>使用分类模型</w:t>
      </w:r>
      <w:r>
        <w:rPr>
          <w:rFonts w:hint="eastAsia"/>
        </w:rPr>
        <w:t>构建客户流失预测模型，通过客户为流失客户的</w:t>
      </w:r>
      <w:r>
        <w:rPr>
          <w:rFonts w:hint="eastAsia"/>
          <w:lang w:val="en-US" w:eastAsia="zh-CN"/>
        </w:rPr>
        <w:t>概率预测该</w:t>
      </w:r>
      <w:r>
        <w:rPr>
          <w:rFonts w:hint="eastAsia"/>
        </w:rPr>
        <w:t>客户</w:t>
      </w:r>
      <w:r>
        <w:rPr>
          <w:rFonts w:hint="eastAsia"/>
          <w:lang w:val="en-US" w:eastAsia="zh-CN"/>
        </w:rPr>
        <w:t>是否为</w:t>
      </w:r>
      <w:r>
        <w:rPr>
          <w:rFonts w:hint="eastAsia"/>
        </w:rPr>
        <w:t>流失</w:t>
      </w:r>
      <w:r>
        <w:rPr>
          <w:rFonts w:hint="eastAsia"/>
          <w:lang w:val="en-US" w:eastAsia="zh-CN"/>
        </w:rPr>
        <w:t>客户并</w:t>
      </w:r>
      <w:r>
        <w:rPr>
          <w:rFonts w:hint="eastAsia"/>
        </w:rPr>
        <w:t>根据客户为流失客户的概率生成流失概率排序名单。</w:t>
      </w:r>
    </w:p>
    <w:p>
      <w:pPr>
        <w:pStyle w:val="5"/>
        <w:numPr>
          <w:numId w:val="0"/>
        </w:numPr>
        <w:ind w:leftChars="0"/>
      </w:pPr>
      <w:r>
        <w:rPr>
          <w:rFonts w:hint="eastAsia"/>
          <w:lang w:val="en-US" w:eastAsia="zh-CN"/>
        </w:rPr>
        <w:t>1.2</w:t>
      </w:r>
      <w:r>
        <w:t>数据理解</w:t>
      </w:r>
    </w:p>
    <w:p>
      <w:pPr>
        <w:ind w:firstLine="420"/>
      </w:pPr>
      <w:r>
        <w:rPr>
          <w:rFonts w:hint="eastAsia"/>
        </w:rPr>
        <w:t>在本案例中使用的数据来自于IBM Sample Data Sets，是某电信公司一段时间内的客户消费数据。共包含7043笔客户资料，每笔客户资料包含21个字段，其中1个客户ID字段，19个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特征字段及1个标签字段（Yes代表流失，No代表未流失）。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特征字段主要包含以下三个维度指标：客户画像指标（如性别、是否老年等）、消费产品指标（如是否开通互联网服务、是否开通电话服务等）、消费信息指标（如付款方式、月费用等）。字段的具体说明如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_Ref145964610 \h</w:instrText>
      </w:r>
      <w:r>
        <w:instrText xml:space="preserve"> </w:instrText>
      </w:r>
      <w:r>
        <w:fldChar w:fldCharType="separate"/>
      </w:r>
      <w:r>
        <w:t>表 1</w:t>
      </w:r>
      <w:r>
        <w:fldChar w:fldCharType="end"/>
      </w:r>
      <w:r>
        <w:rPr>
          <w:rFonts w:hint="eastAsia"/>
        </w:rPr>
        <w:t>所示：</w:t>
      </w:r>
    </w:p>
    <w:tbl>
      <w:tblPr>
        <w:tblStyle w:val="12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2281"/>
        <w:gridCol w:w="881"/>
        <w:gridCol w:w="962"/>
        <w:gridCol w:w="992"/>
        <w:gridCol w:w="161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</w:tcPr>
          <w:p>
            <w:pPr>
              <w:pStyle w:val="11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字段</w:t>
            </w:r>
          </w:p>
        </w:tc>
        <w:tc>
          <w:tcPr>
            <w:tcW w:w="2281" w:type="dxa"/>
          </w:tcPr>
          <w:p>
            <w:pPr>
              <w:pStyle w:val="11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字段翻译</w:t>
            </w:r>
          </w:p>
        </w:tc>
        <w:tc>
          <w:tcPr>
            <w:tcW w:w="881" w:type="dxa"/>
          </w:tcPr>
          <w:p>
            <w:pPr>
              <w:pStyle w:val="11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角色</w:t>
            </w:r>
          </w:p>
        </w:tc>
        <w:tc>
          <w:tcPr>
            <w:tcW w:w="962" w:type="dxa"/>
          </w:tcPr>
          <w:p>
            <w:pPr>
              <w:pStyle w:val="11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特征类型</w:t>
            </w:r>
          </w:p>
        </w:tc>
        <w:tc>
          <w:tcPr>
            <w:tcW w:w="992" w:type="dxa"/>
          </w:tcPr>
          <w:p>
            <w:pPr>
              <w:pStyle w:val="11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不同值个数</w:t>
            </w:r>
          </w:p>
        </w:tc>
        <w:tc>
          <w:tcPr>
            <w:tcW w:w="1610" w:type="dxa"/>
          </w:tcPr>
          <w:p>
            <w:pPr>
              <w:pStyle w:val="11"/>
              <w:jc w:val="left"/>
              <w:rPr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  <w:shd w:val="clear" w:color="auto" w:fill="F1F1F1" w:themeFill="background1" w:themeFillShade="F2"/>
          </w:tcPr>
          <w:p>
            <w:pPr>
              <w:pStyle w:val="11"/>
              <w:rPr>
                <w:b w:val="0"/>
                <w:bCs w:val="0"/>
              </w:rPr>
            </w:pPr>
            <w:bookmarkStart w:id="0" w:name="_Hlk143274410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ustomerID</w:t>
            </w:r>
          </w:p>
        </w:tc>
        <w:tc>
          <w:tcPr>
            <w:tcW w:w="22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客户ID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ID</w:t>
            </w:r>
          </w:p>
        </w:tc>
        <w:tc>
          <w:tcPr>
            <w:tcW w:w="96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无类型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7</w:t>
            </w:r>
            <w:r>
              <w:t>043</w:t>
            </w:r>
          </w:p>
        </w:tc>
        <w:tc>
          <w:tcPr>
            <w:tcW w:w="1610" w:type="dxa"/>
            <w:shd w:val="clear" w:color="auto" w:fill="F1F1F1" w:themeFill="background1" w:themeFillShade="F2"/>
          </w:tcPr>
          <w:p>
            <w:pPr>
              <w:pStyle w:val="11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2281" w:type="dxa"/>
          </w:tcPr>
          <w:p>
            <w:pPr>
              <w:pStyle w:val="11"/>
            </w:pPr>
            <w:r>
              <w:rPr>
                <w:rFonts w:hint="eastAsia"/>
              </w:rPr>
              <w:t>性别</w:t>
            </w:r>
          </w:p>
        </w:tc>
        <w:tc>
          <w:tcPr>
            <w:tcW w:w="881" w:type="dxa"/>
          </w:tcPr>
          <w:p>
            <w:pPr>
              <w:pStyle w:val="11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</w:tcPr>
          <w:p>
            <w:pPr>
              <w:pStyle w:val="11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</w:tcPr>
          <w:p>
            <w:pPr>
              <w:pStyle w:val="11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>
            <w:pPr>
              <w:pStyle w:val="11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  <w:shd w:val="clear" w:color="auto" w:fill="F1F1F1" w:themeFill="background1" w:themeFillShade="F2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eniorCitizen</w:t>
            </w:r>
          </w:p>
        </w:tc>
        <w:tc>
          <w:tcPr>
            <w:tcW w:w="22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是否为老年人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初始取值为0</w:t>
            </w:r>
            <w:r>
              <w:t>/1</w:t>
            </w:r>
            <w:r>
              <w:rPr>
                <w:rFonts w:hint="eastAsia"/>
              </w:rPr>
              <w:t>，分别代表否/</w:t>
            </w:r>
            <w:r>
              <w:t>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b/>
                <w:bCs/>
              </w:rPr>
              <w:t>Partener</w:t>
            </w:r>
          </w:p>
        </w:tc>
        <w:tc>
          <w:tcPr>
            <w:tcW w:w="2281" w:type="dxa"/>
          </w:tcPr>
          <w:p>
            <w:pPr>
              <w:pStyle w:val="11"/>
            </w:pPr>
            <w:r>
              <w:rPr>
                <w:rFonts w:hint="eastAsia"/>
              </w:rPr>
              <w:t>是否有配偶</w:t>
            </w:r>
          </w:p>
        </w:tc>
        <w:tc>
          <w:tcPr>
            <w:tcW w:w="8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</w:tcPr>
          <w:p>
            <w:pPr>
              <w:pStyle w:val="11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>
            <w:pPr>
              <w:pStyle w:val="11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113" w:hRule="atLeast"/>
        </w:trPr>
        <w:tc>
          <w:tcPr>
            <w:tcW w:w="1796" w:type="dxa"/>
            <w:shd w:val="clear" w:color="auto" w:fill="F1F1F1" w:themeFill="background1" w:themeFillShade="F2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b/>
                <w:bCs/>
              </w:rPr>
              <w:t>Dependents</w:t>
            </w:r>
          </w:p>
        </w:tc>
        <w:tc>
          <w:tcPr>
            <w:tcW w:w="22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是否和需抚养/赡养人同居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  <w:shd w:val="clear" w:color="auto" w:fill="F1F1F1" w:themeFill="background1" w:themeFillShade="F2"/>
          </w:tcPr>
          <w:p>
            <w:pPr>
              <w:pStyle w:val="11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b/>
                <w:bCs/>
              </w:rPr>
              <w:t>Tenure</w:t>
            </w:r>
          </w:p>
        </w:tc>
        <w:tc>
          <w:tcPr>
            <w:tcW w:w="2281" w:type="dxa"/>
          </w:tcPr>
          <w:p>
            <w:pPr>
              <w:pStyle w:val="11"/>
            </w:pPr>
            <w:r>
              <w:rPr>
                <w:rFonts w:hint="eastAsia"/>
              </w:rPr>
              <w:t>在网时长</w:t>
            </w:r>
          </w:p>
        </w:tc>
        <w:tc>
          <w:tcPr>
            <w:tcW w:w="8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数值</w:t>
            </w:r>
          </w:p>
        </w:tc>
        <w:tc>
          <w:tcPr>
            <w:tcW w:w="992" w:type="dxa"/>
          </w:tcPr>
          <w:p>
            <w:pPr>
              <w:pStyle w:val="11"/>
            </w:pPr>
          </w:p>
        </w:tc>
        <w:tc>
          <w:tcPr>
            <w:tcW w:w="1610" w:type="dxa"/>
          </w:tcPr>
          <w:p>
            <w:pPr>
              <w:pStyle w:val="11"/>
            </w:pPr>
            <w:r>
              <w:rPr>
                <w:rFonts w:hint="eastAsia"/>
              </w:rPr>
              <w:t>单位：月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  <w:shd w:val="clear" w:color="auto" w:fill="F1F1F1" w:themeFill="background1" w:themeFillShade="F2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honeService</w:t>
            </w:r>
          </w:p>
        </w:tc>
        <w:tc>
          <w:tcPr>
            <w:tcW w:w="22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是否开通电话服务业务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  <w:shd w:val="clear" w:color="auto" w:fill="F1F1F1" w:themeFill="background1" w:themeFillShade="F2"/>
          </w:tcPr>
          <w:p>
            <w:pPr>
              <w:pStyle w:val="11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ultipleLines</w:t>
            </w:r>
          </w:p>
        </w:tc>
        <w:tc>
          <w:tcPr>
            <w:tcW w:w="2281" w:type="dxa"/>
          </w:tcPr>
          <w:p>
            <w:pPr>
              <w:pStyle w:val="11"/>
            </w:pPr>
            <w:r>
              <w:rPr>
                <w:rFonts w:hint="eastAsia"/>
              </w:rPr>
              <w:t>是否开通多线业务</w:t>
            </w:r>
          </w:p>
        </w:tc>
        <w:tc>
          <w:tcPr>
            <w:tcW w:w="8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</w:tcPr>
          <w:p>
            <w:pPr>
              <w:pStyle w:val="11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>
            <w:pPr>
              <w:pStyle w:val="11"/>
              <w:rPr>
                <w:color w:val="0000FF"/>
              </w:rPr>
            </w:pPr>
            <w:r>
              <w:rPr>
                <w:rFonts w:hint="eastAsia"/>
              </w:rPr>
              <w:t>取值为是/否/未开通电话业务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  <w:shd w:val="clear" w:color="auto" w:fill="F1F1F1" w:themeFill="background1" w:themeFillShade="F2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nternetService</w:t>
            </w:r>
          </w:p>
        </w:tc>
        <w:tc>
          <w:tcPr>
            <w:tcW w:w="22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是否开通互联网服务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取值为否/</w:t>
            </w:r>
            <w:r>
              <w:t>DSL/</w:t>
            </w:r>
            <w:r>
              <w:rPr>
                <w:rFonts w:hint="eastAsia"/>
              </w:rPr>
              <w:t>光纤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nlineSecurity</w:t>
            </w:r>
          </w:p>
        </w:tc>
        <w:tc>
          <w:tcPr>
            <w:tcW w:w="2281" w:type="dxa"/>
          </w:tcPr>
          <w:p>
            <w:pPr>
              <w:pStyle w:val="11"/>
            </w:pPr>
            <w:r>
              <w:rPr>
                <w:rFonts w:hint="eastAsia"/>
              </w:rPr>
              <w:t>是否开通网络安全服务</w:t>
            </w:r>
          </w:p>
        </w:tc>
        <w:tc>
          <w:tcPr>
            <w:tcW w:w="8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</w:tcPr>
          <w:p>
            <w:pPr>
              <w:pStyle w:val="11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>
            <w:pPr>
              <w:pStyle w:val="11"/>
            </w:pPr>
            <w:r>
              <w:rPr>
                <w:rFonts w:hint="eastAsia"/>
              </w:rPr>
              <w:t>取值为是/否/未开通互联网服务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113" w:hRule="atLeast"/>
        </w:trPr>
        <w:tc>
          <w:tcPr>
            <w:tcW w:w="1796" w:type="dxa"/>
            <w:shd w:val="clear" w:color="auto" w:fill="F1F1F1" w:themeFill="background1" w:themeFillShade="F2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nlineBackup</w:t>
            </w:r>
          </w:p>
        </w:tc>
        <w:tc>
          <w:tcPr>
            <w:tcW w:w="22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是否开通在线备份业务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取值为是/否/未开通互联网服务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b/>
                <w:bCs/>
              </w:rPr>
              <w:t>DeviceProtection</w:t>
            </w:r>
          </w:p>
        </w:tc>
        <w:tc>
          <w:tcPr>
            <w:tcW w:w="2281" w:type="dxa"/>
          </w:tcPr>
          <w:p>
            <w:pPr>
              <w:pStyle w:val="11"/>
            </w:pPr>
            <w:r>
              <w:rPr>
                <w:rFonts w:hint="eastAsia"/>
              </w:rPr>
              <w:t>是否开通了设备保护业务</w:t>
            </w:r>
          </w:p>
        </w:tc>
        <w:tc>
          <w:tcPr>
            <w:tcW w:w="8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</w:tcPr>
          <w:p>
            <w:pPr>
              <w:pStyle w:val="11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>
            <w:pPr>
              <w:pStyle w:val="11"/>
            </w:pPr>
            <w:r>
              <w:rPr>
                <w:rFonts w:hint="eastAsia"/>
              </w:rPr>
              <w:t>取值为是/否/未开通互联网服务</w:t>
            </w:r>
          </w:p>
        </w:tc>
      </w:tr>
      <w:bookmarkEnd w:id="0"/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  <w:shd w:val="clear" w:color="auto" w:fill="F1F1F1" w:themeFill="background1" w:themeFillShade="F2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b/>
                <w:bCs/>
              </w:rPr>
              <w:t>TechSupport</w:t>
            </w:r>
          </w:p>
        </w:tc>
        <w:tc>
          <w:tcPr>
            <w:tcW w:w="22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是否开通了技术支持服务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取值为是/否/未开通互联网服务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treamingTV</w:t>
            </w:r>
          </w:p>
        </w:tc>
        <w:tc>
          <w:tcPr>
            <w:tcW w:w="2281" w:type="dxa"/>
          </w:tcPr>
          <w:p>
            <w:pPr>
              <w:pStyle w:val="11"/>
            </w:pPr>
            <w:r>
              <w:rPr>
                <w:rFonts w:hint="eastAsia"/>
              </w:rPr>
              <w:t>是否开通网络电视</w:t>
            </w:r>
          </w:p>
        </w:tc>
        <w:tc>
          <w:tcPr>
            <w:tcW w:w="8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</w:tcPr>
          <w:p>
            <w:pPr>
              <w:pStyle w:val="11"/>
            </w:pPr>
            <w:r>
              <w:t>3</w:t>
            </w:r>
          </w:p>
        </w:tc>
        <w:tc>
          <w:tcPr>
            <w:tcW w:w="1610" w:type="dxa"/>
          </w:tcPr>
          <w:p>
            <w:pPr>
              <w:pStyle w:val="11"/>
            </w:pPr>
            <w:r>
              <w:rPr>
                <w:rFonts w:hint="eastAsia"/>
              </w:rPr>
              <w:t>取值为是/否/未开通互联网服务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  <w:shd w:val="clear" w:color="auto" w:fill="F1F1F1" w:themeFill="background1" w:themeFillShade="F2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treamingMovies</w:t>
            </w:r>
          </w:p>
        </w:tc>
        <w:tc>
          <w:tcPr>
            <w:tcW w:w="22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是否开通网络电影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取值为是/否/未开通互联网服务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ontract</w:t>
            </w:r>
          </w:p>
        </w:tc>
        <w:tc>
          <w:tcPr>
            <w:tcW w:w="2281" w:type="dxa"/>
          </w:tcPr>
          <w:p>
            <w:pPr>
              <w:pStyle w:val="11"/>
            </w:pPr>
            <w:r>
              <w:rPr>
                <w:rFonts w:hint="eastAsia"/>
              </w:rPr>
              <w:t>签订合同方式</w:t>
            </w:r>
          </w:p>
        </w:tc>
        <w:tc>
          <w:tcPr>
            <w:tcW w:w="8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</w:tcPr>
          <w:p>
            <w:pPr>
              <w:pStyle w:val="11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>
            <w:pPr>
              <w:pStyle w:val="11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  <w:shd w:val="clear" w:color="auto" w:fill="F1F1F1" w:themeFill="background1" w:themeFillShade="F2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aperlessBillling</w:t>
            </w:r>
          </w:p>
        </w:tc>
        <w:tc>
          <w:tcPr>
            <w:tcW w:w="22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是否开通电子账单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  <w:shd w:val="clear" w:color="auto" w:fill="F1F1F1" w:themeFill="background1" w:themeFillShade="F2"/>
          </w:tcPr>
          <w:p>
            <w:pPr>
              <w:pStyle w:val="11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aymentMethod</w:t>
            </w:r>
          </w:p>
        </w:tc>
        <w:tc>
          <w:tcPr>
            <w:tcW w:w="2281" w:type="dxa"/>
          </w:tcPr>
          <w:p>
            <w:pPr>
              <w:pStyle w:val="11"/>
            </w:pPr>
            <w:r>
              <w:rPr>
                <w:rFonts w:hint="eastAsia"/>
              </w:rPr>
              <w:t>付款方式</w:t>
            </w:r>
          </w:p>
        </w:tc>
        <w:tc>
          <w:tcPr>
            <w:tcW w:w="8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</w:tcPr>
          <w:p>
            <w:pPr>
              <w:pStyle w:val="11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>
            <w:pPr>
              <w:pStyle w:val="11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  <w:shd w:val="clear" w:color="auto" w:fill="F1F1F1" w:themeFill="background1" w:themeFillShade="F2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onthlyCharges</w:t>
            </w:r>
          </w:p>
        </w:tc>
        <w:tc>
          <w:tcPr>
            <w:tcW w:w="22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月费用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数值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pStyle w:val="11"/>
            </w:pPr>
          </w:p>
        </w:tc>
        <w:tc>
          <w:tcPr>
            <w:tcW w:w="1610" w:type="dxa"/>
            <w:shd w:val="clear" w:color="auto" w:fill="F1F1F1" w:themeFill="background1" w:themeFillShade="F2"/>
          </w:tcPr>
          <w:p>
            <w:pPr>
              <w:pStyle w:val="1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单位：美元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b/>
                <w:bCs/>
              </w:rPr>
              <w:t>TotalCharges</w:t>
            </w:r>
          </w:p>
        </w:tc>
        <w:tc>
          <w:tcPr>
            <w:tcW w:w="2281" w:type="dxa"/>
          </w:tcPr>
          <w:p>
            <w:pPr>
              <w:pStyle w:val="11"/>
            </w:pPr>
            <w:r>
              <w:rPr>
                <w:rFonts w:hint="eastAsia"/>
              </w:rPr>
              <w:t>总费用</w:t>
            </w:r>
          </w:p>
        </w:tc>
        <w:tc>
          <w:tcPr>
            <w:tcW w:w="8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特征</w:t>
            </w:r>
          </w:p>
        </w:tc>
        <w:tc>
          <w:tcPr>
            <w:tcW w:w="962" w:type="dxa"/>
          </w:tcPr>
          <w:p>
            <w:pPr>
              <w:pStyle w:val="11"/>
            </w:pPr>
            <w:r>
              <w:rPr>
                <w:rFonts w:hint="eastAsia"/>
              </w:rPr>
              <w:t>数值</w:t>
            </w:r>
          </w:p>
        </w:tc>
        <w:tc>
          <w:tcPr>
            <w:tcW w:w="992" w:type="dxa"/>
          </w:tcPr>
          <w:p>
            <w:pPr>
              <w:pStyle w:val="11"/>
            </w:pPr>
          </w:p>
        </w:tc>
        <w:tc>
          <w:tcPr>
            <w:tcW w:w="1610" w:type="dxa"/>
          </w:tcPr>
          <w:p>
            <w:pPr>
              <w:pStyle w:val="1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单位：美元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796" w:type="dxa"/>
            <w:shd w:val="clear" w:color="auto" w:fill="F1F1F1" w:themeFill="background1" w:themeFillShade="F2"/>
          </w:tcPr>
          <w:p>
            <w:pPr>
              <w:pStyle w:val="11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hu</w:t>
            </w:r>
            <w:r>
              <w:rPr>
                <w:rFonts w:hint="eastAsia"/>
                <w:b/>
                <w:bCs/>
              </w:rPr>
              <w:t>rn</w:t>
            </w:r>
          </w:p>
        </w:tc>
        <w:tc>
          <w:tcPr>
            <w:tcW w:w="22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是否流失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标签类别</w:t>
            </w:r>
          </w:p>
        </w:tc>
        <w:tc>
          <w:tcPr>
            <w:tcW w:w="962" w:type="dxa"/>
            <w:shd w:val="clear" w:color="auto" w:fill="F1F1F1" w:themeFill="background1" w:themeFillShade="F2"/>
          </w:tcPr>
          <w:p>
            <w:pPr>
              <w:pStyle w:val="11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pStyle w:val="11"/>
              <w:keepNext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  <w:shd w:val="clear" w:color="auto" w:fill="F1F1F1" w:themeFill="background1" w:themeFillShade="F2"/>
          </w:tcPr>
          <w:p>
            <w:pPr>
              <w:pStyle w:val="11"/>
              <w:keepNext/>
            </w:pPr>
            <w:r>
              <w:rPr>
                <w:rFonts w:hint="eastAsia"/>
              </w:rPr>
              <w:t>取值为是/否</w:t>
            </w:r>
          </w:p>
        </w:tc>
      </w:tr>
    </w:tbl>
    <w:p>
      <w:pPr>
        <w:pStyle w:val="7"/>
        <w:ind w:firstLine="0" w:firstLineChars="0"/>
        <w:jc w:val="center"/>
      </w:pPr>
      <w:bookmarkStart w:id="1" w:name="_Ref14596461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数据集字段说明</w:t>
      </w:r>
    </w:p>
    <w:p>
      <w:pPr>
        <w:pStyle w:val="5"/>
        <w:numPr>
          <w:numId w:val="0"/>
        </w:numPr>
        <w:ind w:leftChars="0"/>
      </w:pPr>
      <w:r>
        <w:rPr>
          <w:rFonts w:hint="eastAsia"/>
          <w:lang w:val="en-US" w:eastAsia="zh-CN"/>
        </w:rPr>
        <w:t>1.3</w:t>
      </w:r>
      <w:r>
        <w:t>数据准备</w:t>
      </w:r>
    </w:p>
    <w:p>
      <w:pPr>
        <w:ind w:firstLine="420"/>
      </w:pPr>
      <w:r>
        <w:rPr>
          <w:rFonts w:hint="eastAsia"/>
        </w:rPr>
        <w:t>本案例数据准备工作步骤如下。</w:t>
      </w:r>
    </w:p>
    <w:p>
      <w:pPr>
        <w:pStyle w:val="6"/>
      </w:pPr>
      <w:r>
        <w:rPr>
          <w:rFonts w:hint="eastAsia"/>
        </w:rPr>
        <w:t>读入数据集</w:t>
      </w:r>
    </w:p>
    <w:p>
      <w:pPr>
        <w:ind w:firstLine="420"/>
      </w:pPr>
      <w:r>
        <w:rPr>
          <w:rFonts w:hint="eastAsia"/>
        </w:rPr>
        <w:t>代码如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_Ref145964621 \h</w:instrText>
      </w:r>
      <w:r>
        <w:instrText xml:space="preserve"> </w:instrText>
      </w:r>
      <w:r>
        <w:fldChar w:fldCharType="separate"/>
      </w:r>
      <w:r>
        <w:t>表 2</w:t>
      </w:r>
      <w:r>
        <w:fldChar w:fldCharType="end"/>
      </w:r>
      <w:r>
        <w:rPr>
          <w:rFonts w:hint="eastAsia"/>
        </w:rPr>
        <w:t>所示：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pStyle w:val="11"/>
            </w:pPr>
            <w:r>
              <w:rPr>
                <w:rFonts w:hint="eastAsia"/>
              </w:rPr>
              <w:t>读入数据集代码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</w:tcBorders>
          </w:tcPr>
          <w:p>
            <w:pPr>
              <w:pStyle w:val="11"/>
            </w:pPr>
            <w:r>
              <w:t>import numpy as 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</w:pPr>
            <w:r>
              <w:t>import pandas as 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</w:pPr>
            <w:r>
              <w:t>df = pd.read_csv('./Telco-Customer-Churn.csv')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12" w:space="0"/>
            </w:tcBorders>
          </w:tcPr>
          <w:p>
            <w:pPr>
              <w:pStyle w:val="11"/>
              <w:keepNext/>
            </w:pPr>
            <w:r>
              <w:t>df.head()</w:t>
            </w:r>
          </w:p>
        </w:tc>
      </w:tr>
    </w:tbl>
    <w:p>
      <w:pPr>
        <w:pStyle w:val="7"/>
        <w:ind w:firstLine="400"/>
        <w:jc w:val="center"/>
      </w:pPr>
      <w:bookmarkStart w:id="2" w:name="_Ref145964621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读入数据集代码</w:t>
      </w:r>
    </w:p>
    <w:p>
      <w:pPr>
        <w:pStyle w:val="6"/>
      </w:pPr>
      <w:r>
        <w:rPr>
          <w:rFonts w:hint="eastAsia"/>
        </w:rPr>
        <w:t>数据初步清洗</w:t>
      </w:r>
    </w:p>
    <w:p>
      <w:pPr>
        <w:ind w:firstLine="420"/>
      </w:pPr>
      <w:r>
        <w:rPr>
          <w:rFonts w:hint="eastAsia"/>
        </w:rPr>
        <w:t>首先进行初步的数据清洗工作，包含错误值和异常值处理，并识别字段类型。其中清洗工作主要包含：</w:t>
      </w:r>
    </w:p>
    <w:p>
      <w:pPr>
        <w:pStyle w:val="13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对</w:t>
      </w:r>
      <w:r>
        <w:rPr>
          <w:rFonts w:hint="eastAsia"/>
        </w:rPr>
        <w:t>Mul</w:t>
      </w:r>
      <w:r>
        <w:t>tipleLines</w:t>
      </w:r>
      <w:r>
        <w:rPr>
          <w:rFonts w:hint="eastAsia"/>
        </w:rPr>
        <w:t>（是否开通多线服务）、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OnlineSecurity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（是否开通网络安全服务）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、OnlineBackup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（是否开通在线备份业务）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、DeviceProtection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（是否开通了设备保护业务）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、TechSupport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（是否开通了技术支持服务）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、StreamingTV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（是否开通网络电视）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、StreamingMovies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（是否开通网络电影）等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属性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特征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错误值处理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。如不满足前置条件，则这些特征直接取值为No（若未开通互联网服务，自然不会开通网络电视等服务）。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对</w:t>
      </w:r>
      <w:r>
        <w:t>TotalCharges</w:t>
      </w:r>
      <w:r>
        <w:rPr>
          <w:rFonts w:hint="eastAsia"/>
        </w:rPr>
        <w:t>（总费用）</w:t>
      </w:r>
      <w:r>
        <w:rPr>
          <w:rFonts w:hint="eastAsia"/>
          <w:lang w:val="en-US" w:eastAsia="zh-CN"/>
        </w:rPr>
        <w:t>特征进行</w:t>
      </w:r>
      <w:r>
        <w:t>异常值处理</w:t>
      </w:r>
      <w:r>
        <w:rPr>
          <w:rFonts w:hint="eastAsia"/>
        </w:rPr>
        <w:t>。将空白取值替换空值nan，由于含空值的行较少，将其一并删除。删除后该特征取值只有数值，因此将此特征类型设为浮点型。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对</w:t>
      </w:r>
      <w:r>
        <w:rPr>
          <w:rFonts w:hint="eastAsia"/>
        </w:rPr>
        <w:t>T</w:t>
      </w:r>
      <w:r>
        <w:t>enure</w:t>
      </w:r>
      <w:r>
        <w:rPr>
          <w:rFonts w:hint="eastAsia"/>
        </w:rPr>
        <w:t>（在网时长）</w:t>
      </w:r>
      <w:r>
        <w:rPr>
          <w:rFonts w:hint="eastAsia"/>
          <w:lang w:val="en-US" w:eastAsia="zh-CN"/>
        </w:rPr>
        <w:t>属性离散化。</w:t>
      </w:r>
      <w:r>
        <w:rPr>
          <w:rFonts w:hint="eastAsia"/>
        </w:rPr>
        <w:t>Tenure取值为[</w:t>
      </w:r>
      <w:r>
        <w:t>0, 72]</w:t>
      </w:r>
      <w:r>
        <w:rPr>
          <w:rFonts w:hint="eastAsia"/>
        </w:rPr>
        <w:t>，为适应后续决策树建模，将其离散化，以1</w:t>
      </w:r>
      <w:r>
        <w:t>2</w:t>
      </w:r>
      <w:r>
        <w:rPr>
          <w:rFonts w:hint="eastAsia"/>
        </w:rPr>
        <w:t>、2</w:t>
      </w:r>
      <w:r>
        <w:t>4</w:t>
      </w:r>
      <w:r>
        <w:rPr>
          <w:rFonts w:hint="eastAsia"/>
        </w:rPr>
        <w:t>、3</w:t>
      </w:r>
      <w:r>
        <w:t>6</w:t>
      </w:r>
      <w:r>
        <w:rPr>
          <w:rFonts w:hint="eastAsia"/>
        </w:rPr>
        <w:t>、4</w:t>
      </w:r>
      <w:r>
        <w:t>8</w:t>
      </w:r>
      <w:r>
        <w:rPr>
          <w:rFonts w:hint="eastAsia"/>
        </w:rPr>
        <w:t>、6</w:t>
      </w:r>
      <w:r>
        <w:t>0</w:t>
      </w:r>
      <w:r>
        <w:rPr>
          <w:rFonts w:hint="eastAsia"/>
        </w:rPr>
        <w:t>为临界值进行分箱操作，共分为6组。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判断字段的类别</w:t>
      </w:r>
    </w:p>
    <w:p>
      <w:pPr>
        <w:pStyle w:val="13"/>
        <w:ind w:left="440" w:firstLine="0" w:firstLineChars="0"/>
      </w:pPr>
      <w:r>
        <w:rPr>
          <w:rFonts w:hint="eastAsia"/>
        </w:rPr>
        <w:t>数据清洗代码如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_Ref145964632 \h</w:instrText>
      </w:r>
      <w:r>
        <w:instrText xml:space="preserve"> </w:instrText>
      </w:r>
      <w:r>
        <w:fldChar w:fldCharType="separate"/>
      </w:r>
      <w:r>
        <w:t>表 3</w:t>
      </w:r>
      <w:r>
        <w:fldChar w:fldCharType="end"/>
      </w:r>
      <w:r>
        <w:rPr>
          <w:rFonts w:hint="eastAsia"/>
        </w:rPr>
        <w:t>所示：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11"/>
            </w:pPr>
            <w:r>
              <w:rPr>
                <w:rFonts w:hint="eastAsia"/>
              </w:rPr>
              <w:t>数据初步清洗代码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tcBorders>
              <w:top w:val="single" w:color="auto" w:sz="6" w:space="0"/>
            </w:tcBorders>
          </w:tcPr>
          <w:p>
            <w:pPr>
              <w:pStyle w:val="11"/>
            </w:pPr>
            <w:r>
              <w:t># 错误值处理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repl_columns = ['OnlineSecurity', 'OnlineBackup', 'DeviceProtection',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            'TechSupport','StreamingTV', 'StreamingMovies']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for i in repl_columns: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df[i]  = df[i].replace({'No internet service' : 'No'})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rPr>
                <w:rFonts w:hint="eastAsia"/>
              </w:rPr>
              <w:t># 替换值SeniorCitizen，便于后续探索性分析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df["SeniorCitizen"] = df["SeniorCitizen"].replace({1: "Yes", 0: "No"})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# 替换值TotalCharges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df['TotalCharges'] = df['TotalCharges'].replace(' ', np.nan)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# TotalCharges空值：数据量小，直接删除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df = df.dropna(subset=['TotalCharges'])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df.reset_index(drop=True, inplace=True)  # 重置索引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# 转换数据类型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df['TotalCharges'] = df['TotalCharges'].astype('float')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# 转换tenure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def transform_tenure(x):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if x &lt;= 12: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    return 'Tenure_1'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elif x &lt;= 24: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    return 'Tenure_2'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elif x &lt;= 36: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    return 'Tenure_3'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elif x &lt;= 48: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    return 'Tenure_4'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elif x &lt;= 60: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    return 'Tenure_5'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else: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        return('Tenure_over_5')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df['tenure_group'] = df.tenure.apply(transform_tenure)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# 数值型和类别型字段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Id_col = ['customerID']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target_col = ['Churn']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cat_cols = df.nunique()[df.nunique() &lt; 10].index.tolist()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num_cols = [i for i in df.columns if i not in cat_cols + Id_col]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>print('类别型字段：\n', cat_cols)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11"/>
            </w:pPr>
            <w:r>
              <w:t xml:space="preserve">print('-' * 30)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tcBorders>
              <w:bottom w:val="single" w:color="auto" w:sz="12" w:space="0"/>
            </w:tcBorders>
          </w:tcPr>
          <w:p>
            <w:pPr>
              <w:pStyle w:val="11"/>
              <w:keepNext/>
            </w:pPr>
            <w:r>
              <w:t>print('数值型字段：\n', num_cols)</w:t>
            </w:r>
          </w:p>
        </w:tc>
      </w:tr>
    </w:tbl>
    <w:p>
      <w:pPr>
        <w:pStyle w:val="7"/>
        <w:ind w:firstLine="400"/>
        <w:jc w:val="center"/>
      </w:pPr>
      <w:bookmarkStart w:id="3" w:name="_Ref145964632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数据初步清洗代码</w:t>
      </w:r>
    </w:p>
    <w:p>
      <w:pPr>
        <w:ind w:firstLine="420"/>
      </w:pPr>
      <w:r>
        <w:rPr>
          <w:rFonts w:hint="eastAsia"/>
        </w:rPr>
        <w:t>输出结果如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_Ref145964647 \h</w:instrText>
      </w:r>
      <w:r>
        <w:instrText xml:space="preserve"> </w:instrText>
      </w:r>
      <w:r>
        <w:fldChar w:fldCharType="separate"/>
      </w:r>
      <w:r>
        <w:t>图 1</w:t>
      </w:r>
      <w:r>
        <w:fldChar w:fldCharType="end"/>
      </w:r>
      <w:r>
        <w:rPr>
          <w:rFonts w:hint="eastAsia"/>
        </w:rPr>
        <w:t>所示：</w:t>
      </w:r>
    </w:p>
    <w:p>
      <w:pPr>
        <w:pStyle w:val="11"/>
        <w:jc w:val="center"/>
      </w:pPr>
      <w:r>
        <w:drawing>
          <wp:inline distT="0" distB="0" distL="0" distR="0">
            <wp:extent cx="5274310" cy="1216660"/>
            <wp:effectExtent l="0" t="0" r="8890" b="2540"/>
            <wp:docPr id="1698728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288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bookmarkStart w:id="4" w:name="_Ref145964647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类别型字段与数值型字段</w:t>
      </w:r>
    </w:p>
    <w:p>
      <w:pPr>
        <w:pStyle w:val="6"/>
      </w:pPr>
      <w:r>
        <w:rPr>
          <w:rFonts w:hint="eastAsia"/>
        </w:rPr>
        <w:t>数据初步清洗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。。。。。。。。。。。。。。。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bookmarkStart w:id="5" w:name="_GoBack"/>
      <w:bookmarkEnd w:id="5"/>
      <w:r>
        <w:rPr>
          <w:rFonts w:hint="eastAsia"/>
          <w:lang w:val="en-US" w:eastAsia="zh-CN"/>
        </w:rPr>
        <w:t>模型构建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。。。。。。。。。。。。。</w:t>
      </w:r>
    </w:p>
    <w:p>
      <w:pPr>
        <w:pStyle w:val="3"/>
        <w:numPr>
          <w:ilvl w:val="0"/>
          <w:numId w:val="3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主要工作小结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通过案例数据挖掘得到的成果、对客户保留计划的建议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本实验过程中的创新点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FA1000"/>
    <w:multiLevelType w:val="singleLevel"/>
    <w:tmpl w:val="E5FA100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77804EA"/>
    <w:multiLevelType w:val="multilevel"/>
    <w:tmpl w:val="177804EA"/>
    <w:lvl w:ilvl="0" w:tentative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（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5B62068"/>
    <w:multiLevelType w:val="multilevel"/>
    <w:tmpl w:val="45B62068"/>
    <w:lvl w:ilvl="0" w:tentative="0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iODVlNTY5NWQwZTFjZWRlMDBjZTA3MDBhNDgxMTAifQ=="/>
  </w:docVars>
  <w:rsids>
    <w:rsidRoot w:val="00000000"/>
    <w:rsid w:val="2E610F8A"/>
    <w:rsid w:val="32BA057B"/>
    <w:rsid w:val="361A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40" w:after="240" w:line="415" w:lineRule="auto"/>
      <w:ind w:firstLineChars="0"/>
      <w:jc w:val="center"/>
      <w:outlineLvl w:val="1"/>
    </w:pPr>
    <w:rPr>
      <w:rFonts w:cstheme="majorBidi"/>
      <w:b/>
      <w:bCs/>
      <w:sz w:val="30"/>
      <w:szCs w:val="32"/>
    </w:rPr>
  </w:style>
  <w:style w:type="paragraph" w:styleId="4">
    <w:name w:val="heading 3"/>
    <w:basedOn w:val="3"/>
    <w:next w:val="1"/>
    <w:unhideWhenUsed/>
    <w:qFormat/>
    <w:uiPriority w:val="9"/>
    <w:pPr>
      <w:numPr>
        <w:ilvl w:val="2"/>
      </w:numPr>
      <w:spacing w:before="120" w:after="120"/>
      <w:jc w:val="left"/>
      <w:outlineLvl w:val="2"/>
    </w:pPr>
    <w:rPr>
      <w:sz w:val="28"/>
    </w:rPr>
  </w:style>
  <w:style w:type="paragraph" w:styleId="5">
    <w:name w:val="heading 4"/>
    <w:basedOn w:val="4"/>
    <w:next w:val="1"/>
    <w:unhideWhenUsed/>
    <w:qFormat/>
    <w:uiPriority w:val="9"/>
    <w:pPr>
      <w:numPr>
        <w:ilvl w:val="3"/>
      </w:numPr>
      <w:spacing w:before="0" w:after="0"/>
      <w:outlineLvl w:val="3"/>
    </w:pPr>
    <w:rPr>
      <w:sz w:val="21"/>
    </w:rPr>
  </w:style>
  <w:style w:type="paragraph" w:styleId="6">
    <w:name w:val="heading 5"/>
    <w:basedOn w:val="5"/>
    <w:next w:val="1"/>
    <w:unhideWhenUsed/>
    <w:qFormat/>
    <w:uiPriority w:val="9"/>
    <w:pPr>
      <w:numPr>
        <w:ilvl w:val="4"/>
      </w:numPr>
      <w:outlineLvl w:val="4"/>
    </w:p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table" w:customStyle="1" w:styleId="12">
    <w:name w:val="无格式表格 1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2023-10-08T00:27:43Z</dcterms:created>
  <dc:creator>57499</dc:creator>
  <cp:lastModifiedBy>yuan hn</cp:lastModifiedBy>
  <dcterms:modified xsi:type="dcterms:W3CDTF">2023-10-08T00:36:30Z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24BF079303A044F687CEE9ADCB876FD8_12</vt:lpwstr>
  </property>
</Properties>
</file>