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533FE" w14:textId="77777777" w:rsidR="00C61AD6" w:rsidRDefault="00C61A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pPr w:leftFromText="180" w:rightFromText="180" w:vertAnchor="text" w:tblpX="-730" w:tblpY="152"/>
        <w:tblW w:w="10430" w:type="dxa"/>
        <w:tblLayout w:type="fixed"/>
        <w:tblLook w:val="0000" w:firstRow="0" w:lastRow="0" w:firstColumn="0" w:lastColumn="0" w:noHBand="0" w:noVBand="0"/>
      </w:tblPr>
      <w:tblGrid>
        <w:gridCol w:w="3500"/>
        <w:gridCol w:w="2880"/>
        <w:gridCol w:w="2880"/>
        <w:gridCol w:w="1170"/>
      </w:tblGrid>
      <w:tr w:rsidR="00C61AD6" w14:paraId="38A7E95B" w14:textId="77777777" w:rsidTr="00756091">
        <w:trPr>
          <w:trHeight w:val="255"/>
        </w:trPr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40844C1" w14:textId="40CECCD9" w:rsidR="00C61AD6" w:rsidRDefault="00093C13" w:rsidP="0084363A">
            <w:pPr>
              <w:ind w:leftChars="0" w:left="2" w:firstLineChars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Radiopharmaceutical</w:t>
            </w:r>
            <w:r w:rsidR="00756091">
              <w:rPr>
                <w:rFonts w:ascii="Times" w:eastAsia="Times" w:hAnsi="Times" w:cs="Times"/>
                <w:b/>
                <w:sz w:val="20"/>
                <w:szCs w:val="20"/>
              </w:rPr>
              <w:t>-Technetium Labeled</w:t>
            </w:r>
          </w:p>
        </w:tc>
        <w:tc>
          <w:tcPr>
            <w:tcW w:w="28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C4283C4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Trade Name “Common name”</w:t>
            </w:r>
          </w:p>
        </w:tc>
        <w:tc>
          <w:tcPr>
            <w:tcW w:w="28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EC5F1E9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Clinical Use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ADE4D4A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Dosages*</w:t>
            </w:r>
          </w:p>
          <w:p w14:paraId="2D47DAF6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(mCi)</w:t>
            </w:r>
          </w:p>
        </w:tc>
      </w:tr>
      <w:tr w:rsidR="00C61AD6" w14:paraId="7AE09B81" w14:textId="77777777" w:rsidTr="00756091">
        <w:trPr>
          <w:trHeight w:val="255"/>
        </w:trPr>
        <w:tc>
          <w:tcPr>
            <w:tcW w:w="35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B027AB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  <w:u w:val="single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  <w:u w:val="single"/>
              </w:rPr>
              <w:t>99mTc Physical Half-life (P) 6h</w:t>
            </w:r>
          </w:p>
          <w:p w14:paraId="2CEE9C45" w14:textId="7F22E2FB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Technetium-99m-pertechnetate (from Molybdenum-99 generator) High Specific Activity from LEU of U235 fission </w:t>
            </w:r>
            <w:r w:rsidR="008D5258">
              <w:rPr>
                <w:rFonts w:ascii="Times" w:eastAsia="Times" w:hAnsi="Times" w:cs="Times"/>
                <w:sz w:val="20"/>
                <w:szCs w:val="20"/>
              </w:rPr>
              <w:t>Q</w:t>
            </w:r>
            <w:r>
              <w:rPr>
                <w:rFonts w:ascii="Times" w:eastAsia="Times" w:hAnsi="Times" w:cs="Times"/>
                <w:sz w:val="20"/>
                <w:szCs w:val="20"/>
              </w:rPr>
              <w:t>9969 $10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EDD20A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“Tech” </w:t>
            </w:r>
          </w:p>
          <w:p w14:paraId="369FB4B5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“TcO4”</w:t>
            </w:r>
          </w:p>
          <w:p w14:paraId="27E44CE3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“Tc99m</w:t>
            </w:r>
            <w:r>
              <w:rPr>
                <w:rFonts w:ascii="Times" w:eastAsia="Times" w:hAnsi="Times" w:cs="Times"/>
                <w:sz w:val="20"/>
                <w:szCs w:val="20"/>
                <w:vertAlign w:val="superscript"/>
              </w:rPr>
              <w:t>”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“</w:t>
            </w:r>
            <w:r>
              <w:rPr>
                <w:rFonts w:ascii="Times" w:eastAsia="Times" w:hAnsi="Times" w:cs="Times"/>
                <w:sz w:val="20"/>
                <w:szCs w:val="20"/>
                <w:vertAlign w:val="superscript"/>
              </w:rPr>
              <w:t>99m</w:t>
            </w:r>
            <w:r>
              <w:rPr>
                <w:rFonts w:ascii="Times" w:eastAsia="Times" w:hAnsi="Times" w:cs="Times"/>
                <w:sz w:val="20"/>
                <w:szCs w:val="20"/>
              </w:rPr>
              <w:t>Tc”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7C665EBA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Labeling chelates</w:t>
            </w:r>
          </w:p>
          <w:p w14:paraId="7E4D0399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Thyroid Imaging</w:t>
            </w:r>
          </w:p>
          <w:p w14:paraId="6B8FF280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Salivary gland function</w:t>
            </w:r>
          </w:p>
          <w:p w14:paraId="0C570453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Dacryoscintigraphy</w:t>
            </w:r>
            <w:proofErr w:type="spellEnd"/>
          </w:p>
          <w:p w14:paraId="014DA651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Cystography</w:t>
            </w:r>
          </w:p>
          <w:p w14:paraId="1AF233D1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Meckel’s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58BA89DB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Range</w:t>
            </w:r>
          </w:p>
          <w:p w14:paraId="07476CFE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10</w:t>
            </w:r>
          </w:p>
          <w:p w14:paraId="5A2D0092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10</w:t>
            </w:r>
          </w:p>
          <w:p w14:paraId="0B7BD901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0.1</w:t>
            </w:r>
          </w:p>
          <w:p w14:paraId="2940A76C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  <w:p w14:paraId="3063AC95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10</w:t>
            </w:r>
          </w:p>
        </w:tc>
      </w:tr>
      <w:tr w:rsidR="00C61AD6" w14:paraId="08EF4EF0" w14:textId="77777777" w:rsidTr="00756091">
        <w:trPr>
          <w:trHeight w:val="255"/>
        </w:trPr>
        <w:tc>
          <w:tcPr>
            <w:tcW w:w="35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5BA99BA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Tc99m pertechnetate labeled carbon sys.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A843C5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Technegas aerosol, 9/2023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Cyclomedica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; C9150 per study dose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7C3CB62D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Ventilation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4025E5D7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30</w:t>
            </w:r>
          </w:p>
        </w:tc>
      </w:tr>
      <w:tr w:rsidR="00C61AD6" w14:paraId="0A6C7814" w14:textId="77777777" w:rsidTr="00756091">
        <w:trPr>
          <w:trHeight w:val="255"/>
        </w:trPr>
        <w:tc>
          <w:tcPr>
            <w:tcW w:w="35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B3FAE4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Tc99m-bicisate (ECD)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ACF564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Neurolite Lantheus; A9557 per study dose; up to 25 mCi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044EBAC6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Brain perfusion imaging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5B5FEF4E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25</w:t>
            </w:r>
          </w:p>
        </w:tc>
      </w:tr>
      <w:tr w:rsidR="00C61AD6" w14:paraId="1A97292B" w14:textId="77777777" w:rsidTr="00756091">
        <w:trPr>
          <w:trHeight w:val="255"/>
        </w:trPr>
        <w:tc>
          <w:tcPr>
            <w:tcW w:w="35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E474A97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Tc99m-disofenin (DISIDA)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056CF5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Hepatolite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(Pharma is DC Dec 2019)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B31AE46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Hepatobiliary Imaging</w:t>
            </w:r>
          </w:p>
          <w:p w14:paraId="7BF780E7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Gallbladder EF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61191713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</w:t>
            </w:r>
          </w:p>
        </w:tc>
      </w:tr>
      <w:tr w:rsidR="00C61AD6" w14:paraId="38814E6C" w14:textId="77777777" w:rsidTr="00756091">
        <w:trPr>
          <w:trHeight w:val="255"/>
        </w:trPr>
        <w:tc>
          <w:tcPr>
            <w:tcW w:w="35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13145D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Tc99m-exametazine (HMPAO)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010109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Ceretec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-available from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DraxImage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and GE; A9521 up to 25 mCi</w:t>
            </w:r>
          </w:p>
          <w:p w14:paraId="50919A86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A9569 WBC per study dose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7CE1E1DD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Brain perfusion imaging-stabilized</w:t>
            </w:r>
          </w:p>
          <w:p w14:paraId="00A2DDAA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Infection WBC label-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unstabilized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031E7856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25</w:t>
            </w:r>
          </w:p>
          <w:p w14:paraId="42FB29D9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Range </w:t>
            </w:r>
          </w:p>
        </w:tc>
      </w:tr>
      <w:tr w:rsidR="00C61AD6" w14:paraId="3F7CFF62" w14:textId="77777777" w:rsidTr="00756091">
        <w:trPr>
          <w:trHeight w:val="255"/>
        </w:trPr>
        <w:tc>
          <w:tcPr>
            <w:tcW w:w="35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3AA55A2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Tc99m-macroaggregated albumin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A3FDDE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“MAA” Curium and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DraxImage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; A9540 up to 10 mCi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564F1B91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Pulmonary perfusion and embolism, </w:t>
            </w:r>
          </w:p>
          <w:p w14:paraId="33E1756C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Pre Y-90 SIR Spheres distribution test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6B6291B7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Particle dependent 3-5</w:t>
            </w:r>
          </w:p>
        </w:tc>
      </w:tr>
      <w:tr w:rsidR="00C61AD6" w14:paraId="216E81F5" w14:textId="77777777" w:rsidTr="00756091">
        <w:trPr>
          <w:trHeight w:val="255"/>
        </w:trPr>
        <w:tc>
          <w:tcPr>
            <w:tcW w:w="35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5E2DA4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Tc99m-mebrofenin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09BAA7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Choletec</w:t>
            </w:r>
            <w:proofErr w:type="spellEnd"/>
          </w:p>
          <w:p w14:paraId="294A7CD9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“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Mebro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” Bracco, Sun Pharma; A9537 up to 15 mCi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29A46521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Hepatobiliary Imaging</w:t>
            </w:r>
          </w:p>
          <w:p w14:paraId="22C863BA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Gallbladder EF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7CA6AE02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</w:t>
            </w:r>
          </w:p>
        </w:tc>
      </w:tr>
      <w:tr w:rsidR="00C61AD6" w14:paraId="44A63C4B" w14:textId="77777777" w:rsidTr="00756091">
        <w:trPr>
          <w:trHeight w:val="255"/>
        </w:trPr>
        <w:tc>
          <w:tcPr>
            <w:tcW w:w="35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77C57F7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Tc99m-medronate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476EE7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“MDP”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DraxImage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MDP-25; Cardinal Health, Sun Pharma A9503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17767B66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Bone imaging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768A59D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25</w:t>
            </w:r>
          </w:p>
        </w:tc>
      </w:tr>
      <w:tr w:rsidR="00C61AD6" w14:paraId="22AAFC54" w14:textId="77777777" w:rsidTr="00756091">
        <w:trPr>
          <w:trHeight w:val="255"/>
        </w:trPr>
        <w:tc>
          <w:tcPr>
            <w:tcW w:w="35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863F54B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Tc99m-mertiatide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C6153C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“MAG3” Curium,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DraxImage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, Sun Pharma; A9562 up to 15 mCi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63299A94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Renal imaging (ERPF)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4E1BFC4D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10</w:t>
            </w:r>
          </w:p>
        </w:tc>
      </w:tr>
      <w:tr w:rsidR="00C61AD6" w14:paraId="07CE5DF2" w14:textId="77777777" w:rsidTr="00756091">
        <w:trPr>
          <w:trHeight w:val="255"/>
        </w:trPr>
        <w:tc>
          <w:tcPr>
            <w:tcW w:w="35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49EDAA4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Tc99m-oxidronate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367AEE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“HDP” Curium; A9561; up to 30 mCi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1E16BC87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Bone imaging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694B4621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25</w:t>
            </w:r>
          </w:p>
        </w:tc>
      </w:tr>
      <w:tr w:rsidR="00C61AD6" w14:paraId="2EC99738" w14:textId="77777777" w:rsidTr="00756091">
        <w:trPr>
          <w:trHeight w:val="255"/>
        </w:trPr>
        <w:tc>
          <w:tcPr>
            <w:tcW w:w="35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2F6CD5B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Tc99m-pentetate </w:t>
            </w:r>
          </w:p>
          <w:p w14:paraId="2130D7A1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Pentetate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Kit Jubilant-Drax (12/89)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CCFE79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“DTPA”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DraxImage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; A9539 up to 25 mCi</w:t>
            </w:r>
          </w:p>
          <w:p w14:paraId="784B50A1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A9567 up to 75 mCi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7C61272C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Renal imaging (GFR function, renal flow studies)</w:t>
            </w:r>
          </w:p>
          <w:p w14:paraId="3628B866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Lung Ventilation for matching with MAA </w:t>
            </w:r>
          </w:p>
          <w:p w14:paraId="5336ECCE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Cardiac first pass</w:t>
            </w:r>
          </w:p>
          <w:p w14:paraId="7D278D2C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Cerebral-Peritoneal shunt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715FD83A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3, 10</w:t>
            </w:r>
          </w:p>
          <w:p w14:paraId="04F72408" w14:textId="77777777" w:rsidR="00C61AD6" w:rsidRDefault="00C61AD6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</w:p>
          <w:p w14:paraId="182DFD3B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35-75</w:t>
            </w:r>
          </w:p>
          <w:p w14:paraId="37588E5C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25</w:t>
            </w:r>
          </w:p>
          <w:p w14:paraId="5B5A35AA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</w:tr>
      <w:tr w:rsidR="00C61AD6" w14:paraId="028F4270" w14:textId="77777777" w:rsidTr="00756091">
        <w:trPr>
          <w:trHeight w:val="255"/>
        </w:trPr>
        <w:tc>
          <w:tcPr>
            <w:tcW w:w="35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BB1EBB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Tc99m-pyrophosphate</w:t>
            </w:r>
          </w:p>
          <w:p w14:paraId="5396A82D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Cis-Pyro Sun Pharm (6/87)</w:t>
            </w:r>
          </w:p>
          <w:p w14:paraId="55BEA1AF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Technescan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PYP Kit Curium (5/74)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4DA087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 </w:t>
            </w:r>
          </w:p>
          <w:p w14:paraId="7614085F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“Hot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pyp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” A9538 up to 25 mCi</w:t>
            </w:r>
          </w:p>
          <w:p w14:paraId="79922097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“Cold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pyp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” or “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pyp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”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75F93943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Amyloidosis TTR-CM (transthyretin-cardiomyopathy)</w:t>
            </w:r>
          </w:p>
          <w:p w14:paraId="7516BBA5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Myocardial infarct imaging </w:t>
            </w:r>
          </w:p>
          <w:p w14:paraId="04298FF9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Cisternography-2013   </w:t>
            </w:r>
          </w:p>
          <w:p w14:paraId="4984EDA4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Tin used for labeling RBC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0B9D9089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15</w:t>
            </w:r>
          </w:p>
          <w:p w14:paraId="36BE9716" w14:textId="77777777" w:rsidR="00C61AD6" w:rsidRDefault="00C61AD6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</w:p>
          <w:p w14:paraId="48B6ED20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25</w:t>
            </w:r>
          </w:p>
          <w:p w14:paraId="2CB3BF11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  <w:p w14:paraId="06B5ABDF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</w:t>
            </w:r>
          </w:p>
        </w:tc>
      </w:tr>
      <w:tr w:rsidR="00C61AD6" w14:paraId="0B28DD6E" w14:textId="77777777" w:rsidTr="00756091">
        <w:trPr>
          <w:trHeight w:val="255"/>
        </w:trPr>
        <w:tc>
          <w:tcPr>
            <w:tcW w:w="35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CF46D8C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Tc99m-red blood cells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1B69CE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Ultratag Curium; A9560; per study dose; up to 30 mCi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2EB6DB6E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GI bleeds</w:t>
            </w:r>
          </w:p>
          <w:p w14:paraId="380CCB66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Hemangioma</w:t>
            </w:r>
          </w:p>
          <w:p w14:paraId="5DE3E9FC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ENVG (MUGA)</w:t>
            </w:r>
          </w:p>
          <w:p w14:paraId="0B9451E6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RNVG (MUGA)</w:t>
            </w:r>
          </w:p>
          <w:p w14:paraId="5416A6DE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L to R shunt</w:t>
            </w:r>
          </w:p>
          <w:p w14:paraId="040C62FA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Spleen (heat damaged RBC’s)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6A3DB981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30</w:t>
            </w:r>
          </w:p>
          <w:p w14:paraId="5D027BE7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30</w:t>
            </w:r>
          </w:p>
          <w:p w14:paraId="4358384A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30</w:t>
            </w:r>
          </w:p>
          <w:p w14:paraId="2A7453E3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30</w:t>
            </w:r>
          </w:p>
          <w:p w14:paraId="4BC2FF9C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30</w:t>
            </w:r>
          </w:p>
          <w:p w14:paraId="12D4DCD7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30</w:t>
            </w:r>
          </w:p>
        </w:tc>
      </w:tr>
      <w:tr w:rsidR="00C61AD6" w14:paraId="2A23446E" w14:textId="77777777" w:rsidTr="00756091">
        <w:trPr>
          <w:trHeight w:val="255"/>
        </w:trPr>
        <w:tc>
          <w:tcPr>
            <w:tcW w:w="35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C376B7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Tc99m-sestamibi Cardinal Health, Curium,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DraxImage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, Lantheus, Sun Pharma A9500 Per study dose up to 40 mCi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AE1556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Cardiolite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, </w:t>
            </w:r>
          </w:p>
          <w:p w14:paraId="23754954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“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Sestamibi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” or “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mibi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”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658AE11F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Myocardial perfusion  </w:t>
            </w:r>
          </w:p>
          <w:p w14:paraId="1BEB58A7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Breast tumor </w:t>
            </w:r>
          </w:p>
          <w:p w14:paraId="2EB4B1D8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Parathyroid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651787A1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10/30</w:t>
            </w:r>
          </w:p>
          <w:p w14:paraId="52BB155C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25</w:t>
            </w:r>
          </w:p>
          <w:p w14:paraId="6E2F5D82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25</w:t>
            </w:r>
          </w:p>
        </w:tc>
      </w:tr>
    </w:tbl>
    <w:p w14:paraId="0583E39D" w14:textId="77777777" w:rsidR="00756091" w:rsidRDefault="00756091">
      <w:pPr>
        <w:ind w:left="0" w:hanging="2"/>
      </w:pPr>
    </w:p>
    <w:tbl>
      <w:tblPr>
        <w:tblStyle w:val="a"/>
        <w:tblpPr w:leftFromText="180" w:rightFromText="180" w:vertAnchor="text" w:tblpX="-730" w:tblpY="152"/>
        <w:tblW w:w="10430" w:type="dxa"/>
        <w:tblLayout w:type="fixed"/>
        <w:tblLook w:val="0000" w:firstRow="0" w:lastRow="0" w:firstColumn="0" w:lastColumn="0" w:noHBand="0" w:noVBand="0"/>
      </w:tblPr>
      <w:tblGrid>
        <w:gridCol w:w="3500"/>
        <w:gridCol w:w="2880"/>
        <w:gridCol w:w="2880"/>
        <w:gridCol w:w="1170"/>
      </w:tblGrid>
      <w:tr w:rsidR="00756091" w14:paraId="11666F0A" w14:textId="77777777" w:rsidTr="00756091">
        <w:trPr>
          <w:trHeight w:val="255"/>
        </w:trPr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191CD9A" w14:textId="1C4BA80C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Radiopharmaceutical-Technetium Labeled</w:t>
            </w:r>
          </w:p>
        </w:tc>
        <w:tc>
          <w:tcPr>
            <w:tcW w:w="28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1894CC8" w14:textId="1D7A921A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Trade Name “Common name”</w:t>
            </w:r>
          </w:p>
        </w:tc>
        <w:tc>
          <w:tcPr>
            <w:tcW w:w="28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B538B91" w14:textId="0243BCB3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Clinical Use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BAADCEA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Dosages*</w:t>
            </w:r>
          </w:p>
          <w:p w14:paraId="0F1E1DB5" w14:textId="64E9FE8F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(mCi)</w:t>
            </w:r>
          </w:p>
        </w:tc>
      </w:tr>
      <w:tr w:rsidR="00756091" w14:paraId="6E6A59E4" w14:textId="77777777" w:rsidTr="00756091">
        <w:trPr>
          <w:trHeight w:val="255"/>
        </w:trPr>
        <w:tc>
          <w:tcPr>
            <w:tcW w:w="35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60501B6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Tc99m-succimer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1F5D1D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“DMSA” Nephroscan Feb 2022 Theragnostics Distributed by GE; A9551 up to 10 mCi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343EBA4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Renal cortical imaging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4FB3BEB4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</w:t>
            </w:r>
          </w:p>
          <w:p w14:paraId="3DA7EE36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0.1 to 0.05 ped</w:t>
            </w:r>
          </w:p>
        </w:tc>
      </w:tr>
      <w:tr w:rsidR="00756091" w14:paraId="27DFFEF9" w14:textId="77777777" w:rsidTr="00756091">
        <w:trPr>
          <w:trHeight w:val="1637"/>
        </w:trPr>
        <w:tc>
          <w:tcPr>
            <w:tcW w:w="35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1077C97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Tc99m-sulfur colloid </w:t>
            </w:r>
          </w:p>
          <w:p w14:paraId="17434A9B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AN-Sulfur Colloid Sun Pharm (4/79)</w:t>
            </w:r>
          </w:p>
          <w:p w14:paraId="0B91D40F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Sulfur Colloid Kit Jubilant-Drax (11/23)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8107D2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“Sulfur colloid”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1515E69C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Liver-spleen, Bone marrow</w:t>
            </w:r>
          </w:p>
          <w:p w14:paraId="043CAC58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Lymphoscintigraphy</w:t>
            </w:r>
          </w:p>
          <w:p w14:paraId="26AC4BE4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Gastric emptying</w:t>
            </w:r>
          </w:p>
          <w:p w14:paraId="3AE82BD7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Gastric reflux</w:t>
            </w:r>
          </w:p>
          <w:p w14:paraId="77E6B1EA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Aspiration/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Salivagram</w:t>
            </w:r>
            <w:proofErr w:type="spellEnd"/>
          </w:p>
          <w:p w14:paraId="684463E7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Cystography (augmented bladder)</w:t>
            </w:r>
          </w:p>
          <w:p w14:paraId="22B9858A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Peritoneo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-venous shunt (LeVeen shunt)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4244B2D5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</w:t>
            </w:r>
          </w:p>
          <w:p w14:paraId="608D7BF4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0.4</w:t>
            </w:r>
          </w:p>
          <w:p w14:paraId="2ED93308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  <w:p w14:paraId="5D878941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0.3</w:t>
            </w:r>
          </w:p>
          <w:p w14:paraId="33A96A2A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0.2</w:t>
            </w:r>
          </w:p>
          <w:p w14:paraId="055AA826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  <w:p w14:paraId="01F179F3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0.5</w:t>
            </w:r>
          </w:p>
        </w:tc>
      </w:tr>
      <w:tr w:rsidR="00756091" w14:paraId="79132ED0" w14:textId="77777777" w:rsidTr="00756091">
        <w:trPr>
          <w:trHeight w:val="255"/>
        </w:trPr>
        <w:tc>
          <w:tcPr>
            <w:tcW w:w="35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74569EE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Tc99m-tetrofosmin</w:t>
            </w:r>
          </w:p>
          <w:p w14:paraId="1CFDA748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Myoview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GE (2/96 – 0.23 mg) </w:t>
            </w:r>
          </w:p>
          <w:p w14:paraId="4A072423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Myoview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30 GE (3/05 - 0.69 mg)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022849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Myoview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A9502 Per study dose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60D03CA1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Myocardial perfusion imaging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2FB2CA99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10/30</w:t>
            </w:r>
          </w:p>
        </w:tc>
      </w:tr>
      <w:tr w:rsidR="00756091" w14:paraId="6B8E798C" w14:textId="77777777" w:rsidTr="00756091">
        <w:trPr>
          <w:trHeight w:val="255"/>
        </w:trPr>
        <w:tc>
          <w:tcPr>
            <w:tcW w:w="35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FF7DC98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Tc99m-tilmanocept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D696F4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Lymphoseek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(Cardinal Health 2017) A9520 up to 0.5 mCi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4D69B920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Lymphoscintigraphy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6BEFDA16" w14:textId="77777777" w:rsidR="00756091" w:rsidRDefault="00756091" w:rsidP="00756091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0.5</w:t>
            </w:r>
          </w:p>
        </w:tc>
      </w:tr>
    </w:tbl>
    <w:p w14:paraId="017274CE" w14:textId="77777777" w:rsidR="00756091" w:rsidRDefault="00756091">
      <w:pPr>
        <w:ind w:left="0" w:hanging="2"/>
        <w:rPr>
          <w:sz w:val="16"/>
          <w:szCs w:val="16"/>
        </w:rPr>
      </w:pPr>
    </w:p>
    <w:p w14:paraId="53D9DDEE" w14:textId="09DD14C5" w:rsidR="0084363A" w:rsidRDefault="00093C13">
      <w:pPr>
        <w:ind w:left="0" w:hanging="2"/>
        <w:rPr>
          <w:rFonts w:ascii="Arial" w:eastAsia="Arial" w:hAnsi="Arial" w:cs="Arial"/>
          <w:sz w:val="16"/>
          <w:szCs w:val="16"/>
        </w:rPr>
      </w:pPr>
      <w:r>
        <w:rPr>
          <w:sz w:val="16"/>
          <w:szCs w:val="16"/>
        </w:rPr>
        <w:t xml:space="preserve">*ACR–SPR (American College of Radiology-Society of Pediatric Radiology) Technical Standard for Diagnostic Procedures Using Radiopharmaceuticals. Available at: </w:t>
      </w:r>
      <w:hyperlink r:id="rId7">
        <w:r>
          <w:rPr>
            <w:color w:val="0563C1"/>
            <w:sz w:val="16"/>
            <w:szCs w:val="16"/>
            <w:u w:val="single"/>
          </w:rPr>
          <w:t>https://www.acr.org/-/media/ACR/Files/Practice-Parameters/Radiopharmaceuticals.pdf</w:t>
        </w:r>
      </w:hyperlink>
      <w:r>
        <w:rPr>
          <w:sz w:val="16"/>
          <w:szCs w:val="16"/>
        </w:rPr>
        <w:t xml:space="preserve">. Revised 2016. American College of Radiology. ACR-AAPM practice parameter for reference levels and achievable administered activity for nuclear medicine and molecular imaging. 2015; Available at: </w:t>
      </w:r>
      <w:hyperlink r:id="rId8">
        <w:r>
          <w:rPr>
            <w:color w:val="0563C1"/>
            <w:sz w:val="16"/>
            <w:szCs w:val="16"/>
            <w:u w:val="single"/>
          </w:rPr>
          <w:t>https://www.acr.org/-/media/ACR/Files/Practice-Parameters/RefLevels-NucMed.pdf</w:t>
        </w:r>
      </w:hyperlink>
      <w:r>
        <w:rPr>
          <w:rFonts w:ascii="Arial" w:eastAsia="Arial" w:hAnsi="Arial" w:cs="Arial"/>
          <w:sz w:val="16"/>
          <w:szCs w:val="16"/>
        </w:rPr>
        <w:t xml:space="preserve">.   </w:t>
      </w:r>
    </w:p>
    <w:p w14:paraId="26475399" w14:textId="77777777" w:rsidR="0084363A" w:rsidRDefault="0084363A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br w:type="page"/>
      </w:r>
    </w:p>
    <w:p w14:paraId="46A02FF6" w14:textId="77777777" w:rsidR="00C61AD6" w:rsidRDefault="00C61AD6">
      <w:pPr>
        <w:ind w:left="0" w:hanging="2"/>
        <w:rPr>
          <w:rFonts w:ascii="Arial" w:eastAsia="Arial" w:hAnsi="Arial" w:cs="Arial"/>
          <w:sz w:val="16"/>
          <w:szCs w:val="16"/>
        </w:rPr>
      </w:pPr>
    </w:p>
    <w:p w14:paraId="6823C6DB" w14:textId="77777777" w:rsidR="00C61AD6" w:rsidRDefault="00C61AD6">
      <w:pPr>
        <w:ind w:left="0" w:hanging="2"/>
        <w:rPr>
          <w:rFonts w:ascii="Arial" w:eastAsia="Arial" w:hAnsi="Arial" w:cs="Arial"/>
          <w:sz w:val="16"/>
          <w:szCs w:val="16"/>
        </w:rPr>
      </w:pPr>
    </w:p>
    <w:tbl>
      <w:tblPr>
        <w:tblStyle w:val="a0"/>
        <w:tblW w:w="10980" w:type="dxa"/>
        <w:tblInd w:w="-900" w:type="dxa"/>
        <w:tblLayout w:type="fixed"/>
        <w:tblLook w:val="0000" w:firstRow="0" w:lastRow="0" w:firstColumn="0" w:lastColumn="0" w:noHBand="0" w:noVBand="0"/>
      </w:tblPr>
      <w:tblGrid>
        <w:gridCol w:w="2340"/>
        <w:gridCol w:w="3960"/>
        <w:gridCol w:w="3780"/>
        <w:gridCol w:w="900"/>
      </w:tblGrid>
      <w:tr w:rsidR="00C61AD6" w14:paraId="56411756" w14:textId="77777777">
        <w:trPr>
          <w:trHeight w:val="255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3B3B3"/>
          </w:tcPr>
          <w:p w14:paraId="3F909FC4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sz w:val="18"/>
                <w:szCs w:val="18"/>
              </w:rPr>
              <w:t>Radiopharmaceutical</w:t>
            </w:r>
          </w:p>
        </w:tc>
        <w:tc>
          <w:tcPr>
            <w:tcW w:w="3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B3B3B3"/>
          </w:tcPr>
          <w:p w14:paraId="2A4E04BC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sz w:val="18"/>
                <w:szCs w:val="18"/>
              </w:rPr>
              <w:t>Trade Name “Common name”</w:t>
            </w:r>
          </w:p>
        </w:tc>
        <w:tc>
          <w:tcPr>
            <w:tcW w:w="3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14:paraId="0E1874AB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sz w:val="18"/>
                <w:szCs w:val="18"/>
              </w:rPr>
              <w:t>Clinical Use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14:paraId="5B408BD3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sz w:val="18"/>
                <w:szCs w:val="18"/>
              </w:rPr>
              <w:t>Dosages (mCi)</w:t>
            </w:r>
          </w:p>
        </w:tc>
      </w:tr>
      <w:tr w:rsidR="00C61AD6" w14:paraId="332A9532" w14:textId="77777777">
        <w:trPr>
          <w:trHeight w:val="255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A29177C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Carbon-11 choline (2013) </w:t>
            </w:r>
          </w:p>
          <w:p w14:paraId="3576B056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(P = 20 min)</w:t>
            </w:r>
          </w:p>
        </w:tc>
        <w:tc>
          <w:tcPr>
            <w:tcW w:w="39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57A73D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Mayo Clinic-Rochester, Minn,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Zevacor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ANDA A9515 up to 20 mCi</w:t>
            </w:r>
          </w:p>
        </w:tc>
        <w:tc>
          <w:tcPr>
            <w:tcW w:w="37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EB79A64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Prostate cancer recurrence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54AAAFE4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10-20</w:t>
            </w:r>
          </w:p>
        </w:tc>
      </w:tr>
      <w:tr w:rsidR="00C61AD6" w14:paraId="2F375267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3AA7111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  <w:highlight w:val="yellow"/>
              </w:rPr>
              <w:t xml:space="preserve">Copper (Cu)-64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  <w:highlight w:val="yellow"/>
              </w:rPr>
              <w:t>dotatate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(8/20) (P = 12.6hr)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C03ABF" w14:textId="637437DA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sz w:val="18"/>
                <w:szCs w:val="18"/>
              </w:rPr>
              <w:t>DETECTNET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 (Curium) </w:t>
            </w:r>
            <w:r>
              <w:rPr>
                <w:rFonts w:ascii="Times" w:eastAsia="Times" w:hAnsi="Times" w:cs="Times"/>
                <w:sz w:val="18"/>
                <w:szCs w:val="18"/>
                <w:highlight w:val="yellow"/>
              </w:rPr>
              <w:t>Available everyday &amp; Friday after 10:30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 Pass-through until Jan 1 2024; A9592  $1003.61/1 mCi</w:t>
            </w:r>
            <w:r w:rsidR="003A2CAA">
              <w:rPr>
                <w:rFonts w:ascii="Times" w:eastAsia="Times" w:hAnsi="Times" w:cs="Times"/>
                <w:sz w:val="18"/>
                <w:szCs w:val="18"/>
              </w:rPr>
              <w:t xml:space="preserve">; </w:t>
            </w:r>
            <w:r w:rsidR="003A2CAA" w:rsidRPr="003A2CAA">
              <w:rPr>
                <w:rFonts w:ascii="Times" w:eastAsia="Times" w:hAnsi="Times" w:cs="Times"/>
                <w:sz w:val="18"/>
                <w:szCs w:val="18"/>
              </w:rPr>
              <w:t>69945-0064-01</w:t>
            </w:r>
            <w:r w:rsidR="003A2CAA">
              <w:rPr>
                <w:rFonts w:ascii="Times" w:eastAsia="Times" w:hAnsi="Times" w:cs="Times"/>
                <w:sz w:val="18"/>
                <w:szCs w:val="18"/>
              </w:rPr>
              <w:t>; WAC $3850; AWP $4620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59A7340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Somatostatin receptor positive neuroendocrine tumors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01442B21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  <w:highlight w:val="yellow"/>
              </w:rPr>
              <w:t>4.4</w:t>
            </w:r>
          </w:p>
        </w:tc>
      </w:tr>
      <w:tr w:rsidR="00C61AD6" w14:paraId="4123A00A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86102D9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Flourine-18 florbetaben </w:t>
            </w:r>
          </w:p>
          <w:p w14:paraId="3CB72479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(P = 109 min)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FF0BE6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sz w:val="18"/>
                <w:szCs w:val="18"/>
                <w:highlight w:val="yellow"/>
              </w:rPr>
              <w:t>NEURACEQ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 Life Molecular Imaging (Primal) Contract manufacturing Distributed by </w:t>
            </w:r>
            <w:r>
              <w:rPr>
                <w:rFonts w:ascii="Times" w:eastAsia="Times" w:hAnsi="Times" w:cs="Times"/>
                <w:sz w:val="18"/>
                <w:szCs w:val="18"/>
                <w:highlight w:val="yellow"/>
              </w:rPr>
              <w:t>SOFIE-DALLAS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r>
              <w:rPr>
                <w:rFonts w:ascii="Times" w:eastAsia="Times" w:hAnsi="Times" w:cs="Times"/>
                <w:sz w:val="18"/>
                <w:szCs w:val="18"/>
                <w:highlight w:val="yellow"/>
              </w:rPr>
              <w:t>–TU/WED/TH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r>
              <w:rPr>
                <w:rFonts w:ascii="Times" w:eastAsia="Times" w:hAnsi="Times" w:cs="Times"/>
                <w:sz w:val="18"/>
                <w:szCs w:val="18"/>
                <w:highlight w:val="yellow"/>
              </w:rPr>
              <w:t>after 1200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 Q9983 up to 8.1 mCi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4B785D81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Risk of Alzheimer’s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63A80DBB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8</w:t>
            </w:r>
          </w:p>
        </w:tc>
      </w:tr>
      <w:tr w:rsidR="00C61AD6" w14:paraId="5AD5263C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BF890F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Flourine-18 florbetapir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F9CDBA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sz w:val="18"/>
                <w:szCs w:val="18"/>
              </w:rPr>
              <w:t>AMYVID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 (Lilly) Contract manufacturing Distributed by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Petnet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and some Cardinal PET facilities; A9586 up to 10 mCi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5E564B22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Risk of Alzheimer’s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2F8D4D24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10</w:t>
            </w:r>
          </w:p>
        </w:tc>
      </w:tr>
      <w:tr w:rsidR="00C61AD6" w14:paraId="7FC19EA5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E28A290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Fluorine-18 flortaucipir (5/20)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F15531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sz w:val="18"/>
                <w:szCs w:val="18"/>
              </w:rPr>
              <w:t>TAUVID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™ (Avid Radiopharmaceuticals, Inc bought by Lilly) Contract Manufacturing Distributed by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Petnet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and some Cardinal PET facilities; A9601 per 1 mCi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405DFB56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Risk of Alzheimer’s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707FF778" w14:textId="77777777" w:rsidR="00C61AD6" w:rsidRDefault="00C61AD6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</w:p>
          <w:p w14:paraId="78459FA4" w14:textId="77777777" w:rsidR="00C61AD6" w:rsidRDefault="00C61AD6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</w:p>
          <w:p w14:paraId="220A49E5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10</w:t>
            </w:r>
          </w:p>
        </w:tc>
      </w:tr>
      <w:tr w:rsidR="00C61AD6" w14:paraId="5B5F43EE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1F01295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Fluorine-18 flotufolastat (5/23)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05B4AC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sz w:val="18"/>
                <w:szCs w:val="18"/>
              </w:rPr>
              <w:t>POSLUMA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 (Blue Earth Diag.) Distributed by PetNet-Dallas &amp; Tulsa; A9608 $614.78/mCi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1FF0FC75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Prostate cancer initial or recurrence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7B11E366" w14:textId="77777777" w:rsidR="00C61AD6" w:rsidRDefault="00C61AD6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</w:p>
          <w:p w14:paraId="784DCA85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8</w:t>
            </w:r>
          </w:p>
        </w:tc>
      </w:tr>
      <w:tr w:rsidR="00C61AD6" w14:paraId="5332EF27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0BDE5CA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Fluorine-18 fludeoxyglucose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25588A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“FDG”  Various ANDA; A9552 up to 45 mCi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73C27E2C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Primarily metastasis, but all metabolism and glycolysis, e.g., active inflammation, tissue repair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076F483D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10</w:t>
            </w:r>
          </w:p>
        </w:tc>
      </w:tr>
      <w:tr w:rsidR="00C61AD6" w14:paraId="4336D37D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0D7E56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Fluorine-18 fluciclovine (5/16)—Replaced by Posluma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B49AE8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sz w:val="18"/>
                <w:szCs w:val="18"/>
              </w:rPr>
              <w:t>AXUMIN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 (Blue Earth Diagnostics) Distributed by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Petnet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: </w:t>
            </w:r>
            <w:r>
              <w:rPr>
                <w:rFonts w:ascii="Times" w:eastAsia="Times" w:hAnsi="Times" w:cs="Times"/>
                <w:sz w:val="18"/>
                <w:szCs w:val="18"/>
                <w:highlight w:val="yellow"/>
              </w:rPr>
              <w:t>Tulsa said they need to get it from Dallas</w:t>
            </w:r>
            <w:r>
              <w:rPr>
                <w:rFonts w:ascii="Times" w:eastAsia="Times" w:hAnsi="Times" w:cs="Times"/>
                <w:sz w:val="18"/>
                <w:szCs w:val="18"/>
              </w:rPr>
              <w:t>.; A9588 per 1 mCi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4FA7A52D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Prostate cancer recurrence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6D788297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10</w:t>
            </w:r>
          </w:p>
        </w:tc>
      </w:tr>
      <w:tr w:rsidR="00C61AD6" w14:paraId="101F0F15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95C4D56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Fluorine-18 fluorodopa (1/22)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0F976F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Feinstein Institute, Manhasset, NY (Tom Chaly); NDA 200655 must have ANDA - GE FASTLAB 2 HPLC+). CMS has removed the NCD, PET centers could get the coverage for Fluorodopa PET studies through the local CMS contractors.A9602 $446.88/mCi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52316A32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Suspected parkinsonian syndromes-CMP or ANDA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4CC3D715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5</w:t>
            </w:r>
          </w:p>
        </w:tc>
      </w:tr>
      <w:tr w:rsidR="00C61AD6" w14:paraId="5066E65B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29252ED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Fluorine-18 fluoroestradiol (5/20)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840DB7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sz w:val="18"/>
                <w:szCs w:val="18"/>
              </w:rPr>
              <w:t>CERIANNA™ (GE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 bought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Zionexa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>, US) Contract manufacturing through PETNET – Dallas making on Monday and Wednesday; A9591 per 1 mCi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6F0EE11F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Estrogen receptor (ER)-positive lesions as an adjunct to biopsy in patients with recurrent or metastatic breast cancer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28DF5295" w14:textId="77777777" w:rsidR="00C61AD6" w:rsidRDefault="00C61AD6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</w:p>
          <w:p w14:paraId="1A6FDC66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6</w:t>
            </w:r>
          </w:p>
        </w:tc>
      </w:tr>
      <w:tr w:rsidR="00C61AD6" w14:paraId="403F86C6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6A01ED5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Fluorine-18 flurpiridaz (10/2024)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CB88D4" w14:textId="77777777" w:rsidR="00C61AD6" w:rsidRDefault="00093C13">
            <w:pPr>
              <w:ind w:left="0" w:hanging="2"/>
              <w:rPr>
                <w:rFonts w:ascii="Times" w:eastAsia="Times" w:hAnsi="Times" w:cs="Times"/>
                <w:b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sz w:val="18"/>
                <w:szCs w:val="18"/>
              </w:rPr>
              <w:t xml:space="preserve">FLYRCADO (GE)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764CF060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myocardial blood flow (MBF) 2.5 to 3 mCi rest/9 to 9.5 stress (1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hr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apart); if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pharmalogic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use 6 to 6.5 mCi for stress (0.5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hr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apart)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00AE7808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3/9</w:t>
            </w:r>
          </w:p>
        </w:tc>
      </w:tr>
      <w:tr w:rsidR="00C61AD6" w14:paraId="66E92246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02238CA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Fourine-18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flutemetamole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(10/13)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E9810A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sz w:val="18"/>
                <w:szCs w:val="18"/>
              </w:rPr>
              <w:t>VIZAMYL (GE)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 Contract manufacturing Distributed by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Pharmalogic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and Cardinal PET facilities Q9982 Up to 5 mCi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6808266F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Risk of Alzheimer’s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1BB76D4F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5</w:t>
            </w:r>
          </w:p>
        </w:tc>
      </w:tr>
      <w:tr w:rsidR="00C61AD6" w14:paraId="49D16EDD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8D4C893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Fluorine-18 piflufolastat (PSMA) (5/21)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1F6D85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sz w:val="18"/>
                <w:szCs w:val="18"/>
              </w:rPr>
              <w:t>PYLARIFY (GE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 owned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Progenics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) Distributed by any contract manufacturer – right now </w:t>
            </w:r>
            <w:r>
              <w:rPr>
                <w:rFonts w:ascii="Times" w:eastAsia="Times" w:hAnsi="Times" w:cs="Times"/>
                <w:sz w:val="18"/>
                <w:szCs w:val="18"/>
                <w:highlight w:val="yellow"/>
              </w:rPr>
              <w:t>Sofie DALLAS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 –delivery starting at 1 pm to OKC and </w:t>
            </w:r>
            <w:r>
              <w:rPr>
                <w:rFonts w:ascii="Times" w:eastAsia="Times" w:hAnsi="Times" w:cs="Times"/>
                <w:sz w:val="18"/>
                <w:szCs w:val="18"/>
                <w:highlight w:val="yellow"/>
              </w:rPr>
              <w:t>PetNet in Tulsa (July 2023)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 A9595 $580.35/mCi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6EB9510B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Prostate cancer initial and recurrence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56670902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8-10</w:t>
            </w:r>
          </w:p>
        </w:tc>
      </w:tr>
      <w:tr w:rsidR="00C61AD6" w14:paraId="61D1DE4B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296E5A9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Flourine-18 sodium fluoride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F541E8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“NaF” Various ANDA; A9580 up to 30 mCi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68EE665B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Bone metastasis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1CD99265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5</w:t>
            </w:r>
          </w:p>
        </w:tc>
      </w:tr>
      <w:tr w:rsidR="00C61AD6" w14:paraId="484FD2BA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B49C687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Gallium-68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dotatoc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(8/19) </w:t>
            </w:r>
          </w:p>
          <w:p w14:paraId="6851F65E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(P = 68 min)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655F5F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Univ of Iowa Hosp &amp; Clinics; Various ANDA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6B089693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Somatostatin receptor positive neuroendocrine tumors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43858827" w14:textId="77777777" w:rsidR="00C61AD6" w:rsidRDefault="00C61AD6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</w:p>
          <w:p w14:paraId="74C518A8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4</w:t>
            </w:r>
          </w:p>
        </w:tc>
      </w:tr>
      <w:tr w:rsidR="00C61AD6" w14:paraId="4D07C4F4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54006A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Gallium-68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dotatate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(6/16)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A0A9FD" w14:textId="3C7A5AF9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NETSPOT (Advanced Accelerator Applications- Novartis) Generator distribution various; A9587 per 0.1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mCI</w:t>
            </w:r>
            <w:proofErr w:type="spellEnd"/>
            <w:r w:rsidR="003A2CAA">
              <w:rPr>
                <w:rFonts w:ascii="Times" w:eastAsia="Times" w:hAnsi="Times" w:cs="Times"/>
                <w:sz w:val="18"/>
                <w:szCs w:val="18"/>
              </w:rPr>
              <w:t xml:space="preserve">; </w:t>
            </w:r>
            <w:r w:rsidR="003A2CAA" w:rsidRPr="003A2CAA">
              <w:rPr>
                <w:rFonts w:ascii="Times" w:eastAsia="Times" w:hAnsi="Times" w:cs="Times"/>
                <w:sz w:val="18"/>
                <w:szCs w:val="18"/>
              </w:rPr>
              <w:t>69488-0001-40</w:t>
            </w:r>
            <w:r w:rsidR="003A2CAA">
              <w:rPr>
                <w:rFonts w:ascii="Times" w:eastAsia="Times" w:hAnsi="Times" w:cs="Times"/>
                <w:sz w:val="18"/>
                <w:szCs w:val="18"/>
              </w:rPr>
              <w:t>; WAC $3000; AWP $3600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CA633B0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Somatostatin receptor positive neuroendocrine tumors</w:t>
            </w:r>
          </w:p>
          <w:p w14:paraId="4F19CC8A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Pass-through ended Jan 2022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2BC8AFAA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5.4</w:t>
            </w:r>
          </w:p>
        </w:tc>
      </w:tr>
    </w:tbl>
    <w:p w14:paraId="65B31026" w14:textId="77777777" w:rsidR="00756091" w:rsidRDefault="00756091">
      <w:pPr>
        <w:ind w:left="0" w:hanging="2"/>
      </w:pPr>
    </w:p>
    <w:p w14:paraId="307AFD21" w14:textId="77777777" w:rsidR="00756091" w:rsidRDefault="00756091">
      <w:pPr>
        <w:ind w:left="0" w:hanging="2"/>
      </w:pPr>
    </w:p>
    <w:p w14:paraId="32395C0E" w14:textId="77777777" w:rsidR="00756091" w:rsidRDefault="00756091">
      <w:pPr>
        <w:ind w:left="0" w:hanging="2"/>
      </w:pPr>
    </w:p>
    <w:p w14:paraId="11CA8F6E" w14:textId="77777777" w:rsidR="00756091" w:rsidRDefault="00756091">
      <w:pPr>
        <w:ind w:left="0" w:hanging="2"/>
      </w:pPr>
    </w:p>
    <w:p w14:paraId="00209F6A" w14:textId="77777777" w:rsidR="00756091" w:rsidRDefault="00756091">
      <w:pPr>
        <w:ind w:left="0" w:hanging="2"/>
      </w:pPr>
    </w:p>
    <w:p w14:paraId="005128A4" w14:textId="77777777" w:rsidR="00756091" w:rsidRDefault="00756091">
      <w:pPr>
        <w:ind w:left="0" w:hanging="2"/>
      </w:pPr>
    </w:p>
    <w:p w14:paraId="032D54B6" w14:textId="77777777" w:rsidR="00756091" w:rsidRDefault="00756091">
      <w:pPr>
        <w:ind w:left="0" w:hanging="2"/>
      </w:pPr>
    </w:p>
    <w:tbl>
      <w:tblPr>
        <w:tblStyle w:val="a0"/>
        <w:tblW w:w="10980" w:type="dxa"/>
        <w:tblInd w:w="-900" w:type="dxa"/>
        <w:tblLayout w:type="fixed"/>
        <w:tblLook w:val="0000" w:firstRow="0" w:lastRow="0" w:firstColumn="0" w:lastColumn="0" w:noHBand="0" w:noVBand="0"/>
      </w:tblPr>
      <w:tblGrid>
        <w:gridCol w:w="2340"/>
        <w:gridCol w:w="3960"/>
        <w:gridCol w:w="3780"/>
        <w:gridCol w:w="900"/>
      </w:tblGrid>
      <w:tr w:rsidR="00756091" w14:paraId="483315C9" w14:textId="77777777" w:rsidTr="00756091">
        <w:trPr>
          <w:trHeight w:val="255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97D061B" w14:textId="1CA5D394" w:rsidR="00756091" w:rsidRDefault="00756091" w:rsidP="00756091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sz w:val="18"/>
                <w:szCs w:val="18"/>
              </w:rPr>
              <w:t>Radiopharmaceutical</w:t>
            </w:r>
          </w:p>
        </w:tc>
        <w:tc>
          <w:tcPr>
            <w:tcW w:w="3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C5FE160" w14:textId="20B29834" w:rsidR="00756091" w:rsidRDefault="00756091" w:rsidP="00756091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sz w:val="18"/>
                <w:szCs w:val="18"/>
              </w:rPr>
              <w:t>Trade Name “Common name”</w:t>
            </w:r>
          </w:p>
        </w:tc>
        <w:tc>
          <w:tcPr>
            <w:tcW w:w="3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555CFC2" w14:textId="7E85C8A5" w:rsidR="00756091" w:rsidRDefault="00756091" w:rsidP="00756091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sz w:val="18"/>
                <w:szCs w:val="18"/>
              </w:rPr>
              <w:t>Clinical Use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80FFB93" w14:textId="6D6F6643" w:rsidR="00756091" w:rsidRDefault="00756091" w:rsidP="00756091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sz w:val="18"/>
                <w:szCs w:val="18"/>
              </w:rPr>
              <w:t>Dosages (mCi)</w:t>
            </w:r>
          </w:p>
        </w:tc>
      </w:tr>
      <w:tr w:rsidR="00C61AD6" w14:paraId="304F86B7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E1BA752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Gallium-68 PSMA – CALI-cGMP 212 (approved 12/2020) </w:t>
            </w:r>
          </w:p>
          <w:p w14:paraId="45EED718" w14:textId="77777777" w:rsidR="00C61AD6" w:rsidRDefault="00C61AD6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</w:p>
          <w:p w14:paraId="76BE998B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Gallium-68 PSMA (KIT)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1563EF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CALI-cGMP under 212: PSMA-11 with HBED-CC chelator; A9594 per $789.30/1 mCi</w:t>
            </w:r>
          </w:p>
          <w:p w14:paraId="14A773CF" w14:textId="580ED33B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  <w:u w:val="single"/>
              </w:rPr>
              <w:t>FDA approved: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r>
              <w:rPr>
                <w:rFonts w:ascii="Times" w:eastAsia="Times" w:hAnsi="Times" w:cs="Times"/>
                <w:sz w:val="18"/>
                <w:szCs w:val="18"/>
                <w:u w:val="single"/>
              </w:rPr>
              <w:t>Telix: Feb 2022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r>
              <w:rPr>
                <w:rFonts w:ascii="Times" w:eastAsia="Times" w:hAnsi="Times" w:cs="Times"/>
                <w:sz w:val="18"/>
                <w:szCs w:val="18"/>
                <w:vertAlign w:val="superscript"/>
              </w:rPr>
              <w:t>68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Ga-HBED-PSMA-11 (gozetotide- </w:t>
            </w:r>
            <w:r>
              <w:rPr>
                <w:rFonts w:ascii="Times" w:eastAsia="Times" w:hAnsi="Times" w:cs="Times"/>
                <w:b/>
                <w:sz w:val="18"/>
                <w:szCs w:val="18"/>
              </w:rPr>
              <w:t>Illuccix</w:t>
            </w:r>
            <w:r>
              <w:rPr>
                <w:rFonts w:ascii="Times" w:eastAsia="Times" w:hAnsi="Times" w:cs="Times"/>
                <w:sz w:val="18"/>
                <w:szCs w:val="18"/>
              </w:rPr>
              <w:t>); A9596 $995.31/mCi</w:t>
            </w:r>
            <w:r w:rsidR="003A2CAA">
              <w:rPr>
                <w:rFonts w:ascii="Times" w:eastAsia="Times" w:hAnsi="Times" w:cs="Times"/>
                <w:sz w:val="18"/>
                <w:szCs w:val="18"/>
              </w:rPr>
              <w:t xml:space="preserve">; </w:t>
            </w:r>
            <w:r w:rsidR="003A2CAA" w:rsidRPr="003A2CAA">
              <w:rPr>
                <w:rFonts w:ascii="Times" w:eastAsia="Times" w:hAnsi="Times" w:cs="Times"/>
                <w:sz w:val="18"/>
                <w:szCs w:val="18"/>
              </w:rPr>
              <w:t>74725-0100-25</w:t>
            </w:r>
            <w:r w:rsidR="003A2CAA">
              <w:rPr>
                <w:rFonts w:ascii="Times" w:eastAsia="Times" w:hAnsi="Times" w:cs="Times"/>
                <w:sz w:val="18"/>
                <w:szCs w:val="18"/>
              </w:rPr>
              <w:t>; WAC $4920; AWP $5904</w:t>
            </w:r>
          </w:p>
          <w:p w14:paraId="77129793" w14:textId="7FE7081F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  <w:u w:val="single"/>
              </w:rPr>
              <w:t>Novartis/AAA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: Mar 2022 </w:t>
            </w:r>
            <w:r>
              <w:rPr>
                <w:rFonts w:ascii="Times" w:eastAsia="Times" w:hAnsi="Times" w:cs="Times"/>
                <w:sz w:val="18"/>
                <w:szCs w:val="18"/>
                <w:vertAlign w:val="superscript"/>
              </w:rPr>
              <w:t>68</w:t>
            </w:r>
            <w:r>
              <w:rPr>
                <w:rFonts w:ascii="Times" w:eastAsia="Times" w:hAnsi="Times" w:cs="Times"/>
                <w:sz w:val="18"/>
                <w:szCs w:val="18"/>
              </w:rPr>
              <w:t>Ga-HBED-PSMA-11 (gozetotide-</w:t>
            </w:r>
            <w:r>
              <w:rPr>
                <w:rFonts w:ascii="Times" w:eastAsia="Times" w:hAnsi="Times" w:cs="Times"/>
                <w:b/>
                <w:sz w:val="18"/>
                <w:szCs w:val="18"/>
              </w:rPr>
              <w:t>Locametz</w:t>
            </w:r>
            <w:r>
              <w:rPr>
                <w:rFonts w:ascii="Times" w:eastAsia="Times" w:hAnsi="Times" w:cs="Times"/>
                <w:sz w:val="18"/>
                <w:szCs w:val="18"/>
              </w:rPr>
              <w:t>) A9800 $873.44/mCi</w:t>
            </w:r>
            <w:r w:rsidR="003A2CAA">
              <w:rPr>
                <w:rFonts w:ascii="Times" w:eastAsia="Times" w:hAnsi="Times" w:cs="Times"/>
                <w:sz w:val="18"/>
                <w:szCs w:val="18"/>
              </w:rPr>
              <w:t xml:space="preserve">; </w:t>
            </w:r>
            <w:r w:rsidR="003A2CAA" w:rsidRPr="003A2CAA">
              <w:rPr>
                <w:rFonts w:ascii="Times" w:eastAsia="Times" w:hAnsi="Times" w:cs="Times"/>
                <w:sz w:val="18"/>
                <w:szCs w:val="18"/>
              </w:rPr>
              <w:t>69488-0017-61</w:t>
            </w:r>
            <w:r w:rsidR="003A2CAA">
              <w:rPr>
                <w:rFonts w:ascii="Times" w:eastAsia="Times" w:hAnsi="Times" w:cs="Times"/>
                <w:sz w:val="18"/>
                <w:szCs w:val="18"/>
              </w:rPr>
              <w:t>; WAC $5768; AWP $6921</w:t>
            </w:r>
          </w:p>
          <w:p w14:paraId="1F4DD844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Not approved yet: </w:t>
            </w:r>
            <w:r>
              <w:rPr>
                <w:rFonts w:ascii="Times" w:eastAsia="Times" w:hAnsi="Times" w:cs="Times"/>
                <w:sz w:val="18"/>
                <w:szCs w:val="18"/>
                <w:u w:val="single"/>
              </w:rPr>
              <w:t>Theragnostics/GE: now AAA agreement distribution</w:t>
            </w:r>
            <w:r>
              <w:rPr>
                <w:rFonts w:ascii="Times" w:eastAsia="Times" w:hAnsi="Times" w:cs="Times"/>
                <w:sz w:val="18"/>
                <w:szCs w:val="18"/>
              </w:rPr>
              <w:t>: (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GalliProst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>) </w:t>
            </w:r>
            <w:r>
              <w:rPr>
                <w:rFonts w:ascii="Times" w:eastAsia="Times" w:hAnsi="Times" w:cs="Times"/>
                <w:sz w:val="18"/>
                <w:szCs w:val="18"/>
                <w:vertAlign w:val="superscript"/>
              </w:rPr>
              <w:t>68</w:t>
            </w:r>
            <w:r>
              <w:rPr>
                <w:rFonts w:ascii="Times" w:eastAsia="Times" w:hAnsi="Times" w:cs="Times"/>
                <w:sz w:val="18"/>
                <w:szCs w:val="18"/>
              </w:rPr>
              <w:t>Ga-THP-PSMA THP-no heating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086E77E8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Prostate-specific membrane antigen (PSMA) positive lesions in men with prostate cancer with suspected metastasis who are candidates for </w:t>
            </w:r>
            <w:r>
              <w:rPr>
                <w:rFonts w:ascii="Times" w:eastAsia="Times" w:hAnsi="Times" w:cs="Times"/>
                <w:sz w:val="18"/>
                <w:szCs w:val="18"/>
                <w:u w:val="single"/>
              </w:rPr>
              <w:t>initial definitive therapy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 or with suspected recurrence based on </w:t>
            </w:r>
            <w:r>
              <w:rPr>
                <w:rFonts w:ascii="Times" w:eastAsia="Times" w:hAnsi="Times" w:cs="Times"/>
                <w:sz w:val="18"/>
                <w:szCs w:val="18"/>
                <w:u w:val="single"/>
              </w:rPr>
              <w:t>elevated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 serum prostate-specific antigen (PSA) level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10FAB289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3-7 PI</w:t>
            </w:r>
          </w:p>
          <w:p w14:paraId="7C9FEE88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3-5 reg $</w:t>
            </w:r>
          </w:p>
          <w:p w14:paraId="1E8EE386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6 =$$</w:t>
            </w:r>
          </w:p>
          <w:p w14:paraId="6ABB58EE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7 =$$$</w:t>
            </w:r>
          </w:p>
        </w:tc>
      </w:tr>
      <w:tr w:rsidR="00C61AD6" w14:paraId="3CDA113C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EFF5AA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Nitrogen-13 ammonia </w:t>
            </w:r>
          </w:p>
          <w:p w14:paraId="11B07D23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(P = 10m)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BD5D4A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“Ammonia” Various ANDA; A9526 up to 40 mCi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0DB0B4DB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Myocardial perfusion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4F16E849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10-20</w:t>
            </w:r>
          </w:p>
        </w:tc>
      </w:tr>
      <w:tr w:rsidR="00C61AD6" w14:paraId="6F9E50E9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4D40709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Rubidium-82 Chloride </w:t>
            </w:r>
          </w:p>
          <w:p w14:paraId="251EAEC0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(Sr-82 generator) (P = 75s)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22C45C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Cardio-Gen-82 (Bracco) Ruby-Fill (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DraxImage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); A9555 up to 60 mCi per study dose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41D3B146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PET cardiac perfusion imaging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71449894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30-60</w:t>
            </w:r>
          </w:p>
        </w:tc>
      </w:tr>
      <w:tr w:rsidR="00C61AD6" w14:paraId="71C10692" w14:textId="77777777">
        <w:trPr>
          <w:trHeight w:val="197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92F142" w14:textId="77777777" w:rsidR="00C61AD6" w:rsidRDefault="00C61AD6">
            <w:pPr>
              <w:ind w:left="0" w:hanging="2"/>
              <w:rPr>
                <w:rFonts w:ascii="Times" w:eastAsia="Times" w:hAnsi="Times" w:cs="Times"/>
                <w:color w:val="FF0000"/>
                <w:sz w:val="16"/>
                <w:szCs w:val="16"/>
              </w:rPr>
            </w:pPr>
          </w:p>
          <w:p w14:paraId="4B3E3922" w14:textId="77777777" w:rsidR="00C61AD6" w:rsidRDefault="00C61AD6">
            <w:pPr>
              <w:ind w:left="0" w:hanging="2"/>
              <w:rPr>
                <w:rFonts w:ascii="Times" w:eastAsia="Times" w:hAnsi="Times" w:cs="Times"/>
                <w:color w:val="FF0000"/>
                <w:sz w:val="16"/>
                <w:szCs w:val="16"/>
              </w:rPr>
            </w:pPr>
          </w:p>
          <w:p w14:paraId="2D22A41F" w14:textId="77777777" w:rsidR="00C61AD6" w:rsidRDefault="00093C13">
            <w:pPr>
              <w:ind w:left="0" w:hanging="2"/>
              <w:rPr>
                <w:rFonts w:ascii="Times" w:eastAsia="Times" w:hAnsi="Times" w:cs="Times"/>
                <w:color w:val="FF0000"/>
                <w:sz w:val="16"/>
                <w:szCs w:val="16"/>
              </w:rPr>
            </w:pPr>
            <w:r>
              <w:rPr>
                <w:rFonts w:ascii="Times" w:eastAsia="Times" w:hAnsi="Times" w:cs="Times"/>
                <w:color w:val="FF0000"/>
                <w:sz w:val="16"/>
                <w:szCs w:val="16"/>
              </w:rPr>
              <w:t>Cyclotron Products non-PET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4FEF9C7" w14:textId="77777777" w:rsidR="00C61AD6" w:rsidRDefault="00C61AD6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14:paraId="64C109D4" w14:textId="77777777" w:rsidR="00C61AD6" w:rsidRDefault="00C61AD6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14:paraId="5CA2EF3E" w14:textId="77777777" w:rsidR="00C61AD6" w:rsidRDefault="00C61AD6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</w:p>
        </w:tc>
      </w:tr>
      <w:tr w:rsidR="00C61AD6" w14:paraId="500CF70D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5260235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Gallium-67 citrate (P=78h)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2F65C5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“Gallium” (Lantheus DC 2022); A9556 per mCi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2B603173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Soft-tissue tumor</w:t>
            </w:r>
          </w:p>
          <w:p w14:paraId="2455DE6C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Inflammatory process imaging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0D42A051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7</w:t>
            </w:r>
          </w:p>
        </w:tc>
      </w:tr>
      <w:tr w:rsidR="00C61AD6" w14:paraId="077CB2AD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6E8D55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Indium-111 chloride (P=68h)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30C706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Indiclor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 (Curium)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62502684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Labeling monoclonal antibodies and peptides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7E28107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3 to 9</w:t>
            </w:r>
          </w:p>
        </w:tc>
      </w:tr>
      <w:tr w:rsidR="00C61AD6" w14:paraId="16DEC444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DF551D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Indium-111 pentetate </w:t>
            </w:r>
          </w:p>
          <w:p w14:paraId="73D11133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MPI Indium DTPA GE (2/82)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8DBF4C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Indium DTPA (GE) A9548 per 0.5 mCi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76F0A47E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Cerebral Spinal Fluid (CSF) kinetics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08E36678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0.5</w:t>
            </w:r>
          </w:p>
        </w:tc>
      </w:tr>
      <w:tr w:rsidR="00C61AD6" w14:paraId="6C0B7BCA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B1C20CB" w14:textId="77777777" w:rsidR="00C61AD6" w:rsidRDefault="00C61AD6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</w:p>
          <w:p w14:paraId="0122FF84" w14:textId="77777777" w:rsidR="00C61AD6" w:rsidRDefault="00C61AD6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</w:p>
          <w:p w14:paraId="36B1107E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Indium-111 oxyquinoline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D28BB0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Indium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Oxine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(GE 12/85) and (BWXT 7/2018); A9547 per 0.5 mCi; A9570 WBC per study dose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4545C30B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Labeling leukocytes and platelets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20584A40" w14:textId="77777777" w:rsidR="00C61AD6" w:rsidRDefault="00C61AD6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</w:p>
          <w:p w14:paraId="76253723" w14:textId="77777777" w:rsidR="00C61AD6" w:rsidRDefault="00C61AD6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</w:p>
          <w:p w14:paraId="0CC13B45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0.7</w:t>
            </w:r>
          </w:p>
        </w:tc>
      </w:tr>
      <w:tr w:rsidR="00C61AD6" w14:paraId="34B925B3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F98D74B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Indium-111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pentetreotide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8802BA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Octreoscan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Covidian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>); A9572 up to 6 mCi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7DDD9965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Imaging neuroendocrine tumors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952B366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6</w:t>
            </w:r>
          </w:p>
        </w:tc>
      </w:tr>
      <w:tr w:rsidR="00C61AD6" w14:paraId="176126F6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DE80F1B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Iodine-123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iobenguane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(metaiodobenzylguanidine) (P=13.2h) A9582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9858CD" w14:textId="5EA52522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Adreview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>-GE (AWP/ASP $4,195); A9582 up to 15 mCi</w:t>
            </w:r>
            <w:r w:rsidR="003A2CAA">
              <w:rPr>
                <w:rFonts w:ascii="Times" w:eastAsia="Times" w:hAnsi="Times" w:cs="Times"/>
                <w:sz w:val="18"/>
                <w:szCs w:val="18"/>
              </w:rPr>
              <w:t xml:space="preserve">; </w:t>
            </w:r>
            <w:r w:rsidR="003A2CAA" w:rsidRPr="003A2CAA">
              <w:rPr>
                <w:rFonts w:ascii="Times" w:eastAsia="Times" w:hAnsi="Times" w:cs="Times"/>
                <w:sz w:val="18"/>
                <w:szCs w:val="18"/>
              </w:rPr>
              <w:t>17156-0235-01</w:t>
            </w:r>
            <w:r w:rsidR="003A2CAA">
              <w:rPr>
                <w:rFonts w:ascii="Times" w:eastAsia="Times" w:hAnsi="Times" w:cs="Times"/>
                <w:sz w:val="18"/>
                <w:szCs w:val="18"/>
              </w:rPr>
              <w:t>; AWP $5838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119369B9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Neuroendocrine tumor imaging 78803 ($1.327.27)</w:t>
            </w:r>
          </w:p>
          <w:p w14:paraId="5F4B88FD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Sympathetic nerve activity in heart failure 0332T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6FD3473F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7.5</w:t>
            </w:r>
          </w:p>
        </w:tc>
      </w:tr>
      <w:tr w:rsidR="00C61AD6" w14:paraId="5F1E9E0C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5207493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Iodine-123 ioflupane (A9584)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24F0A3" w14:textId="0CDE803E" w:rsidR="00C61AD6" w:rsidRDefault="00093C13" w:rsidP="003A2CAA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DatScan –</w:t>
            </w:r>
            <w:r>
              <w:rPr>
                <w:rFonts w:ascii="Times" w:eastAsia="Times" w:hAnsi="Times" w:cs="Times"/>
                <w:b/>
                <w:sz w:val="18"/>
                <w:szCs w:val="18"/>
              </w:rPr>
              <w:t>GE</w:t>
            </w:r>
            <w:r>
              <w:rPr>
                <w:rFonts w:ascii="Times" w:eastAsia="Times" w:hAnsi="Times" w:cs="Times"/>
                <w:sz w:val="18"/>
                <w:szCs w:val="18"/>
              </w:rPr>
              <w:t>;</w:t>
            </w:r>
            <w:r w:rsidR="003A2CAA">
              <w:t xml:space="preserve"> </w:t>
            </w:r>
            <w:r w:rsidR="003A2CAA" w:rsidRPr="003A2CAA">
              <w:rPr>
                <w:rFonts w:ascii="Times" w:eastAsia="Times" w:hAnsi="Times" w:cs="Times"/>
                <w:sz w:val="18"/>
                <w:szCs w:val="18"/>
              </w:rPr>
              <w:t>17156-0210-01</w:t>
            </w:r>
            <w:r w:rsidR="003A2CAA">
              <w:rPr>
                <w:rFonts w:ascii="Times" w:eastAsia="Times" w:hAnsi="Times" w:cs="Times"/>
                <w:sz w:val="18"/>
                <w:szCs w:val="18"/>
              </w:rPr>
              <w:t>; AWP $2961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 ioflupane-</w:t>
            </w:r>
            <w:r>
              <w:rPr>
                <w:rFonts w:ascii="Times" w:eastAsia="Times" w:hAnsi="Times" w:cs="Times"/>
                <w:b/>
                <w:sz w:val="18"/>
                <w:szCs w:val="18"/>
              </w:rPr>
              <w:t>Curium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 (3/2022) M-</w:t>
            </w:r>
            <w:r w:rsidR="003A2CAA">
              <w:rPr>
                <w:rFonts w:ascii="Times" w:eastAsia="Times" w:hAnsi="Times" w:cs="Times"/>
                <w:sz w:val="18"/>
                <w:szCs w:val="18"/>
              </w:rPr>
              <w:t>F early delivery</w:t>
            </w:r>
            <w:r>
              <w:rPr>
                <w:rFonts w:ascii="Times" w:eastAsia="Times" w:hAnsi="Times" w:cs="Times"/>
                <w:sz w:val="18"/>
                <w:szCs w:val="18"/>
              </w:rPr>
              <w:t>; A9584 up to 5 mCi</w:t>
            </w:r>
            <w:r w:rsidR="003A2CAA">
              <w:rPr>
                <w:rFonts w:ascii="Times" w:eastAsia="Times" w:hAnsi="Times" w:cs="Times"/>
                <w:sz w:val="18"/>
                <w:szCs w:val="18"/>
              </w:rPr>
              <w:t xml:space="preserve">;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293070C3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Dopamine receptor imaging for Parkinson’s disease 78803 ($1,324.27)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4262B09F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5</w:t>
            </w:r>
          </w:p>
        </w:tc>
      </w:tr>
      <w:tr w:rsidR="00C61AD6" w14:paraId="53828603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A22DD8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Iodine-123 sodium iodide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C57822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“123 caps” Curium, Cardinal A9509 Use for 1-4 mCi doses of I-123 for whole body imaging for less than 1 mCi and thyroid imaging see A9516 100 to 999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mcrCi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4E9E80D3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Thyroid imaging and uptake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1C0FBA4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0.3</w:t>
            </w:r>
          </w:p>
        </w:tc>
      </w:tr>
      <w:tr w:rsidR="00C61AD6" w14:paraId="2F1D0F2D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15C0D36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Thallium-201 Chloride (P=73h)</w:t>
            </w:r>
          </w:p>
          <w:p w14:paraId="5373AE94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Thallous Chloride Curium (10/79)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FD3511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“Thallium” (Lantheus DC 2022); (Curium Not Returned to market 12/2022) TRACE (Discontinued Mount Sinai Medical Center, FL. 11/2001)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67E983B9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Myocardial perfusion imaging</w:t>
            </w:r>
          </w:p>
          <w:p w14:paraId="046F330B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Parathyroid Tumor imaging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905D083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4</w:t>
            </w:r>
          </w:p>
        </w:tc>
      </w:tr>
      <w:tr w:rsidR="00C61AD6" w14:paraId="266722E8" w14:textId="77777777">
        <w:trPr>
          <w:trHeight w:val="152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8DC062C" w14:textId="77777777" w:rsidR="00C61AD6" w:rsidRDefault="00093C13">
            <w:pPr>
              <w:ind w:left="0" w:hanging="2"/>
              <w:rPr>
                <w:rFonts w:ascii="Times" w:eastAsia="Times" w:hAnsi="Times" w:cs="Times"/>
                <w:color w:val="FF0000"/>
                <w:sz w:val="16"/>
                <w:szCs w:val="16"/>
              </w:rPr>
            </w:pPr>
            <w:r>
              <w:rPr>
                <w:rFonts w:ascii="Times" w:eastAsia="Times" w:hAnsi="Times" w:cs="Times"/>
                <w:color w:val="FF0000"/>
                <w:sz w:val="16"/>
                <w:szCs w:val="16"/>
              </w:rPr>
              <w:t>Naturally Radioactive Products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BE56AC5" w14:textId="77777777" w:rsidR="00C61AD6" w:rsidRDefault="00C61AD6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14:paraId="2B3E0EE3" w14:textId="77777777" w:rsidR="00C61AD6" w:rsidRDefault="00C61AD6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14:paraId="06CDF61B" w14:textId="77777777" w:rsidR="00C61AD6" w:rsidRDefault="00C61AD6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</w:p>
        </w:tc>
      </w:tr>
      <w:tr w:rsidR="00C61AD6" w14:paraId="25B17FF6" w14:textId="77777777">
        <w:trPr>
          <w:trHeight w:val="152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B2E17E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Carbon-14 Urea (P=5,730y)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8175FE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Pytest TriMed 2023 (from AVENT DC Dec 2023)</w:t>
            </w:r>
          </w:p>
          <w:p w14:paraId="2B98553C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510-947-6828 trimedamericas.com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0E0AAEF9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Detection of H. Pylori infection 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AE74792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0.001  </w:t>
            </w:r>
          </w:p>
        </w:tc>
      </w:tr>
    </w:tbl>
    <w:p w14:paraId="79823840" w14:textId="77777777" w:rsidR="00756091" w:rsidRDefault="00756091">
      <w:pPr>
        <w:ind w:left="0" w:hanging="2"/>
      </w:pPr>
    </w:p>
    <w:p w14:paraId="1DD1D838" w14:textId="77777777" w:rsidR="00756091" w:rsidRDefault="00756091">
      <w:pPr>
        <w:ind w:left="0" w:hanging="2"/>
      </w:pPr>
    </w:p>
    <w:p w14:paraId="14B8F797" w14:textId="77777777" w:rsidR="00756091" w:rsidRDefault="00756091">
      <w:pPr>
        <w:ind w:left="0" w:hanging="2"/>
      </w:pPr>
    </w:p>
    <w:p w14:paraId="51A8A54D" w14:textId="77777777" w:rsidR="00756091" w:rsidRDefault="00756091">
      <w:pPr>
        <w:ind w:left="0" w:hanging="2"/>
      </w:pPr>
    </w:p>
    <w:p w14:paraId="4C8CDA61" w14:textId="77777777" w:rsidR="00756091" w:rsidRDefault="00756091">
      <w:pPr>
        <w:ind w:left="0" w:hanging="2"/>
      </w:pPr>
    </w:p>
    <w:p w14:paraId="43EFFE69" w14:textId="77777777" w:rsidR="00756091" w:rsidRDefault="00756091">
      <w:pPr>
        <w:ind w:left="0" w:hanging="2"/>
      </w:pPr>
    </w:p>
    <w:p w14:paraId="3951139C" w14:textId="77777777" w:rsidR="00756091" w:rsidRDefault="00756091">
      <w:pPr>
        <w:ind w:left="0" w:hanging="2"/>
      </w:pPr>
    </w:p>
    <w:p w14:paraId="5F441F64" w14:textId="77777777" w:rsidR="00756091" w:rsidRDefault="00756091">
      <w:pPr>
        <w:ind w:left="0" w:hanging="2"/>
      </w:pPr>
    </w:p>
    <w:p w14:paraId="5189734E" w14:textId="77777777" w:rsidR="00756091" w:rsidRDefault="00756091">
      <w:pPr>
        <w:ind w:left="0" w:hanging="2"/>
      </w:pPr>
    </w:p>
    <w:p w14:paraId="64D2EB6E" w14:textId="77777777" w:rsidR="00756091" w:rsidRDefault="00756091">
      <w:pPr>
        <w:ind w:left="0" w:hanging="2"/>
      </w:pPr>
    </w:p>
    <w:p w14:paraId="07B8950F" w14:textId="77777777" w:rsidR="00756091" w:rsidRDefault="00756091">
      <w:pPr>
        <w:ind w:left="0" w:hanging="2"/>
      </w:pPr>
    </w:p>
    <w:p w14:paraId="2952B2F1" w14:textId="77777777" w:rsidR="00756091" w:rsidRDefault="00756091">
      <w:pPr>
        <w:ind w:left="0" w:hanging="2"/>
      </w:pPr>
    </w:p>
    <w:p w14:paraId="5021504E" w14:textId="77777777" w:rsidR="00756091" w:rsidRDefault="00756091">
      <w:pPr>
        <w:ind w:left="0" w:hanging="2"/>
      </w:pPr>
    </w:p>
    <w:tbl>
      <w:tblPr>
        <w:tblStyle w:val="a0"/>
        <w:tblW w:w="10980" w:type="dxa"/>
        <w:tblInd w:w="-900" w:type="dxa"/>
        <w:tblLayout w:type="fixed"/>
        <w:tblLook w:val="0000" w:firstRow="0" w:lastRow="0" w:firstColumn="0" w:lastColumn="0" w:noHBand="0" w:noVBand="0"/>
      </w:tblPr>
      <w:tblGrid>
        <w:gridCol w:w="2340"/>
        <w:gridCol w:w="3960"/>
        <w:gridCol w:w="3780"/>
        <w:gridCol w:w="900"/>
      </w:tblGrid>
      <w:tr w:rsidR="00756091" w14:paraId="4A40017E" w14:textId="77777777" w:rsidTr="00C86395">
        <w:trPr>
          <w:trHeight w:val="152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175BF92" w14:textId="1472F51C" w:rsidR="00756091" w:rsidRDefault="00756091" w:rsidP="00756091">
            <w:pPr>
              <w:ind w:left="0" w:hanging="2"/>
              <w:rPr>
                <w:rFonts w:ascii="Times" w:eastAsia="Times" w:hAnsi="Times" w:cs="Times"/>
                <w:color w:val="FF0000"/>
                <w:sz w:val="16"/>
                <w:szCs w:val="16"/>
              </w:rPr>
            </w:pPr>
            <w:r>
              <w:rPr>
                <w:rFonts w:ascii="Times" w:eastAsia="Times" w:hAnsi="Times" w:cs="Times"/>
                <w:b/>
                <w:sz w:val="18"/>
                <w:szCs w:val="18"/>
              </w:rPr>
              <w:t>Radiopharmaceutical</w:t>
            </w:r>
          </w:p>
        </w:tc>
        <w:tc>
          <w:tcPr>
            <w:tcW w:w="3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D431B1B" w14:textId="1931FC9B" w:rsidR="00756091" w:rsidRDefault="00756091" w:rsidP="00756091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sz w:val="18"/>
                <w:szCs w:val="18"/>
              </w:rPr>
              <w:t>Trade Name “Common name”</w:t>
            </w:r>
          </w:p>
        </w:tc>
        <w:tc>
          <w:tcPr>
            <w:tcW w:w="3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273B731" w14:textId="2DB47A16" w:rsidR="00756091" w:rsidRDefault="00756091" w:rsidP="00756091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sz w:val="18"/>
                <w:szCs w:val="18"/>
              </w:rPr>
              <w:t>Clinical Use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C47D194" w14:textId="7FBC652C" w:rsidR="00756091" w:rsidRDefault="00756091" w:rsidP="00756091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  <w:sz w:val="18"/>
                <w:szCs w:val="18"/>
              </w:rPr>
              <w:t>Dosages (mCi)</w:t>
            </w:r>
          </w:p>
        </w:tc>
      </w:tr>
      <w:tr w:rsidR="00C61AD6" w14:paraId="69657CB2" w14:textId="77777777">
        <w:trPr>
          <w:trHeight w:val="152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586C4A1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FF0000"/>
                <w:sz w:val="16"/>
                <w:szCs w:val="16"/>
              </w:rPr>
              <w:t>Reactor Products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321A2C" w14:textId="77777777" w:rsidR="00C61AD6" w:rsidRDefault="00C61AD6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2322E0FA" w14:textId="77777777" w:rsidR="00C61AD6" w:rsidRDefault="00C61AD6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1DAC3E" w14:textId="77777777" w:rsidR="00C61AD6" w:rsidRDefault="00C61AD6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</w:p>
        </w:tc>
      </w:tr>
      <w:tr w:rsidR="00C61AD6" w14:paraId="7E8DB986" w14:textId="77777777">
        <w:trPr>
          <w:trHeight w:val="152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6D9F03" w14:textId="77777777" w:rsidR="00C61AD6" w:rsidRDefault="00093C13">
            <w:pPr>
              <w:ind w:left="0" w:hanging="2"/>
              <w:rPr>
                <w:rFonts w:ascii="Times" w:eastAsia="Times" w:hAnsi="Times" w:cs="Times"/>
                <w:color w:val="FF0000"/>
                <w:sz w:val="16"/>
                <w:szCs w:val="16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Strontium-89 (P=52.7d)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7A3AF1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Metastron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(GE DC MF FEB 2019; available BioMed through Triad-Drax 2020); A9600 $3975/mCi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133E4FA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Palliative treatment of bone pain of skeletal metastases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2EE411DB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4</w:t>
            </w:r>
          </w:p>
        </w:tc>
      </w:tr>
      <w:tr w:rsidR="00C61AD6" w14:paraId="2EF12676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E134803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Iodine-125 human serum albumin (P=60d)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BE5828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Jeanatope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>, “RISA” (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IsoTex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); A9532 per 5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mcrCi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7548D1CA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Plasma volume determination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05A53BBB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0.005 – 0.01</w:t>
            </w:r>
          </w:p>
        </w:tc>
      </w:tr>
      <w:tr w:rsidR="00C61AD6" w14:paraId="208D188A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45D592D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Iodine-125 iothalamate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330B29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Glofil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IsoTex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>)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0D3FE875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Measurement of glomerular filtration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67C58BB2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0.01-0.03</w:t>
            </w:r>
          </w:p>
        </w:tc>
      </w:tr>
      <w:tr w:rsidR="00C61AD6" w14:paraId="64192BAA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F316AF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Iodine-131 human serum albumin (P=8d)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BA2C64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Megatope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IsoTex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); A9524 per 5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mcrCi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0045B2A0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Vascular volume studies-protein turnover studies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0CE263BE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0.01</w:t>
            </w:r>
          </w:p>
        </w:tc>
      </w:tr>
      <w:tr w:rsidR="00C61AD6" w14:paraId="19D1FD08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AD1774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Iodine-131 metaiodobenzylguanidine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698D9C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I-131 MIBG;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F6A9D06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Pheochromocytomas and neuroblastomas Diagnostic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7816B2B0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0.5</w:t>
            </w:r>
          </w:p>
        </w:tc>
      </w:tr>
      <w:tr w:rsidR="00C61AD6" w14:paraId="4F94E8D1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7E4CF62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Iodine-131 sodium iodide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F4B447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“Iodine”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Draximage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>, International Isotopes; A9517 $23.73/per mCi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9B4BAD2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Whole Body Scan</w:t>
            </w:r>
          </w:p>
          <w:p w14:paraId="656FD883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Thyroid therapy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0ED20BB5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2</w:t>
            </w:r>
          </w:p>
          <w:p w14:paraId="2B17EABC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10 - 200</w:t>
            </w:r>
          </w:p>
        </w:tc>
      </w:tr>
      <w:tr w:rsidR="00C61AD6" w14:paraId="301EF284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EB46E72" w14:textId="77777777" w:rsidR="00C61AD6" w:rsidRDefault="00C61AD6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FDE110" w14:textId="77777777" w:rsidR="00C61AD6" w:rsidRDefault="00C61AD6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48AFC787" w14:textId="77777777" w:rsidR="00C61AD6" w:rsidRDefault="00C61AD6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1A866009" w14:textId="77777777" w:rsidR="00C61AD6" w:rsidRDefault="00C61AD6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</w:p>
        </w:tc>
      </w:tr>
      <w:tr w:rsidR="00C61AD6" w14:paraId="4F70657F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E4A831A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Xenon-133 gas (5.2d)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944B6B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“Xenon” Curium, Lantheus ; A9558 per 10 mCi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031E32F3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Pulmonary ventilation imaging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895371F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10-20</w:t>
            </w:r>
          </w:p>
        </w:tc>
      </w:tr>
      <w:tr w:rsidR="00C61AD6" w14:paraId="46DC7E16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5F2A3B0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Yittrium-90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ibitumomab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(P=64h)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7E55A6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ZEVALIN (Spectrum); A9543 $65,476.58 up to 40 mCi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51A8C2C8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Non-Hodgkin's lymphoma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524547B3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32 max</w:t>
            </w:r>
          </w:p>
        </w:tc>
      </w:tr>
      <w:tr w:rsidR="00C61AD6" w14:paraId="4ECF69BF" w14:textId="77777777">
        <w:trPr>
          <w:trHeight w:val="25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DDE697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Radium-223 dichloride       (P=11.4d) Ac227&gt;Th227&gt;Ra223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E3E51B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XOFIGO (Bayer distributed by Cardinal Health-DENVER)-A9606 $157.91/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mcrCi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BD903C4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CRPC with symptomatic bone metastases</w:t>
            </w:r>
          </w:p>
          <w:p w14:paraId="0F725092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4-apha decays with gamma 81 keV (15%), 84 (24%), and 154 5%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2F89A6C4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About 0.14 total x6</w:t>
            </w:r>
          </w:p>
        </w:tc>
      </w:tr>
      <w:tr w:rsidR="00C61AD6" w14:paraId="3AF4BDA4" w14:textId="77777777">
        <w:trPr>
          <w:trHeight w:val="255"/>
        </w:trPr>
        <w:tc>
          <w:tcPr>
            <w:tcW w:w="23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18953D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Lutetium Lu-177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dotatate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(P=6.6d)</w:t>
            </w:r>
          </w:p>
        </w:tc>
        <w:tc>
          <w:tcPr>
            <w:tcW w:w="3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21F842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LUTAHERA (AAA) Feb 2018 (DISTRIBUTED TO HOSPITAL IN VIAL) Lu-177m (Tp1/2 160 days) contaminant [Lu-176(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n,g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>)Lu177 &amp; Lu177m] A9513 $/mCi</w:t>
            </w:r>
          </w:p>
        </w:tc>
        <w:tc>
          <w:tcPr>
            <w:tcW w:w="3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A3DF788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NE Tumors with somatostatin receptors 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64E0A7A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200 q8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wks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x 4 doses</w:t>
            </w:r>
          </w:p>
        </w:tc>
      </w:tr>
      <w:tr w:rsidR="00C61AD6" w14:paraId="5421051A" w14:textId="77777777">
        <w:trPr>
          <w:trHeight w:val="255"/>
        </w:trPr>
        <w:tc>
          <w:tcPr>
            <w:tcW w:w="23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A1C15D1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Lutetium Lu-177 vipivotide tetraxetan (March 2022)</w:t>
            </w:r>
          </w:p>
        </w:tc>
        <w:tc>
          <w:tcPr>
            <w:tcW w:w="3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7DD995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Pluvicto -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Endocyte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>/Novartis/AAA  lutetium-177 (Lu-177) PSMA 617 [n.c.a Yb-177(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n,g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>) Lu-177] A9607 $229.76/mCi</w:t>
            </w:r>
          </w:p>
        </w:tc>
        <w:tc>
          <w:tcPr>
            <w:tcW w:w="3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3110D6C3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Metastatic Prostate Treatment - 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6E0BC211" w14:textId="77777777" w:rsidR="00C61AD6" w:rsidRDefault="00093C13">
            <w:pPr>
              <w:ind w:left="0" w:hanging="2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200 q6wks x6 doses</w:t>
            </w:r>
          </w:p>
        </w:tc>
      </w:tr>
    </w:tbl>
    <w:p w14:paraId="0CE496A5" w14:textId="77777777" w:rsidR="00756091" w:rsidRDefault="00756091">
      <w:pPr>
        <w:ind w:left="0" w:hanging="2"/>
        <w:rPr>
          <w:rFonts w:ascii="Arial" w:eastAsia="Arial" w:hAnsi="Arial" w:cs="Arial"/>
          <w:sz w:val="22"/>
          <w:szCs w:val="22"/>
          <w:vertAlign w:val="subscript"/>
        </w:rPr>
      </w:pPr>
    </w:p>
    <w:p w14:paraId="11CDAB43" w14:textId="64A79AA5" w:rsidR="00C61AD6" w:rsidRDefault="00093C13">
      <w:pPr>
        <w:ind w:left="0" w:hanging="2"/>
        <w:rPr>
          <w:rFonts w:ascii="Arial" w:eastAsia="Arial" w:hAnsi="Arial" w:cs="Arial"/>
          <w:sz w:val="22"/>
          <w:szCs w:val="22"/>
          <w:vertAlign w:val="subscript"/>
        </w:rPr>
      </w:pPr>
      <w:r>
        <w:rPr>
          <w:rFonts w:ascii="Arial" w:eastAsia="Arial" w:hAnsi="Arial" w:cs="Arial"/>
          <w:sz w:val="22"/>
          <w:szCs w:val="22"/>
          <w:vertAlign w:val="subscript"/>
        </w:rPr>
        <w:t xml:space="preserve">*Usual dosage range of radiopharmaceutical </w:t>
      </w:r>
      <w:proofErr w:type="gramStart"/>
      <w:r>
        <w:rPr>
          <w:rFonts w:ascii="Arial" w:eastAsia="Arial" w:hAnsi="Arial" w:cs="Arial"/>
          <w:sz w:val="22"/>
          <w:szCs w:val="22"/>
          <w:vertAlign w:val="subscript"/>
        </w:rPr>
        <w:t>used,</w:t>
      </w:r>
      <w:proofErr w:type="gramEnd"/>
      <w:r>
        <w:rPr>
          <w:rFonts w:ascii="Arial" w:eastAsia="Arial" w:hAnsi="Arial" w:cs="Arial"/>
          <w:sz w:val="22"/>
          <w:szCs w:val="22"/>
          <w:vertAlign w:val="subscript"/>
        </w:rPr>
        <w:t xml:space="preserve"> dosages are adjusted for patients weight, sex, and clinical diagnosis.  Pediatric doses are appropriately lowered on an age and weight bases. ACR–SPR (American College of Radiology-Society of Pediatric Radiology) Technical Standard for </w:t>
      </w:r>
      <w:proofErr w:type="spellStart"/>
      <w:r>
        <w:rPr>
          <w:rFonts w:ascii="Arial" w:eastAsia="Arial" w:hAnsi="Arial" w:cs="Arial"/>
          <w:sz w:val="22"/>
          <w:szCs w:val="22"/>
          <w:vertAlign w:val="subscript"/>
        </w:rPr>
        <w:t>Diagnositic</w:t>
      </w:r>
      <w:proofErr w:type="spellEnd"/>
      <w:r>
        <w:rPr>
          <w:rFonts w:ascii="Arial" w:eastAsia="Arial" w:hAnsi="Arial" w:cs="Arial"/>
          <w:sz w:val="22"/>
          <w:szCs w:val="22"/>
          <w:vertAlign w:val="subscript"/>
        </w:rPr>
        <w:t xml:space="preserve"> Procedures Using Radiopharmaceuticals. Available at: </w:t>
      </w:r>
      <w:hyperlink r:id="rId9">
        <w:r>
          <w:rPr>
            <w:rFonts w:ascii="Arial" w:eastAsia="Arial" w:hAnsi="Arial" w:cs="Arial"/>
            <w:color w:val="0563C1"/>
            <w:sz w:val="22"/>
            <w:szCs w:val="22"/>
            <w:u w:val="single"/>
            <w:vertAlign w:val="subscript"/>
          </w:rPr>
          <w:t>https://www.acr.org/-/media/ACR/Files/Practice-Parameters/Radiopharmaceuticals.pdf</w:t>
        </w:r>
      </w:hyperlink>
      <w:r>
        <w:rPr>
          <w:rFonts w:ascii="Arial" w:eastAsia="Arial" w:hAnsi="Arial" w:cs="Arial"/>
          <w:sz w:val="22"/>
          <w:szCs w:val="22"/>
          <w:vertAlign w:val="subscript"/>
        </w:rPr>
        <w:t xml:space="preserve">. Revised 2016. American College of Radiology. ACR-AAPM practice parameter for reference levels and achievable administered activity for nuclear medicine and molecular imaging. 2015; Available at: </w:t>
      </w:r>
      <w:hyperlink r:id="rId10">
        <w:r>
          <w:rPr>
            <w:rFonts w:ascii="Arial" w:eastAsia="Arial" w:hAnsi="Arial" w:cs="Arial"/>
            <w:color w:val="0563C1"/>
            <w:sz w:val="22"/>
            <w:szCs w:val="22"/>
            <w:u w:val="single"/>
            <w:vertAlign w:val="subscript"/>
          </w:rPr>
          <w:t>https://www.acr.org/-/media/ACR/Files/Practice-Parameters/RefLevels-NucMed.pdf</w:t>
        </w:r>
      </w:hyperlink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1A2FE3A3" w14:textId="77777777" w:rsidR="00C61AD6" w:rsidRDefault="00C61AD6">
      <w:pPr>
        <w:ind w:left="0" w:hanging="2"/>
        <w:rPr>
          <w:rFonts w:ascii="Arial" w:eastAsia="Arial" w:hAnsi="Arial" w:cs="Arial"/>
          <w:sz w:val="22"/>
          <w:szCs w:val="22"/>
          <w:vertAlign w:val="subscript"/>
        </w:rPr>
      </w:pPr>
    </w:p>
    <w:p w14:paraId="1EFD598B" w14:textId="77777777" w:rsidR="00756091" w:rsidRDefault="00756091">
      <w:pPr>
        <w:ind w:left="0" w:hanging="2"/>
        <w:rPr>
          <w:rFonts w:ascii="Arial" w:eastAsia="Arial" w:hAnsi="Arial" w:cs="Arial"/>
          <w:sz w:val="22"/>
          <w:szCs w:val="22"/>
          <w:vertAlign w:val="subscript"/>
        </w:rPr>
      </w:pPr>
    </w:p>
    <w:p w14:paraId="3698833D" w14:textId="77777777" w:rsidR="00756091" w:rsidRDefault="00756091">
      <w:pPr>
        <w:ind w:left="0" w:hanging="2"/>
        <w:rPr>
          <w:rFonts w:ascii="Arial" w:eastAsia="Arial" w:hAnsi="Arial" w:cs="Arial"/>
          <w:sz w:val="22"/>
          <w:szCs w:val="22"/>
          <w:vertAlign w:val="subscript"/>
        </w:rPr>
      </w:pPr>
    </w:p>
    <w:p w14:paraId="67AD0442" w14:textId="77777777" w:rsidR="00756091" w:rsidRDefault="00756091">
      <w:pPr>
        <w:ind w:left="0" w:hanging="2"/>
        <w:rPr>
          <w:rFonts w:ascii="Arial" w:eastAsia="Arial" w:hAnsi="Arial" w:cs="Arial"/>
          <w:sz w:val="22"/>
          <w:szCs w:val="22"/>
          <w:vertAlign w:val="subscript"/>
        </w:rPr>
      </w:pPr>
    </w:p>
    <w:p w14:paraId="74B88905" w14:textId="77777777" w:rsidR="00756091" w:rsidRDefault="00756091">
      <w:pPr>
        <w:ind w:left="0" w:hanging="2"/>
        <w:rPr>
          <w:rFonts w:ascii="Arial" w:eastAsia="Arial" w:hAnsi="Arial" w:cs="Arial"/>
          <w:sz w:val="22"/>
          <w:szCs w:val="22"/>
          <w:vertAlign w:val="subscript"/>
        </w:rPr>
      </w:pPr>
    </w:p>
    <w:p w14:paraId="13415ACF" w14:textId="77777777" w:rsidR="00756091" w:rsidRDefault="00756091">
      <w:pPr>
        <w:ind w:left="0" w:hanging="2"/>
        <w:rPr>
          <w:rFonts w:ascii="Arial" w:eastAsia="Arial" w:hAnsi="Arial" w:cs="Arial"/>
          <w:sz w:val="22"/>
          <w:szCs w:val="22"/>
          <w:vertAlign w:val="subscript"/>
        </w:rPr>
      </w:pPr>
    </w:p>
    <w:p w14:paraId="7984F2C0" w14:textId="77777777" w:rsidR="00756091" w:rsidRDefault="00756091">
      <w:pPr>
        <w:ind w:left="0" w:hanging="2"/>
        <w:rPr>
          <w:rFonts w:ascii="Arial" w:eastAsia="Arial" w:hAnsi="Arial" w:cs="Arial"/>
          <w:sz w:val="22"/>
          <w:szCs w:val="22"/>
          <w:vertAlign w:val="subscript"/>
        </w:rPr>
      </w:pPr>
    </w:p>
    <w:p w14:paraId="4B6E4C63" w14:textId="77777777" w:rsidR="00756091" w:rsidRDefault="00756091">
      <w:pPr>
        <w:ind w:left="0" w:hanging="2"/>
        <w:rPr>
          <w:rFonts w:ascii="Arial" w:eastAsia="Arial" w:hAnsi="Arial" w:cs="Arial"/>
          <w:sz w:val="22"/>
          <w:szCs w:val="22"/>
          <w:vertAlign w:val="subscript"/>
        </w:rPr>
      </w:pPr>
    </w:p>
    <w:p w14:paraId="6F3CC93A" w14:textId="77777777" w:rsidR="00756091" w:rsidRDefault="00756091">
      <w:pPr>
        <w:ind w:left="0" w:hanging="2"/>
        <w:rPr>
          <w:rFonts w:ascii="Arial" w:eastAsia="Arial" w:hAnsi="Arial" w:cs="Arial"/>
          <w:sz w:val="22"/>
          <w:szCs w:val="22"/>
          <w:vertAlign w:val="subscript"/>
        </w:rPr>
      </w:pPr>
    </w:p>
    <w:p w14:paraId="53B762B7" w14:textId="77777777" w:rsidR="00756091" w:rsidRDefault="00756091">
      <w:pPr>
        <w:ind w:left="0" w:hanging="2"/>
        <w:rPr>
          <w:rFonts w:ascii="Arial" w:eastAsia="Arial" w:hAnsi="Arial" w:cs="Arial"/>
          <w:sz w:val="22"/>
          <w:szCs w:val="22"/>
          <w:vertAlign w:val="subscript"/>
        </w:rPr>
      </w:pPr>
    </w:p>
    <w:p w14:paraId="332630EA" w14:textId="77777777" w:rsidR="00756091" w:rsidRDefault="00756091">
      <w:pPr>
        <w:ind w:left="0" w:hanging="2"/>
        <w:rPr>
          <w:rFonts w:ascii="Arial" w:eastAsia="Arial" w:hAnsi="Arial" w:cs="Arial"/>
          <w:sz w:val="22"/>
          <w:szCs w:val="22"/>
          <w:vertAlign w:val="subscript"/>
        </w:rPr>
      </w:pPr>
    </w:p>
    <w:p w14:paraId="40B4BFEA" w14:textId="77777777" w:rsidR="00756091" w:rsidRDefault="00756091">
      <w:pPr>
        <w:ind w:left="0" w:hanging="2"/>
        <w:rPr>
          <w:rFonts w:ascii="Arial" w:eastAsia="Arial" w:hAnsi="Arial" w:cs="Arial"/>
          <w:sz w:val="22"/>
          <w:szCs w:val="22"/>
          <w:vertAlign w:val="subscript"/>
        </w:rPr>
      </w:pPr>
    </w:p>
    <w:p w14:paraId="54F9D523" w14:textId="77777777" w:rsidR="00756091" w:rsidRDefault="00756091">
      <w:pPr>
        <w:ind w:left="0" w:hanging="2"/>
        <w:rPr>
          <w:rFonts w:ascii="Arial" w:eastAsia="Arial" w:hAnsi="Arial" w:cs="Arial"/>
          <w:sz w:val="22"/>
          <w:szCs w:val="22"/>
          <w:vertAlign w:val="subscript"/>
        </w:rPr>
      </w:pPr>
    </w:p>
    <w:p w14:paraId="371DFDB4" w14:textId="77777777" w:rsidR="00756091" w:rsidRDefault="00756091">
      <w:pPr>
        <w:ind w:left="0" w:hanging="2"/>
        <w:rPr>
          <w:rFonts w:ascii="Arial" w:eastAsia="Arial" w:hAnsi="Arial" w:cs="Arial"/>
          <w:sz w:val="22"/>
          <w:szCs w:val="22"/>
          <w:vertAlign w:val="subscript"/>
        </w:rPr>
      </w:pPr>
    </w:p>
    <w:p w14:paraId="1092A555" w14:textId="77777777" w:rsidR="00756091" w:rsidRDefault="00756091">
      <w:pPr>
        <w:ind w:left="0" w:hanging="2"/>
        <w:rPr>
          <w:rFonts w:ascii="Arial" w:eastAsia="Arial" w:hAnsi="Arial" w:cs="Arial"/>
          <w:sz w:val="22"/>
          <w:szCs w:val="22"/>
          <w:vertAlign w:val="subscript"/>
        </w:rPr>
      </w:pPr>
    </w:p>
    <w:p w14:paraId="1B40397E" w14:textId="77777777" w:rsidR="00756091" w:rsidRDefault="00756091">
      <w:pPr>
        <w:ind w:left="0" w:hanging="2"/>
        <w:rPr>
          <w:rFonts w:ascii="Arial" w:eastAsia="Arial" w:hAnsi="Arial" w:cs="Arial"/>
          <w:sz w:val="22"/>
          <w:szCs w:val="22"/>
          <w:vertAlign w:val="subscript"/>
        </w:rPr>
      </w:pPr>
    </w:p>
    <w:p w14:paraId="7EAD6E35" w14:textId="77777777" w:rsidR="00756091" w:rsidRDefault="00756091">
      <w:pPr>
        <w:ind w:left="0" w:hanging="2"/>
        <w:rPr>
          <w:rFonts w:ascii="Arial" w:eastAsia="Arial" w:hAnsi="Arial" w:cs="Arial"/>
          <w:sz w:val="22"/>
          <w:szCs w:val="22"/>
          <w:vertAlign w:val="subscript"/>
        </w:rPr>
      </w:pPr>
    </w:p>
    <w:tbl>
      <w:tblPr>
        <w:tblStyle w:val="a1"/>
        <w:tblpPr w:leftFromText="180" w:rightFromText="180" w:vertAnchor="text" w:tblpX="-910" w:tblpY="320"/>
        <w:tblW w:w="11060" w:type="dxa"/>
        <w:tblLayout w:type="fixed"/>
        <w:tblLook w:val="0000" w:firstRow="0" w:lastRow="0" w:firstColumn="0" w:lastColumn="0" w:noHBand="0" w:noVBand="0"/>
      </w:tblPr>
      <w:tblGrid>
        <w:gridCol w:w="2600"/>
        <w:gridCol w:w="2160"/>
        <w:gridCol w:w="6300"/>
      </w:tblGrid>
      <w:tr w:rsidR="00C61AD6" w14:paraId="390C3AE8" w14:textId="77777777" w:rsidTr="00756091">
        <w:trPr>
          <w:trHeight w:val="255"/>
        </w:trPr>
        <w:tc>
          <w:tcPr>
            <w:tcW w:w="2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3A3CA3D4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Investigational Radiopharmaceuticals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4365DE06" w14:textId="77777777" w:rsidR="00C61AD6" w:rsidRDefault="00C61AD6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B3B3B3"/>
          </w:tcPr>
          <w:p w14:paraId="36035623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Indication</w:t>
            </w:r>
          </w:p>
        </w:tc>
      </w:tr>
      <w:tr w:rsidR="00C61AD6" w14:paraId="4475EDFD" w14:textId="77777777" w:rsidTr="00756091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53CA6FB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F-18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DEB6B7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126 FDA registered ongoing clinical trials </w:t>
            </w:r>
          </w:p>
          <w:p w14:paraId="5514418D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FLT (AML) and FMISO (hypoxia)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0523AB79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18F-flurpiridaz (MBF)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-NOS (inflammation in every disease state)-FMAU (uracil agent –cancer) –FEOBV (Parkinson) -FTT (PARP inhibitor breast/ovarian) –FAZA (lung) –FCH (hepatocarcinoma) –TFB (thyroid) -CETO (primary aldosteronism) –FSPG (liver) -PSS232 (amyotrophic lateral sclerosis)</w:t>
            </w:r>
          </w:p>
        </w:tc>
      </w:tr>
      <w:tr w:rsidR="00C61AD6" w14:paraId="6D540C74" w14:textId="77777777" w:rsidTr="00756091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B37E31D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Zr-89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10D86E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7 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634BC867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</w:rPr>
              <w:t>panitumumab (squamous cell head and neck) –DFO-YS5 (multiple myeloma) –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Df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crefmirlimab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(CD8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Tcells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 –AP-101 (ALS)</w:t>
            </w:r>
          </w:p>
        </w:tc>
      </w:tr>
      <w:tr w:rsidR="00C61AD6" w14:paraId="7585A06A" w14:textId="77777777" w:rsidTr="00756091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C6EB3B4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Ac-225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F0DA14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2BEB1B5E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-FPI (neurotensin receptor tumors) –daratumumab (AML)</w:t>
            </w:r>
          </w:p>
        </w:tc>
      </w:tr>
      <w:tr w:rsidR="00C61AD6" w14:paraId="44B29B7B" w14:textId="77777777" w:rsidTr="00756091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67F659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Lu-177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628748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55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23EC8B8E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dotatate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(Breast, pancreatic, meningioma, CNS) – PMSA (prostate)</w:t>
            </w:r>
          </w:p>
        </w:tc>
      </w:tr>
    </w:tbl>
    <w:p w14:paraId="102E91D8" w14:textId="77777777" w:rsidR="00756091" w:rsidRDefault="00756091">
      <w:pPr>
        <w:ind w:left="0" w:hanging="2"/>
      </w:pPr>
    </w:p>
    <w:p w14:paraId="77539713" w14:textId="77777777" w:rsidR="00756091" w:rsidRDefault="00756091">
      <w:pPr>
        <w:ind w:left="0" w:hanging="2"/>
      </w:pPr>
    </w:p>
    <w:p w14:paraId="7250DD73" w14:textId="77777777" w:rsidR="00756091" w:rsidRDefault="00756091">
      <w:pPr>
        <w:ind w:left="0" w:hanging="2"/>
      </w:pPr>
    </w:p>
    <w:p w14:paraId="495A05B9" w14:textId="77777777" w:rsidR="00756091" w:rsidRDefault="00756091">
      <w:pPr>
        <w:ind w:left="0" w:hanging="2"/>
      </w:pPr>
    </w:p>
    <w:p w14:paraId="44BB2C07" w14:textId="77777777" w:rsidR="00756091" w:rsidRDefault="00756091">
      <w:pPr>
        <w:ind w:left="0" w:hanging="2"/>
      </w:pPr>
    </w:p>
    <w:tbl>
      <w:tblPr>
        <w:tblStyle w:val="a1"/>
        <w:tblpPr w:leftFromText="180" w:rightFromText="180" w:vertAnchor="text" w:tblpX="-910" w:tblpY="320"/>
        <w:tblW w:w="11060" w:type="dxa"/>
        <w:tblLayout w:type="fixed"/>
        <w:tblLook w:val="0000" w:firstRow="0" w:lastRow="0" w:firstColumn="0" w:lastColumn="0" w:noHBand="0" w:noVBand="0"/>
      </w:tblPr>
      <w:tblGrid>
        <w:gridCol w:w="2600"/>
        <w:gridCol w:w="2160"/>
        <w:gridCol w:w="6300"/>
      </w:tblGrid>
      <w:tr w:rsidR="00C61AD6" w14:paraId="5B5D9C55" w14:textId="77777777" w:rsidTr="00756091">
        <w:trPr>
          <w:trHeight w:val="255"/>
        </w:trPr>
        <w:tc>
          <w:tcPr>
            <w:tcW w:w="2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13038FCF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Brachytherapy Devices 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0AB0AEAD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Trade Name “Common name”</w:t>
            </w:r>
          </w:p>
        </w:tc>
        <w:tc>
          <w:tcPr>
            <w:tcW w:w="6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B3B3B3"/>
          </w:tcPr>
          <w:p w14:paraId="3729D859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Indication</w:t>
            </w:r>
          </w:p>
        </w:tc>
      </w:tr>
      <w:tr w:rsidR="00C61AD6" w14:paraId="05394FCB" w14:textId="77777777" w:rsidTr="00756091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1434617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Iodine-125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iodohydroxybenzenesulfonate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(LIQUID) &amp;</w:t>
            </w:r>
          </w:p>
          <w:p w14:paraId="7CE4B8B1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Cecium-131 Chloride in NS (LIQUID)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8E646C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Iotrex</w:t>
            </w:r>
            <w:proofErr w:type="spellEnd"/>
          </w:p>
          <w:p w14:paraId="0AAF6279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Cesitrex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05616A57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Use in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GliaSite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device for recurrent malignant gliomas – MFG change now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IsoRay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in Richland, WA (2014)</w:t>
            </w:r>
          </w:p>
        </w:tc>
      </w:tr>
      <w:tr w:rsidR="00C61AD6" w14:paraId="17ADF422" w14:textId="77777777" w:rsidTr="00756091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2B6DD77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Ir-192 (P=74d)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5AD2FB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Checkmate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035CBC3C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Decrease in-stent restenosis</w:t>
            </w:r>
          </w:p>
        </w:tc>
      </w:tr>
      <w:tr w:rsidR="00C61AD6" w14:paraId="29609BD5" w14:textId="77777777" w:rsidTr="00756091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77B87E2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Sr-90 (P=29y)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18A02D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Novoste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BetaCath</w:t>
            </w:r>
            <w:proofErr w:type="spellEnd"/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0C5A53B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Decrease in-stent restenosis</w:t>
            </w:r>
          </w:p>
        </w:tc>
      </w:tr>
      <w:tr w:rsidR="00C61AD6" w14:paraId="0B3D79FD" w14:textId="77777777" w:rsidTr="00756091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A46F438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P-32 (P=14d)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14113E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Guidant Galileo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0FE6259C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Decrease in-stent restenosis</w:t>
            </w:r>
          </w:p>
        </w:tc>
      </w:tr>
      <w:tr w:rsidR="00C61AD6" w14:paraId="7A42F2D0" w14:textId="77777777" w:rsidTr="00756091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07D87BF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Y-90 glass (64h)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CD83FF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TheraSphere</w:t>
            </w:r>
            <w:proofErr w:type="spellEnd"/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94DD722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Hepatocarcinoma</w:t>
            </w:r>
          </w:p>
        </w:tc>
      </w:tr>
      <w:tr w:rsidR="00C61AD6" w14:paraId="01685C79" w14:textId="77777777" w:rsidTr="00756091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6A0FFE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Y-90 resin-polymer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F47BFD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SIR-Spheres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E453E00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Hepatocarcinoma/Colorectal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mets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27-81 mCi</w:t>
            </w:r>
          </w:p>
        </w:tc>
      </w:tr>
    </w:tbl>
    <w:p w14:paraId="754AD0F3" w14:textId="77777777" w:rsidR="00756091" w:rsidRDefault="00756091">
      <w:pPr>
        <w:ind w:left="0" w:hanging="2"/>
      </w:pPr>
    </w:p>
    <w:p w14:paraId="560AA7C5" w14:textId="77777777" w:rsidR="00756091" w:rsidRDefault="00756091">
      <w:pPr>
        <w:ind w:left="0" w:hanging="2"/>
      </w:pPr>
    </w:p>
    <w:p w14:paraId="4AC40C9D" w14:textId="77777777" w:rsidR="00756091" w:rsidRDefault="00756091">
      <w:pPr>
        <w:ind w:left="0" w:hanging="2"/>
      </w:pPr>
    </w:p>
    <w:p w14:paraId="42A26CB8" w14:textId="77777777" w:rsidR="00756091" w:rsidRDefault="00756091">
      <w:pPr>
        <w:ind w:left="0" w:hanging="2"/>
      </w:pPr>
    </w:p>
    <w:p w14:paraId="48718FA0" w14:textId="77777777" w:rsidR="00756091" w:rsidRDefault="00756091">
      <w:pPr>
        <w:ind w:left="0" w:hanging="2"/>
      </w:pPr>
    </w:p>
    <w:p w14:paraId="5789C470" w14:textId="77777777" w:rsidR="00756091" w:rsidRDefault="00756091">
      <w:pPr>
        <w:ind w:left="0" w:hanging="2"/>
      </w:pPr>
    </w:p>
    <w:p w14:paraId="06EF94CE" w14:textId="77777777" w:rsidR="00756091" w:rsidRDefault="00756091">
      <w:pPr>
        <w:ind w:left="0" w:hanging="2"/>
      </w:pPr>
    </w:p>
    <w:p w14:paraId="3214746C" w14:textId="77777777" w:rsidR="00756091" w:rsidRDefault="00756091">
      <w:pPr>
        <w:ind w:left="0" w:hanging="2"/>
      </w:pPr>
    </w:p>
    <w:p w14:paraId="3A745149" w14:textId="77777777" w:rsidR="00756091" w:rsidRDefault="00756091">
      <w:pPr>
        <w:ind w:left="0" w:hanging="2"/>
      </w:pPr>
    </w:p>
    <w:p w14:paraId="2B43BF7B" w14:textId="77777777" w:rsidR="00756091" w:rsidRDefault="00756091">
      <w:pPr>
        <w:ind w:left="0" w:hanging="2"/>
      </w:pPr>
    </w:p>
    <w:p w14:paraId="13B8EF84" w14:textId="77777777" w:rsidR="00756091" w:rsidRDefault="00756091">
      <w:pPr>
        <w:ind w:left="0" w:hanging="2"/>
      </w:pPr>
    </w:p>
    <w:p w14:paraId="1DDE231E" w14:textId="77777777" w:rsidR="00756091" w:rsidRDefault="00756091">
      <w:pPr>
        <w:ind w:left="0" w:hanging="2"/>
      </w:pPr>
    </w:p>
    <w:p w14:paraId="113CF490" w14:textId="77777777" w:rsidR="00756091" w:rsidRDefault="00756091">
      <w:pPr>
        <w:ind w:left="0" w:hanging="2"/>
      </w:pPr>
    </w:p>
    <w:p w14:paraId="23AF6478" w14:textId="77777777" w:rsidR="00756091" w:rsidRDefault="00756091">
      <w:pPr>
        <w:ind w:left="0" w:hanging="2"/>
      </w:pPr>
    </w:p>
    <w:p w14:paraId="22E64220" w14:textId="77777777" w:rsidR="00756091" w:rsidRDefault="00756091">
      <w:pPr>
        <w:ind w:left="0" w:hanging="2"/>
      </w:pPr>
    </w:p>
    <w:p w14:paraId="2DA4224A" w14:textId="77777777" w:rsidR="00756091" w:rsidRDefault="00756091">
      <w:pPr>
        <w:ind w:left="0" w:hanging="2"/>
      </w:pPr>
    </w:p>
    <w:p w14:paraId="60767842" w14:textId="77777777" w:rsidR="00756091" w:rsidRDefault="00756091">
      <w:pPr>
        <w:ind w:left="0" w:hanging="2"/>
      </w:pPr>
    </w:p>
    <w:p w14:paraId="10A2A760" w14:textId="77777777" w:rsidR="00756091" w:rsidRDefault="00756091">
      <w:pPr>
        <w:ind w:left="0" w:hanging="2"/>
      </w:pPr>
    </w:p>
    <w:p w14:paraId="358BFE82" w14:textId="77777777" w:rsidR="00756091" w:rsidRDefault="00756091">
      <w:pPr>
        <w:ind w:left="0" w:hanging="2"/>
      </w:pPr>
    </w:p>
    <w:p w14:paraId="2935F45A" w14:textId="77777777" w:rsidR="00756091" w:rsidRDefault="00756091">
      <w:pPr>
        <w:ind w:left="0" w:hanging="2"/>
      </w:pPr>
    </w:p>
    <w:p w14:paraId="14795F2D" w14:textId="77777777" w:rsidR="00756091" w:rsidRDefault="00756091">
      <w:pPr>
        <w:ind w:left="0" w:hanging="2"/>
      </w:pPr>
    </w:p>
    <w:p w14:paraId="6331D72B" w14:textId="77777777" w:rsidR="00756091" w:rsidRDefault="00756091">
      <w:pPr>
        <w:ind w:left="0" w:hanging="2"/>
      </w:pPr>
    </w:p>
    <w:p w14:paraId="6724F742" w14:textId="77777777" w:rsidR="00756091" w:rsidRDefault="00756091">
      <w:pPr>
        <w:ind w:left="0" w:hanging="2"/>
      </w:pPr>
    </w:p>
    <w:p w14:paraId="083E2161" w14:textId="77777777" w:rsidR="00756091" w:rsidRDefault="00756091">
      <w:pPr>
        <w:ind w:left="0" w:hanging="2"/>
      </w:pPr>
    </w:p>
    <w:p w14:paraId="50898AE0" w14:textId="77777777" w:rsidR="00756091" w:rsidRDefault="00756091">
      <w:pPr>
        <w:ind w:left="0" w:hanging="2"/>
      </w:pPr>
    </w:p>
    <w:tbl>
      <w:tblPr>
        <w:tblStyle w:val="a1"/>
        <w:tblpPr w:leftFromText="180" w:rightFromText="180" w:vertAnchor="text" w:tblpX="-910" w:tblpY="320"/>
        <w:tblW w:w="11060" w:type="dxa"/>
        <w:tblLayout w:type="fixed"/>
        <w:tblLook w:val="0000" w:firstRow="0" w:lastRow="0" w:firstColumn="0" w:lastColumn="0" w:noHBand="0" w:noVBand="0"/>
      </w:tblPr>
      <w:tblGrid>
        <w:gridCol w:w="2600"/>
        <w:gridCol w:w="2160"/>
        <w:gridCol w:w="6300"/>
      </w:tblGrid>
      <w:tr w:rsidR="00C61AD6" w14:paraId="23895DC2" w14:textId="77777777" w:rsidTr="00756091">
        <w:trPr>
          <w:trHeight w:val="255"/>
        </w:trPr>
        <w:tc>
          <w:tcPr>
            <w:tcW w:w="2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1BB03E10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Discontinued Radiopharmaceuticals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5349B6D1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Trade Name “Common name”</w:t>
            </w:r>
          </w:p>
        </w:tc>
        <w:tc>
          <w:tcPr>
            <w:tcW w:w="6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B3B3B3"/>
          </w:tcPr>
          <w:p w14:paraId="4DF74E73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FDA Indication and off label uses</w:t>
            </w:r>
          </w:p>
        </w:tc>
      </w:tr>
      <w:tr w:rsidR="00C61AD6" w14:paraId="3656196D" w14:textId="77777777" w:rsidTr="00756091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7DE95FE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Chromium-51 sodium chromate (P=27.7d)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12D2C27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Chromitope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1D03D02D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Labeling RBC's (DC MFG 2011)</w:t>
            </w:r>
          </w:p>
        </w:tc>
      </w:tr>
      <w:tr w:rsidR="00C61AD6" w14:paraId="2B10B232" w14:textId="77777777" w:rsidTr="00756091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01A4497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Cobalt-57 cyanocobalamin (P=270d)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C60E1A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Rubratope</w:t>
            </w:r>
            <w:proofErr w:type="spellEnd"/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0B17CC99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Detection of pernicious anemia (DC MFG 2006)</w:t>
            </w:r>
          </w:p>
        </w:tc>
      </w:tr>
      <w:tr w:rsidR="00C61AD6" w14:paraId="5555B470" w14:textId="77777777" w:rsidTr="00756091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A90ECE0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Cobalt -57 &amp; -58 cyanocobalamin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DC1681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Dicopac</w:t>
            </w:r>
            <w:proofErr w:type="spellEnd"/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6A58377D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Detection of pernicious anemia</w:t>
            </w:r>
          </w:p>
        </w:tc>
      </w:tr>
      <w:tr w:rsidR="00C61AD6" w14:paraId="61AF2A3F" w14:textId="77777777" w:rsidTr="00756091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3F81A75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Indium-111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capromab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pendetide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1BD850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ProstaScint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– Ayto Bio distributed by Cardinal 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77465EC9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Monoclonal antibody for imaging prostate cancer DC MFG 5 2018</w:t>
            </w:r>
          </w:p>
        </w:tc>
      </w:tr>
      <w:tr w:rsidR="00C61AD6" w14:paraId="32033499" w14:textId="77777777" w:rsidTr="00756091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7F49C04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Indium-111 Imciromab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11F2DD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Myoscint</w:t>
            </w:r>
            <w:proofErr w:type="spellEnd"/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19EBE9C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MAB for  diagnosis of myocardial necrosis</w:t>
            </w:r>
          </w:p>
        </w:tc>
      </w:tr>
      <w:tr w:rsidR="00C61AD6" w14:paraId="3FEAEAFA" w14:textId="77777777" w:rsidTr="00756091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005A7D3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Indium-111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satumomab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pendetide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04261D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OncoScint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CR/OV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1E3705EC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MAB Colorectal and ovarian cancer</w:t>
            </w:r>
          </w:p>
        </w:tc>
      </w:tr>
      <w:tr w:rsidR="00C61AD6" w14:paraId="495D24F5" w14:textId="77777777" w:rsidTr="00756091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2455429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Iodine-131 iodohippurate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BA6C7B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Hippuran</w:t>
            </w:r>
            <w:proofErr w:type="spellEnd"/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12E07E62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Renal imaging and function studies (ERPF)</w:t>
            </w:r>
          </w:p>
        </w:tc>
      </w:tr>
      <w:tr w:rsidR="00C61AD6" w14:paraId="24654CAB" w14:textId="77777777" w:rsidTr="00756091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55F9D0E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Iodine-131 metaiodobenzylguanidine (7/2018)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18D198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AZEDRA (Lantheus owns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Progenics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>)  A9590 per $338.06/1 mCi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232D6DD7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TX Pheochromocytomas and neuroblastomas Diagnostic (DC MFG 3/2024) </w:t>
            </w:r>
            <w:r>
              <w:t xml:space="preserve"> </w:t>
            </w:r>
            <w:r>
              <w:rPr>
                <w:rFonts w:ascii="Times" w:eastAsia="Times" w:hAnsi="Times" w:cs="Times"/>
                <w:sz w:val="18"/>
                <w:szCs w:val="18"/>
              </w:rPr>
              <w:t>(±2.5) mL of solution with a total radioactivity</w:t>
            </w:r>
          </w:p>
          <w:p w14:paraId="20DB9EBC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of 240–413 mCi/vial</w:t>
            </w:r>
          </w:p>
        </w:tc>
      </w:tr>
      <w:tr w:rsidR="00C61AD6" w14:paraId="23A2554C" w14:textId="77777777" w:rsidTr="00756091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3B02B4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Krypton-81m gas (Rb-81 generator) (P=13s)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E39147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 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24491B20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Pulmonary ventilation imaging</w:t>
            </w:r>
          </w:p>
        </w:tc>
      </w:tr>
      <w:tr w:rsidR="00C61AD6" w14:paraId="41D34B59" w14:textId="77777777" w:rsidTr="00756091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5AF00B4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Phosphorus-32 Chromic phosphate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BAC6CB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P-32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Phosphocol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29692593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TX intracavitary malignancies DC MFG 2009</w:t>
            </w:r>
          </w:p>
        </w:tc>
      </w:tr>
      <w:tr w:rsidR="00C61AD6" w14:paraId="38E3FF5E" w14:textId="77777777" w:rsidTr="00756091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1FE7217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Phosphrous-32 Sodium phosphate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6BD79C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“P-32”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93B7428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Therapy of polycythemia vera DC MFG  2009</w:t>
            </w:r>
          </w:p>
        </w:tc>
      </w:tr>
      <w:tr w:rsidR="00C61AD6" w14:paraId="79813803" w14:textId="77777777" w:rsidTr="00756091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DC89503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Samarium-153 lexidronam (EDTMP)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096217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Quadramet (Lantheus)(Jazz)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0A04E992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Palliative treatment of bone pain of skeletal metastases DC MFG 10/2021</w:t>
            </w:r>
          </w:p>
        </w:tc>
      </w:tr>
      <w:tr w:rsidR="00C61AD6" w14:paraId="7B773FBB" w14:textId="77777777" w:rsidTr="00756091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4ED136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Technetium-99m-pertechnetate (from Molybdenum-99 generator) Low Specific Activity from Mo98 (Feb 2018)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Northstar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BCE3DB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Radiogenix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007DF6F2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Same as U235 source (DC MFG Nov 2023)</w:t>
            </w:r>
          </w:p>
        </w:tc>
      </w:tr>
      <w:tr w:rsidR="00C61AD6" w14:paraId="77AB3CC0" w14:textId="77777777" w:rsidTr="00756091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8D4F461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Tc99m-albumin colloid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AFED9B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Microlite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543B07E8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Imaging RES (liver/spleen)</w:t>
            </w:r>
          </w:p>
        </w:tc>
      </w:tr>
      <w:tr w:rsidR="00C61AD6" w14:paraId="3204AE15" w14:textId="77777777" w:rsidTr="00756091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F467A0C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Tc99m-arcitumomab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C51891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CEA-Scan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1D4C5668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Monoclonal antibody for colorectal cancer</w:t>
            </w:r>
          </w:p>
          <w:p w14:paraId="149BA48F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DC MFG 2007</w:t>
            </w:r>
          </w:p>
        </w:tc>
      </w:tr>
      <w:tr w:rsidR="00C61AD6" w14:paraId="6DBBB565" w14:textId="77777777" w:rsidTr="00756091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89734F1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Tc99m-apcitide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D6EF2B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AcuTect</w:t>
            </w:r>
            <w:proofErr w:type="spellEnd"/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5FA23AEE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Peptide imaging of DVT DC MFG 2006</w:t>
            </w:r>
          </w:p>
        </w:tc>
      </w:tr>
      <w:tr w:rsidR="00C61AD6" w14:paraId="05168A97" w14:textId="77777777" w:rsidTr="00756091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2AC3F9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Tc99m-depreotide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AD1107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Neotect</w:t>
            </w:r>
            <w:proofErr w:type="spellEnd"/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5E73371F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Somatostatin receptor-bearing pulmonary masses (NSCLC)</w:t>
            </w:r>
          </w:p>
        </w:tc>
      </w:tr>
      <w:tr w:rsidR="00C61AD6" w14:paraId="4547891A" w14:textId="77777777" w:rsidTr="00756091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CCF6CAA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Tc99m-fanolesomab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889D3C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NeutroSpec</w:t>
            </w:r>
            <w:proofErr w:type="spellEnd"/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004DAB8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MAB Infection-DC MFG 11/05</w:t>
            </w:r>
          </w:p>
        </w:tc>
      </w:tr>
      <w:tr w:rsidR="00C61AD6" w14:paraId="2112FA4D" w14:textId="77777777" w:rsidTr="00756091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63967D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Tc99m-gluceptate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9136C4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“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Gluco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>”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6CEED29E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Renal cortical imaging DC MFG 12/08</w:t>
            </w:r>
          </w:p>
        </w:tc>
      </w:tr>
      <w:tr w:rsidR="00C61AD6" w14:paraId="649FC2A7" w14:textId="77777777" w:rsidTr="00756091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0191C09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Tc99m-human serum albumin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556ABA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“HSA”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7DEC12F2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Imaging of cardiac chambers</w:t>
            </w:r>
          </w:p>
        </w:tc>
      </w:tr>
      <w:tr w:rsidR="00C61AD6" w14:paraId="45F19024" w14:textId="77777777" w:rsidTr="00756091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FB5A81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Tc99m-lidofenin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CBFEE6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“HIDA”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54FE96F1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Hepatobiliary imaging</w:t>
            </w:r>
          </w:p>
        </w:tc>
      </w:tr>
      <w:tr w:rsidR="00C61AD6" w14:paraId="5D7CB812" w14:textId="77777777" w:rsidTr="00756091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3380D4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Tc99m-nofetumomab merpentan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E2375B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Verluma</w:t>
            </w:r>
            <w:proofErr w:type="spellEnd"/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62727EF0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MAB Fab fragment for imaging SCLC</w:t>
            </w:r>
          </w:p>
        </w:tc>
      </w:tr>
      <w:tr w:rsidR="00C61AD6" w14:paraId="0B426E25" w14:textId="77777777" w:rsidTr="00756091">
        <w:trPr>
          <w:trHeight w:val="270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602F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Tc99m-teboroxime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ACB628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Cardiotec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D4D027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Myocardial perfusion imaging</w:t>
            </w:r>
          </w:p>
        </w:tc>
      </w:tr>
      <w:tr w:rsidR="00C61AD6" w14:paraId="2732C3E6" w14:textId="77777777" w:rsidTr="00756091">
        <w:trPr>
          <w:trHeight w:val="270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37C5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Iodine-131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tositumomab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D02822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Bexxar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A0503B" w14:textId="77777777" w:rsidR="00C61AD6" w:rsidRDefault="00093C13" w:rsidP="0084363A">
            <w:pPr>
              <w:ind w:left="0" w:hanging="2"/>
              <w:jc w:val="center"/>
              <w:textDirection w:val="lrTb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Treatment of Non-Hodgkin's Lymphoma DC MFG 2/2014 (112 to 168 mCi with avg 110 mCi)</w:t>
            </w:r>
          </w:p>
        </w:tc>
      </w:tr>
    </w:tbl>
    <w:p w14:paraId="61920793" w14:textId="77777777" w:rsidR="00C61AD6" w:rsidRDefault="00C61AD6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25310AC7" w14:textId="77777777" w:rsidR="00E9761A" w:rsidRDefault="00E9761A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1758A647" w14:textId="77777777" w:rsidR="00E9761A" w:rsidRDefault="00E9761A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3EEFC291" w14:textId="77777777" w:rsidR="00E9761A" w:rsidRDefault="00E9761A" w:rsidP="00E9761A">
      <w:pPr>
        <w:ind w:left="0" w:hanging="2"/>
        <w:jc w:val="center"/>
        <w:rPr>
          <w:rFonts w:ascii="Arial" w:hAnsi="Arial" w:cs="Arial"/>
          <w:b/>
          <w:bCs/>
          <w:sz w:val="20"/>
          <w:szCs w:val="20"/>
        </w:rPr>
      </w:pPr>
    </w:p>
    <w:p w14:paraId="0F08072D" w14:textId="77777777" w:rsidR="00E9761A" w:rsidRDefault="00E9761A" w:rsidP="00E9761A">
      <w:pPr>
        <w:ind w:left="0" w:hanging="2"/>
        <w:jc w:val="center"/>
        <w:rPr>
          <w:rFonts w:ascii="Arial" w:hAnsi="Arial" w:cs="Arial"/>
          <w:b/>
          <w:bCs/>
          <w:sz w:val="20"/>
          <w:szCs w:val="20"/>
        </w:rPr>
      </w:pPr>
    </w:p>
    <w:p w14:paraId="4207FC4D" w14:textId="77777777" w:rsidR="00E9761A" w:rsidRDefault="00E9761A" w:rsidP="00E9761A">
      <w:pPr>
        <w:ind w:left="0" w:hanging="2"/>
        <w:jc w:val="center"/>
        <w:rPr>
          <w:rFonts w:ascii="Arial" w:hAnsi="Arial" w:cs="Arial"/>
          <w:b/>
          <w:bCs/>
          <w:sz w:val="20"/>
          <w:szCs w:val="20"/>
        </w:rPr>
      </w:pPr>
    </w:p>
    <w:p w14:paraId="0B3A5E8E" w14:textId="3C800BFC" w:rsidR="00E9761A" w:rsidRDefault="00E9761A" w:rsidP="00E9761A">
      <w:pPr>
        <w:ind w:left="0" w:hanging="2"/>
        <w:jc w:val="center"/>
        <w:rPr>
          <w:rFonts w:ascii="Arial" w:hAnsi="Arial" w:cs="Arial"/>
          <w:b/>
          <w:bCs/>
          <w:sz w:val="20"/>
          <w:szCs w:val="20"/>
        </w:rPr>
      </w:pPr>
      <w:r w:rsidRPr="00220EDF">
        <w:rPr>
          <w:rFonts w:ascii="Arial" w:hAnsi="Arial" w:cs="Arial"/>
          <w:b/>
          <w:bCs/>
          <w:sz w:val="20"/>
          <w:szCs w:val="20"/>
        </w:rPr>
        <w:t>CMS Payment Status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94A1885" w14:textId="77777777" w:rsidR="00E9761A" w:rsidRDefault="00E9761A" w:rsidP="00E9761A">
      <w:pPr>
        <w:ind w:left="0" w:hanging="2"/>
        <w:rPr>
          <w:rFonts w:ascii="Arial" w:hAnsi="Arial" w:cs="Arial"/>
          <w:sz w:val="20"/>
          <w:szCs w:val="20"/>
        </w:rPr>
      </w:pPr>
    </w:p>
    <w:p w14:paraId="0A9B833B" w14:textId="77777777" w:rsidR="00E9761A" w:rsidRPr="00800050" w:rsidRDefault="00E9761A" w:rsidP="00E9761A">
      <w:pPr>
        <w:spacing w:after="160" w:line="259" w:lineRule="auto"/>
        <w:ind w:left="0" w:hanging="2"/>
        <w:rPr>
          <w:rFonts w:ascii="Calibri" w:eastAsia="Calibri" w:hAnsi="Calibri"/>
          <w:b/>
          <w:sz w:val="22"/>
          <w:szCs w:val="22"/>
        </w:rPr>
      </w:pPr>
      <w:r w:rsidRPr="00800050">
        <w:rPr>
          <w:rFonts w:ascii="Calibri" w:eastAsia="Calibri" w:hAnsi="Calibri"/>
          <w:b/>
          <w:sz w:val="22"/>
          <w:szCs w:val="22"/>
        </w:rPr>
        <w:t>TABLE 35: DRUGS AND BIOLOGICALS FOR WHICH PASS - THROUGH PAYMENT STATUS WILL END BY DECEMBER 31, 2023</w:t>
      </w:r>
    </w:p>
    <w:p w14:paraId="0B062AE7" w14:textId="77777777" w:rsidR="00E9761A" w:rsidRPr="00800050" w:rsidRDefault="00E9761A" w:rsidP="00E9761A">
      <w:pPr>
        <w:spacing w:after="160" w:line="259" w:lineRule="auto"/>
        <w:ind w:left="0" w:hanging="2"/>
        <w:rPr>
          <w:rFonts w:ascii="Calibri" w:eastAsia="Calibri" w:hAnsi="Calibri"/>
          <w:sz w:val="22"/>
          <w:szCs w:val="22"/>
        </w:rPr>
      </w:pPr>
      <w:r w:rsidRPr="00800050">
        <w:rPr>
          <w:rFonts w:ascii="Calibri" w:eastAsia="Calibri" w:hAnsi="Calibri"/>
          <w:sz w:val="22"/>
          <w:szCs w:val="22"/>
        </w:rPr>
        <w:t xml:space="preserve">A9591 Fluoroestradiol F 18, diagnostic, 1 millicurie - G -9370   </w:t>
      </w:r>
      <w:proofErr w:type="gramStart"/>
      <w:r w:rsidRPr="00800050">
        <w:rPr>
          <w:rFonts w:ascii="Calibri" w:eastAsia="Calibri" w:hAnsi="Calibri"/>
          <w:sz w:val="22"/>
          <w:szCs w:val="22"/>
        </w:rPr>
        <w:t>-  10</w:t>
      </w:r>
      <w:proofErr w:type="gramEnd"/>
      <w:r w:rsidRPr="00800050">
        <w:rPr>
          <w:rFonts w:ascii="Calibri" w:eastAsia="Calibri" w:hAnsi="Calibri"/>
          <w:sz w:val="22"/>
          <w:szCs w:val="22"/>
        </w:rPr>
        <w:t xml:space="preserve">/01/2020  to 09/30/2023 </w:t>
      </w:r>
    </w:p>
    <w:p w14:paraId="06A8A9CD" w14:textId="77777777" w:rsidR="00E9761A" w:rsidRPr="00800050" w:rsidRDefault="00E9761A" w:rsidP="00E9761A">
      <w:pPr>
        <w:spacing w:after="160" w:line="259" w:lineRule="auto"/>
        <w:ind w:left="0" w:hanging="2"/>
        <w:rPr>
          <w:rFonts w:ascii="Calibri" w:eastAsia="Calibri" w:hAnsi="Calibri"/>
          <w:sz w:val="22"/>
          <w:szCs w:val="22"/>
        </w:rPr>
      </w:pPr>
      <w:r w:rsidRPr="00800050">
        <w:rPr>
          <w:rFonts w:ascii="Calibri" w:eastAsia="Calibri" w:hAnsi="Calibri"/>
          <w:sz w:val="22"/>
          <w:szCs w:val="22"/>
        </w:rPr>
        <w:t xml:space="preserve">C9067 Gallium ga-68, </w:t>
      </w:r>
      <w:proofErr w:type="spellStart"/>
      <w:r w:rsidRPr="00800050">
        <w:rPr>
          <w:rFonts w:ascii="Calibri" w:eastAsia="Calibri" w:hAnsi="Calibri"/>
          <w:sz w:val="22"/>
          <w:szCs w:val="22"/>
        </w:rPr>
        <w:t>dotatoc</w:t>
      </w:r>
      <w:proofErr w:type="spellEnd"/>
      <w:r w:rsidRPr="00800050">
        <w:rPr>
          <w:rFonts w:ascii="Calibri" w:eastAsia="Calibri" w:hAnsi="Calibri"/>
          <w:sz w:val="22"/>
          <w:szCs w:val="22"/>
        </w:rPr>
        <w:t xml:space="preserve">, diagnostic, 0.01 </w:t>
      </w:r>
      <w:proofErr w:type="gramStart"/>
      <w:r w:rsidRPr="00800050">
        <w:rPr>
          <w:rFonts w:ascii="Calibri" w:eastAsia="Calibri" w:hAnsi="Calibri"/>
          <w:sz w:val="22"/>
          <w:szCs w:val="22"/>
        </w:rPr>
        <w:t>mCi  -</w:t>
      </w:r>
      <w:proofErr w:type="gramEnd"/>
      <w:r w:rsidRPr="00800050">
        <w:rPr>
          <w:rFonts w:ascii="Calibri" w:eastAsia="Calibri" w:hAnsi="Calibri"/>
          <w:sz w:val="22"/>
          <w:szCs w:val="22"/>
        </w:rPr>
        <w:t xml:space="preserve">  G -  9323 10/01/2020 to 09/30/2023</w:t>
      </w:r>
    </w:p>
    <w:p w14:paraId="0F86D4B3" w14:textId="77777777" w:rsidR="00E9761A" w:rsidRPr="00800050" w:rsidRDefault="00E9761A" w:rsidP="00E9761A">
      <w:pPr>
        <w:spacing w:after="160" w:line="259" w:lineRule="auto"/>
        <w:ind w:left="0" w:hanging="2"/>
        <w:rPr>
          <w:rFonts w:ascii="Calibri" w:eastAsia="Calibri" w:hAnsi="Calibri"/>
          <w:sz w:val="22"/>
          <w:szCs w:val="22"/>
        </w:rPr>
      </w:pPr>
      <w:r w:rsidRPr="00800050">
        <w:rPr>
          <w:rFonts w:ascii="Calibri" w:eastAsia="Calibri" w:hAnsi="Calibri"/>
          <w:sz w:val="22"/>
          <w:szCs w:val="22"/>
        </w:rPr>
        <w:t xml:space="preserve">A9592 Copper Cu-64, </w:t>
      </w:r>
      <w:proofErr w:type="spellStart"/>
      <w:r w:rsidRPr="00800050">
        <w:rPr>
          <w:rFonts w:ascii="Calibri" w:eastAsia="Calibri" w:hAnsi="Calibri"/>
          <w:sz w:val="22"/>
          <w:szCs w:val="22"/>
        </w:rPr>
        <w:t>dotatate</w:t>
      </w:r>
      <w:proofErr w:type="spellEnd"/>
      <w:r w:rsidRPr="00800050">
        <w:rPr>
          <w:rFonts w:ascii="Calibri" w:eastAsia="Calibri" w:hAnsi="Calibri"/>
          <w:sz w:val="22"/>
          <w:szCs w:val="22"/>
        </w:rPr>
        <w:t xml:space="preserve">, diagnostic, 1 </w:t>
      </w:r>
      <w:proofErr w:type="gramStart"/>
      <w:r w:rsidRPr="00800050">
        <w:rPr>
          <w:rFonts w:ascii="Calibri" w:eastAsia="Calibri" w:hAnsi="Calibri"/>
          <w:sz w:val="22"/>
          <w:szCs w:val="22"/>
        </w:rPr>
        <w:t>millicurie  -</w:t>
      </w:r>
      <w:proofErr w:type="gramEnd"/>
      <w:r w:rsidRPr="00800050">
        <w:rPr>
          <w:rFonts w:ascii="Calibri" w:eastAsia="Calibri" w:hAnsi="Calibri"/>
          <w:sz w:val="22"/>
          <w:szCs w:val="22"/>
        </w:rPr>
        <w:t xml:space="preserve"> G    9383 01/01/2021  to 12/31/2023</w:t>
      </w:r>
    </w:p>
    <w:p w14:paraId="429A857C" w14:textId="77777777" w:rsidR="00E9761A" w:rsidRPr="00800050" w:rsidRDefault="00E9761A" w:rsidP="00E9761A">
      <w:pPr>
        <w:spacing w:after="160" w:line="259" w:lineRule="auto"/>
        <w:ind w:left="0" w:hanging="2"/>
        <w:rPr>
          <w:rFonts w:ascii="Calibri" w:eastAsia="Calibri" w:hAnsi="Calibri"/>
          <w:b/>
          <w:sz w:val="22"/>
          <w:szCs w:val="22"/>
        </w:rPr>
      </w:pPr>
    </w:p>
    <w:p w14:paraId="3CFFB133" w14:textId="77777777" w:rsidR="00E9761A" w:rsidRPr="00800050" w:rsidRDefault="00E9761A" w:rsidP="00E9761A">
      <w:pPr>
        <w:spacing w:after="160" w:line="259" w:lineRule="auto"/>
        <w:ind w:left="0" w:hanging="2"/>
        <w:rPr>
          <w:rFonts w:ascii="Calibri" w:eastAsia="Calibri" w:hAnsi="Calibri"/>
          <w:b/>
          <w:sz w:val="22"/>
          <w:szCs w:val="22"/>
        </w:rPr>
      </w:pPr>
      <w:r w:rsidRPr="00800050">
        <w:rPr>
          <w:rFonts w:ascii="Calibri" w:eastAsia="Calibri" w:hAnsi="Calibri"/>
          <w:b/>
          <w:sz w:val="22"/>
          <w:szCs w:val="22"/>
        </w:rPr>
        <w:t>TABLE 36: DRUGS AND BIOLOGICALS WITH PASS-THROUGH PAYMENT STATUS EXPIRING IN CY 2024</w:t>
      </w:r>
    </w:p>
    <w:p w14:paraId="383DD27C" w14:textId="77777777" w:rsidR="00E9761A" w:rsidRPr="00800050" w:rsidRDefault="00E9761A" w:rsidP="00E9761A">
      <w:pPr>
        <w:spacing w:after="160" w:line="259" w:lineRule="auto"/>
        <w:ind w:left="0" w:hanging="2"/>
        <w:rPr>
          <w:rFonts w:ascii="Calibri" w:eastAsia="Calibri" w:hAnsi="Calibri"/>
          <w:b/>
          <w:sz w:val="22"/>
          <w:szCs w:val="22"/>
        </w:rPr>
      </w:pPr>
      <w:r w:rsidRPr="00800050">
        <w:rPr>
          <w:rFonts w:ascii="Calibri" w:eastAsia="Calibri" w:hAnsi="Calibri"/>
          <w:b/>
          <w:sz w:val="22"/>
          <w:szCs w:val="22"/>
        </w:rPr>
        <w:t>2023 HCPS code/2024 HCPS code</w:t>
      </w:r>
      <w:r w:rsidRPr="00800050">
        <w:rPr>
          <w:rFonts w:ascii="Calibri" w:eastAsia="Calibri" w:hAnsi="Calibri"/>
          <w:b/>
          <w:sz w:val="22"/>
          <w:szCs w:val="22"/>
        </w:rPr>
        <w:tab/>
      </w:r>
      <w:r w:rsidRPr="00800050">
        <w:rPr>
          <w:rFonts w:ascii="Calibri" w:eastAsia="Calibri" w:hAnsi="Calibri"/>
          <w:b/>
          <w:sz w:val="22"/>
          <w:szCs w:val="22"/>
        </w:rPr>
        <w:tab/>
        <w:t xml:space="preserve">G= Status Indicator </w:t>
      </w:r>
      <w:r w:rsidRPr="00800050">
        <w:rPr>
          <w:rFonts w:ascii="Calibri" w:eastAsia="Calibri" w:hAnsi="Calibri"/>
          <w:b/>
          <w:sz w:val="22"/>
          <w:szCs w:val="22"/>
        </w:rPr>
        <w:tab/>
        <w:t>2023 APC   Pass-through dates</w:t>
      </w:r>
    </w:p>
    <w:p w14:paraId="36C0BA89" w14:textId="77777777" w:rsidR="00E9761A" w:rsidRPr="00800050" w:rsidRDefault="00E9761A" w:rsidP="00E9761A">
      <w:pPr>
        <w:spacing w:after="160" w:line="259" w:lineRule="auto"/>
        <w:ind w:left="0" w:hanging="2"/>
        <w:rPr>
          <w:rFonts w:ascii="Calibri" w:eastAsia="Calibri" w:hAnsi="Calibri"/>
          <w:sz w:val="22"/>
          <w:szCs w:val="22"/>
        </w:rPr>
      </w:pPr>
      <w:r w:rsidRPr="00800050">
        <w:rPr>
          <w:rFonts w:ascii="Calibri" w:eastAsia="Calibri" w:hAnsi="Calibri"/>
          <w:sz w:val="22"/>
          <w:szCs w:val="22"/>
        </w:rPr>
        <w:t>A9593 Gallium ga-68 psma-11, diagnostic, (</w:t>
      </w:r>
      <w:proofErr w:type="spellStart"/>
      <w:r w:rsidRPr="00800050">
        <w:rPr>
          <w:rFonts w:ascii="Calibri" w:eastAsia="Calibri" w:hAnsi="Calibri"/>
          <w:sz w:val="22"/>
          <w:szCs w:val="22"/>
        </w:rPr>
        <w:t>ucsf</w:t>
      </w:r>
      <w:proofErr w:type="spellEnd"/>
      <w:r w:rsidRPr="00800050">
        <w:rPr>
          <w:rFonts w:ascii="Calibri" w:eastAsia="Calibri" w:hAnsi="Calibri"/>
          <w:sz w:val="22"/>
          <w:szCs w:val="22"/>
        </w:rPr>
        <w:t>), 1 millicurie G    9409 07/01/</w:t>
      </w:r>
      <w:proofErr w:type="gramStart"/>
      <w:r w:rsidRPr="00800050">
        <w:rPr>
          <w:rFonts w:ascii="Calibri" w:eastAsia="Calibri" w:hAnsi="Calibri"/>
          <w:sz w:val="22"/>
          <w:szCs w:val="22"/>
        </w:rPr>
        <w:t>2021  to</w:t>
      </w:r>
      <w:proofErr w:type="gramEnd"/>
      <w:r w:rsidRPr="00800050">
        <w:rPr>
          <w:rFonts w:ascii="Calibri" w:eastAsia="Calibri" w:hAnsi="Calibri"/>
          <w:sz w:val="22"/>
          <w:szCs w:val="22"/>
        </w:rPr>
        <w:t xml:space="preserve"> 06/30/2024 </w:t>
      </w:r>
    </w:p>
    <w:p w14:paraId="1AC0EB4B" w14:textId="77777777" w:rsidR="00E9761A" w:rsidRPr="00800050" w:rsidRDefault="00E9761A" w:rsidP="00E9761A">
      <w:pPr>
        <w:spacing w:after="160" w:line="259" w:lineRule="auto"/>
        <w:ind w:left="0" w:hanging="2"/>
        <w:rPr>
          <w:rFonts w:ascii="Calibri" w:eastAsia="Calibri" w:hAnsi="Calibri"/>
          <w:sz w:val="22"/>
          <w:szCs w:val="22"/>
        </w:rPr>
      </w:pPr>
      <w:r w:rsidRPr="00800050">
        <w:rPr>
          <w:rFonts w:ascii="Calibri" w:eastAsia="Calibri" w:hAnsi="Calibri"/>
          <w:sz w:val="22"/>
          <w:szCs w:val="22"/>
        </w:rPr>
        <w:t>A9594 Gallium ga-68 psma-11, diagnostic, (</w:t>
      </w:r>
      <w:proofErr w:type="spellStart"/>
      <w:r w:rsidRPr="00800050">
        <w:rPr>
          <w:rFonts w:ascii="Calibri" w:eastAsia="Calibri" w:hAnsi="Calibri"/>
          <w:sz w:val="22"/>
          <w:szCs w:val="22"/>
        </w:rPr>
        <w:t>ucla</w:t>
      </w:r>
      <w:proofErr w:type="spellEnd"/>
      <w:r w:rsidRPr="00800050">
        <w:rPr>
          <w:rFonts w:ascii="Calibri" w:eastAsia="Calibri" w:hAnsi="Calibri"/>
          <w:sz w:val="22"/>
          <w:szCs w:val="22"/>
        </w:rPr>
        <w:t>), 1 millicurie G    9410 07/01/</w:t>
      </w:r>
      <w:proofErr w:type="gramStart"/>
      <w:r w:rsidRPr="00800050">
        <w:rPr>
          <w:rFonts w:ascii="Calibri" w:eastAsia="Calibri" w:hAnsi="Calibri"/>
          <w:sz w:val="22"/>
          <w:szCs w:val="22"/>
        </w:rPr>
        <w:t>2021  to</w:t>
      </w:r>
      <w:proofErr w:type="gramEnd"/>
      <w:r w:rsidRPr="00800050">
        <w:rPr>
          <w:rFonts w:ascii="Calibri" w:eastAsia="Calibri" w:hAnsi="Calibri"/>
          <w:sz w:val="22"/>
          <w:szCs w:val="22"/>
        </w:rPr>
        <w:t xml:space="preserve"> 06/30/2024</w:t>
      </w:r>
    </w:p>
    <w:p w14:paraId="760F67B2" w14:textId="77777777" w:rsidR="00E9761A" w:rsidRPr="00800050" w:rsidRDefault="00E9761A" w:rsidP="00E9761A">
      <w:pPr>
        <w:spacing w:after="160" w:line="259" w:lineRule="auto"/>
        <w:ind w:left="0" w:hanging="2"/>
        <w:rPr>
          <w:rFonts w:ascii="Calibri" w:eastAsia="Calibri" w:hAnsi="Calibri"/>
          <w:sz w:val="22"/>
          <w:szCs w:val="22"/>
        </w:rPr>
      </w:pPr>
      <w:r w:rsidRPr="00800050">
        <w:rPr>
          <w:rFonts w:ascii="Calibri" w:eastAsia="Calibri" w:hAnsi="Calibri"/>
          <w:sz w:val="22"/>
          <w:szCs w:val="22"/>
        </w:rPr>
        <w:t>A9595 Piflufolastat f-18, diagnostic, 1 millicurie G   9430   01/01/</w:t>
      </w:r>
      <w:proofErr w:type="gramStart"/>
      <w:r w:rsidRPr="00800050">
        <w:rPr>
          <w:rFonts w:ascii="Calibri" w:eastAsia="Calibri" w:hAnsi="Calibri"/>
          <w:sz w:val="22"/>
          <w:szCs w:val="22"/>
        </w:rPr>
        <w:t>2022  to</w:t>
      </w:r>
      <w:proofErr w:type="gramEnd"/>
      <w:r w:rsidRPr="00800050">
        <w:rPr>
          <w:rFonts w:ascii="Calibri" w:eastAsia="Calibri" w:hAnsi="Calibri"/>
          <w:sz w:val="22"/>
          <w:szCs w:val="22"/>
        </w:rPr>
        <w:t xml:space="preserve">  12/31/2024</w:t>
      </w:r>
    </w:p>
    <w:p w14:paraId="480A147F" w14:textId="77777777" w:rsidR="00E9761A" w:rsidRPr="00800050" w:rsidRDefault="00E9761A" w:rsidP="00E9761A">
      <w:pPr>
        <w:spacing w:after="160" w:line="259" w:lineRule="auto"/>
        <w:ind w:left="0" w:hanging="2"/>
        <w:rPr>
          <w:rFonts w:ascii="Calibri" w:eastAsia="Calibri" w:hAnsi="Calibri"/>
          <w:b/>
          <w:sz w:val="22"/>
          <w:szCs w:val="22"/>
        </w:rPr>
      </w:pPr>
    </w:p>
    <w:p w14:paraId="45C1174A" w14:textId="77777777" w:rsidR="00E9761A" w:rsidRPr="00800050" w:rsidRDefault="00E9761A" w:rsidP="00E9761A">
      <w:pPr>
        <w:spacing w:after="160" w:line="259" w:lineRule="auto"/>
        <w:ind w:left="0" w:hanging="2"/>
        <w:rPr>
          <w:rFonts w:ascii="Calibri" w:eastAsia="Calibri" w:hAnsi="Calibri"/>
          <w:b/>
          <w:sz w:val="22"/>
          <w:szCs w:val="22"/>
        </w:rPr>
      </w:pPr>
      <w:r w:rsidRPr="00800050">
        <w:rPr>
          <w:rFonts w:ascii="Calibri" w:eastAsia="Calibri" w:hAnsi="Calibri"/>
          <w:b/>
          <w:sz w:val="22"/>
          <w:szCs w:val="22"/>
        </w:rPr>
        <w:t>TABLE 37: DRUGS AND BIOLOGICALS WITH PASS-THROUGH PAYMENT STATUS EXPIRING AFTER CY 2024</w:t>
      </w:r>
    </w:p>
    <w:p w14:paraId="1BA752D8" w14:textId="77777777" w:rsidR="00E9761A" w:rsidRPr="00800050" w:rsidRDefault="00E9761A" w:rsidP="00E9761A">
      <w:pPr>
        <w:spacing w:after="160" w:line="259" w:lineRule="auto"/>
        <w:ind w:left="0" w:hanging="2"/>
        <w:rPr>
          <w:rFonts w:ascii="Calibri" w:eastAsia="Calibri" w:hAnsi="Calibri"/>
          <w:sz w:val="22"/>
          <w:szCs w:val="22"/>
        </w:rPr>
      </w:pPr>
      <w:r w:rsidRPr="00800050">
        <w:rPr>
          <w:rFonts w:ascii="Calibri" w:eastAsia="Calibri" w:hAnsi="Calibri"/>
          <w:sz w:val="22"/>
          <w:szCs w:val="22"/>
        </w:rPr>
        <w:t>A9596 Gallium ga-68 gozetotide, diagnostic, (</w:t>
      </w:r>
      <w:proofErr w:type="spellStart"/>
      <w:r w:rsidRPr="00800050">
        <w:rPr>
          <w:rFonts w:ascii="Calibri" w:eastAsia="Calibri" w:hAnsi="Calibri"/>
          <w:sz w:val="22"/>
          <w:szCs w:val="22"/>
        </w:rPr>
        <w:t>illuccix</w:t>
      </w:r>
      <w:proofErr w:type="spellEnd"/>
      <w:r w:rsidRPr="00800050">
        <w:rPr>
          <w:rFonts w:ascii="Calibri" w:eastAsia="Calibri" w:hAnsi="Calibri"/>
          <w:sz w:val="22"/>
          <w:szCs w:val="22"/>
        </w:rPr>
        <w:t>), 1 millicurie G 9443 07/01/</w:t>
      </w:r>
      <w:proofErr w:type="gramStart"/>
      <w:r w:rsidRPr="00800050">
        <w:rPr>
          <w:rFonts w:ascii="Calibri" w:eastAsia="Calibri" w:hAnsi="Calibri"/>
          <w:sz w:val="22"/>
          <w:szCs w:val="22"/>
        </w:rPr>
        <w:t>2022  to</w:t>
      </w:r>
      <w:proofErr w:type="gramEnd"/>
      <w:r w:rsidRPr="00800050">
        <w:rPr>
          <w:rFonts w:ascii="Calibri" w:eastAsia="Calibri" w:hAnsi="Calibri"/>
          <w:sz w:val="22"/>
          <w:szCs w:val="22"/>
        </w:rPr>
        <w:t xml:space="preserve"> 06/30/2025</w:t>
      </w:r>
    </w:p>
    <w:p w14:paraId="7D21DD97" w14:textId="77777777" w:rsidR="00E9761A" w:rsidRPr="00800050" w:rsidRDefault="00E9761A" w:rsidP="00E9761A">
      <w:pPr>
        <w:spacing w:after="160" w:line="259" w:lineRule="auto"/>
        <w:ind w:left="0" w:hanging="2"/>
        <w:rPr>
          <w:rFonts w:ascii="Calibri" w:eastAsia="Calibri" w:hAnsi="Calibri"/>
          <w:sz w:val="22"/>
          <w:szCs w:val="22"/>
        </w:rPr>
      </w:pPr>
      <w:r w:rsidRPr="00800050">
        <w:rPr>
          <w:rFonts w:ascii="Calibri" w:eastAsia="Calibri" w:hAnsi="Calibri"/>
          <w:sz w:val="22"/>
          <w:szCs w:val="22"/>
        </w:rPr>
        <w:t>A9800 Gallium ga-68 gozetotide, diagnostic, (</w:t>
      </w:r>
      <w:proofErr w:type="spellStart"/>
      <w:r w:rsidRPr="00800050">
        <w:rPr>
          <w:rFonts w:ascii="Calibri" w:eastAsia="Calibri" w:hAnsi="Calibri"/>
          <w:sz w:val="22"/>
          <w:szCs w:val="22"/>
        </w:rPr>
        <w:t>locametz</w:t>
      </w:r>
      <w:proofErr w:type="spellEnd"/>
      <w:r w:rsidRPr="00800050">
        <w:rPr>
          <w:rFonts w:ascii="Calibri" w:eastAsia="Calibri" w:hAnsi="Calibri"/>
          <w:sz w:val="22"/>
          <w:szCs w:val="22"/>
        </w:rPr>
        <w:t>), 1 millicurie G 9055 10/01/2022 to 09/30/2025</w:t>
      </w:r>
    </w:p>
    <w:p w14:paraId="173EE1BE" w14:textId="77777777" w:rsidR="00E9761A" w:rsidRPr="00800050" w:rsidRDefault="00E9761A" w:rsidP="00E9761A">
      <w:pPr>
        <w:spacing w:after="160" w:line="259" w:lineRule="auto"/>
        <w:ind w:left="0" w:hanging="2"/>
        <w:rPr>
          <w:rFonts w:ascii="Calibri" w:eastAsia="Calibri" w:hAnsi="Calibri"/>
          <w:sz w:val="22"/>
          <w:szCs w:val="22"/>
        </w:rPr>
      </w:pPr>
      <w:r w:rsidRPr="00800050">
        <w:rPr>
          <w:rFonts w:ascii="Calibri" w:eastAsia="Calibri" w:hAnsi="Calibri"/>
          <w:sz w:val="22"/>
          <w:szCs w:val="22"/>
        </w:rPr>
        <w:t xml:space="preserve">A9607 Lutetium </w:t>
      </w:r>
      <w:proofErr w:type="spellStart"/>
      <w:r w:rsidRPr="00800050">
        <w:rPr>
          <w:rFonts w:ascii="Calibri" w:eastAsia="Calibri" w:hAnsi="Calibri"/>
          <w:sz w:val="22"/>
          <w:szCs w:val="22"/>
        </w:rPr>
        <w:t>lu</w:t>
      </w:r>
      <w:proofErr w:type="spellEnd"/>
      <w:r w:rsidRPr="00800050">
        <w:rPr>
          <w:rFonts w:ascii="Calibri" w:eastAsia="Calibri" w:hAnsi="Calibri"/>
          <w:sz w:val="22"/>
          <w:szCs w:val="22"/>
        </w:rPr>
        <w:t xml:space="preserve"> 177 vipivotide tetraxetan, therapeutic, 1 millicurie G 9054 10/01/2022 09/30/2025</w:t>
      </w:r>
    </w:p>
    <w:p w14:paraId="62670179" w14:textId="77777777" w:rsidR="00E9761A" w:rsidRPr="00800050" w:rsidRDefault="00E9761A" w:rsidP="00E9761A">
      <w:pPr>
        <w:spacing w:after="160" w:line="259" w:lineRule="auto"/>
        <w:ind w:left="0" w:hanging="2"/>
        <w:rPr>
          <w:rFonts w:ascii="Calibri" w:eastAsia="Calibri" w:hAnsi="Calibri"/>
          <w:sz w:val="22"/>
          <w:szCs w:val="22"/>
        </w:rPr>
      </w:pPr>
      <w:r w:rsidRPr="00800050">
        <w:rPr>
          <w:rFonts w:ascii="Calibri" w:eastAsia="Calibri" w:hAnsi="Calibri"/>
          <w:sz w:val="22"/>
          <w:szCs w:val="22"/>
        </w:rPr>
        <w:t>A</w:t>
      </w:r>
      <w:proofErr w:type="gramStart"/>
      <w:r w:rsidRPr="00800050">
        <w:rPr>
          <w:rFonts w:ascii="Calibri" w:eastAsia="Calibri" w:hAnsi="Calibri"/>
          <w:sz w:val="22"/>
          <w:szCs w:val="22"/>
        </w:rPr>
        <w:t>9602  Fluorodopa</w:t>
      </w:r>
      <w:proofErr w:type="gramEnd"/>
      <w:r w:rsidRPr="00800050">
        <w:rPr>
          <w:rFonts w:ascii="Calibri" w:eastAsia="Calibri" w:hAnsi="Calibri"/>
          <w:sz w:val="22"/>
          <w:szCs w:val="22"/>
        </w:rPr>
        <w:t xml:space="preserve"> f-18, diagnostic, per millicurie G 9053 10/01/2022  to 09/30/2025</w:t>
      </w:r>
    </w:p>
    <w:p w14:paraId="24B07BCA" w14:textId="77777777" w:rsidR="00E9761A" w:rsidRPr="00800050" w:rsidRDefault="00E9761A" w:rsidP="00E9761A">
      <w:pPr>
        <w:spacing w:after="160" w:line="259" w:lineRule="auto"/>
        <w:ind w:left="0" w:hanging="2"/>
        <w:rPr>
          <w:rFonts w:ascii="Calibri" w:eastAsia="Calibri" w:hAnsi="Calibri"/>
          <w:sz w:val="22"/>
          <w:szCs w:val="22"/>
        </w:rPr>
      </w:pPr>
      <w:r w:rsidRPr="00800050">
        <w:rPr>
          <w:rFonts w:ascii="Calibri" w:eastAsia="Calibri" w:hAnsi="Calibri"/>
          <w:sz w:val="22"/>
          <w:szCs w:val="22"/>
        </w:rPr>
        <w:t>Q9969 non-HEU sourced Tc-99m per dose through 2025</w:t>
      </w:r>
    </w:p>
    <w:p w14:paraId="2189BF63" w14:textId="77777777" w:rsidR="00E9761A" w:rsidRPr="00220EDF" w:rsidRDefault="00E9761A" w:rsidP="00E9761A">
      <w:pPr>
        <w:ind w:left="0" w:hanging="2"/>
        <w:rPr>
          <w:rFonts w:ascii="Arial" w:hAnsi="Arial" w:cs="Arial"/>
          <w:sz w:val="20"/>
          <w:szCs w:val="20"/>
        </w:rPr>
      </w:pPr>
    </w:p>
    <w:p w14:paraId="65772957" w14:textId="77777777" w:rsidR="00E9761A" w:rsidRDefault="00E9761A">
      <w:pPr>
        <w:ind w:left="0" w:hanging="2"/>
        <w:rPr>
          <w:rFonts w:ascii="Arial" w:eastAsia="Arial" w:hAnsi="Arial" w:cs="Arial"/>
          <w:sz w:val="20"/>
          <w:szCs w:val="20"/>
        </w:rPr>
      </w:pPr>
    </w:p>
    <w:sectPr w:rsidR="00E9761A" w:rsidSect="008436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88" w:right="720" w:bottom="28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50E5D" w14:textId="77777777" w:rsidR="0061351A" w:rsidRDefault="0061351A">
      <w:pPr>
        <w:spacing w:line="240" w:lineRule="auto"/>
        <w:ind w:left="0" w:hanging="2"/>
      </w:pPr>
      <w:r>
        <w:separator/>
      </w:r>
    </w:p>
  </w:endnote>
  <w:endnote w:type="continuationSeparator" w:id="0">
    <w:p w14:paraId="60962C23" w14:textId="77777777" w:rsidR="0061351A" w:rsidRDefault="0061351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B9C6E" w14:textId="77777777" w:rsidR="00C61AD6" w:rsidRDefault="00093C1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15D18A8" w14:textId="77777777" w:rsidR="00C61AD6" w:rsidRDefault="00C61A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6787C" w14:textId="77777777" w:rsidR="00C61AD6" w:rsidRDefault="00093C1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9761A"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9761A">
      <w:rPr>
        <w:b/>
        <w:noProof/>
        <w:color w:val="000000"/>
      </w:rPr>
      <w:t>6</w:t>
    </w:r>
    <w:r>
      <w:rPr>
        <w:b/>
        <w:color w:val="000000"/>
      </w:rPr>
      <w:fldChar w:fldCharType="end"/>
    </w:r>
  </w:p>
  <w:p w14:paraId="0C4905FE" w14:textId="77777777" w:rsidR="00C61AD6" w:rsidRDefault="00C61A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D75F74" w14:textId="77777777" w:rsidR="00756091" w:rsidRDefault="00756091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95B69" w14:textId="77777777" w:rsidR="0061351A" w:rsidRDefault="0061351A">
      <w:pPr>
        <w:spacing w:line="240" w:lineRule="auto"/>
        <w:ind w:left="0" w:hanging="2"/>
      </w:pPr>
      <w:r>
        <w:separator/>
      </w:r>
    </w:p>
  </w:footnote>
  <w:footnote w:type="continuationSeparator" w:id="0">
    <w:p w14:paraId="500D2E73" w14:textId="77777777" w:rsidR="0061351A" w:rsidRDefault="0061351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64901" w14:textId="77777777" w:rsidR="00756091" w:rsidRDefault="00756091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4DCBA" w14:textId="77777777" w:rsidR="00756091" w:rsidRPr="00756091" w:rsidRDefault="00093C13">
    <w:pPr>
      <w:ind w:left="0" w:hanging="2"/>
      <w:rPr>
        <w:rFonts w:asciiTheme="minorHAnsi" w:eastAsia="Arial" w:hAnsiTheme="minorHAnsi" w:cs="Arial"/>
        <w:b/>
        <w:sz w:val="16"/>
        <w:szCs w:val="16"/>
      </w:rPr>
    </w:pPr>
    <w:r w:rsidRPr="00756091">
      <w:rPr>
        <w:rFonts w:asciiTheme="minorHAnsi" w:eastAsia="Arial" w:hAnsiTheme="minorHAnsi" w:cs="Arial"/>
        <w:b/>
        <w:sz w:val="16"/>
        <w:szCs w:val="16"/>
      </w:rPr>
      <w:t xml:space="preserve">(SNMMI clinical guidelines </w:t>
    </w:r>
    <w:hyperlink r:id="rId1">
      <w:r w:rsidRPr="00756091">
        <w:rPr>
          <w:rFonts w:asciiTheme="minorHAnsi" w:eastAsia="Arial" w:hAnsiTheme="minorHAnsi" w:cs="Arial"/>
          <w:b/>
          <w:color w:val="0563C1"/>
          <w:sz w:val="16"/>
          <w:szCs w:val="16"/>
          <w:u w:val="single"/>
        </w:rPr>
        <w:t>http://www.snmmi.org/ClinicalPractice/content.aspx?ItemNumber=10817&amp;navItemNumber=10786</w:t>
      </w:r>
    </w:hyperlink>
    <w:r w:rsidRPr="00756091">
      <w:rPr>
        <w:rFonts w:asciiTheme="minorHAnsi" w:eastAsia="Arial" w:hAnsiTheme="minorHAnsi" w:cs="Arial"/>
        <w:b/>
        <w:sz w:val="16"/>
        <w:szCs w:val="16"/>
      </w:rPr>
      <w:t xml:space="preserve">) </w:t>
    </w:r>
  </w:p>
  <w:p w14:paraId="3B0B7293" w14:textId="2775F215" w:rsidR="00C61AD6" w:rsidRPr="00756091" w:rsidRDefault="00093C13">
    <w:pPr>
      <w:ind w:left="0" w:hanging="2"/>
      <w:rPr>
        <w:rFonts w:asciiTheme="minorHAnsi" w:eastAsia="Arial" w:hAnsiTheme="minorHAnsi" w:cs="Arial"/>
        <w:sz w:val="22"/>
        <w:szCs w:val="22"/>
      </w:rPr>
    </w:pPr>
    <w:r w:rsidRPr="00756091">
      <w:rPr>
        <w:rFonts w:asciiTheme="minorHAnsi" w:eastAsia="Arial" w:hAnsiTheme="minorHAnsi" w:cs="Arial"/>
        <w:b/>
        <w:sz w:val="22"/>
        <w:szCs w:val="22"/>
        <w:vertAlign w:val="subscript"/>
      </w:rPr>
      <w:t xml:space="preserve">Pediatric activity should follow image gently guidelines </w:t>
    </w:r>
    <w:hyperlink r:id="rId2">
      <w:r w:rsidRPr="00756091">
        <w:rPr>
          <w:rFonts w:asciiTheme="minorHAnsi" w:eastAsia="Arial" w:hAnsiTheme="minorHAnsi" w:cs="Arial"/>
          <w:b/>
          <w:color w:val="0563C1"/>
          <w:sz w:val="22"/>
          <w:szCs w:val="22"/>
          <w:u w:val="single"/>
          <w:vertAlign w:val="subscript"/>
        </w:rPr>
        <w:t>https://www.imagegently.org/Procedures/Nuclear-Medicine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B7B88" w14:textId="77777777" w:rsidR="00756091" w:rsidRDefault="00756091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AD6"/>
    <w:rsid w:val="00093C13"/>
    <w:rsid w:val="003A2CAA"/>
    <w:rsid w:val="00526B75"/>
    <w:rsid w:val="0061351A"/>
    <w:rsid w:val="00756091"/>
    <w:rsid w:val="0084363A"/>
    <w:rsid w:val="008D5258"/>
    <w:rsid w:val="00903D7F"/>
    <w:rsid w:val="00BC2120"/>
    <w:rsid w:val="00C61AD6"/>
    <w:rsid w:val="00D76F33"/>
    <w:rsid w:val="00E61172"/>
    <w:rsid w:val="00E9761A"/>
    <w:rsid w:val="00F7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2A98"/>
  <w15:docId w15:val="{D3B37AA1-7847-4A5E-9DBA-265CD235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Hyperlink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r.org/-/media/ACR/Files/Practice-Parameters/RefLevels-NucMed.pdf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cr.org/-/media/ACR/Files/Practice-Parameters/Radiopharmaceuticals.pdf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acr.org/-/media/ACR/Files/Practice-Parameters/RefLevels-NucMed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r.org/-/media/ACR/Files/Practice-Parameters/Radiopharmaceuticals.pdf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imagegently.org/Procedures/Nuclear-Medicine" TargetMode="External"/><Relationship Id="rId1" Type="http://schemas.openxmlformats.org/officeDocument/2006/relationships/hyperlink" Target="http://www.snmmi.org/ClinicalPractice/content.aspx?ItemNumber=10817&amp;navItemNumber=107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QAP1MW11Dg+WkKWcDMDctWuf/w==">CgMxLjA4AHIhMUpGdHV3MnRGcng3V2FOcU9Vb0NlRDRoRkc1WEtsRk42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2626</Words>
  <Characters>14973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wgalbrai</dc:creator>
  <cp:lastModifiedBy>Galbraith, Wendy K. (HSC)</cp:lastModifiedBy>
  <cp:revision>2</cp:revision>
  <dcterms:created xsi:type="dcterms:W3CDTF">2024-10-08T20:51:00Z</dcterms:created>
  <dcterms:modified xsi:type="dcterms:W3CDTF">2024-10-08T20:51:00Z</dcterms:modified>
</cp:coreProperties>
</file>