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复现并扩展 UniPert-G2CP:</w:t>
      </w:r>
    </w:p>
    <w:p>
      <w:pPr>
        <w:spacing w:after="4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一个 162 细胞系全基因组虚拟细胞计算平台</w:t>
      </w:r>
    </w:p>
    <w:p>
      <w:pPr>
        <w:spacing w:after="40"/>
        <w:jc w:val="center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卫铠睿¹*, 詹李靖¹, 祁灿阳¹</w:t>
      </w:r>
    </w:p>
    <w:p>
      <w:pPr>
        <w:jc w:val="center"/>
      </w:pPr>
      <w:r>
        <w:rPr>
          <w:rFonts w:ascii="SimSun" w:cs="SimSun" w:eastAsia="SimSun" w:hAnsi="SimSun"/>
          <w:sz w:val="22"/>
          <w:szCs w:val="22"/>
        </w:rPr>
        <w:t xml:space="preserve">¹新疆医科大学临床医学部，乌鲁木齐 830011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预印本（中文版） · 2026年8月</w:t>
      </w:r>
    </w:p>
    <w:p>
      <w:pPr>
        <w:pBdr>
          <w:bottom w:val="single" w:color="CCCCCC" w:sz="6" w:space="1"/>
        </w:pBdr>
        <w:spacing w:after="80"/>
      </w:pP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摘要</w:t>
      </w:r>
    </w:p>
    <w:p>
      <w:pPr>
        <w:spacing w:after="80"/>
      </w:pPr>
      <w:r>
        <w:rPr>
          <w:sz w:val="22"/>
          <w:szCs w:val="22"/>
        </w:rPr>
        <w:t xml:space="preserve">背景：2026年发表于《Cell》的UniPert-G2CP框架首次实现了基因与药物双模态扰动的统一转录组预测，但仅覆盖5个细胞系与7,860种化合物。本文独立复现该架构并大幅扩展规模，区分自洽评测与真实留出评测。</w:t>
      </w:r>
    </w:p>
    <w:p>
      <w:pPr>
        <w:spacing w:after="80"/>
      </w:pPr>
      <w:r>
        <w:rPr>
          <w:sz w:val="22"/>
          <w:szCs w:val="22"/>
        </w:rPr>
        <w:t xml:space="preserve">方法：独立复现ECFP4指纹药物编码器、ESM2-8M蛋白锚定基因编码器、对比学习与CPI对齐、两阶段迁移，扩展至32,039种药物×162个细胞系，输出12,328全基因组。采用扰动级完全留出核心评测，并用论文原始数据与公式同口径复刻。</w:t>
      </w:r>
    </w:p>
    <w:p>
      <w:pPr>
        <w:spacing w:after="80"/>
      </w:pPr>
      <w:r>
        <w:rPr>
          <w:sz w:val="22"/>
          <w:szCs w:val="22"/>
        </w:rPr>
        <w:t xml:space="preserve">结果：基因敲除PCC=0.442；新药PCC=0.3047；强效应基因方向准确率73.8%；CPI富集因子EF=139（随机基线=1）；论文同口径SMD=1.302(论文1.85)；Mantel自洽ρ=0.852（原文同口径）；Tanimoto SMD=1.613(论文1.61,验证复刻正确)。</w:t>
      </w:r>
    </w:p>
    <w:p>
      <w:pPr>
        <w:spacing w:after="80"/>
      </w:pPr>
      <w:r>
        <w:rPr>
          <w:sz w:val="22"/>
          <w:szCs w:val="22"/>
        </w:rPr>
        <w:t xml:space="preserve">结论：架构可扩展至32倍原规模（162细胞系、32,039化合物、全基因组），但性能对CPI训练词表高度敏感：机制聚类SMD较原文下降约30%（1.85→1.288），提示领域迁移瓶颈而非单纯的架构失效。平台已部署为交互式API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关键词：</w:t>
      </w:r>
    </w:p>
    <w:p>
      <w:pPr>
        <w:spacing w:after="80"/>
      </w:pPr>
      <w:r>
        <w:rPr>
          <w:sz w:val="22"/>
          <w:szCs w:val="22"/>
        </w:rPr>
        <w:t xml:space="preserve">扰动预测；转录组学；对比学习；药物响应；CRISPR筛选；虚拟细胞</w:t>
      </w:r>
    </w:p>
    <w:p>
      <w:pPr>
        <w:pBdr>
          <w:bottom w:val="single" w:color="CCCCCC" w:sz="6" w:space="1"/>
        </w:pBdr>
        <w:spacing w:after="80"/>
      </w:pP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1. 引言</w:t>
      </w:r>
    </w:p>
    <w:p>
      <w:pPr>
        <w:spacing w:after="80"/>
      </w:pPr>
      <w:r>
        <w:rPr>
          <w:sz w:val="22"/>
          <w:szCs w:val="22"/>
        </w:rPr>
        <w:t xml:space="preserve">2026年Li等人在《Cell》发表UniPert-G2CP[1]，将基因与药物干预统一建模，被视为虚拟细胞的关键计算单元。原文覆盖4,994个基因与7,860个化合物，在5种癌细胞系上进行了系统评测。</w:t>
      </w:r>
    </w:p>
    <w:p>
      <w:pPr>
        <w:spacing w:after="80"/>
      </w:pPr>
      <w:r>
        <w:rPr>
          <w:sz w:val="22"/>
          <w:szCs w:val="22"/>
        </w:rPr>
        <w:t xml:space="preserve">本文贡献：(1)独立全文复现并大幅扩展规模；(2)区分自洽/自洽评测与真实留出评测，提供多维度基准数字；(3)通过已知机制验证生物学合理性。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2. 方法（摘要）</w:t>
      </w:r>
    </w:p>
    <w:p>
      <w:pPr>
        <w:spacing w:after="80"/>
      </w:pPr>
      <w:r>
        <w:rPr>
          <w:sz w:val="22"/>
          <w:szCs w:val="22"/>
        </w:rPr>
        <w:t xml:space="preserve">训练数据源自LINCS L1000、DepMap CRISPR、sciPlex3。CPI训练对19,161对，通过ChEMBL activities构建（&lt;100µM）。架构遵循UniPert-G2CP：药物编码器为ECFP4→512维线性；基因编码器为可训练embedding（4,994×512），前320维由ESM2-8M初始化；统一嵌入空间（NT-Xent对比学习+CPI对齐损失）；表型头为MLP（544维输入→1024→12,328全基因组输出）；两阶段迁移（DepMap预训练→LINCS微调）。训练：AdamW（lr=3×10⁻⁴），冻结模式40轮。关键澄清：基因编码器维度4,994是扰动词表——可以被敲除的基因集合（输入）；表型头输出12,328是响应词表——预测其表达变化的基因集合（输出）。两者不等价：表型头是通用MLP，将544维扰动嵌入（药物/基因嵌入+32维细胞系嵌入）经两个全连接层映射到12,328维全转录组输出。这一设计与GEARS、CPA等扰动模型的标准架构一致，不要求输入与输出基因维度相等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3. 核心结果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3.1 扰动级完全留出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背景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基因敲除PCC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0.442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GEARS系模型: 0.4-0.5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新药预测PCC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0.3047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原文未报该口径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方向准确率(全基因)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60.8%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随机基线50%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方向准确率(强效应前5%)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73.8%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GEARS系: ~70-75%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3.2 CPI富集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百分位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本文（随机基线=1）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0.5% (our dataset)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1% (our dataset)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77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3.3 论文同口径复刻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本文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[1]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SMD(Cosine)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1.288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[1] 1.85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Tanimoto SMD(验证)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1.613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[1] 1.61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Mantel自洽ρ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0.852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[1] 0.43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细胞系数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[1] 5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3.4 单细胞系药物扰动分辨率</w:t>
      </w:r>
    </w:p>
    <w:p>
      <w:pPr>
        <w:spacing w:after="80"/>
      </w:pPr>
      <w:r>
        <w:rPr>
          <w:sz w:val="22"/>
          <w:szCs w:val="22"/>
        </w:rPr>
        <w:t xml:space="preserve">我们在训练域内评估了单细胞系级别的预测能力：对每个细胞系分别计算扰动级留出的药物扰动PCC（120个有足够样本的细胞系）。单系PCC平均为0.359（中位0.362，范围-0.004至0.615；A549=0.362，MCF7=0.360）。该指标基于全基因组（12,328基因）在扰动级完全留出（训练中未见过的药物）条件下计算，直接对标原文sciPlex3的单细胞系评测。原文在sciPlex3上报告的PCC为0.98（A549/MCF7/K562），但该分数来自top-DEG子集且采用近域留出（药物见过仅换剂量/细胞系）；我们的单系PCC反映了全基因、未见扰动、更大且更异质的LINCS筛查库这一更严格的评测设定。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3.5 生物学验证</w:t>
      </w:r>
    </w:p>
    <w:p>
      <w:pPr>
        <w:spacing w:after="80"/>
      </w:pPr>
      <w:r>
        <w:rPr>
          <w:sz w:val="22"/>
          <w:szCs w:val="22"/>
        </w:rPr>
        <w:t xml:space="preserve">以下四个案例为代表性阳性验证，并非全基因组系统验证，不排除假阳性预测的存在。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预测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CD36敲除xASC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PPARG↓, CEBPA↓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脂肪代谢 [7]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地塞米松xHA1E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TSC22D3↑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糖皮质激素靶 [8]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阿司匹林xPBMC-NK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PRF1↑,GZMB↑,GNLY↑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NK杀伤 [9]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二甲双胍xHEPG2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SLC7A5↓, PLIN2↓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mTORC1+脂滴 [10]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实验研究已证实：siRNA沉默CD36可抑制3T3-L1前脂肪细胞的脂肪分化并降低PPARγ和C/EBPα蛋白表达 [7]；TSC22D3(GILZ)是地塞米松的经典诱导靶基因，介导糖皮质激素的抗增殖效应 [8]；阿司匹林可增强自然杀伤细胞的细胞毒活性 [9]；二甲双胍通过AMPK激活抑制mTORC1信号，与LAT1(SLC7A5)抑制剂联用可产生叠加的mTOR抑制效果 [10]。以上四项均与我们的模型预测方向一致。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4. 讨论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4.1 核心贡献</w:t>
      </w:r>
    </w:p>
    <w:p>
      <w:pPr>
        <w:spacing w:after="80"/>
      </w:pPr>
      <w:r>
        <w:rPr>
          <w:sz w:val="22"/>
          <w:szCs w:val="22"/>
        </w:rPr>
        <w:t xml:space="preserve">本文做出四项贡献。第一，独立构建了UniPert-G2CP核心架构并扩展至32倍规模（162 vs. 5个细胞系）、全基因组输出（12,328基因），证明该架构可扩展至大规模场景，但性能对CPI词表域高度敏感（SMD较原文下降约30%，详见4.3节）。第二，指出原文评测框架中两个在评估泛化性能时需谨慎解读的设定：SMD指标受益于评测集（ChEMBL真实药物）的高指纹基线（原文ECFP4 Tanimoto SMD = 1.61，我们复刻为1.613）；对齐ρ指标比较的是分子嵌入与模型自身预测效应（自洽性测试），而非独立测量效应。第三，在原文的自洽Mantel评测口径下，我们取得ρ = 0.852。原文在同一口径下报告0.43（基于不同PCL集），两者不可直接比较。第四，提供了原文未包含的定性生物学验证案例（CD36/ASC、地塞米松/HA1E、阿司匹林/PBMC-NK、二甲双胍/HEPG2）。</w:t>
      </w:r>
    </w:p>
    <w:p>
      <w:pPr>
        <w:spacing w:after="80"/>
      </w:pPr>
      <w:r>
        <w:rPr>
          <w:sz w:val="22"/>
          <w:szCs w:val="22"/>
        </w:rPr>
        <w:t xml:space="preserve">在扰动级完全留出评测中，基因敲除预测PCC为0.442，新药预测PCC为0.3047，强效应基因（前5%）方向准确率为73.8%，与领域前沿（GEARS [6] 代表）同级。CPI富集因子（EF=139，显著高于随机基线）与自洽ρ（0.852）均基于各自数据集评测，不宜跨研究直接比较。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4.2 蛋白编码器选择说明</w:t>
      </w:r>
    </w:p>
    <w:p>
      <w:pPr>
        <w:spacing w:after="80"/>
      </w:pPr>
      <w:r>
        <w:rPr>
          <w:sz w:val="22"/>
          <w:szCs w:val="22"/>
        </w:rPr>
        <w:t xml:space="preserve">与原文的一个关键架构差异是：我们采用轻量级ESM2-8M蛋白语言模型[4]为基因侧提供语义锚定，而原文使用ESM+MSA+蛋白相似图GNN消息传递的完整管线。这一选择兼顾实践约束与方法优势：（1）参数效率：ESM2-8M在蛋白功能预测与变异效应预测等下游任务上有竞争力表现，在同一自监督预训练框架（6500万条UniRef50序列的掩码语言建模）下，8M变体已捕获核心进化与结构信号，计算成本远低于同系列大模型（ESM2-35M/150M/650M）。（2）低维度本身是优势：320维输出为我们4,994个基因嵌入表提供了紧凑的语义先验——每个基因的训练观测有限，低维先验有助于避免过拟合，这一优势在高维编码器上会被放大。（3）锚定而非替代：我们不是用ESM特征直接替代可训练基因嵌入，而是采用锚定策略——基因嵌入表的前320维由ESM2-8M初始化并在训练中施加轻量L2正则，剩余维度和所有参数自由学习，表型头可自由发现基因→表型映射，在必要时覆盖甚至偏离ESM先验。（4）硬件兼容：8M参数量可在消费级GPU（RTX 3050 Ti, 4 GB）上正常运行，无需云端计算资源即可实现可复现的训练。我们坦承锚定策略构成对原文GNN蛋白编码器的简化，将MSA和蛋白相似图组件纳入基因编码器——既可作为嵌入表的附加输入，也可作为独立GNN编码器——是未来在有更大算力条件下的自然延伸方向。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4.3 SMD差距分析</w:t>
      </w:r>
    </w:p>
    <w:p>
      <w:pPr>
        <w:spacing w:after="80"/>
      </w:pPr>
      <w:r>
        <w:rPr>
          <w:sz w:val="22"/>
          <w:szCs w:val="22"/>
        </w:rPr>
        <w:t xml:space="preserve">在同口径评测下，我们的机制聚类SMD为1.288，达到原文1.85的69.6%。差距的首要来源是化合物词表的互不重叠：原文的CPI训练集（53,963对，PubChem化合物）与我们的LINCS BRD词表（19,161对，ChEMBL化合物，已接近该词表下的物理上限）重叠率不足1%，无法直接共用。轻量级ESM2-8M蛋白锚定（未含原文的MSA与蛋白相似图GNN）也可能贡献部分差距。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4.4 局限</w:t>
      </w:r>
    </w:p>
    <w:p>
      <w:pPr>
        <w:spacing w:after="80"/>
      </w:pPr>
      <w:r>
        <w:rPr>
          <w:sz w:val="22"/>
          <w:szCs w:val="22"/>
        </w:rPr>
        <w:t xml:space="preserve">(1)全基因方向准确率60.8%，不应直接作为实验结论——该平台宜作为候选筛选与假说生成工具。(2)蛋白编码器为简化版本。(3)CPI训练数据在现有化合物词表下已达物理上限。(4)SMD评测集反映已知药物的结构特征，与筛查库化合物存在系统性差异。(5)未实现单细胞分辨率。(6)原文未公开训练代码，本复现基于论文描述与公开评测仓库，可能存在实现差异。(7)32倍细胞系扩展带来的生物异质性提升本身也会拉低总体指标；全基因组输出（12,328基因）相比原研究的 landmark 基因预测难度更高，可能放大表观性能差距。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5. 结论</w:t>
      </w:r>
    </w:p>
    <w:p>
      <w:pPr>
        <w:spacing w:after="80"/>
      </w:pPr>
      <w:r>
        <w:rPr>
          <w:sz w:val="22"/>
          <w:szCs w:val="22"/>
        </w:rPr>
        <w:t xml:space="preserve">我们独立构建并扩展UniPert-G2CP架构至162细胞系、32,039化合物、全基因组输出，建成可部署的虚拟细胞预测平台。架构可成功扩展，但性能对CPI训练词表高度敏感，揭示的是领域迁移瓶颈而非单纯的架构局限。本文提供了留出评测指标、论文同口径复刻与生物学验证案例作为透明参考。平台可作为扰动生物学研究的候选筛选工具免费获取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数据与代码可用性</w:t>
      </w:r>
    </w:p>
    <w:p>
      <w:pPr>
        <w:spacing w:after="80"/>
      </w:pPr>
      <w:r>
        <w:rPr>
          <w:sz w:val="22"/>
          <w:szCs w:val="22"/>
        </w:rPr>
        <w:t xml:space="preserve">所有训练数据均来自公开数据库：LINCS L1000 (GSE92742，level 5 moderated Z-scores)、DepMap CRISPR (23Q2，CERES评分)、sciPlex3、ChEMBL 37。额外19个GEO来源细胞系来自GSE61302（ASC）、GSE22886及GSE60235（免疫亚群：BM-PlasmaCell、PBMC-Bcell、PBMC-CD4T、PBMC-CD8T、PBMC-monocyte、PBMC-NK、PBMC-neutrophil、PBMC-plasmacytoidDC），以及HUVEC、iPSC、软骨细胞、胰岛、角质形成细胞、骨骼肌、视网膜色素上皮、虹膜色素上皮、脉络膜成纤维细胞和平滑肌细胞（主动脉、支气管、冠状动脉、肺动脉）等GEO系列，完整GSE编号见代码仓库README。自洽Mantel检验采用9,999次置换、余弦距离。原研究公开资源见GitHub [2]与Zenodo [3]。本复现工程的代码、模型权重（g2cp_full_cpi_v7.pt）与预处理数据集将发布于Zenodo/Figshare (DOI提交后分配) 及GitHub。API服务可按合理请求提供。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声明</w:t>
      </w:r>
    </w:p>
    <w:p>
      <w:pPr>
        <w:spacing w:after="80"/>
      </w:pPr>
      <w:r>
        <w:rPr>
          <w:sz w:val="22"/>
          <w:szCs w:val="22"/>
        </w:rPr>
        <w:t xml:space="preserve">利益冲突：作者声明无竞争利益。</w:t>
      </w:r>
    </w:p>
    <w:p>
      <w:pPr>
        <w:spacing w:after="80"/>
      </w:pPr>
      <w:r>
        <w:rPr>
          <w:sz w:val="22"/>
          <w:szCs w:val="22"/>
        </w:rPr>
        <w:t xml:space="preserve">经费资助：本研究未获得任何公共、商业或非营利部门资助机构的专项资助。</w:t>
      </w:r>
    </w:p>
    <w:p>
      <w:pPr>
        <w:spacing w:after="80"/>
      </w:pPr>
      <w:r>
        <w:rPr>
          <w:sz w:val="22"/>
          <w:szCs w:val="22"/>
        </w:rPr>
        <w:t xml:space="preserve">伦理声明：本研究全部使用公开匿名数据集，不涉及人类或动物受试者，无需伦理审批。</w:t>
      </w:r>
    </w:p>
    <w:p>
      <w:pPr>
        <w:spacing w:after="80"/>
      </w:pPr>
      <w:r>
        <w:rPr>
          <w:sz w:val="22"/>
          <w:szCs w:val="22"/>
        </w:rPr>
        <w:t xml:space="preserve">作者贡献：卫铠睿构思研究方案，实现核心架构与训练管线，完成全部计算实验与论文撰写。詹李靖开发交互式网页界面与可视化组件。祁灿阳参与评测基准构建与生物学验证数据整理。全体作者审阅并同意投稿。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参考文献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[1] Li Y,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Cell</w:t>
      </w:r>
      <w:r>
        <w:rPr>
          <w:rFonts w:ascii="SimSun" w:cs="SimSun" w:eastAsia="SimSun" w:hAnsi="SimSun"/>
          <w:sz w:val="22"/>
          <w:szCs w:val="22"/>
        </w:rPr>
        <w:t xml:space="preserve">. 2026.</w:t>
      </w:r>
    </w:p>
    <w:p>
      <w:pPr>
        <w:spacing w:after="80"/>
      </w:pPr>
      <w:r>
        <w:rPr>
          <w:sz w:val="22"/>
          <w:szCs w:val="22"/>
        </w:rPr>
        <w:t xml:space="preserve">[2] lynn-1998. UniPert-G2CP_reproduce [Source code]. GitHub. 2026.</w:t>
      </w:r>
    </w:p>
    <w:p>
      <w:pPr>
        <w:spacing w:after="80"/>
      </w:pPr>
      <w:r>
        <w:rPr>
          <w:sz w:val="22"/>
          <w:szCs w:val="22"/>
        </w:rPr>
        <w:t xml:space="preserve">[3] Li Y, et al. UniPert-G2CP [Data set]. Zenodo. 2026. doi:10.5281/zenodo.20355906.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[4] Lin Z,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Science</w:t>
      </w:r>
      <w:r>
        <w:rPr>
          <w:rFonts w:ascii="SimSun" w:cs="SimSun" w:eastAsia="SimSun" w:hAnsi="SimSun"/>
          <w:sz w:val="22"/>
          <w:szCs w:val="22"/>
        </w:rPr>
        <w:t xml:space="preserve">. 2023;379:1123-1130.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[5] Subramanian A,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Cell</w:t>
      </w:r>
      <w:r>
        <w:rPr>
          <w:rFonts w:ascii="SimSun" w:cs="SimSun" w:eastAsia="SimSun" w:hAnsi="SimSun"/>
          <w:sz w:val="22"/>
          <w:szCs w:val="22"/>
        </w:rPr>
        <w:t xml:space="preserve">. 2017;171:1437-1452.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[6] Roohani Y,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Nature Biotechnology</w:t>
      </w:r>
      <w:r>
        <w:rPr>
          <w:rFonts w:ascii="SimSun" w:cs="SimSun" w:eastAsia="SimSun" w:hAnsi="SimSun"/>
          <w:sz w:val="22"/>
          <w:szCs w:val="22"/>
        </w:rPr>
        <w:t xml:space="preserve">. 2023;42:927-936.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[7] Gao H,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Biochem Biophys Res Commun</w:t>
      </w:r>
      <w:r>
        <w:rPr>
          <w:rFonts w:ascii="SimSun" w:cs="SimSun" w:eastAsia="SimSun" w:hAnsi="SimSun"/>
          <w:sz w:val="22"/>
          <w:szCs w:val="22"/>
        </w:rPr>
        <w:t xml:space="preserve">. 2017;491:42-48.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[8] Ayroldi E,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 Clin Invest</w:t>
      </w:r>
      <w:r>
        <w:rPr>
          <w:rFonts w:ascii="SimSun" w:cs="SimSun" w:eastAsia="SimSun" w:hAnsi="SimSun"/>
          <w:sz w:val="22"/>
          <w:szCs w:val="22"/>
        </w:rPr>
        <w:t xml:space="preserve">. 2007;117:1605-1615.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[9] Muss C,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Dtsch Z Onkol</w:t>
      </w:r>
      <w:r>
        <w:rPr>
          <w:rFonts w:ascii="SimSun" w:cs="SimSun" w:eastAsia="SimSun" w:hAnsi="SimSun"/>
          <w:sz w:val="22"/>
          <w:szCs w:val="22"/>
        </w:rPr>
        <w:t xml:space="preserve">. 2002;34:140-145.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[10] Ueno S,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 Pharmacol Sci</w:t>
      </w:r>
      <w:r>
        <w:rPr>
          <w:rFonts w:ascii="SimSun" w:cs="SimSun" w:eastAsia="SimSun" w:hAnsi="SimSun"/>
          <w:sz w:val="22"/>
          <w:szCs w:val="22"/>
        </w:rPr>
        <w:t xml:space="preserve">. 2016;131:110-117.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2026-08-07T04:00:39.284Z</dcterms:created>
  <dcterms:modified xsi:type="dcterms:W3CDTF">2026-08-07T04:00:39.284Z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