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
        <w:jc w:val="center"/>
      </w:pPr>
      <w:r>
        <w:rPr>
          <w:b/>
          <w:bCs/>
          <w:sz w:val="34"/>
          <w:szCs w:val="34"/>
        </w:rPr>
        <w:t xml:space="preserve">Reproducing and Scaling UniPert-G2CP:</w:t>
      </w:r>
    </w:p>
    <w:p>
      <w:pPr>
        <w:spacing w:after="4"/>
        <w:jc w:val="center"/>
      </w:pPr>
      <w:r>
        <w:rPr>
          <w:b/>
          <w:bCs/>
          <w:sz w:val="30"/>
          <w:szCs w:val="30"/>
        </w:rPr>
        <w:t xml:space="preserve">A 162-Cell-Line Genome-Wide Platform for Perturbation-to-Phenotype Prediction</w:t>
      </w:r>
    </w:p>
    <w:p>
      <w:pPr>
        <w:spacing w:after="40"/>
        <w:jc w:val="center"/>
      </w:pPr>
      <w:r>
        <w:rPr>
          <w:sz w:val="22"/>
          <w:szCs w:val="22"/>
        </w:rPr>
        <w:t xml:space="preserve"/>
      </w:r>
    </w:p>
    <w:p>
      <w:pPr>
        <w:jc w:val="center"/>
      </w:pPr>
      <w:r>
        <w:rPr>
          <w:b/>
          <w:bCs/>
          <w:sz w:val="26"/>
          <w:szCs w:val="26"/>
        </w:rPr>
        <w:t xml:space="preserve">Kairui Wei¹*, Lijing Zhan¹, Canyang Qi¹</w:t>
      </w:r>
    </w:p>
    <w:p>
      <w:pPr>
        <w:jc w:val="center"/>
      </w:pPr>
      <w:r>
        <w:rPr>
          <w:sz w:val="22"/>
          <w:szCs w:val="22"/>
        </w:rPr>
        <w:t xml:space="preserve">¹School of Clinical Medicine, Xinjiang Medical University, Urumqi 830011, China</w:t>
      </w:r>
    </w:p>
    <w:p>
      <w:pPr>
        <w:spacing w:after="40"/>
        <w:jc w:val="center"/>
      </w:pPr>
      <w:r>
        <w:rPr>
          <w:sz w:val="22"/>
          <w:szCs w:val="22"/>
        </w:rPr>
        <w:t xml:space="preserve"/>
      </w:r>
    </w:p>
    <w:p>
      <w:pPr>
        <w:spacing w:after="200"/>
        <w:jc w:val="center"/>
      </w:pPr>
      <w:r>
        <w:rPr>
          <w:color w:val="666666"/>
          <w:sz w:val="20"/>
          <w:szCs w:val="20"/>
        </w:rPr>
        <w:t xml:space="preserve">*Correspondence: [your-email]</w:t>
      </w:r>
    </w:p>
    <w:p>
      <w:pPr>
        <w:pBdr>
          <w:bottom w:val="single" w:color="CCCCCC" w:sz="6" w:space="1"/>
        </w:pBdr>
        <w:spacing w:after="80"/>
      </w:pPr>
    </w:p>
    <w:p>
      <w:pPr>
        <w:pStyle w:val="Heading2"/>
        <w:spacing w:after="100" w:before="200"/>
      </w:pPr>
      <w:r>
        <w:rPr>
          <w:b/>
          <w:bCs/>
          <w:sz w:val="28"/>
          <w:szCs w:val="28"/>
        </w:rPr>
        <w:t xml:space="preserve">Abstract</w:t>
      </w:r>
    </w:p>
    <w:p>
      <w:pPr>
        <w:spacing w:after="80"/>
      </w:pPr>
      <w:r>
        <w:rPr>
          <w:b/>
          <w:bCs/>
          <w:sz w:val="22"/>
          <w:szCs w:val="22"/>
        </w:rPr>
        <w:t xml:space="preserve">Background. </w:t>
      </w:r>
    </w:p>
    <w:p>
      <w:pPr>
        <w:spacing w:after="80"/>
      </w:pPr>
      <w:r>
        <w:rPr>
          <w:sz w:val="22"/>
          <w:szCs w:val="22"/>
        </w:rPr>
        <w:t xml:space="preserve">UniPert-G2CP (Li et al., Cell, 2026) introduced a unified framework for predicting transcriptomic responses to genetic and chemical perturbations across five cancer cell lines. To date, no independent reproduction or large-scale extension has been reported.</w:t>
      </w:r>
    </w:p>
    <w:p>
      <w:pPr>
        <w:spacing w:after="80"/>
      </w:pPr>
      <w:r>
        <w:rPr>
          <w:b/>
          <w:bCs/>
          <w:sz w:val="22"/>
          <w:szCs w:val="22"/>
        </w:rPr>
        <w:t xml:space="preserve">Methods. </w:t>
      </w:r>
    </w:p>
    <w:p>
      <w:pPr>
        <w:spacing w:after="80"/>
      </w:pPr>
      <w:r>
        <w:rPr>
          <w:sz w:val="22"/>
          <w:szCs w:val="22"/>
        </w:rPr>
        <w:t xml:space="preserve">We built the core UniPert-G2CP architecture, which integrates ECFP4 compound fingerprints, ESM2-8M protein anchoring, contrastive learning with CPI alignment, and two-stage transfer, and scaled it to 32,039 compounds × 162 cell lines (4× and 32× the original, respectively) with genome-wide output (12,328 genes).</w:t>
      </w:r>
    </w:p>
    <w:p>
      <w:pPr>
        <w:spacing w:after="80"/>
      </w:pPr>
      <w:r>
        <w:rPr>
          <w:b/>
          <w:bCs/>
          <w:sz w:val="22"/>
          <w:szCs w:val="22"/>
        </w:rPr>
        <w:t xml:space="preserve">Results. </w:t>
      </w:r>
    </w:p>
    <w:p>
      <w:pPr>
        <w:spacing w:after="80"/>
      </w:pPr>
      <w:r>
        <w:rPr>
          <w:sz w:val="22"/>
          <w:szCs w:val="22"/>
        </w:rPr>
        <w:t xml:space="preserve">Held-out gene knockout PCC = 0.442; novel drug PCC = 0.3047; directional accuracy for top-5% effect-size genes = 73.8%. Compound-Protein Interaction (CPI) enrichment factor at top 0.5% = 139 (random baseline = 1). Benchmark-consistent evaluation: mechanism-clustering SMD = 1.288 (original 1.85); self-consistency Mantel ρ = 0.852 under the original formulation; Tanimoto SMD validation = 1.613 (original 1.61). Biological validation: CD36 knockout → PPARG/CEBPA downregulation, consistent with prior experimental evidence; metformin on HEPG2 → SLC7A5/PLIN2 downregulation.</w:t>
      </w:r>
    </w:p>
    <w:p>
      <w:pPr>
        <w:spacing w:after="80"/>
      </w:pPr>
      <w:r>
        <w:rPr>
          <w:b/>
          <w:bCs/>
          <w:sz w:val="22"/>
          <w:szCs w:val="22"/>
        </w:rPr>
        <w:t xml:space="preserve">Conclusions. </w:t>
      </w:r>
    </w:p>
    <w:p>
      <w:pPr>
        <w:spacing w:after="80"/>
      </w:pPr>
      <w:r>
        <w:rPr>
          <w:sz w:val="22"/>
          <w:szCs w:val="22"/>
        </w:rPr>
        <w:t xml:space="preserve">The architecture scales to 32× the original size (162 cell lines, 32,039 compounds, genome-wide), but performance is sensitive to CPI training vocabulary: mechanism-clustering SMD drops approximately 30% from the original (1.85 → 1.288), indicating a domain-transfer bottleneck. The platform is made available as an interactive API upon reasonable request.</w:t>
      </w:r>
    </w:p>
    <w:p>
      <w:pPr>
        <w:spacing w:after="80"/>
      </w:pPr>
      <w:r>
        <w:rPr>
          <w:sz w:val="22"/>
          <w:szCs w:val="22"/>
        </w:rPr>
        <w:t xml:space="preserve"/>
      </w:r>
    </w:p>
    <w:p>
      <w:pPr>
        <w:spacing w:after="80"/>
      </w:pPr>
      <w:r>
        <w:rPr>
          <w:b/>
          <w:bCs/>
          <w:sz w:val="22"/>
          <w:szCs w:val="22"/>
        </w:rPr>
        <w:t xml:space="preserve">Keywords: </w:t>
      </w:r>
    </w:p>
    <w:p>
      <w:pPr>
        <w:spacing w:after="80"/>
      </w:pPr>
      <w:r>
        <w:rPr>
          <w:sz w:val="22"/>
          <w:szCs w:val="22"/>
        </w:rPr>
        <w:t xml:space="preserve">perturbation prediction; transcriptomics; contrastive learning; drug response; CRISPR screening; virtual cell</w:t>
      </w:r>
    </w:p>
    <w:p>
      <w:pPr>
        <w:pBdr>
          <w:bottom w:val="single" w:color="CCCCCC" w:sz="6" w:space="1"/>
        </w:pBdr>
        <w:spacing w:after="80"/>
      </w:pPr>
    </w:p>
    <w:p>
      <w:pPr>
        <w:pStyle w:val="Heading2"/>
        <w:spacing w:after="100" w:before="200"/>
      </w:pPr>
      <w:r>
        <w:rPr>
          <w:b/>
          <w:bCs/>
          <w:sz w:val="28"/>
          <w:szCs w:val="28"/>
        </w:rPr>
        <w:t xml:space="preserve">1. Introduction</w:t>
      </w:r>
    </w:p>
    <w:p>
      <w:pPr>
        <w:spacing w:after="80"/>
      </w:pPr>
      <w:r>
        <w:rPr>
          <w:sz w:val="22"/>
          <w:szCs w:val="22"/>
        </w:rPr>
        <w:t xml:space="preserve">Predicting transcriptomic responses to molecular perturbations has emerged as a central challenge in AI-driven biology. Li et al. published UniPert-G2CP in Cell [1], unifying genetic and chemical perturbagens in a shared embedding space spanning 4,994 genes, 7,860 compounds, and 5 cancer lines.</w:t>
      </w:r>
    </w:p>
    <w:p>
      <w:pPr>
        <w:spacing w:after="80"/>
      </w:pPr>
      <w:r>
        <w:rPr>
          <w:sz w:val="22"/>
          <w:szCs w:val="22"/>
        </w:rPr>
        <w:t xml:space="preserve">This work is motivated by two observations. First, several of the original evaluation settings assess self-consistency rather than generalization (e.g., sciPlex3 holds compound identity while varying dose; Mantel ρ compares embeddings against model-predicted rather than independently measured effects). Second, training code was not released, although a reproduction repository [2] and a Zenodo archive [3] are available.</w:t>
      </w:r>
    </w:p>
    <w:p>
      <w:pPr>
        <w:spacing w:after="80"/>
      </w:pPr>
      <w:r>
        <w:rPr>
          <w:sz w:val="22"/>
          <w:szCs w:val="22"/>
        </w:rPr>
        <w:t xml:space="preserve">This work contributes: (1) an independent full-scale reconstruction of the architecture (32,039 compounds × 162 cell lines, genome-wide output); (2) a disentangled evaluation framework that distinguishes held-out prediction, self-consistency, and benchmark-consistent metrics; (3) biological validation against published experimental evidence.</w:t>
      </w:r>
    </w:p>
    <w:p>
      <w:pPr>
        <w:pStyle w:val="Heading2"/>
        <w:spacing w:after="100" w:before="200"/>
      </w:pPr>
      <w:r>
        <w:rPr>
          <w:b/>
          <w:bCs/>
          <w:sz w:val="28"/>
          <w:szCs w:val="28"/>
        </w:rPr>
        <w:t xml:space="preserve">2. Methods</w:t>
      </w:r>
    </w:p>
    <w:p>
      <w:pPr>
        <w:pStyle w:val="Heading3"/>
        <w:spacing w:after="80" w:before="160"/>
      </w:pPr>
      <w:r>
        <w:rPr>
          <w:b/>
          <w:bCs/>
          <w:sz w:val="26"/>
          <w:szCs w:val="26"/>
        </w:rPr>
        <w:t xml:space="preserve">2.1 Datasets and Preprocessing</w:t>
      </w:r>
    </w:p>
    <w:p>
      <w:pPr>
        <w:spacing w:after="80"/>
      </w:pPr>
      <w:r>
        <w:rPr>
          <w:sz w:val="22"/>
          <w:szCs w:val="22"/>
        </w:rPr>
        <w:t xml:space="preserve">We utilized LINCS L1000 (level 5, GSE92742; moderated Z-scores, 305,297 samples), DepMap CRISPR screens (23Q2 release, CERES gene-effect scores), and sciPlex3 data. Compound SMILES were obtained from ChEMBL 37. CPI pairs (19,161 pairs, 2,881 compounds × 1,442 targets) were extracted from ChEMBL activity measurements (IC50, EC50, Ki, Kd; threshold &lt;100 µM; duplicate compound-target pairs aggregated by minimum activity value). Primary training comprised 4,994 genes, 32,039 compounds, and 143 cell lines, with 19 additional GEO-derived lines added (GSE identifiers provided in Data Availability; total 162 lines, minimum 50 samples per line). Data split: perturbation-level hold-out (10% of perturbations randomly assigned to test set unseen during training; all cell lines and doses of held-out perturbations withheld); remaining 90% split 80/20 for train/validation.</w:t>
      </w:r>
    </w:p>
    <w:p>
      <w:pPr>
        <w:pStyle w:val="Heading3"/>
        <w:spacing w:after="80" w:before="160"/>
      </w:pPr>
      <w:r>
        <w:rPr>
          <w:b/>
          <w:bCs/>
          <w:sz w:val="26"/>
          <w:szCs w:val="26"/>
        </w:rPr>
        <w:t xml:space="preserve">2.2 Model Architecture</w:t>
      </w:r>
    </w:p>
    <w:p>
      <w:pPr>
        <w:spacing w:after="80"/>
      </w:pPr>
      <w:r>
        <w:rPr>
          <w:sz w:val="22"/>
          <w:szCs w:val="22"/>
        </w:rPr>
        <w:t xml:space="preserve">The architecture follows UniPert-G2CP: drug encoder (ECFP4, 2048-bit → 512-dim Linear); gene encoder (4,994×512 embedding, first 320 dims ESM2-8M-anchored [4]); unified space (NT-Xent with temperature τ = 0.07 + CPI alignment via cosine distance, loss weights 1.0 : 0.8); phenotype head takes the concatenated perturbation embedding (512-dim) and cell embedding (32-dim) as a 544-dim input, processed through two fully connected layers (Linear 544→1024, GELU, Linear 1024→12,328) to produce genome-wide output; two-stage transfer (DepMap → LINCS). The gene encoder dimension (4,994) defines the perturbation vocabulary (genes that can be knocked out); the phenotype head output (12,328) defines the response vocabulary (genes whose expression is predicted). The head is a generic MLP that does not require equality between these two gene sets, following standard perturbation-model architecture (GEARS, CPA).</w:t>
      </w:r>
    </w:p>
    <w:p>
      <w:pPr>
        <w:pStyle w:val="Heading3"/>
        <w:spacing w:after="80" w:before="160"/>
      </w:pPr>
      <w:r>
        <w:rPr>
          <w:b/>
          <w:bCs/>
          <w:sz w:val="26"/>
          <w:szCs w:val="26"/>
        </w:rPr>
        <w:t xml:space="preserve">2.3 Training Protocol</w:t>
      </w:r>
    </w:p>
    <w:p>
      <w:pPr>
        <w:spacing w:after="80"/>
      </w:pPr>
      <w:r>
        <w:rPr>
          <w:sz w:val="22"/>
          <w:szCs w:val="22"/>
        </w:rPr>
        <w:t xml:space="preserve">Stage A (DepMap pretraining): 10 epochs, lr=3×10⁻⁴, only phenotype head trained. Stage B (LINCS finetuning): AdamW (lr=3×10⁻⁴), batch size 256, 40 epochs, gene encoder frozen throughout, drug encoder and phenotype head trained.</w:t>
      </w:r>
    </w:p>
    <w:p>
      <w:pPr>
        <w:pStyle w:val="Heading2"/>
        <w:spacing w:after="100" w:before="200"/>
      </w:pPr>
      <w:r>
        <w:rPr>
          <w:b/>
          <w:bCs/>
          <w:sz w:val="28"/>
          <w:szCs w:val="28"/>
        </w:rPr>
        <w:t xml:space="preserve">3. Results</w:t>
      </w:r>
    </w:p>
    <w:p>
      <w:pPr>
        <w:pStyle w:val="Heading3"/>
        <w:spacing w:after="80" w:before="160"/>
      </w:pPr>
      <w:r>
        <w:rPr>
          <w:b/>
          <w:bCs/>
          <w:sz w:val="26"/>
          <w:szCs w:val="26"/>
        </w:rPr>
        <w:t xml:space="preserve">3.1 Held-Out Perturbation Prediction</w:t>
      </w:r>
    </w:p>
    <w:p>
      <w:pPr>
        <w:spacing w:after="80"/>
      </w:pPr>
      <w:r>
        <w:rPr>
          <w:sz w:val="22"/>
          <w:szCs w:val="22"/>
        </w:rPr>
        <w:t xml:space="preserve">Metrics. PCC: Pearson Correlation Coefficient between predicted and measured expression changes, computed across all genes per held-out sample then averaged. Directional accuracy: fraction of genes for which the sign of predicted change matches the sign of measured change; top-5% defined by ranking genes by absolute measured effect size. SMD: Standardized Mean Difference, calculated as (mean intra-class cosine similarity − mean overall cosine similarity) / pooled standard deviation, grouping drugs by Mechanism of Action. Mantel self-consistency ρ: Mantel test with Spearman correlation, 9,999 permutations using cosine distance, comparing molecular embedding similarity against model-predicted effect similarity.</w:t>
      </w:r>
    </w:p>
    <w:p>
      <w:pPr>
        <w:spacing w:after="80"/>
      </w:pPr>
      <w:r>
        <w:rPr>
          <w:b/>
          <w:bCs/>
          <w:sz w:val="22"/>
          <w:szCs w:val="22"/>
        </w:rPr>
        <w:t xml:space="preserve">Table 1. Held-out perturbation prediction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Metric</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Value</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Context</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Gene knockout PCC</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0.442</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GEARS-class models: 0.4–0.5</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Novel drug PCC</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0.3047</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Not reported in original</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Directional accuracy (genome-wide)</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60.8%</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compared to random baseline 50%</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Directional accuracy (top-5%)</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73.8%</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GEARS-class: ~70–75%</w:t>
            </w:r>
          </w:p>
        </w:tc>
      </w:tr>
    </w:tbl>
    <w:p>
      <w:pPr>
        <w:pStyle w:val="Heading3"/>
        <w:spacing w:after="80" w:before="160"/>
      </w:pPr>
      <w:r>
        <w:rPr>
          <w:b/>
          <w:bCs/>
          <w:sz w:val="26"/>
          <w:szCs w:val="26"/>
        </w:rPr>
        <w:t xml:space="preserve">3.2 Compound-Protein Interaction Enrichment</w:t>
      </w:r>
    </w:p>
    <w:p>
      <w:pPr>
        <w:spacing w:after="80"/>
      </w:pPr>
      <w:r>
        <w:rPr>
          <w:b/>
          <w:bCs/>
          <w:sz w:val="22"/>
          <w:szCs w:val="22"/>
        </w:rPr>
        <w:t xml:space="preserve">Table 2. CPI enrichment factor at top percentiles (random baseline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Percentile</w:t>
            </w:r>
          </w:p>
        </w:tc>
        <w:tc>
          <w:tcPr>
            <w:tcW w:type="dxa" w:w="45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This study</w:t>
            </w:r>
          </w:p>
        </w:tc>
      </w:tr>
      <w:tr>
        <w:tc>
          <w:tcPr>
            <w:tcW w:type="dxa" w:w="4513"/>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Top 0.5%</w:t>
            </w:r>
          </w:p>
        </w:tc>
        <w:tc>
          <w:tcPr>
            <w:tcW w:type="dxa" w:w="4513"/>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139</w:t>
            </w:r>
          </w:p>
        </w:tc>
      </w:tr>
      <w:tr>
        <w:tc>
          <w:tcPr>
            <w:tcW w:type="dxa" w:w="4513"/>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Top 1%</w:t>
            </w:r>
          </w:p>
        </w:tc>
        <w:tc>
          <w:tcPr>
            <w:tcW w:type="dxa" w:w="4513"/>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77</w:t>
            </w:r>
          </w:p>
        </w:tc>
      </w:tr>
    </w:tbl>
    <w:p>
      <w:pPr>
        <w:pStyle w:val="Heading3"/>
        <w:spacing w:after="80" w:before="160"/>
      </w:pPr>
      <w:r>
        <w:rPr>
          <w:b/>
          <w:bCs/>
          <w:sz w:val="26"/>
          <w:szCs w:val="26"/>
        </w:rPr>
        <w:t xml:space="preserve">3.3 Benchmark-Consistent Evaluation</w:t>
      </w:r>
    </w:p>
    <w:p>
      <w:pPr>
        <w:spacing w:after="80"/>
      </w:pPr>
      <w:r>
        <w:rPr>
          <w:b/>
          <w:bCs/>
          <w:sz w:val="22"/>
          <w:szCs w:val="22"/>
        </w:rPr>
        <w:t xml:space="preserve">Table 3. Benchmark-consistent metrics on the original evaluation datasets. Evaluation set notes clarify differences in data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Metric</w:t>
            </w:r>
          </w:p>
        </w:tc>
        <w:tc>
          <w:tcPr>
            <w:tcW w:type="dxa" w:w="225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This study</w:t>
            </w:r>
          </w:p>
        </w:tc>
        <w:tc>
          <w:tcPr>
            <w:tcW w:type="dxa" w:w="225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[1]</w:t>
            </w:r>
          </w:p>
        </w:tc>
        <w:tc>
          <w:tcPr>
            <w:tcW w:type="dxa" w:w="225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Evaluation set note</w:t>
            </w:r>
          </w:p>
        </w:tc>
      </w:tr>
      <w:tr>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SMD (cosine)</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1.288</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 1.85</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ChEMBL therapeutics (both)</w:t>
            </w:r>
          </w:p>
        </w:tc>
      </w:tr>
      <w:tr>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ECFP4 Tanimoto SMD (validation)</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1.613</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 1.61</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ChEMBL therapeutics (both)</w:t>
            </w:r>
          </w:p>
        </w:tc>
      </w:tr>
      <w:tr>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Mantel self-consistency ρ</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0.852</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 0.43</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Subramanian PCL (both); different PCL sets</w:t>
            </w:r>
          </w:p>
        </w:tc>
      </w:tr>
      <w:tr>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Cell lines</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162</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[1] 5</w:t>
            </w:r>
          </w:p>
        </w:tc>
        <w:tc>
          <w:tcPr>
            <w:tcW w:type="dxa" w:w="2256"/>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w:t>
            </w:r>
          </w:p>
        </w:tc>
      </w:tr>
    </w:tbl>
    <w:p>
      <w:pPr>
        <w:spacing w:after="80"/>
      </w:pPr>
      <w:r>
        <w:rPr>
          <w:sz w:val="22"/>
          <w:szCs w:val="22"/>
        </w:rPr>
        <w:t xml:space="preserve">Note: the original study's sciPlex3 per-cell-type PCC of 0.98 was obtained on a top-DEG subset under near-domain splits (known compounds, novel doses/cell lines). Our per-cell-line PCC (0.359, Section 3.4) is computed on the full 12,328-gene set under perturbation-level hold-out (completely unseen drugs), constituting a stricter evaluation setting. The two numbers are not directly comparable.</w:t>
      </w:r>
    </w:p>
    <w:p>
      <w:pPr>
        <w:pStyle w:val="Heading3"/>
        <w:spacing w:after="80" w:before="160"/>
      </w:pPr>
      <w:r>
        <w:rPr>
          <w:b/>
          <w:bCs/>
          <w:sz w:val="26"/>
          <w:szCs w:val="26"/>
        </w:rPr>
        <w:t xml:space="preserve">3.4 Per-Cell-Line Drug Perturbation Resolution</w:t>
      </w:r>
    </w:p>
    <w:p>
      <w:pPr>
        <w:spacing w:after="80"/>
      </w:pPr>
      <w:r>
        <w:rPr>
          <w:sz w:val="22"/>
          <w:szCs w:val="22"/>
        </w:rPr>
        <w:t xml:space="preserve">We evaluate single-cell-line resolution within our training domain by computing held-out drug perturbation PCC separately for each cell line (120 lines with sufficient samples). The mean per-cell-line PCC is 0.359 (median 0.362, range -0.004 to 0.615; A549 = 0.362, MCF7 = 0.360). This metric is computed on the full gene set (12,328 genes) under perturbation-level held-out splits (drugs unseen during training). The original reports PCC = 0.98 (A549/MCF7/K562) on sciPlex3, but those values are on a top-DEG subset under near-domain splits (seen compounds, novel doses); our lower per-cell-line values reflect the more stringent setting of full-gene, unseen-perturbagen evaluation on the larger and more heterogeneous LINCS screening library.</w:t>
      </w:r>
    </w:p>
    <w:p>
      <w:pPr>
        <w:pStyle w:val="Heading3"/>
        <w:spacing w:after="80" w:before="160"/>
      </w:pPr>
      <w:r>
        <w:rPr>
          <w:b/>
          <w:bCs/>
          <w:sz w:val="26"/>
          <w:szCs w:val="26"/>
        </w:rPr>
        <w:t xml:space="preserve">3.5 Biological Validation</w:t>
      </w:r>
    </w:p>
    <w:p>
      <w:pPr>
        <w:spacing w:after="80"/>
      </w:pPr>
      <w:r>
        <w:rPr>
          <w:sz w:val="22"/>
          <w:szCs w:val="22"/>
        </w:rPr>
        <w:t xml:space="preserve">These four representative positive cases illustrate the model's ability to recapitulate known biological mechanisms. They are not a systematic genome-wide validation, and false-positive predictions exist.</w:t>
      </w:r>
    </w:p>
    <w:p>
      <w:pPr>
        <w:spacing w:after="80"/>
      </w:pPr>
      <w:r>
        <w:rPr>
          <w:b/>
          <w:bCs/>
          <w:sz w:val="22"/>
          <w:szCs w:val="22"/>
        </w:rPr>
        <w:t xml:space="preserve">Table 4. Representative biological validation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Perturbation</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Predicted genes</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b/>
                <w:bCs/>
                <w:sz w:val="20"/>
                <w:szCs w:val="20"/>
              </w:rPr>
              <w:t xml:space="preserve">Consistency</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CD36 KO x ASC</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PPARG↓, CEBPA↓</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Adipogenic [7]</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Dexamethasone x HA1E</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TSC22D3↑</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Glucocorticoid target [8]</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Aspirin x PBMC-NK</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PRF1↑, GZMB↑, GNLY↑</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NK cytotoxicity [9]</w:t>
            </w:r>
          </w:p>
        </w:tc>
      </w:tr>
      <w:tr>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Metformin x HEPG2</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SLC7A5↓, PLIN2↓</w:t>
            </w:r>
          </w:p>
        </w:tc>
        <w:tc>
          <w:tcPr>
            <w:tcW w:type="dxa" w:w="3008"/>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sz w:val="20"/>
                <w:szCs w:val="20"/>
              </w:rPr>
              <w:t xml:space="preserve">mTORC1 + lipid droplet [10]</w:t>
            </w:r>
          </w:p>
        </w:tc>
      </w:tr>
    </w:tbl>
    <w:p>
      <w:pPr>
        <w:spacing w:after="80"/>
      </w:pPr>
      <w:r>
        <w:rPr>
          <w:sz w:val="22"/>
          <w:szCs w:val="22"/>
        </w:rPr>
        <w:t xml:space="preserve">CD36 silencing has been experimentally shown to attenuate adipogenesis and reduce PPARγ and C/EBPα expression [7]. TSC22D3 (GILZ) is a canonical dexamethasone-induced gene mediating glucocorticoid anti-proliferative effects [8]. Aspirin has been reported to augment natural killer cell cytotoxic activity [9]. Metformin inhibits mTORC1 signaling via AMPK activation; the combination of metformin with LAT1 (SLC7A5) inhibition produces additive mTOR suppression [10].</w:t>
      </w:r>
    </w:p>
    <w:p>
      <w:pPr>
        <w:pStyle w:val="Heading2"/>
        <w:spacing w:after="100" w:before="200"/>
      </w:pPr>
      <w:r>
        <w:rPr>
          <w:b/>
          <w:bCs/>
          <w:sz w:val="28"/>
          <w:szCs w:val="28"/>
        </w:rPr>
        <w:t xml:space="preserve">4. Discussion</w:t>
      </w:r>
    </w:p>
    <w:p>
      <w:pPr>
        <w:pStyle w:val="Heading3"/>
        <w:spacing w:after="80" w:before="160"/>
      </w:pPr>
      <w:r>
        <w:rPr>
          <w:b/>
          <w:bCs/>
          <w:sz w:val="26"/>
          <w:szCs w:val="26"/>
        </w:rPr>
        <w:t xml:space="preserve">4.1 Contributions</w:t>
      </w:r>
    </w:p>
    <w:p>
      <w:pPr>
        <w:spacing w:after="80"/>
      </w:pPr>
      <w:r>
        <w:rPr>
          <w:sz w:val="22"/>
          <w:szCs w:val="22"/>
        </w:rPr>
        <w:t xml:space="preserve">This study makes four contributions. First, it independently builds the UniPert-G2CP architecture at 32-fold larger scale (162 vs. 5 cell lines) with genome-wide output, demonstrating that the framework scales but with performance sensitivity to CPI vocabulary domain (SMD drops ~30% from the original, see Section 4.3). Second, we highlight two caveats in the original evaluation framework that should be interpreted with caution when assessing generalization performance: the SMD metric inherits a high baseline from the ChEMBL therapeutics dataset (original ECFP4 Tanimoto SMD = 1.61, which we replicate at 1.613), and the alignment ρ metric compares embeddings against model-predicted rather than measured effects — a self-consistency test. Third, under the same self-consistency Mantel formulation (molecular embedding similarity vs. model-predicted effect similarity, PCL-based Mantel test), we obtain ρ = 0.852. The original reports 0.43 under the same formulation but on a different PCL set; the two numbers are not directly interchangeable and we do not claim superiority on this metric. Fourth, we provide qualitative biological validation examples (CD36/ASC, dexamethasone/HA1E, aspirin/PBMC-NK, metformin/HEPG2) that the original study did not report.</w:t>
      </w:r>
    </w:p>
    <w:p>
      <w:pPr>
        <w:spacing w:after="80"/>
      </w:pPr>
      <w:r>
        <w:rPr>
          <w:sz w:val="22"/>
          <w:szCs w:val="22"/>
        </w:rPr>
        <w:t xml:space="preserve">Held-out perturbation metrics (gene PCC = 0.442; novel drug PCC = 0.3047; directional accuracy = 73.8% on top-5% effect-size genes) are consistent with state-of-the-art benchmarks reported for GEARS [6]. CPI enrichment (EF = 139) and self-consistency ρ (0.852) are reported on their respective evaluation sets and should not be directly compared across studies.</w:t>
      </w:r>
    </w:p>
    <w:p>
      <w:pPr>
        <w:pStyle w:val="Heading3"/>
        <w:spacing w:after="80" w:before="160"/>
      </w:pPr>
      <w:r>
        <w:rPr>
          <w:b/>
          <w:bCs/>
          <w:sz w:val="26"/>
          <w:szCs w:val="26"/>
        </w:rPr>
        <w:t xml:space="preserve">4.2 Protein Encoder Design Rationale</w:t>
      </w:r>
    </w:p>
    <w:p>
      <w:pPr>
        <w:spacing w:after="80"/>
      </w:pPr>
      <w:r>
        <w:rPr>
          <w:sz w:val="22"/>
          <w:szCs w:val="22"/>
        </w:rPr>
        <w:t xml:space="preserve">A key architectural difference from the original is our use of ESM2-8M [4], a lightweight protein language model (8M parameters, 320-dim output), for gene-side semantic anchoring. The original UniPert employs a full pipeline of ESM + MSA + protein-similarity GNN message passing. Our choice is motivated by the following considerations, balancing practical constraints with methodological advantages. (1) Parameter efficiency: ESM2-8M achieves competitive performance on protein function prediction and variant effect prediction benchmarks despite its compact size. The ESM2 family shares a unified self-supervised pretraining objective (masked language modeling over 65 million UniRef50 sequences); the 8M variant captures core evolutionary and structural signals with substantially lower computational cost than its larger counterparts (ESM2-35M/150M/650M). (2) Dimensionality as a feature: the 320-dim output of ESM2-8M serves as a compact semantic prior for our 4,994-gene embedding table, where each gene has limited training observations. A lower-dimensional prior reduces the risk of overfitting in the low-data regime per gene, a concern that would be amplified with higher-dimensional encoders. (3) Anchoring over substitution: rather than using ESM features as a drop-in replacement for the learnable gene embeddings, we employ an anchoring strategy: the first 320 dimensions of the gene embedding table are initialized from ESM2-8M vectors and lightly regularized via L2 loss during training. This preserves the full flexibility of a learnable embedding (the remaining dimensions and all parameters adapt freely), while injecting protein-level semantics as a structured prior. The phenotype head is free to discover gene→phenotype mappings that complement, or even override, the ESM prior where it is beneficial. (4) Hardware compatibility: at 8M parameters, ESM2-8M runs comfortably on consumer GPUs (NVIDIA RTX 3050 Ti, 4 GB VRAM), enabling reproducible training without cloud or institutional compute resources. We acknowledge that the anchoring strategy constitutes a simplification relative to the original GNN-based protein encoder, and that incorporating MSA and protein-similarity graph components — either as additional inputs to the embedding table or as a dedicated GNN encoder — is a natural direction for future work when larger computational resources become available.</w:t>
      </w:r>
    </w:p>
    <w:p>
      <w:pPr>
        <w:pStyle w:val="Heading3"/>
        <w:spacing w:after="80" w:before="160"/>
      </w:pPr>
      <w:r>
        <w:rPr>
          <w:b/>
          <w:bCs/>
          <w:sz w:val="26"/>
          <w:szCs w:val="26"/>
        </w:rPr>
        <w:t xml:space="preserve">4.3 SMD Gap Analysis</w:t>
      </w:r>
    </w:p>
    <w:p>
      <w:pPr>
        <w:spacing w:after="80"/>
      </w:pPr>
      <w:r>
        <w:rPr>
          <w:sz w:val="22"/>
          <w:szCs w:val="22"/>
        </w:rPr>
        <w:t xml:space="preserve">The mechanism-clustering SMD under identical evaluation conditions is 1.288, reaching 69.6% of the original's 1.85. We attribute the gap primarily to the lexical disjointness of compound vocabularies: the original CPI training set (53,963 PubChem-based pairs) has less than 1% overlap with our LINCS BRD vocabulary (19,161 ChEMBL-based pairs, which approaches the physical ceiling of available compound-target combinations within our vocabulary). The lightweight ESM2-8M anchoring, which omits the original's MSA and protein-similarity GNN pipeline, may further contribute.</w:t>
      </w:r>
    </w:p>
    <w:p>
      <w:pPr>
        <w:pStyle w:val="Heading3"/>
        <w:spacing w:after="80" w:before="160"/>
      </w:pPr>
      <w:r>
        <w:rPr>
          <w:b/>
          <w:bCs/>
          <w:sz w:val="26"/>
          <w:szCs w:val="26"/>
        </w:rPr>
        <w:t xml:space="preserve">4.4 Limitations</w:t>
      </w:r>
    </w:p>
    <w:p>
      <w:pPr>
        <w:spacing w:after="80"/>
      </w:pPr>
      <w:r>
        <w:rPr>
          <w:sz w:val="22"/>
          <w:szCs w:val="22"/>
        </w:rPr>
        <w:t xml:space="preserve">(1) Single-gene direction prediction remains noisy (60.8% genome-wide); the platform is a candidate-screening and hypothesis-generation tool, not a substitute for experimental validation. (2) The protein encoder is simplified relative to the original. (3) CPI training data has reached its physical ceiling under the current compound vocabulary. (4) The SMD evaluation dataset reflects properties of well-characterized therapeutics and is not representative of screening-library compounds. (5) Single-cell resolution is not implemented. (6) Training code of the original study has not been released; our reconstruction is based on paper descriptions and the public evaluation repository, and may contain implementation differences. (7) The 32-fold increase in cell-line coverage introduces greater biological heterogeneity, which itself can lower aggregate performance metrics; genome-wide output (12,328 genes) is more challenging than the original landmark-gene prediction, potentially inflating the apparent performance gap.</w:t>
      </w:r>
    </w:p>
    <w:p>
      <w:pPr>
        <w:pStyle w:val="Heading2"/>
        <w:spacing w:after="100" w:before="200"/>
      </w:pPr>
      <w:r>
        <w:rPr>
          <w:b/>
          <w:bCs/>
          <w:sz w:val="28"/>
          <w:szCs w:val="28"/>
        </w:rPr>
        <w:t xml:space="preserve">5. Conclusion</w:t>
      </w:r>
    </w:p>
    <w:p>
      <w:pPr>
        <w:spacing w:after="80"/>
      </w:pPr>
      <w:r>
        <w:rPr>
          <w:sz w:val="22"/>
          <w:szCs w:val="22"/>
        </w:rPr>
        <w:t xml:space="preserve">We have independently built and scaled the UniPert-G2CP architecture to 162 cell lines, 32,039 compounds, and genome-wide output, producing a deployed virtual-cell prediction platform. The architecture scales successfully, but performance is sensitive to CPI training vocabulary, revealing a domain-transfer bottleneck rather than a simple architectural limitation. Held-out perturbation metrics, benchmark-consistent evaluation, and biological validation examples are provided as transparent reference points. The platform is freely available as a candidate-screening tool for perturbation biology research.</w:t>
      </w:r>
    </w:p>
    <w:p>
      <w:pPr>
        <w:pStyle w:val="Heading2"/>
        <w:spacing w:after="100" w:before="200"/>
      </w:pPr>
      <w:r>
        <w:rPr>
          <w:b/>
          <w:bCs/>
          <w:sz w:val="28"/>
          <w:szCs w:val="28"/>
        </w:rPr>
        <w:t xml:space="preserve">Data and Code Availability</w:t>
      </w:r>
    </w:p>
    <w:p>
      <w:pPr>
        <w:spacing w:after="80"/>
      </w:pPr>
      <w:r>
        <w:rPr>
          <w:sz w:val="22"/>
          <w:szCs w:val="22"/>
        </w:rPr>
        <w:t xml:space="preserve">All training data are from public repositories: LINCS L1000 (GSE92742, level 5 moderated Z-scores), DepMap CRISPR (23Q2, CERES scores), sciPlex3, and ChEMBL 37. Nineteen additional GEO-derived cell lines were incorporated from GSE61302 (ASC), GSE22886 and GSE60235 (immune subsets: BM-PlasmaCell, PBMC-Bcell, PBMC-CD4T, PBMC-CD8T, PBMC-monocyte, PBMC-NK, PBMC-neutrophil, PBMC-plasmacytoidDC), plus additional series for HUVEC, iPSC, Chondrocyte, Islet, Keratinocyte, Skeletal-Muscle, Retinal Pigment Epithelium, Iris Pigment Epithelium, Choroid Fibroblast, and smooth muscle cells (aortic, bronchial, coronary, pulmonary); complete GSE identifiers are provided in the repository README. The original study open resources are available at GitHub [2] and Zenodo [3]. Our reproduction codebase, trained model weights (g2cp_full_cpi_v7.pt), and preprocessed datasets will be released on Zenodo/Figshare (DOI to be assigned upon submission) and GitHub at https://github.com/wkr112344/G2CP-virtual-cell. API service available upon reasonable request.</w:t>
      </w:r>
    </w:p>
    <w:p>
      <w:pPr>
        <w:pStyle w:val="Heading2"/>
        <w:spacing w:after="100" w:before="200"/>
      </w:pPr>
      <w:r>
        <w:rPr>
          <w:b/>
          <w:bCs/>
          <w:sz w:val="28"/>
          <w:szCs w:val="28"/>
        </w:rPr>
        <w:t xml:space="preserve">Declarations</w:t>
      </w:r>
    </w:p>
    <w:p>
      <w:pPr>
        <w:spacing w:after="80"/>
      </w:pPr>
      <w:r>
        <w:rPr>
          <w:sz w:val="22"/>
          <w:szCs w:val="22"/>
        </w:rPr>
        <w:t xml:space="preserve">Competing interests: The author declares no competing interests.</w:t>
      </w:r>
    </w:p>
    <w:p>
      <w:pPr>
        <w:spacing w:after="80"/>
      </w:pPr>
      <w:r>
        <w:rPr>
          <w:sz w:val="22"/>
          <w:szCs w:val="22"/>
        </w:rPr>
        <w:t xml:space="preserve">Funding: This work received no specific grant from any funding agency in the public, commercial, or not-for-profit sectors.</w:t>
      </w:r>
    </w:p>
    <w:p>
      <w:pPr>
        <w:spacing w:after="80"/>
      </w:pPr>
      <w:r>
        <w:rPr>
          <w:sz w:val="22"/>
          <w:szCs w:val="22"/>
        </w:rPr>
        <w:t xml:space="preserve">Ethics statement: This study used exclusively publicly available, anonymized datasets and involved no human or animal subjects; therefore, no ethical approval was required.</w:t>
      </w:r>
    </w:p>
    <w:p>
      <w:pPr>
        <w:spacing w:after="80"/>
      </w:pPr>
      <w:r>
        <w:rPr>
          <w:sz w:val="22"/>
          <w:szCs w:val="22"/>
        </w:rPr>
        <w:t xml:space="preserve">Author contributions: K.W. conceived the study, implemented the core architecture and training pipeline, conducted all computational experiments, and wrote the manuscript. L.Z. developed the interactive web interface and visualization components. C.Q. contributed to evaluation benchmarking and biological validation data curation. All authors reviewed and approved the manuscript.</w:t>
      </w:r>
    </w:p>
    <w:p>
      <w:pPr>
        <w:pStyle w:val="Heading2"/>
        <w:spacing w:after="100" w:before="200"/>
      </w:pPr>
      <w:r>
        <w:rPr>
          <w:b/>
          <w:bCs/>
          <w:sz w:val="28"/>
          <w:szCs w:val="28"/>
        </w:rPr>
        <w:t xml:space="preserve">References</w:t>
      </w:r>
    </w:p>
    <w:p>
      <w:pPr>
        <w:spacing w:after="80"/>
      </w:pPr>
      <w:r>
        <w:rPr>
          <w:rFonts w:ascii="Times New Roman" w:cs="Times New Roman" w:eastAsia="Times New Roman" w:hAnsi="Times New Roman"/>
          <w:sz w:val="22"/>
          <w:szCs w:val="22"/>
        </w:rPr>
        <w:t xml:space="preserve">[1] Li Y, et al. Unified genetic and chemical perturbation prediction across cell lines with UniPert-G2CP. </w:t>
      </w:r>
      <w:r>
        <w:rPr>
          <w:rFonts w:ascii="Times New Roman" w:cs="Times New Roman" w:eastAsia="Times New Roman" w:hAnsi="Times New Roman"/>
          <w:i/>
          <w:iCs/>
          <w:sz w:val="22"/>
          <w:szCs w:val="22"/>
        </w:rPr>
        <w:t xml:space="preserve">Cell</w:t>
      </w:r>
      <w:r>
        <w:rPr>
          <w:rFonts w:ascii="Times New Roman" w:cs="Times New Roman" w:eastAsia="Times New Roman" w:hAnsi="Times New Roman"/>
          <w:sz w:val="22"/>
          <w:szCs w:val="22"/>
        </w:rPr>
        <w:t xml:space="preserve">. 2026;189(13):2678-2695.e18. doi:10.1016/j.cell.2026.06.005.</w:t>
      </w:r>
    </w:p>
    <w:p>
      <w:pPr>
        <w:spacing w:after="80"/>
      </w:pPr>
      <w:r>
        <w:rPr>
          <w:sz w:val="22"/>
          <w:szCs w:val="22"/>
        </w:rPr>
        <w:t xml:space="preserve">[2] lynn-1998. UniPert-G2CP_reproduce [Source code]. GitHub. 2026. https://github.com/lynn-1998/UniPert-G2CP_reproduce. Accessed August 7, 2026.</w:t>
      </w:r>
    </w:p>
    <w:p>
      <w:pPr>
        <w:spacing w:after="80"/>
      </w:pPr>
      <w:r>
        <w:rPr>
          <w:sz w:val="22"/>
          <w:szCs w:val="22"/>
        </w:rPr>
        <w:t xml:space="preserve">[3] Li Y, et al. UniPert-G2CP: evaluation data and model outputs [Data set]. Zenodo. 2026. doi:10.5281/zenodo.20355906.</w:t>
      </w:r>
    </w:p>
    <w:p>
      <w:pPr>
        <w:spacing w:after="80"/>
      </w:pPr>
      <w:r>
        <w:rPr>
          <w:rFonts w:ascii="Times New Roman" w:cs="Times New Roman" w:eastAsia="Times New Roman" w:hAnsi="Times New Roman"/>
          <w:sz w:val="22"/>
          <w:szCs w:val="22"/>
        </w:rPr>
        <w:t xml:space="preserve">[4] Lin Z, et al. Evolutionary-scale prediction of atomic-level protein structure with a language model. </w:t>
      </w:r>
      <w:r>
        <w:rPr>
          <w:rFonts w:ascii="Times New Roman" w:cs="Times New Roman" w:eastAsia="Times New Roman" w:hAnsi="Times New Roman"/>
          <w:i/>
          <w:iCs/>
          <w:sz w:val="22"/>
          <w:szCs w:val="22"/>
        </w:rPr>
        <w:t xml:space="preserve">Science</w:t>
      </w:r>
      <w:r>
        <w:rPr>
          <w:rFonts w:ascii="Times New Roman" w:cs="Times New Roman" w:eastAsia="Times New Roman" w:hAnsi="Times New Roman"/>
          <w:sz w:val="22"/>
          <w:szCs w:val="22"/>
        </w:rPr>
        <w:t xml:space="preserve">. 2023;379(6637):1123-1130. doi:10.1126/science.ade2574.</w:t>
      </w:r>
    </w:p>
    <w:p>
      <w:pPr>
        <w:spacing w:after="80"/>
      </w:pPr>
      <w:r>
        <w:rPr>
          <w:rFonts w:ascii="Times New Roman" w:cs="Times New Roman" w:eastAsia="Times New Roman" w:hAnsi="Times New Roman"/>
          <w:sz w:val="22"/>
          <w:szCs w:val="22"/>
        </w:rPr>
        <w:t xml:space="preserve">[5] Subramanian A, et al. A next generation connectivity map: L1000 platform and the first 1,000,000 profiles. </w:t>
      </w:r>
      <w:r>
        <w:rPr>
          <w:rFonts w:ascii="Times New Roman" w:cs="Times New Roman" w:eastAsia="Times New Roman" w:hAnsi="Times New Roman"/>
          <w:i/>
          <w:iCs/>
          <w:sz w:val="22"/>
          <w:szCs w:val="22"/>
        </w:rPr>
        <w:t xml:space="preserve">Cell</w:t>
      </w:r>
      <w:r>
        <w:rPr>
          <w:rFonts w:ascii="Times New Roman" w:cs="Times New Roman" w:eastAsia="Times New Roman" w:hAnsi="Times New Roman"/>
          <w:sz w:val="22"/>
          <w:szCs w:val="22"/>
        </w:rPr>
        <w:t xml:space="preserve">. 2017;171(6):1437-1452.e17. doi:10.1016/j.cell.2017.10.049.</w:t>
      </w:r>
    </w:p>
    <w:p>
      <w:pPr>
        <w:spacing w:after="80"/>
      </w:pPr>
      <w:r>
        <w:rPr>
          <w:rFonts w:ascii="Times New Roman" w:cs="Times New Roman" w:eastAsia="Times New Roman" w:hAnsi="Times New Roman"/>
          <w:sz w:val="22"/>
          <w:szCs w:val="22"/>
        </w:rPr>
        <w:t xml:space="preserve">[6] Roohani Y, Huang K, Leskovec J. Predicting transcriptional outcomes of novel and known multi-gene perturbations with GEARS. </w:t>
      </w:r>
      <w:r>
        <w:rPr>
          <w:rFonts w:ascii="Times New Roman" w:cs="Times New Roman" w:eastAsia="Times New Roman" w:hAnsi="Times New Roman"/>
          <w:i/>
          <w:iCs/>
          <w:sz w:val="22"/>
          <w:szCs w:val="22"/>
        </w:rPr>
        <w:t xml:space="preserve">Nat Biotechnol</w:t>
      </w:r>
      <w:r>
        <w:rPr>
          <w:rFonts w:ascii="Times New Roman" w:cs="Times New Roman" w:eastAsia="Times New Roman" w:hAnsi="Times New Roman"/>
          <w:sz w:val="22"/>
          <w:szCs w:val="22"/>
        </w:rPr>
        <w:t xml:space="preserve">. 2024;42(6):927-936. doi:10.1038/s41587-023-01905-6.</w:t>
      </w:r>
    </w:p>
    <w:p>
      <w:pPr>
        <w:spacing w:after="80"/>
      </w:pPr>
      <w:r>
        <w:rPr>
          <w:rFonts w:ascii="Times New Roman" w:cs="Times New Roman" w:eastAsia="Times New Roman" w:hAnsi="Times New Roman"/>
          <w:sz w:val="22"/>
          <w:szCs w:val="22"/>
        </w:rPr>
        <w:t xml:space="preserve">[7] Gao H, et al. Suppression of CD36 attenuates adipogenesis with a reduction of P2X7 expression in 3T3-L1 cells. </w:t>
      </w:r>
      <w:r>
        <w:rPr>
          <w:rFonts w:ascii="Times New Roman" w:cs="Times New Roman" w:eastAsia="Times New Roman" w:hAnsi="Times New Roman"/>
          <w:i/>
          <w:iCs/>
          <w:sz w:val="22"/>
          <w:szCs w:val="22"/>
        </w:rPr>
        <w:t xml:space="preserve">Biochem Biophys Res Commun</w:t>
      </w:r>
      <w:r>
        <w:rPr>
          <w:rFonts w:ascii="Times New Roman" w:cs="Times New Roman" w:eastAsia="Times New Roman" w:hAnsi="Times New Roman"/>
          <w:sz w:val="22"/>
          <w:szCs w:val="22"/>
        </w:rPr>
        <w:t xml:space="preserve">. 2017;491(1):42-48. doi:10.1016/j.bbrc.2017.07.077.</w:t>
      </w:r>
    </w:p>
    <w:p>
      <w:pPr>
        <w:spacing w:after="80"/>
      </w:pPr>
      <w:r>
        <w:rPr>
          <w:rFonts w:ascii="Times New Roman" w:cs="Times New Roman" w:eastAsia="Times New Roman" w:hAnsi="Times New Roman"/>
          <w:sz w:val="22"/>
          <w:szCs w:val="22"/>
        </w:rPr>
        <w:t xml:space="preserve">[8] Ayroldi E, et al. GILZ mediates the antiproliferative activity of glucocorticoids by negative regulation of Ras signaling. </w:t>
      </w:r>
      <w:r>
        <w:rPr>
          <w:rFonts w:ascii="Times New Roman" w:cs="Times New Roman" w:eastAsia="Times New Roman" w:hAnsi="Times New Roman"/>
          <w:i/>
          <w:iCs/>
          <w:sz w:val="22"/>
          <w:szCs w:val="22"/>
        </w:rPr>
        <w:t xml:space="preserve">J Clin Invest</w:t>
      </w:r>
      <w:r>
        <w:rPr>
          <w:rFonts w:ascii="Times New Roman" w:cs="Times New Roman" w:eastAsia="Times New Roman" w:hAnsi="Times New Roman"/>
          <w:sz w:val="22"/>
          <w:szCs w:val="22"/>
        </w:rPr>
        <w:t xml:space="preserve">. 2007;117(6):1605-1615. doi:10.1172/JCI30724.</w:t>
      </w:r>
    </w:p>
    <w:p>
      <w:pPr>
        <w:spacing w:after="80"/>
      </w:pPr>
      <w:r>
        <w:rPr>
          <w:rFonts w:ascii="Times New Roman" w:cs="Times New Roman" w:eastAsia="Times New Roman" w:hAnsi="Times New Roman"/>
          <w:sz w:val="22"/>
          <w:szCs w:val="22"/>
        </w:rPr>
        <w:t xml:space="preserve">[9] Muss C, et al. Stimulation of natural killer cell activity by acetylsalicylic acid. </w:t>
      </w:r>
      <w:r>
        <w:rPr>
          <w:rFonts w:ascii="Times New Roman" w:cs="Times New Roman" w:eastAsia="Times New Roman" w:hAnsi="Times New Roman"/>
          <w:i/>
          <w:iCs/>
          <w:sz w:val="22"/>
          <w:szCs w:val="22"/>
        </w:rPr>
        <w:t xml:space="preserve">Dtsch Z Onkol</w:t>
      </w:r>
      <w:r>
        <w:rPr>
          <w:rFonts w:ascii="Times New Roman" w:cs="Times New Roman" w:eastAsia="Times New Roman" w:hAnsi="Times New Roman"/>
          <w:sz w:val="22"/>
          <w:szCs w:val="22"/>
        </w:rPr>
        <w:t xml:space="preserve">. 2002;34(4):140-145. doi:10.1055/s-2002-36552.</w:t>
      </w:r>
    </w:p>
    <w:p>
      <w:pPr>
        <w:spacing w:after="80"/>
      </w:pPr>
      <w:r>
        <w:rPr>
          <w:rFonts w:ascii="Times New Roman" w:cs="Times New Roman" w:eastAsia="Times New Roman" w:hAnsi="Times New Roman"/>
          <w:sz w:val="22"/>
          <w:szCs w:val="22"/>
        </w:rPr>
        <w:t xml:space="preserve">[10] Ueno S, et al. Metformin enhances anti-tumor effect of L-type amino acid transporter 1 (LAT1) inhibitor. </w:t>
      </w:r>
      <w:r>
        <w:rPr>
          <w:rFonts w:ascii="Times New Roman" w:cs="Times New Roman" w:eastAsia="Times New Roman" w:hAnsi="Times New Roman"/>
          <w:i/>
          <w:iCs/>
          <w:sz w:val="22"/>
          <w:szCs w:val="22"/>
        </w:rPr>
        <w:t xml:space="preserve">J Pharmacol Sci</w:t>
      </w:r>
      <w:r>
        <w:rPr>
          <w:rFonts w:ascii="Times New Roman" w:cs="Times New Roman" w:eastAsia="Times New Roman" w:hAnsi="Times New Roman"/>
          <w:sz w:val="22"/>
          <w:szCs w:val="22"/>
        </w:rPr>
        <w:t xml:space="preserve">. 2016;131(2):110-117. doi:10.1016/j.jphs.2016.04.021.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2026-08-07T04:00:39.276Z</dcterms:created>
  <dcterms:modified xsi:type="dcterms:W3CDTF">2026-08-07T04:00:39.277Z</dcterms:modified>
</cp:coreProperties>
</file>

<file path=docProps/custom.xml><?xml version="1.0" encoding="utf-8"?>
<Properties xmlns="http://schemas.openxmlformats.org/officeDocument/2006/custom-properties" xmlns:vt="http://schemas.openxmlformats.org/officeDocument/2006/docPropsVTypes"/>
</file>