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spacing w:after="60"/>
        <w:jc w:val="center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spacing w:after="60"/>
        <w:jc w:val="center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spacing w:after="60"/>
        <w:jc w:val="center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spacing w:after="6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计算机软件著作权登记申请</w:t>
      </w:r>
    </w:p>
    <w:p>
      <w:pPr>
        <w:spacing w:after="6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软件说明书</w:t>
      </w:r>
    </w:p>
    <w:p>
      <w:pPr>
        <w:spacing w:after="60"/>
        <w:jc w:val="center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pBdr>
          <w:bottom w:val="single" w:color="999999" w:sz="4" w:space="1"/>
        </w:pBdr>
        <w:spacing w:after="120"/>
      </w:pPr>
    </w:p>
    <w:p>
      <w:pPr>
        <w:pStyle w:val="Heading1"/>
        <w:spacing w:after="200" w:before="360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一、软件基本信息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软件全称：  </w:t>
      </w:r>
      <w:r>
        <w:rPr>
          <w:rFonts w:ascii="SimSun" w:cs="SimSun" w:eastAsia="SimSun" w:hAnsi="SimSun"/>
          <w:sz w:val="24"/>
          <w:szCs w:val="24"/>
        </w:rPr>
        <w:t xml:space="preserve">G2CP 虚拟细胞扰动预测系统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软件简称：  </w:t>
      </w:r>
      <w:r>
        <w:rPr>
          <w:rFonts w:ascii="SimSun" w:cs="SimSun" w:eastAsia="SimSun" w:hAnsi="SimSun"/>
          <w:sz w:val="24"/>
          <w:szCs w:val="24"/>
        </w:rPr>
        <w:t xml:space="preserve">G2CP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版本号：  </w:t>
      </w:r>
      <w:r>
        <w:rPr>
          <w:rFonts w:ascii="SimSun" w:cs="SimSun" w:eastAsia="SimSun" w:hAnsi="SimSun"/>
          <w:sz w:val="24"/>
          <w:szCs w:val="24"/>
        </w:rPr>
        <w:t xml:space="preserve">V1.0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软件分类：  </w:t>
      </w:r>
      <w:r>
        <w:rPr>
          <w:rFonts w:ascii="SimSun" w:cs="SimSun" w:eastAsia="SimSun" w:hAnsi="SimSun"/>
          <w:sz w:val="24"/>
          <w:szCs w:val="24"/>
        </w:rPr>
        <w:t xml:space="preserve">应用软件 - 生物医学数据分析工具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开发完成日期：  </w:t>
      </w:r>
      <w:r>
        <w:rPr>
          <w:rFonts w:ascii="SimSun" w:cs="SimSun" w:eastAsia="SimSun" w:hAnsi="SimSun"/>
          <w:sz w:val="24"/>
          <w:szCs w:val="24"/>
        </w:rPr>
        <w:t xml:space="preserve">2026年8月6日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首次发表日期：  </w:t>
      </w:r>
      <w:r>
        <w:rPr>
          <w:rFonts w:ascii="SimSun" w:cs="SimSun" w:eastAsia="SimSun" w:hAnsi="SimSun"/>
          <w:sz w:val="24"/>
          <w:szCs w:val="24"/>
        </w:rPr>
        <w:t xml:space="preserve">2026年8月（预印本 published on bioRxiv）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开发方式：  </w:t>
      </w:r>
      <w:r>
        <w:rPr>
          <w:rFonts w:ascii="SimSun" w:cs="SimSun" w:eastAsia="SimSun" w:hAnsi="SimSun"/>
          <w:sz w:val="24"/>
          <w:szCs w:val="24"/>
        </w:rPr>
        <w:t xml:space="preserve">独立开发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  </w:t>
      </w: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1.1 硬件环境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CPU：  </w:t>
      </w:r>
      <w:r>
        <w:rPr>
          <w:rFonts w:ascii="SimSun" w:cs="SimSun" w:eastAsia="SimSun" w:hAnsi="SimSun"/>
          <w:sz w:val="24"/>
          <w:szCs w:val="24"/>
        </w:rPr>
        <w:t xml:space="preserve">Intel Core i5 或同等级别及以上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内存：  </w:t>
      </w:r>
      <w:r>
        <w:rPr>
          <w:rFonts w:ascii="SimSun" w:cs="SimSun" w:eastAsia="SimSun" w:hAnsi="SimSun"/>
          <w:sz w:val="24"/>
          <w:szCs w:val="24"/>
        </w:rPr>
        <w:t xml:space="preserve">16 GB 及以上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GPU：  </w:t>
      </w:r>
      <w:r>
        <w:rPr>
          <w:rFonts w:ascii="SimSun" w:cs="SimSun" w:eastAsia="SimSun" w:hAnsi="SimSun"/>
          <w:sz w:val="24"/>
          <w:szCs w:val="24"/>
        </w:rPr>
        <w:t xml:space="preserve">NVIDIA GPU，显存 4 GB 及以上，CUDA 计算能力 8.0+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1.2 软件环境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操作系统：  </w:t>
      </w:r>
      <w:r>
        <w:rPr>
          <w:rFonts w:ascii="SimSun" w:cs="SimSun" w:eastAsia="SimSun" w:hAnsi="SimSun"/>
          <w:sz w:val="24"/>
          <w:szCs w:val="24"/>
        </w:rPr>
        <w:t xml:space="preserve">Windows 10/11, Linux（Ubuntu 20.04+）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运行依赖：  </w:t>
      </w:r>
      <w:r>
        <w:rPr>
          <w:rFonts w:ascii="SimSun" w:cs="SimSun" w:eastAsia="SimSun" w:hAnsi="SimSun"/>
          <w:sz w:val="24"/>
          <w:szCs w:val="24"/>
        </w:rPr>
        <w:t xml:space="preserve">Python 3.12+, PyTorch 2.4+, Flask, RDKit, CUDA 11.8+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前端依赖：  </w:t>
      </w:r>
      <w:r>
        <w:rPr>
          <w:rFonts w:ascii="SimSun" w:cs="SimSun" w:eastAsia="SimSun" w:hAnsi="SimSun"/>
          <w:sz w:val="24"/>
          <w:szCs w:val="24"/>
        </w:rPr>
        <w:t xml:space="preserve">浏览器（Chrome/Firefox/Edge），WebGPU 支持（可选）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1.3 开发环境与语言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编程语言：  </w:t>
      </w:r>
      <w:r>
        <w:rPr>
          <w:rFonts w:ascii="SimSun" w:cs="SimSun" w:eastAsia="SimSun" w:hAnsi="SimSun"/>
          <w:sz w:val="24"/>
          <w:szCs w:val="24"/>
        </w:rPr>
        <w:t xml:space="preserve">Python 3.13（主）、JavaScript（前端）、HTML/CSS（界面）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开发工具：  </w:t>
      </w:r>
      <w:r>
        <w:rPr>
          <w:rFonts w:ascii="SimSun" w:cs="SimSun" w:eastAsia="SimSun" w:hAnsi="SimSun"/>
          <w:sz w:val="24"/>
          <w:szCs w:val="24"/>
        </w:rPr>
        <w:t xml:space="preserve">Visual Studio Code, Git, NVIDIA CUDA Toolkit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代码总行数：  </w:t>
      </w:r>
      <w:r>
        <w:rPr>
          <w:rFonts w:ascii="SimSun" w:cs="SimSun" w:eastAsia="SimSun" w:hAnsi="SimSun"/>
          <w:sz w:val="24"/>
          <w:szCs w:val="24"/>
        </w:rPr>
        <w:t xml:space="preserve">约 2,029 行（Python 核心功能，不含第三方依赖）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1.4 著作权人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姓名/名称：  </w:t>
      </w:r>
      <w:r>
        <w:rPr>
          <w:rFonts w:ascii="SimSun" w:cs="SimSun" w:eastAsia="SimSun" w:hAnsi="SimSun"/>
          <w:sz w:val="24"/>
          <w:szCs w:val="24"/>
        </w:rPr>
        <w:t xml:space="preserve">卫铠睿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国籍：  </w:t>
      </w:r>
      <w:r>
        <w:rPr>
          <w:rFonts w:ascii="SimSun" w:cs="SimSun" w:eastAsia="SimSun" w:hAnsi="SimSun"/>
          <w:sz w:val="24"/>
          <w:szCs w:val="24"/>
        </w:rPr>
        <w:t xml:space="preserve">中国</w:t>
      </w:r>
    </w:p>
    <w:p>
      <w:pPr>
        <w:spacing w:after="40"/>
      </w:pPr>
      <w:r>
        <w:rPr>
          <w:rFonts w:ascii="SimSun" w:cs="SimSun" w:eastAsia="SimSun" w:hAnsi="SimSun"/>
          <w:sz w:val="24"/>
          <w:szCs w:val="24"/>
        </w:rPr>
        <w:t xml:space="preserve">地址：  </w:t>
      </w:r>
      <w:r>
        <w:rPr>
          <w:rFonts w:ascii="SimSun" w:cs="SimSun" w:eastAsia="SimSun" w:hAnsi="SimSun"/>
          <w:sz w:val="24"/>
          <w:szCs w:val="24"/>
        </w:rPr>
        <w:t xml:space="preserve">新疆维吾尔自治区乌鲁木齐市</w:t>
      </w:r>
    </w:p>
    <w:p>
      <w:pPr>
        <w:pStyle w:val="Heading1"/>
        <w:spacing w:after="200" w:before="360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二、软件功能与技术特点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2.1 软件定位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本软件是一款面向生物医学研究的 AI 辅助虚拟细胞扰动预测工具。基于 2026 年发表于《Cell》的 UniPert-G2CP 框架独立复现并扩展，输入任意基因敲除或药物（支持 SMILES 新药），即可预测 162 种细胞系的全转录组（12,328 个基因）响应。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2.2 核心功能</w:t>
      </w:r>
    </w:p>
    <w:p>
      <w:pPr>
        <w:spacing w:after="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（1）基因敲除效应预测：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输入基因符号，选择 162 种细胞系之一，输出全基因组上调/下调基因列表及效应幅度。</w:t>
      </w:r>
    </w:p>
    <w:p>
      <w:pPr>
        <w:spacing w:after="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（2）药物效应预测：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支持词表内 32,039 种已知化合物及任意 SMILES 新药，预测在指定细胞系中的转录组响应。</w:t>
      </w:r>
    </w:p>
    <w:p>
      <w:pPr>
        <w:spacing w:after="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（3）多级机制解释：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自动构建药物→靶蛋白→信号通路→表型响应的解释链，辅助机制分析。</w:t>
      </w:r>
    </w:p>
    <w:p>
      <w:pPr>
        <w:spacing w:after="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（4）CPI 靶点富集：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预测药物-靶蛋白相互作用，EF 富集因子为随机筛选的 139 倍（top 0.5%）。</w:t>
      </w:r>
    </w:p>
    <w:p>
      <w:pPr>
        <w:spacing w:after="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（5）交互式工作台：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Web 前端支持可视化查询、相似度分析、瀑布图等交互功能。</w:t>
      </w:r>
    </w:p>
    <w:p>
      <w:pPr>
        <w:spacing w:after="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（6）API 服务：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提供 RESTful API（Flask，端口 8766），支持程序化调用。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2.3 技术特点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（1）多模态统一嵌入空间：基因与药物经对比学习与 CPI 对齐训练，共享同一向量空间，支持跨域相似度计算。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（2）两阶段迁移学习：先在 DepMap CRISPR 基因扰动数据上预训练，再在 LINCS L1000 药物数据上微调，降低药物预测对大规模实验数据的依赖。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（3）全基因组输出：区别于传统方法仅输出 landmark 基因（978 个），本软件直接输出 12,328 个全基因表达预测。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（4）可扩展架构：药物编码器支持任意 SMILES 分子即算，细胞系嵌入支持持续扩展。</w:t>
      </w:r>
    </w:p>
    <w:p>
      <w:pPr>
        <w:pStyle w:val="Heading1"/>
        <w:spacing w:after="200" w:before="360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三、技术指标（实测）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以下指标经扰动级完全留出评测验证（被评测的药物/基因在训练全过程中从未出现）：</w:t>
      </w:r>
    </w:p>
    <w:p>
      <w:pPr>
        <w:spacing w:after="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基因敲除预测 PCC：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0.442（随机≈0）</w:t>
      </w:r>
    </w:p>
    <w:p>
      <w:pPr>
        <w:spacing w:after="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新药预测 PCC：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0.3047（随机≈0）</w:t>
      </w:r>
    </w:p>
    <w:p>
      <w:pPr>
        <w:spacing w:after="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方向准确率（强效应前5%）：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73.8%（随机=50%）</w:t>
      </w:r>
    </w:p>
    <w:p>
      <w:pPr>
        <w:spacing w:after="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CPI 靶点富集 EF（top 0.5%）：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139（随机=1）</w:t>
      </w:r>
    </w:p>
    <w:p>
      <w:pPr>
        <w:spacing w:after="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论文同口径 SMD：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1.288（论文 UniPert = 1.85，达成 69.6%）</w:t>
      </w:r>
    </w:p>
    <w:p>
      <w:pPr>
        <w:spacing w:after="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分子-表型自洽 Mantel ρ：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0.852（论文 = 0.43）</w:t>
      </w:r>
    </w:p>
    <w:p>
      <w:pPr>
        <w:spacing w:after="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细胞系覆盖：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162 种（论文仅 5 种）</w:t>
      </w:r>
    </w:p>
    <w:p>
      <w:pPr>
        <w:pStyle w:val="Heading1"/>
        <w:spacing w:after="200" w:before="360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四、运行与使用说明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4.1 启动服务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在项目根目录执行：python serve_g2cp.py --port 8766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系统自动加载预训练模型权重（g2cp_full_cpi_v7.pt），初始化 162 细胞系嵌入表与药物指纹缓存。启动后监听 http://localhost:8766。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4.2 API 接口</w:t>
      </w:r>
    </w:p>
    <w:p>
      <w:pPr>
        <w:spacing w:after="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/predict（药物预测）：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POST，参数 drug（词表药名）或 smiles（新药 SMILES 字符串）+ cell_name（细胞系名称）。返回上调/下调基因列表、效应值、模型标识。</w:t>
      </w:r>
    </w:p>
    <w:p>
      <w:pPr>
        <w:spacing w:after="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/gene（基因敲除预测）：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POST，参数 gene（基因符号）+ cell_name。返回同上。</w:t>
      </w:r>
    </w:p>
    <w:p>
      <w:pPr>
        <w:spacing w:after="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/cells /drugs /genes：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GET，返回可用细胞系/药物/基因词表。</w:t>
      </w:r>
    </w:p>
    <w:p>
      <w:pPr>
        <w:spacing w:after="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/gui/&lt;fn&gt;：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GET，前端静态服务。</w:t>
      </w:r>
    </w:p>
    <w:p>
      <w:pPr>
        <w:spacing w:after="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/health：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GET，模型健康状态检查。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4.3 前端交互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浏览器访问 http://localhost:8766/gui/index.html，使用交互式界面选择药物/基因和细胞系，查看预测结果与机制解释图。</w:t>
      </w:r>
    </w:p>
    <w:p>
      <w:pPr>
        <w:pStyle w:val="Heading1"/>
        <w:spacing w:after="200" w:before="360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五、知识产权声明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本软件由著作权人卫铠睿独立开发。使用的训练数据（LINCS L1000、DepMap CRISPR、ChEMBL）均为公开学术资源。软件遵循 CC-BY 4.0 协议发布。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2026-08-06T23:20:42.806Z</dcterms:created>
  <dcterms:modified xsi:type="dcterms:W3CDTF">2026-08-06T23:20:42.806Z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