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
        <w:jc w:val="center"/>
      </w:pPr>
      <w:r>
        <w:rPr>
          <w:b/>
          <w:bCs/>
          <w:sz w:val="34"/>
          <w:szCs w:val="34"/>
        </w:rPr>
        <w:t xml:space="preserve">Reimplementing and Scaling UniPert-G2CP:</w:t>
      </w:r>
    </w:p>
    <w:p>
      <w:pPr>
        <w:spacing w:after="4"/>
        <w:jc w:val="center"/>
      </w:pPr>
      <w:r>
        <w:rPr>
          <w:b/>
          <w:bCs/>
          <w:sz w:val="30"/>
          <w:szCs w:val="30"/>
        </w:rPr>
        <w:t xml:space="preserve">A 162-Cell-Line Genome-Wide Platform for Perturbation-to-Phenotype Prediction</w:t>
      </w:r>
    </w:p>
    <w:p>
      <w:pPr>
        <w:spacing w:after="40"/>
        <w:jc w:val="center"/>
      </w:pPr>
      <w:r>
        <w:rPr>
          <w:sz w:val="22"/>
          <w:szCs w:val="22"/>
        </w:rPr>
        <w:t xml:space="preserve"/>
      </w:r>
    </w:p>
    <w:p>
      <w:pPr>
        <w:jc w:val="center"/>
      </w:pPr>
      <w:r>
        <w:rPr>
          <w:b/>
          <w:bCs/>
          <w:sz w:val="26"/>
          <w:szCs w:val="26"/>
        </w:rPr>
        <w:t xml:space="preserve">Kairui Wei¹*, Lijing Zhan¹, Canyang Qi¹</w:t>
      </w:r>
    </w:p>
    <w:p>
      <w:pPr>
        <w:jc w:val="center"/>
      </w:pPr>
      <w:r>
        <w:rPr>
          <w:sz w:val="22"/>
          <w:szCs w:val="22"/>
        </w:rPr>
        <w:t xml:space="preserve">¹Xinjiang Medical University, Urumqi 830011, China</w:t>
      </w:r>
    </w:p>
    <w:p>
      <w:pPr>
        <w:spacing w:after="40"/>
        <w:jc w:val="center"/>
      </w:pPr>
      <w:r>
        <w:rPr>
          <w:sz w:val="22"/>
          <w:szCs w:val="22"/>
        </w:rPr>
        <w:t xml:space="preserve"/>
      </w:r>
    </w:p>
    <w:p>
      <w:pPr>
        <w:spacing w:after="200"/>
        <w:jc w:val="center"/>
      </w:pPr>
      <w:r>
        <w:rPr>
          <w:color w:val="666666"/>
          <w:sz w:val="20"/>
          <w:szCs w:val="20"/>
        </w:rPr>
        <w:t xml:space="preserve">*Correspondence: 2742391737@qq.com</w:t>
      </w:r>
    </w:p>
    <w:p>
      <w:pPr>
        <w:pBdr>
          <w:bottom w:val="single" w:color="CCCCCC" w:sz="6" w:space="1"/>
        </w:pBdr>
        <w:spacing w:after="80"/>
      </w:pPr>
    </w:p>
    <w:p>
      <w:pPr>
        <w:pStyle w:val="Heading2"/>
        <w:spacing w:after="100" w:before="200"/>
      </w:pPr>
      <w:r>
        <w:rPr>
          <w:b/>
          <w:bCs/>
          <w:sz w:val="28"/>
          <w:szCs w:val="28"/>
        </w:rPr>
        <w:t xml:space="preserve">Abstract</w:t>
      </w:r>
    </w:p>
    <w:p>
      <w:pPr>
        <w:spacing w:after="80"/>
      </w:pPr>
      <w:r>
        <w:rPr>
          <w:sz w:val="22"/>
          <w:szCs w:val="22"/>
        </w:rPr>
        <w:t xml:space="preserve">UniPert-G2CP (Li et al., Cell, 2026) introduced a unified framework for predicting transcriptomic responses to genetic and chemical perturbations across five cancer cell lines. To date, no independent reimplementation or large-scale extension has been reported.</w:t>
      </w:r>
    </w:p>
    <w:p>
      <w:pPr>
        <w:spacing w:after="80"/>
      </w:pPr>
      <w:r>
        <w:rPr>
          <w:sz w:val="22"/>
          <w:szCs w:val="22"/>
        </w:rPr>
        <w:t xml:space="preserve">We built a simplified variant of the UniPert-G2CP architecture, integrating Extended-Connectivity Fingerprints 4 (ECFP4) compound fingerprints, static ESM2-8M gene embeddings (substituting for the original MSA+GNN protein encoder) as anchors for Compound-Protein Interaction (CPI) alignment, NT-Xent contrastive learning, and two-stage transfer, and scaled it to substantially expanded compound and cell-line coverage (32,039 compounds across 162 cell lines) with genome-wide output (12,328 genes).</w:t>
      </w:r>
    </w:p>
    <w:p>
      <w:pPr>
        <w:spacing w:after="80"/>
      </w:pPr>
      <w:r>
        <w:rPr>
          <w:sz w:val="22"/>
          <w:szCs w:val="22"/>
        </w:rPr>
        <w:t xml:space="preserve">Held-out genetic perturbation PCC = 0.442; novel drug PCC = 0.3047; directional accuracy for top-5% effect-size genes = 73.8%. CPI enrichment factor at top 0.5% reached 139 on the Touchstone set, though this metric reflects training-set ranking consistency rather than out-of-distribution generalization due to overlap with training CPI pairs. Benchmark-consistent evaluation: mechanism-clustering standardized mean difference (SMD) = 1.636; self-consistency Mantel ρ = 0.852 (under our evaluation setup); Tanimoto SMD validation = 1.613. Of four literature-supported perturbation-gene pairs queried, two were recapitulated in the model output (dexamethasone → TSC22D3/NFKBIA/FKBP5 upregulation in HA1E; bortezomib → BAG3/DNAJB1/HSPA1A upregulation in HA1E), one was absent (CD36 depletion → PPARG/CEBPA in ASC), and one was partially recapitulated (metformin → SLC7A5 downregulation predicted in HEPG2, while PLIN2 was absent).</w:t>
      </w:r>
    </w:p>
    <w:p>
      <w:pPr>
        <w:spacing w:after="80"/>
      </w:pPr>
      <w:r>
        <w:rPr>
          <w:sz w:val="22"/>
          <w:szCs w:val="22"/>
        </w:rPr>
        <w:t xml:space="preserve">The architecture scales to increased cell-line and compound diversity but performance falls short of the original study in two respects: mechanism-clustering SMD below the original’s value (1.636 vs. 1.85; a reference comparison given differing training configurations), possibly linked to CPI vocabulary mismatch, and limited per-gene directional prediction fidelity partially due to incomplete pathway coverage and cell-type distribution shift. All results are computational hypotheses and have not been experimentally validated. These findings provide the first independent benchmark of UniPert-G2CP at expanded scale, revealing intrinsic bottlenecks for genome-wide virtual-cell prediction.</w:t>
      </w:r>
    </w:p>
    <w:p>
      <w:pPr>
        <w:spacing w:after="80"/>
      </w:pPr>
      <w:r>
        <w:rPr>
          <w:sz w:val="22"/>
          <w:szCs w:val="22"/>
        </w:rPr>
        <w:t xml:space="preserve"/>
      </w:r>
    </w:p>
    <w:p>
      <w:pPr>
        <w:spacing w:after="80"/>
      </w:pPr>
      <w:r>
        <w:rPr>
          <w:b/>
          <w:bCs/>
          <w:sz w:val="22"/>
          <w:szCs w:val="22"/>
        </w:rPr>
        <w:t xml:space="preserve">Keywords: </w:t>
      </w:r>
    </w:p>
    <w:p>
      <w:pPr>
        <w:spacing w:after="80"/>
      </w:pPr>
      <w:r>
        <w:rPr>
          <w:sz w:val="22"/>
          <w:szCs w:val="22"/>
        </w:rPr>
        <w:t xml:space="preserve">perturbation prediction, transcriptomics, contrastive learning, drug response, CRISPR screening, transcriptomic perturbation</w:t>
      </w:r>
    </w:p>
    <w:p>
      <w:pPr>
        <w:pBdr>
          <w:bottom w:val="single" w:color="CCCCCC" w:sz="6" w:space="1"/>
        </w:pBdr>
        <w:spacing w:after="80"/>
      </w:pPr>
    </w:p>
    <w:p>
      <w:pPr>
        <w:pStyle w:val="Heading2"/>
        <w:spacing w:after="100" w:before="200"/>
      </w:pPr>
      <w:r>
        <w:rPr>
          <w:b/>
          <w:bCs/>
          <w:sz w:val="28"/>
          <w:szCs w:val="28"/>
        </w:rPr>
        <w:t xml:space="preserve">1. Introduction</w:t>
      </w:r>
    </w:p>
    <w:p>
      <w:pPr>
        <w:spacing w:after="80"/>
      </w:pPr>
      <w:r>
        <w:rPr>
          <w:sz w:val="22"/>
          <w:szCs w:val="22"/>
        </w:rPr>
        <w:t xml:space="preserve">Predicting transcriptomic responses to molecular perturbations has emerged as a central challenge in AI-driven biology. Several approaches have been proposed: scGen [10] uses variational autoencoders for single-cell perturbation response; CPA [11] uses an autoencoder framework for combinatorial perturbation prediction; ChemPert [12] predicts drug-induced transcriptomic changes via a multi-task model; and GEARS [6] introduced a graph-based framework integrating gene co-expression. UniPert-G2CP (Li et al., Cell, 2026) [1] unified genetic and chemical perturbation prediction in a single contrastive-embedding space across five cancer cell lines. To date, no independent reimplementation or large-scale extension of UniPert-G2CP has been reported.</w:t>
      </w:r>
    </w:p>
    <w:p>
      <w:pPr>
        <w:spacing w:after="80"/>
      </w:pPr>
      <w:r>
        <w:rPr>
          <w:sz w:val="22"/>
          <w:szCs w:val="22"/>
        </w:rPr>
        <w:t xml:space="preserve">This work is motivated by the need to independently verify the reproducibility and scalability of the reported architecture. The original study released code and reproducibility resources [2,3]; we did not directly use them, but instead reconstructed the architecture from the paper description to test whether key design components transfer at larger scale.</w:t>
      </w:r>
    </w:p>
    <w:p>
      <w:pPr>
        <w:spacing w:after="80"/>
      </w:pPr>
      <w:r>
        <w:rPr>
          <w:sz w:val="22"/>
          <w:szCs w:val="22"/>
        </w:rPr>
        <w:t xml:space="preserve">This work contributes: (1) an independent full-scale reconstruction of the architecture at substantially expanded compound and cell-line coverage (32,039 compounds, 162 cell lines, genome-wide output); (2) a disentangled evaluation framework that distinguishes held-out prediction, self-consistency, and benchmark-consistent metrics; (3) a transparent assessment of per-gene prediction fidelity on literature-supported cases. This work is an independent reimplementation and extension of the UniPert-G2CP framework [1] and is not affiliated with the original authors. All comparisons to original results are based on publicly released evaluation datasets [3].</w:t>
      </w:r>
    </w:p>
    <w:p>
      <w:pPr>
        <w:pStyle w:val="Heading2"/>
        <w:spacing w:after="100" w:before="200"/>
      </w:pPr>
      <w:r>
        <w:rPr>
          <w:b/>
          <w:bCs/>
          <w:sz w:val="28"/>
          <w:szCs w:val="28"/>
        </w:rPr>
        <w:t xml:space="preserve">2. Methods</w:t>
      </w:r>
    </w:p>
    <w:p>
      <w:pPr>
        <w:pStyle w:val="Heading3"/>
        <w:spacing w:after="80" w:before="160"/>
      </w:pPr>
      <w:r>
        <w:rPr>
          <w:b/>
          <w:bCs/>
          <w:sz w:val="26"/>
          <w:szCs w:val="26"/>
        </w:rPr>
        <w:t xml:space="preserve">2.1 Datasets and Preprocessing</w:t>
      </w:r>
    </w:p>
    <w:p>
      <w:pPr>
        <w:spacing w:after="80"/>
      </w:pPr>
      <w:r>
        <w:rPr>
          <w:sz w:val="22"/>
          <w:szCs w:val="22"/>
        </w:rPr>
        <w:t xml:space="preserve">We utilized LINCS L1000 (level 5, GSE92742; moderated Z-scores, 305,297 samples), DepMap CRISPR screens (23Q2 release, CERES gene-effect scores, 1,095 cell lines × 17,931 genes), and Perturbation Consensus Ligands (PCL) annotations linking BRD compound IDs (the LINCS platform’s compound identifiers) to therapeutic mechanism-of-action (MoA) labels. We retained 143 cell lines with LINCS level-5 training samples as the training domain and added 19 GEO (Gene Expression Omnibus)-derived cell lines (HUVEC, PBMC immune subsets, and other primary/vascular/pancreatic lines; not included in model training, used exclusively for out-of-domain evaluation) from 12 GEO perturbation datasets (GSE11917, GSE17579, GSE20986, GSE21413, GSE25941, GSE33622, GSE50378, GSE50397, GSE53751, GSE62914, GSE22886, GSE60235), forming a 162-cell-line vocabulary. ASC is a LINCS training-domain cell line (with additional GEO data from GSE61302); the CD36 knockout × ASC query in Section 3.5 is a zero-shot prediction because this line lacks gene-perturbation training samples. Probe-level expression was mapped to gene symbols and z-score normalized per sample (aligned to the LINCS level-5 distribution) before merging. The full compound set comprises 32,039 BRD compounds with LINCS level-5 signatures; their ECFP4 fingerprints (2048-bit, radius 2) were generated via RDKit Morgan fingerprints.</w:t>
      </w:r>
    </w:p>
    <w:p>
      <w:pPr>
        <w:pStyle w:val="Heading3"/>
        <w:spacing w:after="80" w:before="160"/>
      </w:pPr>
      <w:r>
        <w:rPr>
          <w:b/>
          <w:bCs/>
          <w:sz w:val="26"/>
          <w:szCs w:val="26"/>
        </w:rPr>
        <w:t xml:space="preserve">2.2 Model Architecture</w:t>
      </w:r>
    </w:p>
    <w:p>
      <w:pPr>
        <w:spacing w:after="80"/>
      </w:pPr>
      <w:r>
        <w:rPr>
          <w:sz w:val="22"/>
          <w:szCs w:val="22"/>
        </w:rPr>
        <w:t xml:space="preserve">The architecture follows UniPert-G2CP: drug encoder (ECFP4, 2048-bit → 512-dim Linear); gene encoder (4,994×512 embedding table, first 320 dims initialized from ESM2-8M vectors, with the remaining 192 dims left at the Embedding layer’s default random initialization; the embedding table is frozen during Stage B finetuning); contrastive learning with NT-Xent (τ=0.07) and CPI alignment (Section 2.3); phenotype head (LayerNorm(544) → Linear(544→1024) → GELU → Linear(1024→12,328), no dropout layer); cell embedding (162×32, learnable). Crucially, the gene embedding table is frozen during Stage B finetuning; ESM2 vectors serve as fixed reference targets for CPI alignment rather than as trainable representations of protein structure. The 4,994 perturbable genes constitute the perturbation vocabulary; the 12,328-gene output is the prediction vocabulary (highly variable genes from the DepMap–LINCS intersection).</w:t>
      </w:r>
    </w:p>
    <w:p>
      <w:pPr>
        <w:pStyle w:val="Heading3"/>
        <w:spacing w:after="80" w:before="160"/>
      </w:pPr>
      <w:r>
        <w:rPr>
          <w:b/>
          <w:bCs/>
          <w:sz w:val="26"/>
          <w:szCs w:val="26"/>
        </w:rPr>
        <w:t xml:space="preserve">2.3 Training Protocol</w:t>
      </w:r>
    </w:p>
    <w:p>
      <w:pPr>
        <w:spacing w:after="80"/>
      </w:pPr>
      <w:r>
        <w:rPr>
          <w:sz w:val="22"/>
          <w:szCs w:val="22"/>
        </w:rPr>
        <w:t xml:space="preserve">Training proceeds in two stages. Stage A (DepMap pretraining): a gene-essentiality network is pretrained on CERES gene-effect scores (gene embeddings initialized from ESM2-8M vectors), providing semantic gene initialization. Stage B (LINCS finetuning): the main model is trained on LINCS level-5 moderated Z-scores in frozen mode—the gene encoder, phenotype head, and cell embedding are frozen, and only the drug encoder (ECFP4 projection) is finetuned—a frozen design that keeps the gene-side parameters bit-identical, thereby preserving genetic-perturbation prediction metrics during chemical finetuning—using AdamW (learning rate 3×10⁻⁴, weight decay 1×10⁻⁴, 40 epochs, cosine-annealing schedule, gradient accumulation factor 4), initialized from the preceding LINCS-trained checkpoint via partial state-dict transfer. The total loss combines phenotype regression (MSE plus 1−PCC, weight 1.0), NT-Xent contrastive learning (τ=0.07, weight 1.0; negatives are in-batch random samples), CPI alignment (weight 0.8; positive pairs are drug–gene pairs sharing at least one ChEMBL (release 37) therapeutic target, 19,161 pairs, of which up to 128 were dynamically sampled per batch; for each positive pair one negative gene was drawn uniformly at random from the gene vocabulary, without excluding potential targets), a structural-similarity enhancement loss (weight 0.3; within each batch, drug pairs with Tanimoto fingerprint similarity &gt;0.3 were pulled together weighted by similarity), and ESM anchoring (weight 0.05; an MSE loss pulling the first 320 dimensions of the gene embeddings toward precomputed ESM2-8M vectors). In Stage A, DepMap CERES gene-effect scores are used directly as regression targets (missing values masked); in Stage B, LINCS moderated Z-scores are the regression targets. Both modalities share the same phenotype head in Stage B. The cell embedding is a learnable 32-dim table (initialized N(0,1)) and is frozen during Stage B; Stage A trains a separate DepMap essentiality network with its own cell embedding for 1,095 DepMap lines, which is not the 162-line LINCS cell table used in Stage B. ESM2-8M vectors are computed once during preprocessing (Section 4.2) and frozen thereafter.</w:t>
      </w:r>
    </w:p>
    <w:p>
      <w:pPr>
        <w:spacing w:after="80"/>
      </w:pPr>
      <w:r>
        <w:rPr>
          <w:sz w:val="22"/>
          <w:szCs w:val="22"/>
        </w:rPr>
        <w:t xml:space="preserve">All quantitative metrics reported in Sections 3.1–3.4 were obtained from a single model trained with the configuration described above (g2cp_full_cpi_v7.pt); no post-hoc hyperparameter tuning was performed after evaluation. The case queries in Section 3.5 were performed through the interactive API platform.</w:t>
      </w:r>
    </w:p>
    <w:p>
      <w:pPr>
        <w:pStyle w:val="Heading2"/>
        <w:spacing w:after="100" w:before="200"/>
      </w:pPr>
      <w:r>
        <w:rPr>
          <w:b/>
          <w:bCs/>
          <w:sz w:val="28"/>
          <w:szCs w:val="28"/>
        </w:rPr>
        <w:t xml:space="preserve">3. Results</w:t>
      </w:r>
    </w:p>
    <w:p>
      <w:pPr>
        <w:pStyle w:val="Heading3"/>
        <w:spacing w:after="80" w:before="160"/>
      </w:pPr>
      <w:r>
        <w:rPr>
          <w:b/>
          <w:bCs/>
          <w:sz w:val="26"/>
          <w:szCs w:val="26"/>
        </w:rPr>
        <w:t xml:space="preserve">3.1 Held-Out Perturbation Prediction</w:t>
      </w:r>
    </w:p>
    <w:p>
      <w:pPr>
        <w:spacing w:after="80"/>
      </w:pPr>
      <w:r>
        <w:rPr>
          <w:sz w:val="22"/>
          <w:szCs w:val="22"/>
        </w:rPr>
        <w:t xml:space="preserve">Metrics. PCC: Pearson Correlation Coefficient between predicted and measured expression changes, computed across all genes per held-out sample then averaged. Directional accuracy: fraction of genes for which the sign of predicted change matches the sign of measured change; top-5% defined by ranking genes by absolute measured effect size. SMD: Standardized Mean Difference, calculated as (mean intra-class cosine similarity − mean overall cosine similarity) / pooled standard deviation, grouping drugs by Mechanism of Action. Mantel self-consistency ρ: per-PCL Spearman correlation between molecular embedding similarity and model-predicted effect similarity, averaged across cell lines (evaluation script in the repository).</w:t>
      </w:r>
    </w:p>
    <w:p>
      <w:pPr>
        <w:spacing w:after="80"/>
      </w:pPr>
      <w:r>
        <w:rPr>
          <w:b/>
          <w:bCs/>
          <w:sz w:val="22"/>
          <w:szCs w:val="22"/>
        </w:rPr>
        <w:t xml:space="preserve">Table 1. Held-out perturbation prediction performance. Perturbations (drug or gene identity) were randomly split, with 10% assigned to the test set; all samples of a held-out perturbation, across doses and cell lines, were excluded from training. Genetic perturbation PCC: perturbation-level held-out evaluation (10% of perturbations held out), computed on genetic-perturbation samples across 162 cell lines on the 978-gene subset with DepMap CERES ground truth (the 978 LINCS L1000 landmark genes covered by the platform's measurement probes; knockout samples have measured values only for these genes). Novel drug PCC: perturbation-level held-out evaluation (10% of perturbations held out), computed on chemical-perturbation samples on the full 12,328-gene output. Directional accuracy: top 5% effect-size genes in the held-out set.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Metric</w:t>
            </w:r>
          </w:p>
        </w:tc>
        <w:tc>
          <w:tcPr>
            <w:tcW w:type="dxa" w:w="3008"/>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Value</w:t>
            </w:r>
          </w:p>
        </w:tc>
        <w:tc>
          <w:tcPr>
            <w:tcW w:type="dxa" w:w="3008"/>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Context</w:t>
            </w:r>
          </w:p>
        </w:tc>
      </w:tr>
      <w:tr>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Genetic perturbation PCC</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0.442</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10% perturbations held out</w:t>
            </w:r>
          </w:p>
        </w:tc>
      </w:tr>
      <w:tr>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Novel drug PCC</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0.3047</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Not reported in original</w:t>
            </w:r>
          </w:p>
        </w:tc>
      </w:tr>
      <w:tr>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Directional accuracy (genome-wide)</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60.8%</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compared to random baseline 50%</w:t>
            </w:r>
          </w:p>
        </w:tc>
      </w:tr>
      <w:tr>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Directional accuracy (top-5%)</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73.8%</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random baseline 50%</w:t>
            </w:r>
          </w:p>
        </w:tc>
      </w:tr>
    </w:tbl>
    <w:p>
      <w:pPr>
        <w:pStyle w:val="Heading3"/>
        <w:spacing w:after="80" w:before="160"/>
      </w:pPr>
      <w:r>
        <w:rPr>
          <w:b/>
          <w:bCs/>
          <w:sz w:val="26"/>
          <w:szCs w:val="26"/>
        </w:rPr>
        <w:t xml:space="preserve">3.2 Compound-Protein Interaction Enrichment</w:t>
      </w:r>
    </w:p>
    <w:p>
      <w:pPr>
        <w:spacing w:after="80"/>
      </w:pPr>
      <w:r>
        <w:rPr>
          <w:b/>
          <w:bCs/>
          <w:sz w:val="22"/>
          <w:szCs w:val="22"/>
        </w:rPr>
        <w:t xml:space="preserve">Table 2. CPI enrichment factor at top percentiles (random baseline = 1). These values reflect ranking consistency within the training-derived annotation space rather than out-of-distribution generalization (see Section 4.1).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Percentile</w:t>
            </w:r>
          </w:p>
        </w:tc>
        <w:tc>
          <w:tcPr>
            <w:tcW w:type="dxa" w:w="4513"/>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This study</w:t>
            </w:r>
          </w:p>
        </w:tc>
      </w:tr>
      <w:tr>
        <w:tc>
          <w:tcPr>
            <w:tcW w:type="dxa" w:w="4513"/>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Top 0.5%</w:t>
            </w:r>
          </w:p>
        </w:tc>
        <w:tc>
          <w:tcPr>
            <w:tcW w:type="dxa" w:w="4513"/>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139</w:t>
            </w:r>
          </w:p>
        </w:tc>
      </w:tr>
      <w:tr>
        <w:tc>
          <w:tcPr>
            <w:tcW w:type="dxa" w:w="4513"/>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Top 1%</w:t>
            </w:r>
          </w:p>
        </w:tc>
        <w:tc>
          <w:tcPr>
            <w:tcW w:type="dxa" w:w="4513"/>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77</w:t>
            </w:r>
          </w:p>
        </w:tc>
      </w:tr>
    </w:tbl>
    <w:p>
      <w:pPr>
        <w:pStyle w:val="Heading3"/>
        <w:spacing w:after="80" w:before="160"/>
      </w:pPr>
      <w:r>
        <w:rPr>
          <w:b/>
          <w:bCs/>
          <w:sz w:val="26"/>
          <w:szCs w:val="26"/>
        </w:rPr>
        <w:t xml:space="preserve">3.3 Benchmark-Consistent Evaluation</w:t>
      </w:r>
    </w:p>
    <w:p>
      <w:pPr>
        <w:spacing w:after="80"/>
      </w:pPr>
      <w:r>
        <w:rPr>
          <w:b/>
          <w:bCs/>
          <w:sz w:val="22"/>
          <w:szCs w:val="22"/>
        </w:rPr>
        <w:t xml:space="preserve">Table 3. Benchmark-consistent metrics on the original evaluation datasets. Evaluation set notes clarify differences in data scope.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Metric</w:t>
            </w:r>
          </w:p>
        </w:tc>
        <w:tc>
          <w:tcPr>
            <w:tcW w:type="dxa" w:w="4513"/>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This study</w:t>
            </w:r>
          </w:p>
        </w:tc>
      </w:tr>
      <w:tr>
        <w:tc>
          <w:tcPr>
            <w:tcW w:type="dxa" w:w="4513"/>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SMD (cosine)</w:t>
            </w:r>
          </w:p>
        </w:tc>
        <w:tc>
          <w:tcPr>
            <w:tcW w:type="dxa" w:w="4513"/>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1.636</w:t>
            </w:r>
          </w:p>
        </w:tc>
      </w:tr>
      <w:tr>
        <w:tc>
          <w:tcPr>
            <w:tcW w:type="dxa" w:w="4513"/>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ECFP4 Tanimoto SMD</w:t>
            </w:r>
          </w:p>
        </w:tc>
        <w:tc>
          <w:tcPr>
            <w:tcW w:type="dxa" w:w="4513"/>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1.613</w:t>
            </w:r>
          </w:p>
        </w:tc>
      </w:tr>
      <w:tr>
        <w:tc>
          <w:tcPr>
            <w:tcW w:type="dxa" w:w="4513"/>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Mantel self-consistency ρ</w:t>
            </w:r>
          </w:p>
        </w:tc>
        <w:tc>
          <w:tcPr>
            <w:tcW w:type="dxa" w:w="4513"/>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0.852</w:t>
            </w:r>
          </w:p>
        </w:tc>
      </w:tr>
      <w:tr>
        <w:tc>
          <w:tcPr>
            <w:tcW w:type="dxa" w:w="4513"/>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Cell lines</w:t>
            </w:r>
          </w:p>
        </w:tc>
        <w:tc>
          <w:tcPr>
            <w:tcW w:type="dxa" w:w="4513"/>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162</w:t>
            </w:r>
          </w:p>
        </w:tc>
      </w:tr>
    </w:tbl>
    <w:p>
      <w:pPr>
        <w:spacing w:after="80"/>
      </w:pPr>
      <w:r>
        <w:rPr>
          <w:sz w:val="22"/>
          <w:szCs w:val="22"/>
        </w:rPr>
        <w:t xml:space="preserve">Notes: SMD was computed on the MoA evaluation table (ChEMBL therapeutics) released in the original study’s Zenodo archive [3] with the same per-class filtering criterion (&gt;25 drugs per MoA class) as the original; because the training configuration (CPI pairs, protein encoder) differs from the original, the SMD value is presented as a reference comparison (1.636 vs. 1.85) rather than a strict reproduction gap. Mantel ρ was computed with a script implementing the original definition (per-PCL Spearman correlation between molecular embedding similarity and model-predicted effect similarity) using Subramanian PCL [5] mechanism annotations; because the PCL filtering and cell-line selection differ from the original, the Mantel ρ values are not directly comparable (0.852 vs. 0.43, reported for reference only).</w:t>
      </w:r>
    </w:p>
    <w:p>
      <w:pPr>
        <w:pStyle w:val="Heading3"/>
        <w:spacing w:after="80" w:before="160"/>
      </w:pPr>
      <w:r>
        <w:rPr>
          <w:b/>
          <w:bCs/>
          <w:sz w:val="26"/>
          <w:szCs w:val="26"/>
        </w:rPr>
        <w:t xml:space="preserve">3.4 Per-Cell-Line Drug Perturbation Resolution</w:t>
      </w:r>
    </w:p>
    <w:p>
      <w:pPr>
        <w:spacing w:after="80"/>
      </w:pPr>
      <w:r>
        <w:rPr>
          <w:sz w:val="22"/>
          <w:szCs w:val="22"/>
        </w:rPr>
        <w:t xml:space="preserve">We evaluate single-cell-line resolution within our training domain by computing held-out drug perturbation PCC separately for each cell line (120 lines with sufficient samples). The mean per-cell-line PCC is 0.359 (median 0.362, range -0.004 to 0.615; A549 = 0.362, MCF7 = 0.360). Stratifying by cell type, cancer lines (n = 78) achieved a lower mean PCC of 0.296 (median 0.324), whereas normal/primary lines (n = 37) reached 0.480 (median 0.502) and stem/neural/adipose lines (n = 5) 0.446, indicating that prediction is more challenging for the heterogeneous cancer lines. This metric is computed on the full gene set (12,328 genes) under perturbation-level held-out splits (drugs unseen during training). The original reports PCC = 0.92–0.98 on sciPlex3 [1], but those values were obtained under near-domain splits (known compounds at novel doses/cell lines) on a top-DEG subset; our lower per-cell-line values reflect the more stringent setting of full-gene, unseen-perturbation evaluation on the larger and more heterogeneous LINCS screening library.</w:t>
      </w:r>
    </w:p>
    <w:p>
      <w:pPr>
        <w:pStyle w:val="Heading3"/>
        <w:spacing w:after="80" w:before="160"/>
      </w:pPr>
      <w:r>
        <w:rPr>
          <w:b/>
          <w:bCs/>
          <w:sz w:val="26"/>
          <w:szCs w:val="26"/>
        </w:rPr>
        <w:t xml:space="preserve">3.5 In Silico Case Query on Literature-Supported Pairs</w:t>
      </w:r>
    </w:p>
    <w:p>
      <w:pPr>
        <w:spacing w:after="80"/>
      </w:pPr>
      <w:r>
        <w:rPr>
          <w:sz w:val="22"/>
          <w:szCs w:val="22"/>
        </w:rPr>
        <w:t xml:space="preserve">All predictions are computational hypotheses and have not been experimentally verified. These cases serve only as illustrative examples of model behavior, not as evidence of therapeutic efficacy. The four cases were selected based on literature availability only and were not used to tune any model hyperparameter. They were selected as well-characterized, experimentally validated perturbation-gene pairs spanning glucocorticoid, proteotoxic stress, adipogenic, and metabolic pathways; they were chosen for their literature support rather than for positive model performance. Three cell lines are involved: HA1E (two cases) and HEPG2 are within the core training set; ASC is also within the training-domain vocabulary but lacks gene-perturbation training samples, so the CD36 knockout → ASC query represents a zero-shot prediction scenario. To assess whether the model recapitulates known perturbation-gene relationships, we queried four literature-supported pairs with matching perturbation-cell line combinations (Table 4). Of the four, two were recapitulated in the model output. Dexamethasone treatment of HA1E upregulates TSC22D3 (GILZ), NFKBIA (IκBα), FKBP5, and CEBPD—canonical glucocorticoid receptor targets [8]. Bortezomib (a proteasome inhibitor) treatment of HA1E upregulates BAG3, DNAJB1, and HSPA1A—heat-shock response genes whose induction by proteasome inhibition is a well-established mechanism [13]. However, one pair—CD36 depletion → PPARG/CEBPA downregulation in ASC—was absent from the predicted differentially expressed genes. The predicted HLA-A/HLA-C upregulation in ASC, rather than the expected adipogenic markers, may reflect batch effects or cell-state-related signals in the LINCS training data for this line, highlighting the challenge of disentangling perturbation-specific effects from experimental confounding. For metformin in HEPG2, SLC7A5 downregulation was predicted (rank 6 among downregulated genes, consistent with the literature direction [9]), while PLIN2 was absent. When absent, Table 4 reports the model’s actual top predictions instead. We computationally assessed specificity by confirming that none of the marker genes (TSC22D3, FKBP5, BAG3, DNAJB1, HSPA1A) was among the top-10 predicted up-regulated genes for any of seven other drugs (vorinostat, tamoxifen, metformin, cisplatin, imatinib, erlotinib, sorafenib) in the same HA1E cell line; BAG3 appeared in erlotinib’s top-10 down-regulated genes (rank 8), in the opposite direction to bortezomib.</w:t>
      </w:r>
    </w:p>
    <w:p>
      <w:pPr>
        <w:spacing w:after="80"/>
      </w:pPr>
      <w:r>
        <w:rPr>
          <w:b/>
          <w:bCs/>
          <w:sz w:val="22"/>
          <w:szCs w:val="22"/>
        </w:rPr>
        <w:t xml:space="preserve">Table 4. In silico case-query results on literature-supported pairs. Raw predictions shown; recapitulated cases verified for drug specificity (the marker gene is not predicted by other drugs in the same cell line).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Perturbation</w:t>
            </w:r>
          </w:p>
        </w:tc>
        <w:tc>
          <w:tcPr>
            <w:tcW w:type="dxa" w:w="3008"/>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Predicted genes</w:t>
            </w:r>
          </w:p>
        </w:tc>
        <w:tc>
          <w:tcPr>
            <w:tcW w:type="dxa" w:w="3008"/>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Model match</w:t>
            </w:r>
          </w:p>
        </w:tc>
      </w:tr>
      <w:tr>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CD36 perturb. x ASC</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Model: HLA-A↑, HLA-C↑, GAPDH↑, RAC2↑; Lit: PPARG↓, CEBPA↓ [7]</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Not recapitulated; model predicts other genes</w:t>
            </w:r>
          </w:p>
        </w:tc>
      </w:tr>
      <w:tr>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Dexamethasone x HA1E</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TSC22D3↑, NFKBIA↑, FKBP5↑, CEBPD↑</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Recapitulated [8]</w:t>
            </w:r>
          </w:p>
        </w:tc>
      </w:tr>
      <w:tr>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Bortezomib x HA1E</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BAG3↑, DNAJB1↑, HSPA1A↑, HMOX1↑</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Recapitulated [13]</w:t>
            </w:r>
          </w:p>
        </w:tc>
      </w:tr>
      <w:tr>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Metformin x HEPG2</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Model: SLC7A5↓ (rank 6), UBC↑ (rank 9) Lit: SLC7A5↓, PLIN2↓ [9]</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Partially recapitulated: SLC7A5↓ predicted; PLIN2 absent</w:t>
            </w:r>
          </w:p>
        </w:tc>
      </w:tr>
    </w:tbl>
    <w:p>
      <w:pPr>
        <w:spacing w:after="80"/>
      </w:pPr>
      <w:r>
        <w:rPr>
          <w:sz w:val="22"/>
          <w:szCs w:val="22"/>
        </w:rPr>
        <w:t xml:space="preserve">Overall, two of the four cases were fully recapitulated, one was absent, and one was partially recovered. These results represent an initial set of four cases and should not be interpreted as a systematic assessment. Larger-scale validation is needed before generalizing about per-gene directional prediction fidelity. The absent literature-supported relationship (CD36 → PPARG/CEBPA) and the partially recovered metformin case (SLC7A5↓ predicted, PLIN2 absent) highlight the gap between genome-wide accuracy (PCC = 0.442) and per-gene reliability (60.8% directional accuracy), and reflect limited pathway representation in LINCS training data plus cell-type distribution shift for held-out lines.</w:t>
      </w:r>
    </w:p>
    <w:p>
      <w:pPr>
        <w:pStyle w:val="Heading2"/>
        <w:spacing w:after="100" w:before="200"/>
      </w:pPr>
      <w:r>
        <w:rPr>
          <w:b/>
          <w:bCs/>
          <w:sz w:val="28"/>
          <w:szCs w:val="28"/>
        </w:rPr>
        <w:t xml:space="preserve">4. Discussion</w:t>
      </w:r>
    </w:p>
    <w:p>
      <w:pPr>
        <w:pStyle w:val="Heading3"/>
        <w:spacing w:after="80" w:before="160"/>
      </w:pPr>
      <w:r>
        <w:rPr>
          <w:b/>
          <w:bCs/>
          <w:sz w:val="26"/>
          <w:szCs w:val="26"/>
        </w:rPr>
        <w:t xml:space="preserve">4.1 Contributions</w:t>
      </w:r>
    </w:p>
    <w:p>
      <w:pPr>
        <w:spacing w:after="80"/>
      </w:pPr>
      <w:r>
        <w:rPr>
          <w:sz w:val="22"/>
          <w:szCs w:val="22"/>
        </w:rPr>
        <w:t xml:space="preserve">This study makes three contributions. First, it independently builds the UniPert-G2CP architecture at substantially expanded compound and cell-line coverage (32,039 compounds across 162 cell lines, genome-wide output), demonstrating that the architecture is reproducible and extensible beyond the original five-line setting. Second, it disentangles the boundary between held-out generalization metrics and self-consistency indicators in the original evaluation framework, clarifying the interpretation context for each metric class. Third, it provides qualitative case demonstrations on literature-supported perturbation–gene pairs across multiple pathways, transparently reporting both positive and negative results.</w:t>
      </w:r>
    </w:p>
    <w:p>
      <w:pPr>
        <w:spacing w:after="80"/>
      </w:pPr>
      <w:r>
        <w:rPr>
          <w:sz w:val="22"/>
          <w:szCs w:val="22"/>
        </w:rPr>
        <w:t xml:space="preserve">Held-out perturbation metrics (genetic perturbation PCC = 0.442; novel drug PCC = 0.3047; directional accuracy = 73.8% on top-5% effect-size genes) are reported as standalone reference values. CPI enrichment (EF = 139 at top 0.5%) was computed on the Touchstone CPI evaluation set (the LINCS mechanism-annotated compound–target validation set; 797 compounds × 225 targets; an approximation, not a strict hold-out); because 54.9% of its positive pairs overlap with our ChEMBL-derived training CPI pairs (the EF drops to 109 after removing overlapping pairs), this metric primarily reflects ranking consistency within the training-derived annotation space rather than out-of-distribution generalization; we report it here for reference only. The self-consistency Mantel ρ (0.852) was computed on Subramanian PCL [5] mechanism annotations (filtered to ≥3 drugs per class: 48 classes, 366 compounds). Values obtained on different PCL sets should not be directly compared. All metrics should be interpreted within their respective evaluation contexts.</w:t>
      </w:r>
    </w:p>
    <w:p>
      <w:pPr>
        <w:pStyle w:val="Heading3"/>
        <w:spacing w:after="80" w:before="160"/>
      </w:pPr>
      <w:r>
        <w:rPr>
          <w:b/>
          <w:bCs/>
          <w:sz w:val="26"/>
          <w:szCs w:val="26"/>
        </w:rPr>
        <w:t xml:space="preserve">4.2 Rationale for Static Protein Embedding Anchoring</w:t>
      </w:r>
    </w:p>
    <w:p>
      <w:pPr>
        <w:spacing w:after="80"/>
      </w:pPr>
      <w:r>
        <w:rPr>
          <w:sz w:val="22"/>
          <w:szCs w:val="22"/>
        </w:rPr>
        <w:t xml:space="preserve">For each of the 4,994 perturbable genes, the protein sequence was taken from the human reviewed (Swiss-Prot) UniProt proteome (reviewed:true, organism:9606), matched by gene symbol from the FASTA header (GN= field); 12 genes without a matched protein sequence were assigned zero vectors. ESM2-8M [4] encoding was performed once during preprocessing on an NVIDIA RTX 3050 Ti GPU (4 GB VRAM): per-residue representations from the top layer were mean-pooled to 320-dim vectors, which anchor the first 320 dimensions of the 512-dim gene embedding table. The gene embedding table is frozen during Stage B finetuning and subsequent training. Our simplified design deliberately isolates the effect of CPI alignment on the compound embedding space through a static protein prior, but as a consequence protein structural information is not integrated into the prediction pathway. This constitutes a key simplification relative to the original trainable protein GNN, and may contribute to the observed SMD gap. Incorporating MSA and trainable GNN encoding is a direction for future work.</w:t>
      </w:r>
    </w:p>
    <w:p>
      <w:pPr>
        <w:pStyle w:val="Heading3"/>
        <w:spacing w:after="80" w:before="160"/>
      </w:pPr>
      <w:r>
        <w:rPr>
          <w:b/>
          <w:bCs/>
          <w:sz w:val="26"/>
          <w:szCs w:val="26"/>
        </w:rPr>
        <w:t xml:space="preserve">4.3 SMD Gap Analysis</w:t>
      </w:r>
    </w:p>
    <w:p>
      <w:pPr>
        <w:spacing w:after="80"/>
      </w:pPr>
      <w:r>
        <w:rPr>
          <w:sz w:val="22"/>
          <w:szCs w:val="22"/>
        </w:rPr>
        <w:t xml:space="preserve">Because SMD was computed on the same MoA evaluation table with the same per-class filtering criterion (&gt;25 drugs per MoA class) as the original study (Table 3 notes), we present the comparison as a reference; differences in training configuration (CPI pairs, protein encoder) preclude a strict reproduction comparison: the mechanism-clustering SMD of the learned embedding is 1.636, exceeding the ECFP4 Tanimoto fingerprint baseline (1.613) but remaining below the original study’s 1.85 (88.5% attainment). We hypothesize two factors for the remaining gap: (1) CPI vocabulary mismatch: the CPI training pairs used here are based on ChEMBL annotations for the LINCS BRD compound vocabulary (19,161 unique pairs); these differ substantially from the compound–target pairs used in the original study, and may map some structurally dissimilar compounds to similar vectors based on noisy target annotations. (2) Objective conflict: minimizing transcriptional MSE may separate compounds with different effects even if they share a mechanism. Alternative explanations (the simplified protein encoder, frozen gene encoder limiting contrastive learning, hyperparameter sensitivity, data-distribution differences) remain plausible and should be systematically tested in future ablation studies.</w:t>
      </w:r>
    </w:p>
    <w:p>
      <w:pPr>
        <w:pStyle w:val="Heading3"/>
        <w:spacing w:after="80" w:before="160"/>
      </w:pPr>
      <w:r>
        <w:rPr>
          <w:b/>
          <w:bCs/>
          <w:sz w:val="26"/>
          <w:szCs w:val="26"/>
        </w:rPr>
        <w:t xml:space="preserve">4.4 Limitations</w:t>
      </w:r>
    </w:p>
    <w:p>
      <w:pPr>
        <w:spacing w:after="80"/>
      </w:pPr>
      <w:r>
        <w:rPr>
          <w:sz w:val="22"/>
          <w:szCs w:val="22"/>
        </w:rPr>
        <w:t xml:space="preserve">(1) Single-gene direction prediction remains noisy (60.8% genome-wide); the platform is a candidate-screening and hypothesis-generation tool, not a substitute for experimental validation. (2) The protein encoder is simplified relative to the original. (3) CPI training data has reached its physical ceiling under the current compound vocabulary. (4) The SMD evaluation dataset reflects properties of well-characterized therapeutics and is not representative of screening-library compounds. (5) The original study released code and pretrained models [2,3]; our independent implementation was built from the paper description and did not directly use their released training pipeline, so implementation differences may remain. (6) The increased cell-line coverage introduces greater biological heterogeneity, which itself can lower aggregate performance metrics; genome-wide output (12,328 genes) is more challenging than the original landmark-gene prediction. The 192 randomly initialized and frozen dimensions in the gene embedding table may contribute to suboptimal gene representation; these dimensions were inherited from an earlier 512-dim architecture and retained for checkpoint compatibility, and we did not ablate this design choice. Future work could explore full-dimensional ESM2 initialization or trainable gene embeddings. Future work includes: ablation studies to isolate the contribution of each architectural component; incorporating the original MSA and protein-similarity GNN pipeline; extending to single-cell resolution; and building domain-specific CPI annotation datasets that match the compound vocabulary.</w:t>
      </w:r>
    </w:p>
    <w:p>
      <w:pPr>
        <w:pStyle w:val="Heading2"/>
        <w:spacing w:after="100" w:before="200"/>
      </w:pPr>
      <w:r>
        <w:rPr>
          <w:b/>
          <w:bCs/>
          <w:sz w:val="28"/>
          <w:szCs w:val="28"/>
        </w:rPr>
        <w:t xml:space="preserve">5. Conclusion</w:t>
      </w:r>
    </w:p>
    <w:p>
      <w:pPr>
        <w:spacing w:after="80"/>
      </w:pPr>
      <w:r>
        <w:rPr>
          <w:sz w:val="22"/>
          <w:szCs w:val="22"/>
        </w:rPr>
        <w:t xml:space="preserve">We have independently built and evaluated the UniPert-G2CP architecture at increased cell-line and compound diversity (162 cell lines, 32,039 compounds, genome-wide output). The architecture recapitulates key properties of the original design but shows mechanism-clustering SMD below the original’s value (1.636 vs. 1.85) and limited per-gene directional prediction fidelity—whose root causes (CPI vocabulary mismatch vs. objective conflict vs. hyperparameter tuning) remain open questions for future ablation studies. The architecture performs robustly on normal/primary lines (mean per-cell-line PCC = 0.480) but faces clear challenges on more heterogeneous cancer lines (0.296), indicating that scalability is cell-type dependent; the platform nevertheless serves as a candidate-screening and hypothesis-generation tool for novel drugs and cell lines.</w:t>
      </w:r>
    </w:p>
    <w:p>
      <w:pPr>
        <w:pStyle w:val="Heading2"/>
        <w:spacing w:after="100" w:before="200"/>
      </w:pPr>
      <w:r>
        <w:rPr>
          <w:b/>
          <w:bCs/>
          <w:sz w:val="28"/>
          <w:szCs w:val="28"/>
        </w:rPr>
        <w:t xml:space="preserve">Data and Code Availability</w:t>
      </w:r>
    </w:p>
    <w:p>
      <w:pPr>
        <w:spacing w:after="80"/>
      </w:pPr>
      <w:r>
        <w:rPr>
          <w:sz w:val="22"/>
          <w:szCs w:val="22"/>
        </w:rPr>
        <w:t xml:space="preserve">All training data are from public repositories: LINCS L1000 (GSE92742, level 5 moderated Z-scores), DepMap CRISPR (23Q2, CERES scores), ChEMBL (release 37), and GEO perturbation datasets (GSE61302, GSE11917, GSE17579, GSE20986, GSE21413, GSE25941, GSE33622, GSE50378, GSE50397, GSE53751, GSE62914, GSE22886, GSE60235). Preprocessed data matrices and trained model weights (g2cp_full_cpi_v7.pt) are available upon reasonable request. Source code is publicly available on GitHub: https://github.com/wkr112344/G2CP-virtual-cell. An interactive API and Web frontend are included in the repository.</w:t>
      </w:r>
    </w:p>
    <w:p>
      <w:pPr>
        <w:pStyle w:val="Heading2"/>
        <w:spacing w:after="100" w:before="200"/>
      </w:pPr>
      <w:r>
        <w:rPr>
          <w:b/>
          <w:bCs/>
          <w:sz w:val="28"/>
          <w:szCs w:val="28"/>
        </w:rPr>
        <w:t xml:space="preserve">Declarations</w:t>
      </w:r>
    </w:p>
    <w:p>
      <w:pPr>
        <w:spacing w:after="80"/>
      </w:pPr>
      <w:r>
        <w:rPr>
          <w:sz w:val="22"/>
          <w:szCs w:val="22"/>
        </w:rPr>
        <w:t xml:space="preserve">Competing interests: The authors declare no competing interests.</w:t>
      </w:r>
    </w:p>
    <w:p>
      <w:pPr>
        <w:spacing w:after="80"/>
      </w:pPr>
      <w:r>
        <w:rPr>
          <w:sz w:val="22"/>
          <w:szCs w:val="22"/>
        </w:rPr>
        <w:t xml:space="preserve">Funding: This work received no specific grant from any funding agency in the public, commercial, or not-for-profit sectors.</w:t>
      </w:r>
    </w:p>
    <w:p>
      <w:pPr>
        <w:spacing w:after="80"/>
      </w:pPr>
      <w:r>
        <w:rPr>
          <w:sz w:val="22"/>
          <w:szCs w:val="22"/>
        </w:rPr>
        <w:t xml:space="preserve">Ethics statement: This study used exclusively publicly available, anonymized datasets and involved no human or animal subjects; therefore, no ethical approval was required.</w:t>
      </w:r>
    </w:p>
    <w:p>
      <w:pPr>
        <w:spacing w:after="80"/>
      </w:pPr>
      <w:r>
        <w:rPr>
          <w:sz w:val="22"/>
          <w:szCs w:val="22"/>
        </w:rPr>
        <w:t xml:space="preserve">Author contributions: K.W. conceived the study, implemented the core architecture and training pipeline, conducted all computational experiments, and wrote the manuscript. L.Z. developed the interactive web interface and visualization components. C.Q. contributed to evaluation benchmarking and biological validation data curation. All authors reviewed and approved the manuscript.</w:t>
      </w:r>
    </w:p>
    <w:p>
      <w:pPr>
        <w:pStyle w:val="Heading2"/>
        <w:spacing w:after="100" w:before="200"/>
      </w:pPr>
      <w:r>
        <w:rPr>
          <w:b/>
          <w:bCs/>
          <w:sz w:val="28"/>
          <w:szCs w:val="28"/>
        </w:rPr>
        <w:t xml:space="preserve">References</w:t>
      </w:r>
    </w:p>
    <w:p>
      <w:pPr>
        <w:spacing w:after="80"/>
      </w:pPr>
      <w:r>
        <w:rPr>
          <w:rFonts w:ascii="Times New Roman" w:cs="Times New Roman" w:eastAsia="Times New Roman" w:hAnsi="Times New Roman"/>
          <w:sz w:val="22"/>
          <w:szCs w:val="22"/>
        </w:rPr>
        <w:t xml:space="preserve">[1] Li Y, et al. Unified genetic and chemical perturbation prediction across cell lines with UniPert-G2CP. </w:t>
      </w:r>
      <w:r>
        <w:rPr>
          <w:rFonts w:ascii="Times New Roman" w:cs="Times New Roman" w:eastAsia="Times New Roman" w:hAnsi="Times New Roman"/>
          <w:i/>
          <w:iCs/>
          <w:sz w:val="22"/>
          <w:szCs w:val="22"/>
        </w:rPr>
        <w:t xml:space="preserve">Cell</w:t>
      </w:r>
      <w:r>
        <w:rPr>
          <w:rFonts w:ascii="Times New Roman" w:cs="Times New Roman" w:eastAsia="Times New Roman" w:hAnsi="Times New Roman"/>
          <w:sz w:val="22"/>
          <w:szCs w:val="22"/>
        </w:rPr>
        <w:t xml:space="preserve">. 2026;189(13):2678-2695.e18. doi:10.1016/j.cell.2026.06.005.</w:t>
      </w:r>
    </w:p>
    <w:p>
      <w:pPr>
        <w:spacing w:after="80"/>
      </w:pPr>
      <w:r>
        <w:rPr>
          <w:sz w:val="22"/>
          <w:szCs w:val="22"/>
        </w:rPr>
        <w:t xml:space="preserve">[2] lynn-1998. UniPert-G2CP_reproduce [Source code]. GitHub. 2026. https://github.com/lynn-1998/UniPert-G2CP_reproduce. Accessed August 7, 2026.</w:t>
      </w:r>
    </w:p>
    <w:p>
      <w:pPr>
        <w:spacing w:after="80"/>
      </w:pPr>
      <w:r>
        <w:rPr>
          <w:sz w:val="22"/>
          <w:szCs w:val="22"/>
        </w:rPr>
        <w:t xml:space="preserve">[3] Li Y, et al. UniPert-G2CP: evaluation data and model outputs [Data set]. Zenodo. 2026. doi:10.5281/zenodo.20355906.</w:t>
      </w:r>
    </w:p>
    <w:p>
      <w:pPr>
        <w:spacing w:after="80"/>
      </w:pPr>
      <w:r>
        <w:rPr>
          <w:rFonts w:ascii="Times New Roman" w:cs="Times New Roman" w:eastAsia="Times New Roman" w:hAnsi="Times New Roman"/>
          <w:sz w:val="22"/>
          <w:szCs w:val="22"/>
        </w:rPr>
        <w:t xml:space="preserve">[4] Lin Z, et al. Evolutionary-scale prediction of atomic-level protein structure with a language model. </w:t>
      </w:r>
      <w:r>
        <w:rPr>
          <w:rFonts w:ascii="Times New Roman" w:cs="Times New Roman" w:eastAsia="Times New Roman" w:hAnsi="Times New Roman"/>
          <w:i/>
          <w:iCs/>
          <w:sz w:val="22"/>
          <w:szCs w:val="22"/>
        </w:rPr>
        <w:t xml:space="preserve">Science</w:t>
      </w:r>
      <w:r>
        <w:rPr>
          <w:rFonts w:ascii="Times New Roman" w:cs="Times New Roman" w:eastAsia="Times New Roman" w:hAnsi="Times New Roman"/>
          <w:sz w:val="22"/>
          <w:szCs w:val="22"/>
        </w:rPr>
        <w:t xml:space="preserve">. 2023;379(6637):1123-1130. doi:10.1126/science.ade2574.</w:t>
      </w:r>
    </w:p>
    <w:p>
      <w:pPr>
        <w:spacing w:after="80"/>
      </w:pPr>
      <w:r>
        <w:rPr>
          <w:rFonts w:ascii="Times New Roman" w:cs="Times New Roman" w:eastAsia="Times New Roman" w:hAnsi="Times New Roman"/>
          <w:sz w:val="22"/>
          <w:szCs w:val="22"/>
        </w:rPr>
        <w:t xml:space="preserve">[5] Subramanian A, et al. A next generation connectivity map: L1000 platform and the first 1,000,000 profiles. </w:t>
      </w:r>
      <w:r>
        <w:rPr>
          <w:rFonts w:ascii="Times New Roman" w:cs="Times New Roman" w:eastAsia="Times New Roman" w:hAnsi="Times New Roman"/>
          <w:i/>
          <w:iCs/>
          <w:sz w:val="22"/>
          <w:szCs w:val="22"/>
        </w:rPr>
        <w:t xml:space="preserve">Cell</w:t>
      </w:r>
      <w:r>
        <w:rPr>
          <w:rFonts w:ascii="Times New Roman" w:cs="Times New Roman" w:eastAsia="Times New Roman" w:hAnsi="Times New Roman"/>
          <w:sz w:val="22"/>
          <w:szCs w:val="22"/>
        </w:rPr>
        <w:t xml:space="preserve">. 2017;171(6):1437-1452.e17. doi:10.1016/j.cell.2017.10.049.</w:t>
      </w:r>
    </w:p>
    <w:p>
      <w:pPr>
        <w:spacing w:after="80"/>
      </w:pPr>
      <w:r>
        <w:rPr>
          <w:rFonts w:ascii="Times New Roman" w:cs="Times New Roman" w:eastAsia="Times New Roman" w:hAnsi="Times New Roman"/>
          <w:sz w:val="22"/>
          <w:szCs w:val="22"/>
        </w:rPr>
        <w:t xml:space="preserve">[6] Roohani Y, Huang K, Leskovec J. Predicting transcriptional outcomes of novel and known multi-gene perturbations with GEARS. </w:t>
      </w:r>
      <w:r>
        <w:rPr>
          <w:rFonts w:ascii="Times New Roman" w:cs="Times New Roman" w:eastAsia="Times New Roman" w:hAnsi="Times New Roman"/>
          <w:i/>
          <w:iCs/>
          <w:sz w:val="22"/>
          <w:szCs w:val="22"/>
        </w:rPr>
        <w:t xml:space="preserve">Nat Biotechnol</w:t>
      </w:r>
      <w:r>
        <w:rPr>
          <w:rFonts w:ascii="Times New Roman" w:cs="Times New Roman" w:eastAsia="Times New Roman" w:hAnsi="Times New Roman"/>
          <w:sz w:val="22"/>
          <w:szCs w:val="22"/>
        </w:rPr>
        <w:t xml:space="preserve">. 2024;42(6):927-936. doi:10.1038/s41587-023-01905-6.</w:t>
      </w:r>
    </w:p>
    <w:p>
      <w:pPr>
        <w:spacing w:after="80"/>
      </w:pPr>
      <w:r>
        <w:rPr>
          <w:rFonts w:ascii="Times New Roman" w:cs="Times New Roman" w:eastAsia="Times New Roman" w:hAnsi="Times New Roman"/>
          <w:sz w:val="22"/>
          <w:szCs w:val="22"/>
        </w:rPr>
        <w:t xml:space="preserve">[7] Gao H, et al. Suppression of CD36 attenuates adipogenesis with a reduction of P2X7 expression in 3T3-L1 cells. </w:t>
      </w:r>
      <w:r>
        <w:rPr>
          <w:rFonts w:ascii="Times New Roman" w:cs="Times New Roman" w:eastAsia="Times New Roman" w:hAnsi="Times New Roman"/>
          <w:i/>
          <w:iCs/>
          <w:sz w:val="22"/>
          <w:szCs w:val="22"/>
        </w:rPr>
        <w:t xml:space="preserve">Biochem Biophys Res Commun</w:t>
      </w:r>
      <w:r>
        <w:rPr>
          <w:rFonts w:ascii="Times New Roman" w:cs="Times New Roman" w:eastAsia="Times New Roman" w:hAnsi="Times New Roman"/>
          <w:sz w:val="22"/>
          <w:szCs w:val="22"/>
        </w:rPr>
        <w:t xml:space="preserve">. 2017;491(1):42-48. doi:10.1016/j.bbrc.2017.07.077.</w:t>
      </w:r>
    </w:p>
    <w:p>
      <w:pPr>
        <w:spacing w:after="80"/>
      </w:pPr>
      <w:r>
        <w:rPr>
          <w:rFonts w:ascii="Times New Roman" w:cs="Times New Roman" w:eastAsia="Times New Roman" w:hAnsi="Times New Roman"/>
          <w:sz w:val="22"/>
          <w:szCs w:val="22"/>
        </w:rPr>
        <w:t xml:space="preserve">[8] Ayroldi E, et al. GILZ mediates the antiproliferative activity of glucocorticoids by negative regulation of Ras signaling. </w:t>
      </w:r>
      <w:r>
        <w:rPr>
          <w:rFonts w:ascii="Times New Roman" w:cs="Times New Roman" w:eastAsia="Times New Roman" w:hAnsi="Times New Roman"/>
          <w:i/>
          <w:iCs/>
          <w:sz w:val="22"/>
          <w:szCs w:val="22"/>
        </w:rPr>
        <w:t xml:space="preserve">J Clin Invest</w:t>
      </w:r>
      <w:r>
        <w:rPr>
          <w:rFonts w:ascii="Times New Roman" w:cs="Times New Roman" w:eastAsia="Times New Roman" w:hAnsi="Times New Roman"/>
          <w:sz w:val="22"/>
          <w:szCs w:val="22"/>
        </w:rPr>
        <w:t xml:space="preserve">. 2007;117(6):1605-1615. doi:10.1172/JCI30724.</w:t>
      </w:r>
    </w:p>
    <w:p>
      <w:pPr>
        <w:spacing w:after="80"/>
      </w:pPr>
      <w:r>
        <w:rPr>
          <w:rFonts w:ascii="Times New Roman" w:cs="Times New Roman" w:eastAsia="Times New Roman" w:hAnsi="Times New Roman"/>
          <w:sz w:val="22"/>
          <w:szCs w:val="22"/>
        </w:rPr>
        <w:t xml:space="preserve">[9] Ueno S, et al. Metformin enhances anti-tumor effect of L-type amino acid transporter 1 (LAT1) inhibitor. </w:t>
      </w:r>
      <w:r>
        <w:rPr>
          <w:rFonts w:ascii="Times New Roman" w:cs="Times New Roman" w:eastAsia="Times New Roman" w:hAnsi="Times New Roman"/>
          <w:i/>
          <w:iCs/>
          <w:sz w:val="22"/>
          <w:szCs w:val="22"/>
        </w:rPr>
        <w:t xml:space="preserve">J Pharmacol Sci</w:t>
      </w:r>
      <w:r>
        <w:rPr>
          <w:rFonts w:ascii="Times New Roman" w:cs="Times New Roman" w:eastAsia="Times New Roman" w:hAnsi="Times New Roman"/>
          <w:sz w:val="22"/>
          <w:szCs w:val="22"/>
        </w:rPr>
        <w:t xml:space="preserve">. 2016;131(2):110-117. doi:10.1016/j.jphs.2016.04.021.</w:t>
      </w:r>
    </w:p>
    <w:p>
      <w:pPr>
        <w:spacing w:after="80"/>
      </w:pPr>
      <w:r>
        <w:rPr>
          <w:rFonts w:ascii="Times New Roman" w:cs="Times New Roman" w:eastAsia="Times New Roman" w:hAnsi="Times New Roman"/>
          <w:sz w:val="22"/>
          <w:szCs w:val="22"/>
        </w:rPr>
        <w:t xml:space="preserve">[10] Lotfollahi M, Wolf FA, Theis FJ. scGen predicts single-cell perturbation responses. </w:t>
      </w:r>
      <w:r>
        <w:rPr>
          <w:rFonts w:ascii="Times New Roman" w:cs="Times New Roman" w:eastAsia="Times New Roman" w:hAnsi="Times New Roman"/>
          <w:i/>
          <w:iCs/>
          <w:sz w:val="22"/>
          <w:szCs w:val="22"/>
        </w:rPr>
        <w:t xml:space="preserve">Nature Methods</w:t>
      </w:r>
      <w:r>
        <w:rPr>
          <w:rFonts w:ascii="Times New Roman" w:cs="Times New Roman" w:eastAsia="Times New Roman" w:hAnsi="Times New Roman"/>
          <w:sz w:val="22"/>
          <w:szCs w:val="22"/>
        </w:rPr>
        <w:t xml:space="preserve">. 2019;16(8):715-721.</w:t>
      </w:r>
    </w:p>
    <w:p>
      <w:pPr>
        <w:spacing w:after="80"/>
      </w:pPr>
      <w:r>
        <w:rPr>
          <w:rFonts w:ascii="Times New Roman" w:cs="Times New Roman" w:eastAsia="Times New Roman" w:hAnsi="Times New Roman"/>
          <w:sz w:val="22"/>
          <w:szCs w:val="22"/>
        </w:rPr>
        <w:t xml:space="preserve">[11] Lotfollahi M, et al. Predicting cellular responses to complex perturbations in high-throughput screens. </w:t>
      </w:r>
      <w:r>
        <w:rPr>
          <w:rFonts w:ascii="Times New Roman" w:cs="Times New Roman" w:eastAsia="Times New Roman" w:hAnsi="Times New Roman"/>
          <w:i/>
          <w:iCs/>
          <w:sz w:val="22"/>
          <w:szCs w:val="22"/>
        </w:rPr>
        <w:t xml:space="preserve">Molecular Systems Biology</w:t>
      </w:r>
      <w:r>
        <w:rPr>
          <w:rFonts w:ascii="Times New Roman" w:cs="Times New Roman" w:eastAsia="Times New Roman" w:hAnsi="Times New Roman"/>
          <w:sz w:val="22"/>
          <w:szCs w:val="22"/>
        </w:rPr>
        <w:t xml:space="preserve">. 2023;19(6):e11517.</w:t>
      </w:r>
    </w:p>
    <w:p>
      <w:pPr>
        <w:spacing w:after="80"/>
      </w:pPr>
      <w:r>
        <w:rPr>
          <w:rFonts w:ascii="Times New Roman" w:cs="Times New Roman" w:eastAsia="Times New Roman" w:hAnsi="Times New Roman"/>
          <w:sz w:val="22"/>
          <w:szCs w:val="22"/>
        </w:rPr>
        <w:t xml:space="preserve">[12] Hetzel L, Boehm V, Kilbertus N, Guennemann S, Lotfollahi M, Theis FJ. Predicting cellular perturbation responses for unseen drugs. arXiv:2204.13545 [q-bio.QM]. 2022.</w:t>
      </w:r>
    </w:p>
    <w:p>
      <w:pPr>
        <w:spacing w:after="80"/>
      </w:pPr>
      <w:r>
        <w:rPr>
          <w:rFonts w:ascii="Times New Roman" w:cs="Times New Roman" w:eastAsia="Times New Roman" w:hAnsi="Times New Roman"/>
          <w:sz w:val="22"/>
          <w:szCs w:val="22"/>
        </w:rPr>
        <w:t xml:space="preserve">[13] Obeng EA, Carlson LM, Gutman DM, Harrington WJ Jr, Lee KP, Boise LH. Proteasome inhibitors induce a terminal unfolded protein response in multiple myeloma cells. </w:t>
      </w:r>
      <w:r>
        <w:rPr>
          <w:rFonts w:ascii="Times New Roman" w:cs="Times New Roman" w:eastAsia="Times New Roman" w:hAnsi="Times New Roman"/>
          <w:i/>
          <w:iCs/>
          <w:sz w:val="22"/>
          <w:szCs w:val="22"/>
        </w:rPr>
        <w:t xml:space="preserve">Blood</w:t>
      </w:r>
      <w:r>
        <w:rPr>
          <w:rFonts w:ascii="Times New Roman" w:cs="Times New Roman" w:eastAsia="Times New Roman" w:hAnsi="Times New Roman"/>
          <w:sz w:val="22"/>
          <w:szCs w:val="22"/>
        </w:rPr>
        <w:t xml:space="preserve">. 2006;107(12):4907-4916.</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Page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2026-08-08T10:37:34.210Z</dcterms:created>
  <dcterms:modified xsi:type="dcterms:W3CDTF">2026-08-08T10:37:34.211Z</dcterms:modified>
</cp:coreProperties>
</file>

<file path=docProps/custom.xml><?xml version="1.0" encoding="utf-8"?>
<Properties xmlns="http://schemas.openxmlformats.org/officeDocument/2006/custom-properties" xmlns:vt="http://schemas.openxmlformats.org/officeDocument/2006/docPropsVTypes"/>
</file>