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t>ComBat removed cross-cohort feature shift but did not improve discrimination.</w:t>
      </w:r>
    </w:p>
    <w:p>
      <w:pPr>
        <w:spacing w:line="480" w:lineRule="auto"/>
      </w:pPr>
      <w:r>
        <w:t>External C-index stayed at 0.507 (95% CI 0.431–0.580) after batch correction.</w:t>
      </w:r>
    </w:p>
    <w:p>
      <w:pPr>
        <w:spacing w:line="480" w:lineRule="auto"/>
      </w:pPr>
      <w:r>
        <w:t>Recalibration cut Brier scores by 40–52% without changing the C-index.</w:t>
      </w:r>
    </w:p>
    <w:p>
      <w:pPr>
        <w:spacing w:line="480" w:lineRule="auto"/>
      </w:pPr>
      <w:r>
        <w:t>Feature–outcome associations differed between cohorts (top-10 overlap 10%).</w:t>
      </w:r>
    </w:p>
    <w:p>
      <w:pPr>
        <w:spacing w:line="480" w:lineRule="auto"/>
      </w:pPr>
      <w:r>
        <w:t>Cross-cohort reproducibility comprises orthogonal layers needing separate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