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Cross-cohort reproducibility of CT-based lung cancer survival prediction: ComBat corrects feature-space orientation but not discrimination</w:t>
      </w:r>
    </w:p>
    <w:p>
      <w:pPr>
        <w:jc w:val="center"/>
      </w:pPr>
    </w:p>
    <w:p>
      <w:pPr>
        <w:jc w:val="center"/>
      </w:pPr>
      <w:r>
        <w:rPr>
          <w:rFonts w:ascii="Times New Roman" w:hAnsi="Times New Roman"/>
          <w:sz w:val="24"/>
        </w:rPr>
        <w:t>Authors: Jiuyang WANG¹, Yong LI¹,*</w:t>
      </w:r>
    </w:p>
    <w:p>
      <w:pPr>
        <w:jc w:val="center"/>
      </w:pPr>
    </w:p>
    <w:p>
      <w:pPr>
        <w:jc w:val="center"/>
      </w:pPr>
      <w:r>
        <w:rPr>
          <w:rFonts w:ascii="Times New Roman" w:hAnsi="Times New Roman"/>
          <w:sz w:val="24"/>
        </w:rPr>
        <w:t>Affiliations: ¹Department of Oncology, The First Affiliated Hospital of Nanchang University, Nanchang, Jiangxi, China.</w:t>
      </w:r>
    </w:p>
    <w:p>
      <w:pPr>
        <w:jc w:val="center"/>
      </w:pPr>
    </w:p>
    <w:p>
      <w:pPr>
        <w:jc w:val="center"/>
      </w:pPr>
      <w:r>
        <w:rPr>
          <w:rFonts w:ascii="Times New Roman" w:hAnsi="Times New Roman"/>
          <w:sz w:val="24"/>
        </w:rPr>
        <w:t>*Corresponding Author: Yong LI, Department of Oncology, The First Affiliated Hospital of Nanchang University, Nanchang, Jiangxi, China. Email: liyongcsco@email.ncu.edu.cn. Telephone: +86-15879155066.</w:t>
      </w:r>
    </w:p>
    <w:p>
      <w:pPr>
        <w:jc w:val="center"/>
      </w:pPr>
      <w:r>
        <w:rPr>
          <w:rFonts w:ascii="Times New Roman" w:hAnsi="Times New Roman"/>
          <w:sz w:val="24"/>
        </w:rPr>
        <w:t>ORCID: Jiuyang WANG: 0009-0007-0788-977X</w:t>
      </w:r>
    </w:p>
    <w:p>
      <w:pPr>
        <w:jc w:val="center"/>
      </w:pPr>
    </w:p>
    <w:p>
      <w:pPr>
        <w:jc w:val="center"/>
      </w:pPr>
      <w:r>
        <w:t>Running title: Cross-cohort reproducibility benchmark</w:t>
      </w:r>
    </w:p>
    <w:p>
      <w:pPr>
        <w:jc w:val="center"/>
      </w:pPr>
    </w:p>
    <w:p>
      <w:pPr>
        <w:jc w:val="center"/>
      </w:pPr>
      <w:r>
        <w:t>Word count (main text): 6,100</w:t>
      </w:r>
    </w:p>
    <w:p>
      <w:pPr>
        <w:jc w:val="center"/>
      </w:pPr>
      <w:r>
        <w:t>Number of figures: 5   Number of tables: 7</w:t>
      </w:r>
    </w:p>
    <w:p>
      <w:r>
        <w:br w:type="page"/>
      </w:r>
    </w:p>
    <w:p>
      <w:pPr>
        <w:pStyle w:val="Heading2"/>
      </w:pPr>
      <w:r>
        <w:rPr>
          <w:rFonts w:ascii="Times New Roman" w:hAnsi="Times New Roman"/>
        </w:rPr>
        <w:t>Abstract</w:t>
      </w:r>
    </w:p>
    <w:p>
      <w:r>
        <w:t>Cross-cohort transport of CT-based survival models in non-small cell lung cancer is widely attributed to batch effects, and correction with ComBat is commonly assumed to restore performance. Across five public CT collections (781 imaging entries; 741 unique patients; 633 with survival data), we held preprocessing, feature extraction and model class fixed and compared ComBat-corrected with uncorrected representations in a head-to-head external validation of discrimination, calibration, proper scoring rules and stability. Models were trained on LUNG1 (n = 422) and evaluated on NSCLC-Radiogenomics (n = 211), with recalibration applied only as a post hoc analysis. ComBat reduced the mean absolute standardised difference between cohorts from 0.755 to 0.012, with no feature exceeding |d| = 0.8 after correction, and changed the external calibration slope from −0.327 to +0.815. External discrimination of the joint model remained 0.507 (95% CI 0.431–0.580) against an internal cross-validated 0.582 (95% CI 0.565–0.598), and the embedding-only model reached 0.581 (95% CI 0.504–0.650). Calibration was displaced in the uncorrected model (mean predicted 730-day event probability 0.603 versus observed 0.171), and target-cohort recalibration reduced the Brier score by 40–52% without changing the C-index. The overlap between the ten most important components across cohorts was 10%, and retaining only the most reproducible components did not change external discrimination beyond sampling noise. Cross-cohort reproducibility therefore comprises orthogonal layers — feature-space orientation, baseline hazard and discrimination — that require separate reporting, and a corrected feature distribution does not by itself imply a transportable model.</w:t>
      </w:r>
    </w:p>
    <w:p>
      <w:pPr>
        <w:ind w:firstLine="0"/>
      </w:pPr>
      <w:r>
        <w:t>Keywords: Cross-cohort reproducibility; Radiomics; Batch effect correction; Survival prediction; External validation; Calibration; Lung cancer</w:t>
      </w:r>
    </w:p>
    <w:p>
      <w:r>
        <w:br w:type="page"/>
      </w:r>
    </w:p>
    <w:p>
      <w:pPr>
        <w:pStyle w:val="Heading2"/>
      </w:pPr>
      <w:r>
        <w:rPr>
          <w:rFonts w:ascii="Times New Roman" w:hAnsi="Times New Roman"/>
        </w:rPr>
        <w:t>1. Introduction</w:t>
      </w:r>
    </w:p>
    <w:p>
      <w:pPr>
        <w:ind w:firstLine="720"/>
      </w:pPr>
      <w:r>
        <w:t>Computed tomography (CT) is central to the staging and management of non-small cell lung cancer (NSCLC), and quantitative analysis of pre-treatment CT has been proposed as a source of prognostic information complementary to clinical staging (Aerts et al., 2014; Bakr et al., 2018). Radiomic signatures and, more recently, deep-learning embeddings derived from CT have been reported to predict overall survival in single-cohort settings (van Griethuysen et al., 2017; Wang et al., 2019), and systematic reviews continue to catalogue such models across the literature (Mayerhoefer et al., 2020; van Timmeren et al., 2020; Lambin et al., 2025). A recurring observation is that performance measured in the cohort in which a model was developed does not transfer to an independent cohort: models that discriminate well internally frequently fall towards chance when applied elsewhere (Hosny et al., 2018; Jha et al., 2023), a pattern consistent with the broader fragility of risk prediction models and of deep-learning systems across sites (Zech et al., 2018; Wynants et al., 2020). Because cohorts differ in scanner, acquisition protocol, reconstruction kernel, and patient mix, the most common explanation for this loss is a distributional shift in the extracted features, and the most common remedy is batch correction. This has motivated a widespread assumption that batch correction via ComBat is sufficient.</w:t>
      </w:r>
    </w:p>
    <w:p>
      <w:pPr>
        <w:ind w:firstLine="720"/>
      </w:pPr>
      <w:r>
        <w:t>ComBat estimates and removes site-specific additive and multiplicative effects; it was introduced for microarray data (Johnson et al., 2007) and later adapted to multi-site imaging (Fortin et al., 2018), including CT radiomics (Da-Ano et al., 2020; Mahon et al., 2020; Bertolini et al., 2022). In radiomics, its success is usually assessed with distributional diagnostics—the standardised mean difference between cohorts, visual overlap of principal components, or the proportion of features with a large effect size. These diagnostics are attractive because they are simple and interpretable, but they describe the input features rather than the prediction task. The implicit inference—that a corrected feature distribution implies a transportable model—has not, to our knowledge, been tested by holding preprocessing, endpoint definition, and model class fixed and then comparing corrected and uncorrected representations on the same external cohort. Existing studies typically report a single development cohort with internal validation (Sahin and Karacor, 2026), a single external set used once, or a comparison of harmonisation methods without decomposing the resulting performance loss (Amini et al., 2022; Ge et al., 2023; Le et al., 2023); some report that conventional clinical or radiomic features are at least as informative as more complex deep models on independent data (Liu et al., 2026). Pooled analyses in adjacent prediction tasks report high summary discrimination while noting considerable between-study heterogeneity (Jiang et al., 2026), and studies that combine several public collections seldom report whether the same patients appear in more than one collection (Liang et al., 2024). It therefore remains unclear whether a model that fails across cohorts does so because of correctable feature shift, because of an unfavourable baseline hazard in the target cohort, or because the association between features and outcome itself differs between cohorts—three possibilities that require different reporting and different remedies. We argue that cross-cohort reproducibility is not a single-metric problem.</w:t>
      </w:r>
    </w:p>
    <w:p>
      <w:pPr>
        <w:ind w:firstLine="720"/>
      </w:pPr>
      <w:r>
        <w:t xml:space="preserve">We assembled five publicly available CT collections from The Cancer Imaging Archive, comprising </w:t>
      </w:r>
      <w:r>
        <w:rPr>
          <w:b/>
        </w:rPr>
        <w:t>781</w:t>
      </w:r>
      <w:r>
        <w:t xml:space="preserve"> imaging entries from </w:t>
      </w:r>
      <w:r>
        <w:rPr>
          <w:b/>
        </w:rPr>
        <w:t>741</w:t>
      </w:r>
      <w:r>
        <w:t xml:space="preserve"> unique patients, of which </w:t>
      </w:r>
      <w:r>
        <w:rPr>
          <w:b/>
        </w:rPr>
        <w:t>633</w:t>
      </w:r>
      <w:r>
        <w:t xml:space="preserve"> had survival data suitable for time-to-event modelling (LUNG1, n = </w:t>
      </w:r>
      <w:r>
        <w:rPr>
          <w:b/>
        </w:rPr>
        <w:t>422</w:t>
      </w:r>
      <w:r>
        <w:t xml:space="preserve">; Radiogenomics, n = </w:t>
      </w:r>
      <w:r>
        <w:rPr>
          <w:b/>
        </w:rPr>
        <w:t>211</w:t>
      </w:r>
      <w:r>
        <w:t xml:space="preserve">) (Aerts et al., 2014; Bakr et al., 2018). Preprocessing, feature extraction, dimensionality reduction, and model class were held fixed: after lung-mask segmentation we extracted </w:t>
      </w:r>
      <w:r>
        <w:rPr>
          <w:b/>
        </w:rPr>
        <w:t>107</w:t>
      </w:r>
      <w:r>
        <w:t xml:space="preserve"> PyRadiomics features (van Griethuysen et al., 2017) and </w:t>
      </w:r>
      <w:r>
        <w:rPr>
          <w:b/>
        </w:rPr>
        <w:t>2048</w:t>
      </w:r>
      <w:r>
        <w:t>-dimensional embeddings from a frozen InceptionV3 network, a transfer-learning choice motivated by prior work in medical imaging (Zhou et al., 2021; Niu et al., 2021; Tariq et al., 2024; Gao et al., 2025), applied ComBat with cohort as the batch variable, reduced the two blocks by principal component analysis (</w:t>
      </w:r>
      <w:r>
        <w:rPr>
          <w:b/>
        </w:rPr>
        <w:t>30</w:t>
      </w:r>
      <w:r>
        <w:t xml:space="preserve"> and </w:t>
      </w:r>
      <w:r>
        <w:rPr>
          <w:b/>
        </w:rPr>
        <w:t>50</w:t>
      </w:r>
      <w:r>
        <w:t xml:space="preserve"> components), and fitted the same L1-penalised Cox model to four feature sets (clinical, radiomic, embedding, joint). The same pipeline was then run with and without ComBat on otherwise identical features, so that any difference is attributable to the correction step alone. We evaluated five dimensions: discrimination (C-index and time-dependent AUC), calibration (calibration curves and calibration slope), proper scoring rules (Brier score), clinical utility (decision curves), and stability (repeated cross-validation coefficient stability together with an intervention in which only reproducible components were retained). We do not propose a new method but a benchmark.</w:t>
      </w:r>
    </w:p>
    <w:p>
      <w:pPr>
        <w:ind w:firstLine="720"/>
      </w:pPr>
      <w:r>
        <w:t xml:space="preserve">The benchmark separates five layers. First, ComBat removed marginal distribution shift (radiomic mean |d| </w:t>
      </w:r>
      <w:r>
        <w:rPr>
          <w:b/>
        </w:rPr>
        <w:t>0.755 → 0.012</w:t>
      </w:r>
      <w:r>
        <w:t xml:space="preserve"> and the proportion of features exceeding |d| = 0.8 from </w:t>
      </w:r>
      <w:r>
        <w:rPr>
          <w:b/>
        </w:rPr>
        <w:t>47% to 0%</w:t>
      </w:r>
      <w:r>
        <w:t xml:space="preserve">; embeddings </w:t>
      </w:r>
      <w:r>
        <w:rPr>
          <w:b/>
        </w:rPr>
        <w:t>0.647 → 0.014</w:t>
      </w:r>
      <w:r>
        <w:t xml:space="preserve"> and </w:t>
      </w:r>
      <w:r>
        <w:rPr>
          <w:b/>
        </w:rPr>
        <w:t>32% → 0%</w:t>
      </w:r>
      <w:r>
        <w:t xml:space="preserve">). Second, it corrected the direction of the risk score (calibration slope </w:t>
      </w:r>
      <w:r>
        <w:rPr>
          <w:b/>
        </w:rPr>
        <w:t>−0.327 → +0.815</w:t>
      </w:r>
      <w:r>
        <w:t xml:space="preserve">) and reduced the absolute transport loss from </w:t>
      </w:r>
      <w:r>
        <w:rPr>
          <w:b/>
        </w:rPr>
        <w:t>−0.117</w:t>
      </w:r>
      <w:r>
        <w:t xml:space="preserve"> to </w:t>
      </w:r>
      <w:r>
        <w:rPr>
          <w:b/>
        </w:rPr>
        <w:t>−0.066</w:t>
      </w:r>
      <w:r>
        <w:t xml:space="preserve">. Third, it did not raise discrimination: the joint model reached an external C-index of </w:t>
      </w:r>
      <w:r>
        <w:rPr>
          <w:b/>
        </w:rPr>
        <w:t>0.507 (95% CI 0.431–0.580)</w:t>
      </w:r>
      <w:r>
        <w:t xml:space="preserve"> against an internal cross-validated </w:t>
      </w:r>
      <w:r>
        <w:rPr>
          <w:b/>
        </w:rPr>
        <w:t>0.582 (95% CI 0.565–0.598)</w:t>
      </w:r>
      <w:r>
        <w:t xml:space="preserve">, and calibration remained displaced (median predicted S(730) </w:t>
      </w:r>
      <w:r>
        <w:rPr>
          <w:b/>
        </w:rPr>
        <w:t>0.40</w:t>
      </w:r>
      <w:r>
        <w:t xml:space="preserve"> versus observed </w:t>
      </w:r>
      <w:r>
        <w:rPr>
          <w:b/>
        </w:rPr>
        <w:t>0.82</w:t>
      </w:r>
      <w:r>
        <w:t xml:space="preserve">), with target-cohort recalibration reducing the Brier score by </w:t>
      </w:r>
      <w:r>
        <w:rPr>
          <w:b/>
        </w:rPr>
        <w:t>40–52%</w:t>
      </w:r>
      <w:r>
        <w:t xml:space="preserve"> while leaving the C-index unchanged. Fourth, the feature–outcome associations themselves differed between cohorts (Spearman correlation of fitted Cox coefficients </w:t>
      </w:r>
      <w:r>
        <w:rPr>
          <w:b/>
        </w:rPr>
        <w:t>0.223</w:t>
      </w:r>
      <w:r>
        <w:t xml:space="preserve">, p = </w:t>
      </w:r>
      <w:r>
        <w:rPr>
          <w:b/>
        </w:rPr>
        <w:t>0.036</w:t>
      </w:r>
      <w:r>
        <w:t xml:space="preserve">; overlap of the ten most important components </w:t>
      </w:r>
      <w:r>
        <w:rPr>
          <w:b/>
        </w:rPr>
        <w:t>10%</w:t>
      </w:r>
      <w:r>
        <w:t xml:space="preserve">), whereas a nine-variable clinical model without batch correction reached </w:t>
      </w:r>
      <w:r>
        <w:rPr>
          <w:b/>
        </w:rPr>
        <w:t>0.593 (95% CI 0.522–0.666)</w:t>
      </w:r>
      <w:r>
        <w:t xml:space="preserve">, indicating that the ceiling was specific to the imaging representations. Fifth, selecting only the most reproducible components did not change external discrimination beyond sampling noise (stable subsets </w:t>
      </w:r>
      <w:r>
        <w:rPr>
          <w:b/>
        </w:rPr>
        <w:t>0.495–0.551</w:t>
      </w:r>
      <w:r>
        <w:t xml:space="preserve"> versus size-matched random subsets </w:t>
      </w:r>
      <w:r>
        <w:rPr>
          <w:b/>
        </w:rPr>
        <w:t>0.512–0.548</w:t>
      </w:r>
      <w:r>
        <w:t>; all |z| &lt; 1). We frame cross-cohort reproducibility as comprising orthogonal failure layers that require separate reporting, and we demonstrate that reporting C-index alone conceals each of them.</w:t>
      </w:r>
    </w:p>
    <w:p>
      <w:pPr>
        <w:ind w:firstLine="720"/>
      </w:pPr>
      <w:r>
        <w:t>---</w:t>
      </w:r>
    </w:p>
    <w:p>
      <w:r>
        <w:br w:type="page"/>
      </w:r>
    </w:p>
    <w:p>
      <w:pPr>
        <w:pStyle w:val="Heading2"/>
      </w:pPr>
      <w:r>
        <w:rPr>
          <w:rFonts w:ascii="Times New Roman" w:hAnsi="Times New Roman"/>
        </w:rPr>
        <w:t>2. Methods</w:t>
      </w:r>
    </w:p>
    <w:p>
      <w:pPr>
        <w:pStyle w:val="Heading3"/>
      </w:pPr>
      <w:r>
        <w:rPr>
          <w:rFonts w:ascii="Times New Roman" w:hAnsi="Times New Roman"/>
        </w:rPr>
        <w:t>2.1 Study population and data sources</w:t>
      </w:r>
    </w:p>
    <w:p>
      <w:pPr>
        <w:ind w:firstLine="720"/>
      </w:pPr>
      <w:r>
        <w:t xml:space="preserve">We used five publicly available collections distributed by The Cancer Imaging Archive (TCIA) (dataset references are listed in the reference list): NSCLC-Radiomics (LUNG1) contributed </w:t>
      </w:r>
      <w:r>
        <w:rPr>
          <w:b/>
        </w:rPr>
        <w:t>422</w:t>
      </w:r>
      <w:r>
        <w:t xml:space="preserve"> patients with pre-treatment CT and overall survival; NSCLC-Radiogenomics contributed </w:t>
      </w:r>
      <w:r>
        <w:rPr>
          <w:b/>
        </w:rPr>
        <w:t>211</w:t>
      </w:r>
      <w:r>
        <w:t xml:space="preserve"> patients with CT and overall survival; LungCT-Diagnosis contributed </w:t>
      </w:r>
      <w:r>
        <w:rPr>
          <w:b/>
        </w:rPr>
        <w:t>61</w:t>
      </w:r>
      <w:r>
        <w:t xml:space="preserve"> patients with event status but without survival times; QIN-LUNG-CT contributed </w:t>
      </w:r>
      <w:r>
        <w:rPr>
          <w:b/>
        </w:rPr>
        <w:t>47</w:t>
      </w:r>
      <w:r>
        <w:t xml:space="preserve"> patients without outcome data; and LUAD-CT-Survival contributed </w:t>
      </w:r>
      <w:r>
        <w:rPr>
          <w:b/>
        </w:rPr>
        <w:t>40</w:t>
      </w:r>
      <w:r>
        <w:t xml:space="preserve"> patients with a binary long/short survival label. Across the five collections, </w:t>
      </w:r>
      <w:r>
        <w:rPr>
          <w:b/>
        </w:rPr>
        <w:t>781</w:t>
      </w:r>
      <w:r>
        <w:t xml:space="preserve"> imaging entries corresponded to </w:t>
      </w:r>
      <w:r>
        <w:rPr>
          <w:b/>
        </w:rPr>
        <w:t>741</w:t>
      </w:r>
      <w:r>
        <w:t xml:space="preserve"> unique patients when de-duplicated by the original patient identifier. LUNG1 was used as the development cohort, being the largest collection with survival data; Radiogenomics served as the primary external cohort because it originates from a different institution (Stanford University) and shares no patients with LUNG1 (Maastricht University Medical Center / MAASTRO Clinic). Of these, </w:t>
      </w:r>
      <w:r>
        <w:rPr>
          <w:b/>
        </w:rPr>
        <w:t>633</w:t>
      </w:r>
      <w:r>
        <w:t xml:space="preserve"> patients (LUNG1, n = </w:t>
      </w:r>
      <w:r>
        <w:rPr>
          <w:b/>
        </w:rPr>
        <w:t>422</w:t>
      </w:r>
      <w:r>
        <w:t xml:space="preserve">; Radiogenomics, n = </w:t>
      </w:r>
      <w:r>
        <w:rPr>
          <w:b/>
        </w:rPr>
        <w:t>211</w:t>
      </w:r>
      <w:r>
        <w:t xml:space="preserve">) had both survival time and event status and formed the survival analysis cohort; </w:t>
      </w:r>
      <w:r>
        <w:rPr>
          <w:b/>
        </w:rPr>
        <w:t>373/422 (88.4%)</w:t>
      </w:r>
      <w:r>
        <w:t xml:space="preserve"> of LUNG1 patients and </w:t>
      </w:r>
      <w:r>
        <w:rPr>
          <w:b/>
        </w:rPr>
        <w:t>63/211 (29.9%)</w:t>
      </w:r>
      <w:r>
        <w:t xml:space="preserve"> of Radiogenomics patients experienced the event. Kaplan-Meier survival estimates at 365, 730 and 1095 days were </w:t>
      </w:r>
      <w:r>
        <w:rPr>
          <w:b/>
        </w:rPr>
        <w:t>0.647</w:t>
      </w:r>
      <w:r>
        <w:t xml:space="preserve">, </w:t>
      </w:r>
      <w:r>
        <w:rPr>
          <w:b/>
        </w:rPr>
        <w:t>0.403</w:t>
      </w:r>
      <w:r>
        <w:t xml:space="preserve"> and </w:t>
      </w:r>
      <w:r>
        <w:rPr>
          <w:b/>
        </w:rPr>
        <w:t>0.313</w:t>
      </w:r>
      <w:r>
        <w:t xml:space="preserve"> in LUNG1, and </w:t>
      </w:r>
      <w:r>
        <w:rPr>
          <w:b/>
        </w:rPr>
        <w:t>0.896</w:t>
      </w:r>
      <w:r>
        <w:t xml:space="preserve">, </w:t>
      </w:r>
      <w:r>
        <w:rPr>
          <w:b/>
        </w:rPr>
        <w:t>0.817</w:t>
      </w:r>
      <w:r>
        <w:t xml:space="preserve"> and </w:t>
      </w:r>
      <w:r>
        <w:rPr>
          <w:b/>
        </w:rPr>
        <w:t>0.744</w:t>
      </w:r>
      <w:r>
        <w:t xml:space="preserve"> in Radiogenomics. Age was missing for </w:t>
      </w:r>
      <w:r>
        <w:rPr>
          <w:b/>
        </w:rPr>
        <w:t>22</w:t>
      </w:r>
      <w:r>
        <w:t xml:space="preserve"> patients. QIN-LUNG-CT was used only for imaging provenance auditing; LungCT-Diagnosis was excluded from survival modelling because survival times were not available. De-duplication used original patient identifiers. We note that </w:t>
      </w:r>
      <w:r>
        <w:rPr>
          <w:b/>
        </w:rPr>
        <w:t>24</w:t>
      </w:r>
      <w:r>
        <w:t xml:space="preserve"> LungCT-Diagnosis cases share a 30-digit StudyInstanceUID suffix with corresponding LUAD-CT-Survival/QIN-LUNG-CT cases, suggesting potential cross-collection duplicate submissions; if these are treated as shared patients, the unique count would be </w:t>
      </w:r>
      <w:r>
        <w:rPr>
          <w:b/>
        </w:rPr>
        <w:t>717</w:t>
      </w:r>
      <w:r>
        <w:t>. Because LUNG1 and Radiogenomics show no patient overlap by either patient identifier or StudyInstanceUID (Fig 1), the de-duplication convention does not affect the survival analysis. All datasets used in this study were obtained from The Cancer Imaging Archive (TCIA), a public repository of de-identified medical imaging data. Each collection was used under its respective TCIA data use agreement. Because all data were de-identified and had been previously collected under the original institutional review board approval of each contributing institution, no additional institutional review board approval was required for this secondary analysis, and informed consent was waived.</w:t>
      </w:r>
    </w:p>
    <w:p>
      <w:pPr>
        <w:pStyle w:val="Heading3"/>
      </w:pPr>
      <w:r>
        <w:rPr>
          <w:rFonts w:ascii="Times New Roman" w:hAnsi="Times New Roman"/>
        </w:rPr>
        <w:t>2.2 Image preprocessing and feature extraction</w:t>
      </w:r>
    </w:p>
    <w:p>
      <w:pPr>
        <w:ind w:firstLine="720"/>
      </w:pPr>
      <w:r>
        <w:t>For each patient, one representative CT series was selected: among all series in the patient folder, the series containing the largest number of slices was read with SimpleITK. No resampling was applied at this stage. Lung parenchyma was segmented with `lungmask` (`mask.apply`), and the resulting mask was stored with the corresponding image. All downstream features were therefore computed within the lung region rather than within a tumour volume. Tumour delineations were not available for all collections and, where present, differed in how they had been produced across institutions. An automatically generated lung mask provides a region definition that is consistent across cohorts and independent of inter-institutional variation in tumour contouring practice, which is aligned with the cross-cohort reproducibility objective of the study: a region definition that depended on non-reproducible manual contours would itself introduce a source of variability that could not be distinguished from the inter-cohort shift under investigation. A consequence is that the radiomic features do not directly characterise tumour texture, and this design choice is noted as a limitation in the Discussion. The same lung mask defined both the extraction region and the embedding slice set.</w:t>
      </w:r>
    </w:p>
    <w:p>
      <w:pPr>
        <w:ind w:firstLine="720"/>
      </w:pPr>
      <w:r>
        <w:t xml:space="preserve">Radiomic features were extracted with PyRadiomics using binWidth = </w:t>
      </w:r>
      <w:r>
        <w:rPr>
          <w:b/>
        </w:rPr>
        <w:t>25</w:t>
      </w:r>
      <w:r>
        <w:t xml:space="preserve">, resampledPixelSpacing = </w:t>
      </w:r>
      <w:r>
        <w:rPr>
          <w:b/>
        </w:rPr>
        <w:t>[2, 2, 2] mm³</w:t>
      </w:r>
      <w:r>
        <w:t xml:space="preserve">, B-spline interpolation, normalize = True and normalizeScale = </w:t>
      </w:r>
      <w:r>
        <w:rPr>
          <w:b/>
        </w:rPr>
        <w:t>100</w:t>
      </w:r>
      <w:r>
        <w:t xml:space="preserve">. The </w:t>
      </w:r>
      <w:r>
        <w:rPr>
          <w:b/>
        </w:rPr>
        <w:t>107</w:t>
      </w:r>
      <w:r>
        <w:t xml:space="preserve"> features retained for analysis comprised shape, first-order and texture descriptors (GLCM, GLRLM, GLSZM, GLDM, NGTDM). Resampling to 2×2×2 mm³ was chosen to balance radiomics feature stability and computational feasibility; deep embeddings used native spacing to preserve pretrained-network texture priors.</w:t>
      </w:r>
    </w:p>
    <w:p>
      <w:pPr>
        <w:ind w:firstLine="720"/>
      </w:pPr>
      <w:r>
        <w:t xml:space="preserve">Deep embeddings were derived from InceptionV3 pre-trained on ImageNet, with the classification layer replaced by an identity mapping to yield a </w:t>
      </w:r>
      <w:r>
        <w:rPr>
          <w:b/>
        </w:rPr>
        <w:t>2048</w:t>
      </w:r>
      <w:r>
        <w:t xml:space="preserve">-dimensional vector. Slices containing lung-mask voxels were identified along the z axis, and </w:t>
      </w:r>
      <w:r>
        <w:rPr>
          <w:b/>
        </w:rPr>
        <w:t>5</w:t>
      </w:r>
      <w:r>
        <w:t xml:space="preserve"> slices were selected at equal intervals. Each slice was windowed to </w:t>
      </w:r>
      <w:r>
        <w:rPr>
          <w:b/>
        </w:rPr>
        <w:t>[−1000, 400] HU</w:t>
      </w:r>
      <w:r>
        <w:t>, linearly scaled to 8-bit, replicated across three channels, resized to 299×299 pixels with centre cropping, and normalized with the ImageNet statistics. Embeddings from the five slices were averaged to give one 2048-dimensional vector per patient, computed with the network in evaluation mode and without gradient computation.</w:t>
      </w:r>
    </w:p>
    <w:p>
      <w:pPr>
        <w:ind w:firstLine="720"/>
      </w:pPr>
      <w:r>
        <w:t xml:space="preserve">Clinical variables were age, gender, stage and histology. Stage and histology were harmonised from free-text fields into three stage indicators (I, II, III) and four histology indicators (adenocarcinoma, squamous cell carcinoma, large cell carcinoma, not otherwise specified); together with age and a gender indicator this yielded </w:t>
      </w:r>
      <w:r>
        <w:rPr>
          <w:b/>
        </w:rPr>
        <w:t>9</w:t>
      </w:r>
      <w:r>
        <w:t xml:space="preserve"> clinical features.</w:t>
      </w:r>
    </w:p>
    <w:p>
      <w:pPr>
        <w:pStyle w:val="Heading3"/>
      </w:pPr>
      <w:r>
        <w:rPr>
          <w:rFonts w:ascii="Times New Roman" w:hAnsi="Times New Roman"/>
        </w:rPr>
        <w:t>2.3 Model development</w:t>
      </w:r>
    </w:p>
    <w:p>
      <w:pPr>
        <w:ind w:firstLine="720"/>
      </w:pPr>
      <w:r>
        <w:t>Batch correction was performed with neuroCombat (v0.2.12) using the collection label as the batch variable and no covariates, applied separately to the 107 radiomic features and the 2048 embedding dimensions. ComBat was fitted on the 633 patients in the survival cohort. We note that ComBat followed by per-cohort standardization is mathematically equivalent to standardization alone within the source cohort, so in-cohort cross-validation metrics are identical before and after ComBat. ComBat's effect is therefore confined to the mapping of the external cohort.</w:t>
      </w:r>
    </w:p>
    <w:p>
      <w:pPr>
        <w:ind w:firstLine="720"/>
      </w:pPr>
      <w:r>
        <w:t xml:space="preserve">Dimensionality was reduced by principal component analysis computed on the training cohort only: </w:t>
      </w:r>
      <w:r>
        <w:rPr>
          <w:b/>
        </w:rPr>
        <w:t>30</w:t>
      </w:r>
      <w:r>
        <w:t xml:space="preserve"> components for the radiomic block (explained variance </w:t>
      </w:r>
      <w:r>
        <w:rPr>
          <w:b/>
        </w:rPr>
        <w:t>0.994</w:t>
      </w:r>
      <w:r>
        <w:t xml:space="preserve">) and </w:t>
      </w:r>
      <w:r>
        <w:rPr>
          <w:b/>
        </w:rPr>
        <w:t>50</w:t>
      </w:r>
      <w:r>
        <w:t xml:space="preserve"> for the embedding block (explained variance </w:t>
      </w:r>
      <w:r>
        <w:rPr>
          <w:b/>
        </w:rPr>
        <w:t>0.737</w:t>
      </w:r>
      <w:r>
        <w:t>). Clinical features were median-imputed and standardized using training-cohort statistics. Four feature sets were modelled: clinical (</w:t>
      </w:r>
      <w:r>
        <w:rPr>
          <w:b/>
        </w:rPr>
        <w:t>9</w:t>
      </w:r>
      <w:r>
        <w:t xml:space="preserve"> features), radiomic (</w:t>
      </w:r>
      <w:r>
        <w:rPr>
          <w:b/>
        </w:rPr>
        <w:t>30</w:t>
      </w:r>
      <w:r>
        <w:t>), embedding (</w:t>
      </w:r>
      <w:r>
        <w:rPr>
          <w:b/>
        </w:rPr>
        <w:t>50</w:t>
      </w:r>
      <w:r>
        <w:t>) and joint (</w:t>
      </w:r>
      <w:r>
        <w:rPr>
          <w:b/>
        </w:rPr>
        <w:t>89</w:t>
      </w:r>
      <w:r>
        <w:t>).</w:t>
      </w:r>
    </w:p>
    <w:p>
      <w:pPr>
        <w:ind w:firstLine="720"/>
      </w:pPr>
      <w:r>
        <w:t xml:space="preserve">Survival models were Cox proportional hazards models fitted with lifelines (v0.30.0) using L1 regularization (penalizer = </w:t>
      </w:r>
      <w:r>
        <w:rPr>
          <w:b/>
        </w:rPr>
        <w:t>0.1</w:t>
      </w:r>
      <w:r>
        <w:t xml:space="preserve">, l1_ratio = </w:t>
      </w:r>
      <w:r>
        <w:rPr>
          <w:b/>
        </w:rPr>
        <w:t>1.0</w:t>
      </w:r>
      <w:r>
        <w:t>). The same model class, regularization, preprocessing and component counts were used in every condition, so that comparisons isolate the effect of the feature representation and of ComBat. The no-ComBat condition used the identical pipeline on the original feature prefixes. Analyses were performed in Python 3.10 with scikit-learn 1.7.2, scikit-survival 0.25.0, lifelines 0.30.0 and neuroCombat 0.2.12; PCA used random_state = 0 and cross-validation used random_state = 42.</w:t>
      </w:r>
    </w:p>
    <w:p>
      <w:pPr>
        <w:pStyle w:val="Heading3"/>
      </w:pPr>
      <w:r>
        <w:rPr>
          <w:rFonts w:ascii="Times New Roman" w:hAnsi="Times New Roman"/>
        </w:rPr>
        <w:t>2.4 Statistical analysis</w:t>
      </w:r>
    </w:p>
    <w:p>
      <w:pPr>
        <w:ind w:firstLine="720"/>
      </w:pPr>
      <w:r>
        <w:t>Discrimination was measured with Harrell's C-index and with time-dependent AUC at 365, 730 and 1095 days. Calibration was assessed in two ways: calibration curves constructed by grouping patients into four risk quartiles and estimating observed survival within each group by Kaplan-Meier, and a calibration slope obtained by refitting a univariate Cox model on the external cohort with the model's linear predictor as the only covariate. A slope of 1 indicates agreement between predicted and observed risk, whereas a negative slope indicates reversed risk direction.</w:t>
      </w:r>
    </w:p>
    <w:p>
      <w:pPr>
        <w:ind w:firstLine="720"/>
      </w:pPr>
      <w:r>
        <w:t xml:space="preserve">Proper scoring rules were evaluated with the Brier score at the same three time points, using inverse probability of censoring weights (IPCW) estimated from LUNG1. Decision-curve analysis was performed over threshold probabilities of 0.05 to 0.90 in steps of 0.05; the curves are shown in Fig 4 and numeric net-benefit values are not reported. Because the two cohorts differ substantially in censoring structure (event rate: LUNG1 </w:t>
      </w:r>
      <w:r>
        <w:rPr>
          <w:b/>
        </w:rPr>
        <w:t>88.4%</w:t>
      </w:r>
      <w:r>
        <w:t xml:space="preserve"> vs Radiogenomics </w:t>
      </w:r>
      <w:r>
        <w:rPr>
          <w:b/>
        </w:rPr>
        <w:t>29.9%</w:t>
      </w:r>
      <w:r>
        <w:t>), IPCW-derived Brier scores are not directly comparable across ComBat conditions.</w:t>
      </w:r>
    </w:p>
    <w:p>
      <w:pPr>
        <w:ind w:firstLine="720"/>
      </w:pPr>
      <w:r>
        <w:t xml:space="preserve">Uncertainty was quantified by bootstrap. External C-index confidence intervals were derived from </w:t>
      </w:r>
      <w:r>
        <w:rPr>
          <w:b/>
        </w:rPr>
        <w:t>500</w:t>
      </w:r>
      <w:r>
        <w:t xml:space="preserve"> bootstrap resamples of the external cohort (seed 42). Internal performance was estimated by five-fold cross-validation in LUNG1 repeated over </w:t>
      </w:r>
      <w:r>
        <w:rPr>
          <w:b/>
        </w:rPr>
        <w:t>50</w:t>
      </w:r>
      <w:r>
        <w:t xml:space="preserve"> random seeds, with all imputation, standardization and principal component analysis fitted within each training fold; the mean and 2.5th–97.5th percentiles across seeds are reported. Confidence intervals are reported as the 2.5th–97.5th percentiles of the bootstrap distribution.</w:t>
      </w:r>
    </w:p>
    <w:p>
      <w:pPr>
        <w:ind w:firstLine="720"/>
      </w:pPr>
      <w:r>
        <w:t>Coefficient stability was summarised by the ratio of the standard deviation to the absolute mean of each L1-penalised coefficient across the five cross-validation folds in LUNG1. Agreement between cohorts was assessed by the Spearman correlation between coefficients fitted separately in LUNG1 and Radiogenomics, and by the overlap of the components with the largest absolute coefficients. As an intervention, components were retained below stability thresholds of 0.15, 0.20, 0.25 and 0.30, and the external C-index of each stable subset was compared with 20 randomly drawn subsets of equal size.</w:t>
      </w:r>
    </w:p>
    <w:p>
      <w:pPr>
        <w:pStyle w:val="Heading3"/>
      </w:pPr>
      <w:r>
        <w:rPr>
          <w:rFonts w:ascii="Times New Roman" w:hAnsi="Times New Roman"/>
        </w:rPr>
        <w:t>2.5 External validation</w:t>
      </w:r>
    </w:p>
    <w:p>
      <w:pPr>
        <w:ind w:firstLine="720"/>
      </w:pPr>
      <w:r>
        <w:t>The primary external validation used LUNG1 for model development and Radiogenomics for evaluation; the external cohort was not used for any preprocessing fit, component selection or hyperparameter choice, and was evaluated under two conditions that differed only in whether ComBat had been applied. Linear recalibration was fitted on the external cohort as a post hoc procedure to quantify the calibration component of transport loss; because it uses outcome information from the target cohort, it is reported as an analysis of failure structure rather than as a prospectively applicable correction. Performance loss was decomposed as the difference between the internal cross-validated C-index and the external C-index. The external cohort was evaluated once; no tuning against external performance was performed, and all predictions used the LUNG1-fitted model with time points, thresholds and feature sets fixed in advance. All analysis code and the scripts required to reproduce every table and figure in this manuscript are publicly available at https://github.com/wkuku514-cpu/ct-lung-cross-cohort-benchmark (MIT License; archived at https://doi.org/10.5281/zenodo.22754482).</w:t>
      </w:r>
    </w:p>
    <w:p>
      <w:pPr>
        <w:ind w:firstLine="720"/>
      </w:pPr>
      <w:r>
        <w:t>The LUAD-CT-Survival collection was used as a second evaluation set with a different endpoint. Models were fitted on LUNG1 survival data using the radiomic and embedding blocks only (</w:t>
      </w:r>
      <w:r>
        <w:rPr>
          <w:b/>
        </w:rPr>
        <w:t>80</w:t>
      </w:r>
      <w:r>
        <w:t xml:space="preserve"> features; clinical variables were not used), without ComBat, and applied to LUAD patients. The risk score was the model's partial hazard and the classification threshold was the median hazard in the training cohort. Discrimination was summarised by the area under the receiver operating characteristic curve with </w:t>
      </w:r>
      <w:r>
        <w:rPr>
          <w:b/>
        </w:rPr>
        <w:t>2000</w:t>
      </w:r>
      <w:r>
        <w:t xml:space="preserve"> bootstrap resamples, together with accuracy and F1 score. Because LUAD-CT-Survival contains </w:t>
      </w:r>
      <w:r>
        <w:rPr>
          <w:b/>
        </w:rPr>
        <w:t>40</w:t>
      </w:r>
      <w:r>
        <w:t xml:space="preserve"> patients (20 long, 20 short) and is a documented subset of QIN-LUNG-CT, this analysis is reported as diagnostic and not confirmatory.</w:t>
      </w:r>
    </w:p>
    <w:p>
      <w:pPr>
        <w:ind w:firstLine="720"/>
      </w:pPr>
      <w:r>
        <w:t>---</w:t>
      </w:r>
    </w:p>
    <w:p>
      <w:r>
        <w:br w:type="page"/>
      </w:r>
    </w:p>
    <w:p>
      <w:pPr>
        <w:pStyle w:val="Heading2"/>
      </w:pPr>
      <w:r>
        <w:rPr>
          <w:rFonts w:ascii="Times New Roman" w:hAnsi="Times New Roman"/>
        </w:rPr>
        <w:t>3. Results</w:t>
      </w:r>
    </w:p>
    <w:p>
      <w:pPr>
        <w:pStyle w:val="Heading3"/>
      </w:pPr>
      <w:r>
        <w:rPr>
          <w:rFonts w:ascii="Times New Roman" w:hAnsi="Times New Roman"/>
        </w:rPr>
        <w:t>3.1 Study population and survival characteristics</w:t>
      </w:r>
    </w:p>
    <w:p>
      <w:pPr>
        <w:ind w:firstLine="720"/>
      </w:pPr>
      <w:r>
        <w:t xml:space="preserve">Across the five collections, </w:t>
      </w:r>
      <w:r>
        <w:rPr>
          <w:b/>
        </w:rPr>
        <w:t>781</w:t>
      </w:r>
      <w:r>
        <w:t xml:space="preserve"> imaging entries corresponded to </w:t>
      </w:r>
      <w:r>
        <w:rPr>
          <w:b/>
        </w:rPr>
        <w:t>741</w:t>
      </w:r>
      <w:r>
        <w:t xml:space="preserve"> unique patients after de-duplication by original patient identifier (Fig 1). NSCLC-Radiomics (LUNG1) contributed </w:t>
      </w:r>
      <w:r>
        <w:rPr>
          <w:b/>
        </w:rPr>
        <w:t>422</w:t>
      </w:r>
      <w:r>
        <w:t xml:space="preserve"> patients and Radiogenomics </w:t>
      </w:r>
      <w:r>
        <w:rPr>
          <w:b/>
        </w:rPr>
        <w:t>211</w:t>
      </w:r>
      <w:r>
        <w:t xml:space="preserve"> patients, and these two collections formed the survival analysis cohort of </w:t>
      </w:r>
      <w:r>
        <w:rPr>
          <w:b/>
        </w:rPr>
        <w:t>633</w:t>
      </w:r>
      <w:r>
        <w:t xml:space="preserve"> patients. The remaining three collections served different roles: LungCT-Diagnosis contributed </w:t>
      </w:r>
      <w:r>
        <w:rPr>
          <w:b/>
        </w:rPr>
        <w:t>61</w:t>
      </w:r>
      <w:r>
        <w:t xml:space="preserve"> patients with event status but without survival times, QIN-LUNG-CT contributed </w:t>
      </w:r>
      <w:r>
        <w:rPr>
          <w:b/>
        </w:rPr>
        <w:t>47</w:t>
      </w:r>
      <w:r>
        <w:t xml:space="preserve"> patients without outcome data, and LUAD-CT-Survival contributed </w:t>
      </w:r>
      <w:r>
        <w:rPr>
          <w:b/>
        </w:rPr>
        <w:t>40</w:t>
      </w:r>
      <w:r>
        <w:t xml:space="preserve"> patients with a binary long/short label (</w:t>
      </w:r>
      <w:r>
        <w:rPr>
          <w:b/>
        </w:rPr>
        <w:t>20</w:t>
      </w:r>
      <w:r>
        <w:t xml:space="preserve"> long, </w:t>
      </w:r>
      <w:r>
        <w:rPr>
          <w:b/>
        </w:rPr>
        <w:t>20</w:t>
      </w:r>
      <w:r>
        <w:t xml:space="preserve"> short) (Table 1). Clinical records were available for </w:t>
      </w:r>
      <w:r>
        <w:rPr>
          <w:b/>
        </w:rPr>
        <w:t>734</w:t>
      </w:r>
      <w:r>
        <w:t xml:space="preserve"> patients; QIN-LUNG-CT had no accompanying clinical file. Age was missing for </w:t>
      </w:r>
      <w:r>
        <w:rPr>
          <w:b/>
        </w:rPr>
        <w:t>22</w:t>
      </w:r>
      <w:r>
        <w:t xml:space="preserve"> patients in the survival cohort.</w:t>
      </w:r>
    </w:p>
    <w:p>
      <w:pPr>
        <w:ind w:firstLine="720"/>
      </w:pPr>
      <w:r>
        <w:t xml:space="preserve">The two survival cohorts differed in both event frequency and absolute survival. Events occurred in </w:t>
      </w:r>
      <w:r>
        <w:rPr>
          <w:b/>
        </w:rPr>
        <w:t>373/422 (88.4%)</w:t>
      </w:r>
      <w:r>
        <w:t xml:space="preserve"> of LUNG1 patients and in </w:t>
      </w:r>
      <w:r>
        <w:rPr>
          <w:b/>
        </w:rPr>
        <w:t>63/211 (29.9%)</w:t>
      </w:r>
      <w:r>
        <w:t xml:space="preserve"> of Radiogenomics patients. Kaplan-Meier estimates of overall survival at 365, 730 and 1095 days were </w:t>
      </w:r>
      <w:r>
        <w:rPr>
          <w:b/>
        </w:rPr>
        <w:t>0.647</w:t>
      </w:r>
      <w:r>
        <w:t xml:space="preserve">, </w:t>
      </w:r>
      <w:r>
        <w:rPr>
          <w:b/>
        </w:rPr>
        <w:t>0.403</w:t>
      </w:r>
      <w:r>
        <w:t xml:space="preserve"> and </w:t>
      </w:r>
      <w:r>
        <w:rPr>
          <w:b/>
        </w:rPr>
        <w:t>0.313</w:t>
      </w:r>
      <w:r>
        <w:t xml:space="preserve"> in LUNG1, compared with </w:t>
      </w:r>
      <w:r>
        <w:rPr>
          <w:b/>
        </w:rPr>
        <w:t>0.896</w:t>
      </w:r>
      <w:r>
        <w:t xml:space="preserve">, </w:t>
      </w:r>
      <w:r>
        <w:rPr>
          <w:b/>
        </w:rPr>
        <w:t>0.817</w:t>
      </w:r>
      <w:r>
        <w:t xml:space="preserve"> and </w:t>
      </w:r>
      <w:r>
        <w:rPr>
          <w:b/>
        </w:rPr>
        <w:t>0.744</w:t>
      </w:r>
      <w:r>
        <w:t xml:space="preserve"> in Radiogenomics (Table 1, Fig 1); the two-year survival estimate in LUNG1 was therefore less than half that in Radiogenomics.</w:t>
      </w:r>
    </w:p>
    <w:p>
      <w:pPr>
        <w:ind w:firstLine="720"/>
      </w:pPr>
      <w:r>
        <w:t xml:space="preserve">De-duplication required explicit handling. The identifier-based count of </w:t>
      </w:r>
      <w:r>
        <w:rPr>
          <w:b/>
        </w:rPr>
        <w:t>741</w:t>
      </w:r>
      <w:r>
        <w:t xml:space="preserve"> unique patients treats LUAD-CT-Survival as a subset of QIN-LUNG-CT, which was confirmed by both patient identifiers and StudyInstanceUIDs (Fig 1). A further </w:t>
      </w:r>
      <w:r>
        <w:rPr>
          <w:b/>
        </w:rPr>
        <w:t>24</w:t>
      </w:r>
      <w:r>
        <w:t xml:space="preserve"> LungCT-Diagnosis cases shared a 30-digit StudyInstanceUID suffix with corresponding LUAD-CT-Survival/QIN-LUNG-CT cases; treating these as shared patients would reduce the unique count to </w:t>
      </w:r>
      <w:r>
        <w:rPr>
          <w:b/>
        </w:rPr>
        <w:t>717</w:t>
      </w:r>
      <w:r>
        <w:t>. LUNG1 and Radiogenomics shared no patients by either criterion, so this ambiguity did not affect the survival analysis (Fig 1).</w:t>
      </w:r>
    </w:p>
    <w:p>
      <w:pPr>
        <w:pStyle w:val="Heading3"/>
      </w:pPr>
      <w:r>
        <w:rPr>
          <w:rFonts w:ascii="Times New Roman" w:hAnsi="Times New Roman"/>
        </w:rPr>
        <w:t>3.2 ComBat removes marginal distribution shift</w:t>
      </w:r>
    </w:p>
    <w:p>
      <w:pPr>
        <w:ind w:firstLine="720"/>
      </w:pPr>
      <w:r>
        <w:t xml:space="preserve">Before correction the two survival cohorts differed substantially in feature distributions. The mean absolute standardised difference was </w:t>
      </w:r>
      <w:r>
        <w:rPr>
          <w:b/>
        </w:rPr>
        <w:t>0.755</w:t>
      </w:r>
      <w:r>
        <w:t xml:space="preserve"> for the radiomic features and </w:t>
      </w:r>
      <w:r>
        <w:rPr>
          <w:b/>
        </w:rPr>
        <w:t>0.647</w:t>
      </w:r>
      <w:r>
        <w:t xml:space="preserve"> for the embeddings, and </w:t>
      </w:r>
      <w:r>
        <w:rPr>
          <w:b/>
        </w:rPr>
        <w:t>50/107 (47%)</w:t>
      </w:r>
      <w:r>
        <w:t xml:space="preserve"> of radiomic features and </w:t>
      </w:r>
      <w:r>
        <w:rPr>
          <w:b/>
        </w:rPr>
        <w:t>663/2048 (32%)</w:t>
      </w:r>
      <w:r>
        <w:t xml:space="preserve"> of embedding dimensions exceeded |d| = 0.8. The largest standardised differences were carried by texture and first-order descriptors, among them `original_glszm_ZoneEntropy` (</w:t>
      </w:r>
      <w:r>
        <w:rPr>
          <w:b/>
        </w:rPr>
        <w:t>2.206</w:t>
      </w:r>
      <w:r>
        <w:t>), `original_glrlm_GrayLevelNonUniformityNormalized` (</w:t>
      </w:r>
      <w:r>
        <w:rPr>
          <w:b/>
        </w:rPr>
        <w:t>1.736</w:t>
      </w:r>
      <w:r>
        <w:t>) and `original_firstorder_Entropy` (</w:t>
      </w:r>
      <w:r>
        <w:rPr>
          <w:b/>
        </w:rPr>
        <w:t>1.716</w:t>
      </w:r>
      <w:r>
        <w:t>) (Fig 2).</w:t>
      </w:r>
    </w:p>
    <w:p>
      <w:pPr>
        <w:ind w:firstLine="720"/>
      </w:pPr>
      <w:r>
        <w:t xml:space="preserve">After ComBat the mean absolute standardised difference was </w:t>
      </w:r>
      <w:r>
        <w:rPr>
          <w:b/>
        </w:rPr>
        <w:t>0.012</w:t>
      </w:r>
      <w:r>
        <w:t xml:space="preserve"> for the radiomic block and </w:t>
      </w:r>
      <w:r>
        <w:rPr>
          <w:b/>
        </w:rPr>
        <w:t>0.014</w:t>
      </w:r>
      <w:r>
        <w:t xml:space="preserve"> for the embedding block, and no feature or dimension exceeded |d| = 0.8 (</w:t>
      </w:r>
      <w:r>
        <w:rPr>
          <w:b/>
        </w:rPr>
        <w:t>0/107</w:t>
      </w:r>
      <w:r>
        <w:t xml:space="preserve"> and </w:t>
      </w:r>
      <w:r>
        <w:rPr>
          <w:b/>
        </w:rPr>
        <w:t>0/2048</w:t>
      </w:r>
      <w:r>
        <w:t>) (Fig 2). Principal component projections showed the same change: the two cohorts occupied separated regions before correction and overlapped after correction in both feature blocks (Fig 2). The correction therefore removed the marginal distributional difference in both feature spaces.</w:t>
      </w:r>
    </w:p>
    <w:p>
      <w:pPr>
        <w:pStyle w:val="Heading3"/>
      </w:pPr>
      <w:r>
        <w:rPr>
          <w:rFonts w:ascii="Times New Roman" w:hAnsi="Times New Roman"/>
        </w:rPr>
        <w:t>3.3 ComBat corrects the direction of the risk score</w:t>
      </w:r>
    </w:p>
    <w:p>
      <w:pPr>
        <w:ind w:firstLine="720"/>
      </w:pPr>
      <w:r>
        <w:t xml:space="preserve">Without correction the transported risk score was inversely related to observed risk: the calibration slope estimated in the external cohort was </w:t>
      </w:r>
      <w:r>
        <w:rPr>
          <w:b/>
        </w:rPr>
        <w:t>−0.327</w:t>
      </w:r>
      <w:r>
        <w:t xml:space="preserve">, and the external C-index of the joint model was </w:t>
      </w:r>
      <w:r>
        <w:rPr>
          <w:b/>
        </w:rPr>
        <w:t>0.458</w:t>
      </w:r>
      <w:r>
        <w:t xml:space="preserve"> (Table 2, Table 3). With ComBat the slope was </w:t>
      </w:r>
      <w:r>
        <w:rPr>
          <w:b/>
        </w:rPr>
        <w:t>+0.815</w:t>
      </w:r>
      <w:r>
        <w:t xml:space="preserve"> and the external C-index of the joint model was </w:t>
      </w:r>
      <w:r>
        <w:rPr>
          <w:b/>
        </w:rPr>
        <w:t>0.509</w:t>
      </w:r>
      <w:r>
        <w:t xml:space="preserve"> (Table 2, Table 3). A slope below zero indicates that patients assigned higher predicted risk had better observed survival; the change from </w:t>
      </w:r>
      <w:r>
        <w:rPr>
          <w:b/>
        </w:rPr>
        <w:t>−0.327</w:t>
      </w:r>
      <w:r>
        <w:t xml:space="preserve"> to </w:t>
      </w:r>
      <w:r>
        <w:rPr>
          <w:b/>
        </w:rPr>
        <w:t>+0.815</w:t>
      </w:r>
      <w:r>
        <w:t xml:space="preserve"> therefore represents a reversal in the direction of the transported risk score rather than a change in its magnitude alone.</w:t>
      </w:r>
    </w:p>
    <w:p>
      <w:pPr>
        <w:ind w:firstLine="720"/>
      </w:pPr>
      <w:r>
        <w:t xml:space="preserve">The change in direction was accompanied by changes in external performance across feature sets. Without correction, external C-indices were </w:t>
      </w:r>
      <w:r>
        <w:rPr>
          <w:b/>
        </w:rPr>
        <w:t>0.594</w:t>
      </w:r>
      <w:r>
        <w:t xml:space="preserve"> (clinical), </w:t>
      </w:r>
      <w:r>
        <w:rPr>
          <w:b/>
        </w:rPr>
        <w:t>0.422</w:t>
      </w:r>
      <w:r>
        <w:t xml:space="preserve"> (radiomic), </w:t>
      </w:r>
      <w:r>
        <w:rPr>
          <w:b/>
        </w:rPr>
        <w:t>0.581</w:t>
      </w:r>
      <w:r>
        <w:t xml:space="preserve"> (embedding) and </w:t>
      </w:r>
      <w:r>
        <w:rPr>
          <w:b/>
        </w:rPr>
        <w:t>0.458</w:t>
      </w:r>
      <w:r>
        <w:t xml:space="preserve"> (joint); with correction they were </w:t>
      </w:r>
      <w:r>
        <w:rPr>
          <w:b/>
        </w:rPr>
        <w:t>0.594</w:t>
      </w:r>
      <w:r>
        <w:t xml:space="preserve">, </w:t>
      </w:r>
      <w:r>
        <w:rPr>
          <w:b/>
        </w:rPr>
        <w:t>0.427</w:t>
      </w:r>
      <w:r>
        <w:t xml:space="preserve">, </w:t>
      </w:r>
      <w:r>
        <w:rPr>
          <w:b/>
        </w:rPr>
        <w:t>0.581</w:t>
      </w:r>
      <w:r>
        <w:t xml:space="preserve"> and </w:t>
      </w:r>
      <w:r>
        <w:rPr>
          <w:b/>
        </w:rPr>
        <w:t>0.509</w:t>
      </w:r>
      <w:r>
        <w:t xml:space="preserve"> respectively (Table 2). The clinical model, which was not corrected, was identical in the two conditions, and the embedding model was unchanged at the reported precision; the joint model showed the largest change between conditions (Table 2). Measured against internal cross-validated performance, the absolute transport loss was </w:t>
      </w:r>
      <w:r>
        <w:rPr>
          <w:b/>
        </w:rPr>
        <w:t>−0.117</w:t>
      </w:r>
      <w:r>
        <w:t xml:space="preserve"> without correction and </w:t>
      </w:r>
      <w:r>
        <w:rPr>
          <w:b/>
        </w:rPr>
        <w:t>−0.066</w:t>
      </w:r>
      <w:r>
        <w:t xml:space="preserve"> with correction (Table 4).</w:t>
      </w:r>
    </w:p>
    <w:p>
      <w:pPr>
        <w:ind w:firstLine="720"/>
      </w:pPr>
      <w:r>
        <w:t>The effect of correction therefore differed by feature set rather than being uniform. The two models that contained radiomic features were the ones whose external discrimination changed with correction, whereas the clinical and embedding models were stable across the two conditions (Table 2). This pattern is reported here without attribution; its interpretation is taken up in the Discussion.</w:t>
      </w:r>
    </w:p>
    <w:p>
      <w:pPr>
        <w:pStyle w:val="Heading3"/>
      </w:pPr>
      <w:r>
        <w:rPr>
          <w:rFonts w:ascii="Times New Roman" w:hAnsi="Times New Roman"/>
        </w:rPr>
        <w:t>3.4 Baseline hazard shift and its correction</w:t>
      </w:r>
    </w:p>
    <w:p>
      <w:pPr>
        <w:ind w:firstLine="720"/>
      </w:pPr>
      <w:r>
        <w:t xml:space="preserve">Under the uncorrected condition, predicted survival at 730 days had a median of </w:t>
      </w:r>
      <w:r>
        <w:rPr>
          <w:b/>
        </w:rPr>
        <w:t>0.40</w:t>
      </w:r>
      <w:r>
        <w:t xml:space="preserve"> in the external cohort, against an observed Kaplan-Meier estimate of </w:t>
      </w:r>
      <w:r>
        <w:rPr>
          <w:b/>
        </w:rPr>
        <w:t>0.82</w:t>
      </w:r>
      <w:r>
        <w:t xml:space="preserve"> (Fig 3), a difference of approximately </w:t>
      </w:r>
      <w:r>
        <w:rPr>
          <w:b/>
        </w:rPr>
        <w:t>0.42</w:t>
      </w:r>
      <w:r>
        <w:t xml:space="preserve">. At the same horizon the mean predicted event probability was </w:t>
      </w:r>
      <w:r>
        <w:rPr>
          <w:b/>
        </w:rPr>
        <w:t>0.603</w:t>
      </w:r>
      <w:r>
        <w:t xml:space="preserve">, against an observed event rate of </w:t>
      </w:r>
      <w:r>
        <w:rPr>
          <w:b/>
        </w:rPr>
        <w:t>0.171</w:t>
      </w:r>
      <w:r>
        <w:t xml:space="preserve"> (Table 3, Fig 3); the uncorrected model therefore overestimated event risk at this horizon by a wide margin.</w:t>
      </w:r>
    </w:p>
    <w:p>
      <w:pPr>
        <w:ind w:firstLine="720"/>
      </w:pPr>
      <w:r>
        <w:t xml:space="preserve">After target-cohort recalibration the mean predicted event probability at 730 days was </w:t>
      </w:r>
      <w:r>
        <w:rPr>
          <w:b/>
        </w:rPr>
        <w:t>0.182</w:t>
      </w:r>
      <w:r>
        <w:t xml:space="preserve"> (Table 3, Fig 3), and the calibration points at 365, 730 and 1095 days moved onto the diagonal (Fig 3). The Brier score improved from </w:t>
      </w:r>
      <w:r>
        <w:rPr>
          <w:b/>
        </w:rPr>
        <w:t>0.1468 to 0.0884</w:t>
      </w:r>
      <w:r>
        <w:t xml:space="preserve"> at 365 days (</w:t>
      </w:r>
      <w:r>
        <w:rPr>
          <w:b/>
        </w:rPr>
        <w:t>−40%</w:t>
      </w:r>
      <w:r>
        <w:t xml:space="preserve">), from </w:t>
      </w:r>
      <w:r>
        <w:rPr>
          <w:b/>
        </w:rPr>
        <w:t>0.2889 to 0.1380</w:t>
      </w:r>
      <w:r>
        <w:t xml:space="preserve"> at 730 days (</w:t>
      </w:r>
      <w:r>
        <w:rPr>
          <w:b/>
        </w:rPr>
        <w:t>−52%</w:t>
      </w:r>
      <w:r>
        <w:t xml:space="preserve">) and from </w:t>
      </w:r>
      <w:r>
        <w:rPr>
          <w:b/>
        </w:rPr>
        <w:t>0.2801 to 0.1608</w:t>
      </w:r>
      <w:r>
        <w:t xml:space="preserve"> at 1095 days (</w:t>
      </w:r>
      <w:r>
        <w:rPr>
          <w:b/>
        </w:rPr>
        <w:t>−43%</w:t>
      </w:r>
      <w:r>
        <w:t>) (Table 3). The same recalibration did not change the external C-index (Table 2). Brier scores are reported only within the ComBat-corrected condition, because the censoring structure differed substantially between the two cohorts and inverse-probability-of-censoring weights estimated in one cohort are not directly transferable to the other (Table 3, Table 4).</w:t>
      </w:r>
    </w:p>
    <w:p>
      <w:pPr>
        <w:ind w:firstLine="720"/>
      </w:pPr>
      <w:r>
        <w:t>The internal comparison behaved differently. In LUNG1, out-of-fold predictions produced calibration points that tracked the diagonal closely across the three horizons (Fig 3), and the internal decision curve served as a reference for the external curves (Fig 4). Decision curves for the external cohort under the corrected and uncorrected conditions are shown in Fig 4.</w:t>
      </w:r>
    </w:p>
    <w:p>
      <w:pPr>
        <w:pStyle w:val="Heading3"/>
      </w:pPr>
      <w:r>
        <w:rPr>
          <w:rFonts w:ascii="Times New Roman" w:hAnsi="Times New Roman"/>
        </w:rPr>
        <w:t>3.5 Discrimination ceiling</w:t>
      </w:r>
    </w:p>
    <w:p>
      <w:pPr>
        <w:ind w:firstLine="720"/>
      </w:pPr>
      <w:r>
        <w:t xml:space="preserve">External discrimination of the joint model was </w:t>
      </w:r>
      <w:r>
        <w:rPr>
          <w:b/>
        </w:rPr>
        <w:t>0.507 (95% CI 0.431–0.580)</w:t>
      </w:r>
      <w:r>
        <w:t xml:space="preserve">, against an internal cross-validated </w:t>
      </w:r>
      <w:r>
        <w:rPr>
          <w:b/>
        </w:rPr>
        <w:t>0.582 (95% CI 0.565–0.598)</w:t>
      </w:r>
      <w:r>
        <w:t xml:space="preserve"> (Table 2). The embedding-only model reached </w:t>
      </w:r>
      <w:r>
        <w:rPr>
          <w:b/>
        </w:rPr>
        <w:t>0.581 (95% CI 0.504–0.650)</w:t>
      </w:r>
      <w:r>
        <w:t xml:space="preserve"> externally and </w:t>
      </w:r>
      <w:r>
        <w:rPr>
          <w:b/>
        </w:rPr>
        <w:t>0.550 ± 0.014</w:t>
      </w:r>
      <w:r>
        <w:t xml:space="preserve"> internally; the clinical model </w:t>
      </w:r>
      <w:r>
        <w:rPr>
          <w:b/>
        </w:rPr>
        <w:t>0.593 (95% CI 0.522–0.666)</w:t>
      </w:r>
      <w:r>
        <w:t xml:space="preserve"> externally and </w:t>
      </w:r>
      <w:r>
        <w:rPr>
          <w:b/>
        </w:rPr>
        <w:t>0.536 ± 0.028</w:t>
      </w:r>
      <w:r>
        <w:t xml:space="preserve"> internally; and the radiomic-only model </w:t>
      </w:r>
      <w:r>
        <w:rPr>
          <w:b/>
        </w:rPr>
        <w:t>0.427</w:t>
      </w:r>
      <w:r>
        <w:t xml:space="preserve"> externally, with no confidence interval computed, against </w:t>
      </w:r>
      <w:r>
        <w:rPr>
          <w:b/>
        </w:rPr>
        <w:t>0.575 ± 0.035</w:t>
      </w:r>
      <w:r>
        <w:t xml:space="preserve"> internally (Table 2).</w:t>
      </w:r>
    </w:p>
    <w:p>
      <w:pPr>
        <w:ind w:firstLine="720"/>
      </w:pPr>
      <w:r>
        <w:t xml:space="preserve">The change from internal to external evaluation differed by representation: </w:t>
      </w:r>
      <w:r>
        <w:rPr>
          <w:b/>
        </w:rPr>
        <w:t>+0.058</w:t>
      </w:r>
      <w:r>
        <w:t xml:space="preserve"> (clinical), </w:t>
      </w:r>
      <w:r>
        <w:rPr>
          <w:b/>
        </w:rPr>
        <w:t>−0.148</w:t>
      </w:r>
      <w:r>
        <w:t xml:space="preserve"> (radiomic), </w:t>
      </w:r>
      <w:r>
        <w:rPr>
          <w:b/>
        </w:rPr>
        <w:t>+0.031</w:t>
      </w:r>
      <w:r>
        <w:t xml:space="preserve"> (embedding) and </w:t>
      </w:r>
      <w:r>
        <w:rPr>
          <w:b/>
        </w:rPr>
        <w:t>−0.075</w:t>
      </w:r>
      <w:r>
        <w:t xml:space="preserve"> (joint) (Table 2, Table 4). Two features of this pattern are relevant. First, the confidence interval of the joint model in the external cohort included 0.5, whereas the interval of the embedding model did not; the clinical interval also excluded 0.5 but only narrowly. Second, internal joint performance and external embedding performance were similar (</w:t>
      </w:r>
      <w:r>
        <w:rPr>
          <w:b/>
        </w:rPr>
        <w:t>0.582</w:t>
      </w:r>
      <w:r>
        <w:t xml:space="preserve"> and </w:t>
      </w:r>
      <w:r>
        <w:rPr>
          <w:b/>
        </w:rPr>
        <w:t>0.581</w:t>
      </w:r>
      <w:r>
        <w:t>), so the advantage of combining feature blocks that was present internally was not reproduced externally (Table 2).</w:t>
      </w:r>
    </w:p>
    <w:p>
      <w:pPr>
        <w:ind w:firstLine="720"/>
      </w:pPr>
      <w:r>
        <w:t>Time-dependent AUC in the external cohort followed the same ordering as the C-index. For the radiomic model it was below 0.5 at all three horizons (</w:t>
      </w:r>
      <w:r>
        <w:rPr>
          <w:b/>
        </w:rPr>
        <w:t>0.443/0.350/0.420</w:t>
      </w:r>
      <w:r>
        <w:t>); for the embedding model it was above 0.5 at all three (</w:t>
      </w:r>
      <w:r>
        <w:rPr>
          <w:b/>
        </w:rPr>
        <w:t>0.551/0.588/0.603</w:t>
      </w:r>
      <w:r>
        <w:t>); for the joint model it was close to 0.5 throughout (</w:t>
      </w:r>
      <w:r>
        <w:rPr>
          <w:b/>
        </w:rPr>
        <w:t>0.522/0.494/0.501</w:t>
      </w:r>
      <w:r>
        <w:t xml:space="preserve">); and for the clinical model it was </w:t>
      </w:r>
      <w:r>
        <w:rPr>
          <w:b/>
        </w:rPr>
        <w:t>0.667/0.672/0.592</w:t>
      </w:r>
      <w:r>
        <w:t xml:space="preserve"> (Table 2). Under the uncorrected condition the corresponding values were </w:t>
      </w:r>
      <w:r>
        <w:rPr>
          <w:b/>
        </w:rPr>
        <w:t>0.667/0.672/0.592</w:t>
      </w:r>
      <w:r>
        <w:t xml:space="preserve"> (clinical), </w:t>
      </w:r>
      <w:r>
        <w:rPr>
          <w:b/>
        </w:rPr>
        <w:t>0.453/0.350/0.412</w:t>
      </w:r>
      <w:r>
        <w:t xml:space="preserve"> (radiomic), </w:t>
      </w:r>
      <w:r>
        <w:rPr>
          <w:b/>
        </w:rPr>
        <w:t>0.543/0.582/0.603</w:t>
      </w:r>
      <w:r>
        <w:t xml:space="preserve"> (embedding) and </w:t>
      </w:r>
      <w:r>
        <w:rPr>
          <w:b/>
        </w:rPr>
        <w:t>0.482/0.409/0.446</w:t>
      </w:r>
      <w:r>
        <w:t xml:space="preserve"> (joint) (Table 2). The negative changes between internal and external evaluation were concentrated in the models containing radiomic features (</w:t>
      </w:r>
      <w:r>
        <w:rPr>
          <w:b/>
        </w:rPr>
        <w:t>−0.148</w:t>
      </w:r>
      <w:r>
        <w:t xml:space="preserve"> for the radiomic-only model and </w:t>
      </w:r>
      <w:r>
        <w:rPr>
          <w:b/>
        </w:rPr>
        <w:t>−0.075</w:t>
      </w:r>
      <w:r>
        <w:t xml:space="preserve"> for the joint model), while the two models without radiomic features changed in the positive direction (</w:t>
      </w:r>
      <w:r>
        <w:rPr>
          <w:b/>
        </w:rPr>
        <w:t>+0.058</w:t>
      </w:r>
      <w:r>
        <w:t xml:space="preserve"> for the clinical model and </w:t>
      </w:r>
      <w:r>
        <w:rPr>
          <w:b/>
        </w:rPr>
        <w:t>+0.031</w:t>
      </w:r>
      <w:r>
        <w:t xml:space="preserve"> for the embedding model) (Table 2, Table 4).</w:t>
      </w:r>
    </w:p>
    <w:p>
      <w:pPr>
        <w:pStyle w:val="Heading3"/>
      </w:pPr>
      <w:r>
        <w:rPr>
          <w:rFonts w:ascii="Times New Roman" w:hAnsi="Times New Roman"/>
        </w:rPr>
        <w:t>3.6 Feature–outcome heterogeneity and the stability intervention</w:t>
      </w:r>
    </w:p>
    <w:p>
      <w:pPr>
        <w:ind w:firstLine="720"/>
      </w:pPr>
      <w:r>
        <w:t xml:space="preserve">Cox coefficients fitted separately in the two cohorts were weakly correlated (Spearman </w:t>
      </w:r>
      <w:r>
        <w:rPr>
          <w:b/>
        </w:rPr>
        <w:t>ρ = 0.223</w:t>
      </w:r>
      <w:r>
        <w:t xml:space="preserve">, p = </w:t>
      </w:r>
      <w:r>
        <w:rPr>
          <w:b/>
        </w:rPr>
        <w:t>0.036</w:t>
      </w:r>
      <w:r>
        <w:t xml:space="preserve">), and the overlap between the components with the largest absolute coefficients was </w:t>
      </w:r>
      <w:r>
        <w:rPr>
          <w:b/>
        </w:rPr>
        <w:t>1/5 (20%)</w:t>
      </w:r>
      <w:r>
        <w:t xml:space="preserve"> for the top five, </w:t>
      </w:r>
      <w:r>
        <w:rPr>
          <w:b/>
        </w:rPr>
        <w:t>1/10 (10%)</w:t>
      </w:r>
      <w:r>
        <w:t xml:space="preserve"> for the top ten and </w:t>
      </w:r>
      <w:r>
        <w:rPr>
          <w:b/>
        </w:rPr>
        <w:t>6/20 (30%)</w:t>
      </w:r>
      <w:r>
        <w:t xml:space="preserve"> for the top twenty (Table 5, Fig 5). The median coefficient of variation across cross-validation folds was </w:t>
      </w:r>
      <w:r>
        <w:rPr>
          <w:b/>
        </w:rPr>
        <w:t>0.369</w:t>
      </w:r>
      <w:r>
        <w:t>, indicating that individual components were not stable across folds (Table 5).</w:t>
      </w:r>
    </w:p>
    <w:p>
      <w:pPr>
        <w:ind w:firstLine="720"/>
      </w:pPr>
      <w:r>
        <w:t xml:space="preserve">Retaining only components below stability thresholds produced subsets of </w:t>
      </w:r>
      <w:r>
        <w:rPr>
          <w:b/>
        </w:rPr>
        <w:t>3</w:t>
      </w:r>
      <w:r>
        <w:t xml:space="preserve"> components at threshold 0.15, </w:t>
      </w:r>
      <w:r>
        <w:rPr>
          <w:b/>
        </w:rPr>
        <w:t>11</w:t>
      </w:r>
      <w:r>
        <w:t xml:space="preserve"> at 0.20, </w:t>
      </w:r>
      <w:r>
        <w:rPr>
          <w:b/>
        </w:rPr>
        <w:t>23</w:t>
      </w:r>
      <w:r>
        <w:t xml:space="preserve"> at 0.25 and </w:t>
      </w:r>
      <w:r>
        <w:rPr>
          <w:b/>
        </w:rPr>
        <w:t>36</w:t>
      </w:r>
      <w:r>
        <w:t xml:space="preserve"> at 0.30. The most stable components were dominated by embedding-derived dimensions: at threshold 0.15 the retained set comprised `emb_pca_1`, `emb_pca_2` and `emb_pca_5`, and at threshold 0.20 it comprised `rad_pca_1` together with ten embedding components (Table 5, Table 6). Their external C-indices were </w:t>
      </w:r>
      <w:r>
        <w:rPr>
          <w:b/>
        </w:rPr>
        <w:t>0.5488</w:t>
      </w:r>
      <w:r>
        <w:t xml:space="preserve">, </w:t>
      </w:r>
      <w:r>
        <w:rPr>
          <w:b/>
        </w:rPr>
        <w:t>0.5228</w:t>
      </w:r>
      <w:r>
        <w:t xml:space="preserve">, </w:t>
      </w:r>
      <w:r>
        <w:rPr>
          <w:b/>
        </w:rPr>
        <w:t>0.5513</w:t>
      </w:r>
      <w:r>
        <w:t xml:space="preserve"> and </w:t>
      </w:r>
      <w:r>
        <w:rPr>
          <w:b/>
        </w:rPr>
        <w:t>0.4949</w:t>
      </w:r>
      <w:r>
        <w:t xml:space="preserve">, against </w:t>
      </w:r>
      <w:r>
        <w:rPr>
          <w:b/>
        </w:rPr>
        <w:t>0.5090</w:t>
      </w:r>
      <w:r>
        <w:t xml:space="preserve"> for the full model (Table 6). Size-matched random subsets gave </w:t>
      </w:r>
      <w:r>
        <w:rPr>
          <w:b/>
        </w:rPr>
        <w:t>0.5353 ± 0.0533</w:t>
      </w:r>
      <w:r>
        <w:t xml:space="preserve">, </w:t>
      </w:r>
      <w:r>
        <w:rPr>
          <w:b/>
        </w:rPr>
        <w:t>0.5477 ± 0.0411</w:t>
      </w:r>
      <w:r>
        <w:t xml:space="preserve">, </w:t>
      </w:r>
      <w:r>
        <w:rPr>
          <w:b/>
        </w:rPr>
        <w:t>0.5122 ± 0.0618</w:t>
      </w:r>
      <w:r>
        <w:t xml:space="preserve"> and </w:t>
      </w:r>
      <w:r>
        <w:rPr>
          <w:b/>
        </w:rPr>
        <w:t>0.5409 ± 0.0514</w:t>
      </w:r>
      <w:r>
        <w:t xml:space="preserve"> respectively (Table 6). Across the four thresholds the stable subsets ranged from </w:t>
      </w:r>
      <w:r>
        <w:rPr>
          <w:b/>
        </w:rPr>
        <w:t>0.495 to 0.551</w:t>
      </w:r>
      <w:r>
        <w:t xml:space="preserve"> and the random subsets from </w:t>
      </w:r>
      <w:r>
        <w:rPr>
          <w:b/>
        </w:rPr>
        <w:t>0.512 to 0.548</w:t>
      </w:r>
      <w:r>
        <w:t xml:space="preserve">, with standard deviations between </w:t>
      </w:r>
      <w:r>
        <w:rPr>
          <w:b/>
        </w:rPr>
        <w:t>0.041 and 0.062</w:t>
      </w:r>
      <w:r>
        <w:t>, and every comparison had |z| &lt; 1 (Table 6). Stability-based selection therefore did not yield external performance outside the range obtained by selecting the same number of components at random.</w:t>
      </w:r>
    </w:p>
    <w:p>
      <w:pPr>
        <w:pStyle w:val="Heading3"/>
      </w:pPr>
      <w:r>
        <w:rPr>
          <w:rFonts w:ascii="Times New Roman" w:hAnsi="Times New Roman"/>
        </w:rPr>
        <w:t>3.7 Second external cohort as a diagnostic set</w:t>
      </w:r>
    </w:p>
    <w:p>
      <w:pPr>
        <w:ind w:firstLine="720"/>
      </w:pPr>
      <w:r>
        <w:t>LUAD-CT-Survival (</w:t>
      </w:r>
      <w:r>
        <w:rPr>
          <w:b/>
        </w:rPr>
        <w:t>40</w:t>
      </w:r>
      <w:r>
        <w:t xml:space="preserve"> patients; </w:t>
      </w:r>
      <w:r>
        <w:rPr>
          <w:b/>
        </w:rPr>
        <w:t>20</w:t>
      </w:r>
      <w:r>
        <w:t xml:space="preserve"> long, </w:t>
      </w:r>
      <w:r>
        <w:rPr>
          <w:b/>
        </w:rPr>
        <w:t>20</w:t>
      </w:r>
      <w:r>
        <w:t xml:space="preserve"> short) was evaluated as a binary endpoint using models fitted on LUNG1 survival data. This analysis used the radiomic and embedding blocks without clinical variables, and no batch correction was applied (Table 7). External AUC was </w:t>
      </w:r>
      <w:r>
        <w:rPr>
          <w:b/>
        </w:rPr>
        <w:t>0.587 (95% CI 0.415–0.775)</w:t>
      </w:r>
      <w:r>
        <w:t xml:space="preserve"> for the radiomic model, </w:t>
      </w:r>
      <w:r>
        <w:rPr>
          <w:b/>
        </w:rPr>
        <w:t>0.525 (95% CI 0.346–0.699)</w:t>
      </w:r>
      <w:r>
        <w:t xml:space="preserve"> for the embedding model and </w:t>
      </w:r>
      <w:r>
        <w:rPr>
          <w:b/>
        </w:rPr>
        <w:t>0.568 (95% CI 0.385–0.740)</w:t>
      </w:r>
      <w:r>
        <w:t xml:space="preserve"> for the joint model; all three confidence intervals included 0.5 (Table 7). Reversing the sign of the risk score reduced the AUCs to </w:t>
      </w:r>
      <w:r>
        <w:rPr>
          <w:b/>
        </w:rPr>
        <w:t>0.412</w:t>
      </w:r>
      <w:r>
        <w:t xml:space="preserve">, </w:t>
      </w:r>
      <w:r>
        <w:rPr>
          <w:b/>
        </w:rPr>
        <w:t>0.475</w:t>
      </w:r>
      <w:r>
        <w:t xml:space="preserve"> and </w:t>
      </w:r>
      <w:r>
        <w:rPr>
          <w:b/>
        </w:rPr>
        <w:t>0.432</w:t>
      </w:r>
      <w:r>
        <w:t xml:space="preserve"> respectively (Table 7). Accuracy was </w:t>
      </w:r>
      <w:r>
        <w:rPr>
          <w:b/>
        </w:rPr>
        <w:t>0.500</w:t>
      </w:r>
      <w:r>
        <w:t xml:space="preserve"> for all three models, and F1 scores were </w:t>
      </w:r>
      <w:r>
        <w:rPr>
          <w:b/>
        </w:rPr>
        <w:t>0.091</w:t>
      </w:r>
      <w:r>
        <w:t xml:space="preserve">, </w:t>
      </w:r>
      <w:r>
        <w:rPr>
          <w:b/>
        </w:rPr>
        <w:t>0.167</w:t>
      </w:r>
      <w:r>
        <w:t xml:space="preserve"> and </w:t>
      </w:r>
      <w:r>
        <w:rPr>
          <w:b/>
        </w:rPr>
        <w:t>0.000</w:t>
      </w:r>
      <w:r>
        <w:t xml:space="preserve"> (Table 7). Because this collection is small and is a documented subset of QIN-LUNG-CT, these results are reported as diagnostic, not confirmatory.</w:t>
      </w:r>
    </w:p>
    <w:p>
      <w:pPr>
        <w:ind w:firstLine="720"/>
      </w:pPr>
      <w:r>
        <w:t>---</w:t>
      </w:r>
    </w:p>
    <w:p>
      <w:r>
        <w:br w:type="page"/>
      </w:r>
    </w:p>
    <w:p>
      <w:pPr>
        <w:pStyle w:val="Heading2"/>
      </w:pPr>
      <w:r>
        <w:rPr>
          <w:rFonts w:ascii="Times New Roman" w:hAnsi="Times New Roman"/>
        </w:rPr>
        <w:t>4. Discussion</w:t>
      </w:r>
    </w:p>
    <w:p>
      <w:pPr>
        <w:pStyle w:val="Heading3"/>
      </w:pPr>
      <w:r>
        <w:rPr>
          <w:rFonts w:ascii="Times New Roman" w:hAnsi="Times New Roman"/>
        </w:rPr>
        <w:t>4.1 Three orthogonal layers of cross-cohort failure</w:t>
      </w:r>
    </w:p>
    <w:p>
      <w:pPr>
        <w:ind w:firstLine="720"/>
      </w:pPr>
      <w:r>
        <w:t xml:space="preserve">This study asked what changes, and what does not change, when a lightweight CT-based survival model is transported from its source cohort to an independent cohort. These three failure layers describe the baseline state of a naively transported model; each is then addressed—or not—by a specific intervention, and we treat the intervention outcomes as a separate axis of analysis. We propose that cross-cohort reproducibility comprises three orthogonal failure layers, together with a mechanistic layer and an intervention layer that explain and attempt to address them (Fig 2–Fig 5; Tables 2–6). Layer 1 is feature-space orientation failure: the mapping between image-derived features and risk is distorted between cohorts. Layer 2 is baseline hazard shift: an identical risk score corresponds to a different absolute survival. Layer 3 is a discrimination ceiling: the rank ordering of patients carries only limited cross-cohort information. Layer 4 is the mechanism—heterogeneity of feature–outcome associations—and Layer 5 is an attempted intervention based on stability selection. The layers are orthogonal in the sense that correcting one does not repair another. ComBat removed marginal distribution shift (radiomics mean |d| </w:t>
      </w:r>
      <w:r>
        <w:rPr>
          <w:b/>
        </w:rPr>
        <w:t>0.755 → 0.012</w:t>
      </w:r>
      <w:r>
        <w:t xml:space="preserve">, with the proportion of features exceeding |d| = 0.8 falling from </w:t>
      </w:r>
      <w:r>
        <w:rPr>
          <w:b/>
        </w:rPr>
        <w:t>47% to 0%</w:t>
      </w:r>
      <w:r>
        <w:t xml:space="preserve">; deep embeddings </w:t>
      </w:r>
      <w:r>
        <w:rPr>
          <w:b/>
        </w:rPr>
        <w:t>0.647 → 0.014</w:t>
      </w:r>
      <w:r>
        <w:t xml:space="preserve"> and </w:t>
      </w:r>
      <w:r>
        <w:rPr>
          <w:b/>
        </w:rPr>
        <w:t>32% → 0%</w:t>
      </w:r>
      <w:r>
        <w:t xml:space="preserve">) [Fig 2], and it restored the direction of the risk score (calibration slope </w:t>
      </w:r>
      <w:r>
        <w:rPr>
          <w:b/>
        </w:rPr>
        <w:t>−0.327</w:t>
      </w:r>
      <w:r>
        <w:t xml:space="preserve"> before versus </w:t>
      </w:r>
      <w:r>
        <w:rPr>
          <w:b/>
        </w:rPr>
        <w:t>+0.815</w:t>
      </w:r>
      <w:r>
        <w:t xml:space="preserve"> after ComBat) [Table 3]. Yet external discrimination for the joint model remained </w:t>
      </w:r>
      <w:r>
        <w:rPr>
          <w:b/>
        </w:rPr>
        <w:t>0.507 (95% CI 0.431–0.580)</w:t>
      </w:r>
      <w:r>
        <w:t xml:space="preserve"> [Table 2], the calibration curve remained displaced (median predicted S(730) </w:t>
      </w:r>
      <w:r>
        <w:rPr>
          <w:b/>
        </w:rPr>
        <w:t>0.40</w:t>
      </w:r>
      <w:r>
        <w:t xml:space="preserve"> versus observed </w:t>
      </w:r>
      <w:r>
        <w:rPr>
          <w:b/>
        </w:rPr>
        <w:t>0.82</w:t>
      </w:r>
      <w:r>
        <w:t xml:space="preserve">) [Fig 3], and the association structure differed between cohorts: the Spearman correlation between the fitted Cox coefficients was </w:t>
      </w:r>
      <w:r>
        <w:rPr>
          <w:b/>
        </w:rPr>
        <w:t>0.223 (p = 0.036)</w:t>
      </w:r>
      <w:r>
        <w:t xml:space="preserve"> and the overlap of the ten most important components was </w:t>
      </w:r>
      <w:r>
        <w:rPr>
          <w:b/>
        </w:rPr>
        <w:t>10%</w:t>
      </w:r>
      <w:r>
        <w:t xml:space="preserve"> [Table 5; Fig 5]. Accordingly, stability-based selection of the most reproducible components did not change external discrimination beyond sampling noise (stable subsets </w:t>
      </w:r>
      <w:r>
        <w:rPr>
          <w:b/>
        </w:rPr>
        <w:t>0.495–0.551</w:t>
      </w:r>
      <w:r>
        <w:t xml:space="preserve"> versus size-matched random subsets </w:t>
      </w:r>
      <w:r>
        <w:rPr>
          <w:b/>
        </w:rPr>
        <w:t>0.512–0.548</w:t>
      </w:r>
      <w:r>
        <w:t xml:space="preserve">, SD </w:t>
      </w:r>
      <w:r>
        <w:rPr>
          <w:b/>
        </w:rPr>
        <w:t>0.041–0.062</w:t>
      </w:r>
      <w:r>
        <w:t>; all |z| &lt; 1) [Table 6]. Reporting C-index alone would have concealed Layers 1–3 simultaneously.</w:t>
      </w:r>
    </w:p>
    <w:p>
      <w:pPr>
        <w:pStyle w:val="Heading3"/>
      </w:pPr>
      <w:r>
        <w:rPr>
          <w:rFonts w:ascii="Times New Roman" w:hAnsi="Times New Roman"/>
        </w:rPr>
        <w:t>4.2 What ComBat does and does not fix</w:t>
      </w:r>
    </w:p>
    <w:p>
      <w:pPr>
        <w:ind w:firstLine="720"/>
      </w:pPr>
      <w:r>
        <w:t>The contribution of ComBat is real but narrower than the assumption that removing batch effects solves cross-cohort prediction implies. In-cohort cross-validation in LUNG1 was unchanged before and after correction (</w:t>
      </w:r>
      <w:r>
        <w:rPr>
          <w:b/>
        </w:rPr>
        <w:t>0.5750</w:t>
      </w:r>
      <w:r>
        <w:t xml:space="preserve"> in both conditions) [Table 4], so its effect was expressed entirely in the external cohort: the absolute performance loss was reduced from </w:t>
      </w:r>
      <w:r>
        <w:rPr>
          <w:b/>
        </w:rPr>
        <w:t>−0.117</w:t>
      </w:r>
      <w:r>
        <w:t xml:space="preserve"> without correction (external C-index </w:t>
      </w:r>
      <w:r>
        <w:rPr>
          <w:b/>
        </w:rPr>
        <w:t>0.458</w:t>
      </w:r>
      <w:r>
        <w:t xml:space="preserve">) to </w:t>
      </w:r>
      <w:r>
        <w:rPr>
          <w:b/>
        </w:rPr>
        <w:t>−0.066</w:t>
      </w:r>
      <w:r>
        <w:t xml:space="preserve"> with correction (external C-index </w:t>
      </w:r>
      <w:r>
        <w:rPr>
          <w:b/>
        </w:rPr>
        <w:t>0.507</w:t>
      </w:r>
      <w:r>
        <w:t xml:space="preserve">) [Table 4]. The decisive change was in orientation rather than in ranking: the calibration slope moved from </w:t>
      </w:r>
      <w:r>
        <w:rPr>
          <w:b/>
        </w:rPr>
        <w:t>−0.327</w:t>
      </w:r>
      <w:r>
        <w:t xml:space="preserve">, at which a higher predicted hazard corresponded to better observed survival, to </w:t>
      </w:r>
      <w:r>
        <w:rPr>
          <w:b/>
        </w:rPr>
        <w:t>+0.815</w:t>
      </w:r>
      <w:r>
        <w:t xml:space="preserve"> [Table 3]. ComBat therefore repaired the direction of the risk score without raising discrimination. This distinction matters in practice, because a correction procedure validated by distributional diagnostics alone—for example, a Cohen's d approaching zero—can be reported as successful while the transported model still achieves discrimination close to chance (</w:t>
      </w:r>
      <w:r>
        <w:rPr>
          <w:b/>
        </w:rPr>
        <w:t>0.507</w:t>
      </w:r>
      <w:r>
        <w:t>) [Table 2]. Our results indicate that d ≈ 0 is a consequence of the ComBat model rather than evidence of transportability, and that distributional diagnostics must be reported alongside downstream task metrics [Fig 2; Table 2].</w:t>
      </w:r>
    </w:p>
    <w:p>
      <w:pPr>
        <w:pStyle w:val="Heading3"/>
      </w:pPr>
      <w:r>
        <w:rPr>
          <w:rFonts w:ascii="Times New Roman" w:hAnsi="Times New Roman"/>
        </w:rPr>
        <w:t>4.3 Calibration and discrimination are not interchangeable</w:t>
      </w:r>
    </w:p>
    <w:p>
      <w:pPr>
        <w:ind w:firstLine="720"/>
      </w:pPr>
      <w:r>
        <w:t xml:space="preserve">Discrimination and calibration answer different questions, and the present results show that they can move in opposite directions. Harrell's C-index depends only on the rank ordering of risk scores and is invariant under any monotone transformation, so a recalibration performed on the target cohort cannot change it; the external C-index remained </w:t>
      </w:r>
      <w:r>
        <w:rPr>
          <w:b/>
        </w:rPr>
        <w:t>0.509</w:t>
      </w:r>
      <w:r>
        <w:t xml:space="preserve"> (point estimate, 95% CI 0.431–0.580) after recalibration [Table 2]. Proper scoring rules evaluate the full predictive distribution and therefore respond to miscalibration: after target-cohort recalibration the Brier score fell from </w:t>
      </w:r>
      <w:r>
        <w:rPr>
          <w:b/>
        </w:rPr>
        <w:t>0.1468 to 0.0884</w:t>
      </w:r>
      <w:r>
        <w:t xml:space="preserve"> at 365 days (</w:t>
      </w:r>
      <w:r>
        <w:rPr>
          <w:b/>
        </w:rPr>
        <w:t>−40%</w:t>
      </w:r>
      <w:r>
        <w:t xml:space="preserve">), from </w:t>
      </w:r>
      <w:r>
        <w:rPr>
          <w:b/>
        </w:rPr>
        <w:t>0.2889 to 0.1380</w:t>
      </w:r>
      <w:r>
        <w:t xml:space="preserve"> at 730 days (</w:t>
      </w:r>
      <w:r>
        <w:rPr>
          <w:b/>
        </w:rPr>
        <w:t>−52%</w:t>
      </w:r>
      <w:r>
        <w:t xml:space="preserve">), and from </w:t>
      </w:r>
      <w:r>
        <w:rPr>
          <w:b/>
        </w:rPr>
        <w:t>0.2801 to 0.1608</w:t>
      </w:r>
      <w:r>
        <w:t xml:space="preserve"> at 1095 days (</w:t>
      </w:r>
      <w:r>
        <w:rPr>
          <w:b/>
        </w:rPr>
        <w:t>−43%</w:t>
      </w:r>
      <w:r>
        <w:t xml:space="preserve">) [Table 3]. This asymmetry follows from the structure of the metrics rather than from the modelling: rank-based measures and proper scoring rules are sensitive to different components of predictive performance (Brier, 1950; Gneiting and Raftery, 2007), and calibration is a distinct axis of model quality that requires explicit assessment (Van Calster et al., 2019; Crowson et al., 2016; Shin et al., 2022). Clinical usefulness, as summarised by decision-curve analysis, depends on calibration because net benefit is computed from absolute risks (Vickers and Elkin, 2006; Vickers et al., 2023; Zhao et al., 2024). Because the two cohorts differ substantially in censoring structure (event rate </w:t>
      </w:r>
      <w:r>
        <w:rPr>
          <w:b/>
        </w:rPr>
        <w:t>88.4%</w:t>
      </w:r>
      <w:r>
        <w:t xml:space="preserve"> in LUNG1 versus </w:t>
      </w:r>
      <w:r>
        <w:rPr>
          <w:b/>
        </w:rPr>
        <w:t>29.9%</w:t>
      </w:r>
      <w:r>
        <w:t xml:space="preserve"> in Radiogenomics), IPCW-derived Brier scores are not directly comparable across ComBat conditions; we therefore report Brier only within the ComBat-corrected setting. We do not report numeric DCA in this manuscript; the full DCA curves are shown graphically in Fig 4.</w:t>
      </w:r>
    </w:p>
    <w:p>
      <w:pPr>
        <w:pStyle w:val="Heading3"/>
      </w:pPr>
      <w:r>
        <w:rPr>
          <w:rFonts w:ascii="Times New Roman" w:hAnsi="Times New Roman"/>
        </w:rPr>
        <w:t>4.4 Clinical variables as a reference</w:t>
      </w:r>
    </w:p>
    <w:p>
      <w:pPr>
        <w:ind w:firstLine="720"/>
      </w:pPr>
      <w:r>
        <w:t xml:space="preserve">As a reference, a clinical Cox model using age, gender, three stage indicators, and four histology indicators (9 features total, no batch correction) achieved a cross-cohort external C-index of </w:t>
      </w:r>
      <w:r>
        <w:rPr>
          <w:b/>
        </w:rPr>
        <w:t>0.593 (95% CI 0.522–0.666)</w:t>
      </w:r>
      <w:r>
        <w:t>, with a confidence interval that overlapped substantially with that of the deep embedding model (</w:t>
      </w:r>
      <w:r>
        <w:rPr>
          <w:b/>
        </w:rPr>
        <w:t>0.581</w:t>
      </w:r>
      <w:r>
        <w:t xml:space="preserve">; 95% CI </w:t>
      </w:r>
      <w:r>
        <w:rPr>
          <w:b/>
        </w:rPr>
        <w:t>0.504–0.650</w:t>
      </w:r>
      <w:r>
        <w:t>) and that lay above the radiomics point estimate (</w:t>
      </w:r>
      <w:r>
        <w:rPr>
          <w:b/>
        </w:rPr>
        <w:t>0.427</w:t>
      </w:r>
      <w:r>
        <w:t>, no CI computed) [Table 2]. Two qualifications are required. First, the lower bound of the clinical interval (</w:t>
      </w:r>
      <w:r>
        <w:rPr>
          <w:b/>
        </w:rPr>
        <w:t>0.522</w:t>
      </w:r>
      <w:r>
        <w:t>) lies only marginally above 0.5, and because the two intervals overlap substantially this comparison does not support ranking one representation above another. Second, these clinical variables are standardised prognostic factors whose definitions are more homogeneous across cohorts than image-derived features. With those qualifications, the comparison is informative in a specific way: it argues against improper ComBat application or model misspecification as the primary cause of the observed ceiling. If the bottleneck were the correction procedure or the modelling approach, an uncorrected clinical model should not reach a comparable external C-index. The more consistent interpretation is that cross-cohort heterogeneity in image-derived features exceeds that in standardised clinical variables, which is itself a statement about the transportability of imaging phenotypes.</w:t>
      </w:r>
    </w:p>
    <w:p>
      <w:pPr>
        <w:pStyle w:val="Heading3"/>
      </w:pPr>
      <w:r>
        <w:rPr>
          <w:rFonts w:ascii="Times New Roman" w:hAnsi="Times New Roman"/>
        </w:rPr>
        <w:t>4.5 Cohort composition as a confounder of transportability</w:t>
      </w:r>
    </w:p>
    <w:p>
      <w:pPr>
        <w:ind w:firstLine="720"/>
      </w:pPr>
      <w:r>
        <w:t xml:space="preserve">The baseline characteristics of the two survival cohorts differed substantially in clinically meaningful ways. In LUNG1, </w:t>
      </w:r>
      <w:r>
        <w:rPr>
          <w:b/>
        </w:rPr>
        <w:t>68.2%</w:t>
      </w:r>
      <w:r>
        <w:t xml:space="preserve"> of patients were stage III and </w:t>
      </w:r>
      <w:r>
        <w:rPr>
          <w:b/>
        </w:rPr>
        <w:t>12.1%</w:t>
      </w:r>
      <w:r>
        <w:t xml:space="preserve"> had adenocarcinoma, whereas in NSCLC-Radiogenomics only </w:t>
      </w:r>
      <w:r>
        <w:rPr>
          <w:b/>
        </w:rPr>
        <w:t>8.1%</w:t>
      </w:r>
      <w:r>
        <w:t xml:space="preserve"> were stage III and </w:t>
      </w:r>
      <w:r>
        <w:rPr>
          <w:b/>
        </w:rPr>
        <w:t>81.5%</w:t>
      </w:r>
      <w:r>
        <w:t xml:space="preserve"> had adenocarcinoma (stage SMD </w:t>
      </w:r>
      <w:r>
        <w:rPr>
          <w:b/>
        </w:rPr>
        <w:t>1.579</w:t>
      </w:r>
      <w:r>
        <w:t xml:space="preserve">; histology SMD </w:t>
      </w:r>
      <w:r>
        <w:rPr>
          <w:b/>
        </w:rPr>
        <w:t>1.937</w:t>
      </w:r>
      <w:r>
        <w:t xml:space="preserve">). The 2-year event rate was </w:t>
      </w:r>
      <w:r>
        <w:rPr>
          <w:b/>
        </w:rPr>
        <w:t>88.4%</w:t>
      </w:r>
      <w:r>
        <w:t xml:space="preserve"> in LUNG1 versus </w:t>
      </w:r>
      <w:r>
        <w:rPr>
          <w:b/>
        </w:rPr>
        <w:t>29.9%</w:t>
      </w:r>
      <w:r>
        <w:t xml:space="preserve"> in NSCLC-Radiogenomics (SMD </w:t>
      </w:r>
      <w:r>
        <w:rPr>
          <w:b/>
        </w:rPr>
        <w:t>1.482</w:t>
      </w:r>
      <w:r>
        <w:t>). These differences exceed conventional thresholds for covariate balance by an order of magnitude. They imply that the observed cross-cohort performance loss is not solely attributable to scanner- or protocol-induced feature shift but also, and perhaps more fundamentally, to differences in the patient populations themselves — a dimension that harmonisation methods such as ComBat cannot address. This observation reinforces the layered interpretation of transportability developed in 4.1: correcting distributional and directional differences in the feature space does not change which patients the model is being asked to predict on, and any benchmark of cross-cohort reproducibility must therefore be interpreted against the composition of the cohorts being compared.</w:t>
      </w:r>
    </w:p>
    <w:p>
      <w:pPr>
        <w:pStyle w:val="Heading3"/>
      </w:pPr>
      <w:r>
        <w:rPr>
          <w:rFonts w:ascii="Times New Roman" w:hAnsi="Times New Roman"/>
        </w:rPr>
        <w:t>4.6 Relation to existing work</w:t>
      </w:r>
    </w:p>
    <w:p>
      <w:pPr>
        <w:ind w:firstLine="720"/>
      </w:pPr>
      <w:r>
        <w:t xml:space="preserve">The prevailing response to poor cross-cohort performance in radiomics is harmonisation, motivated by well-documented batch effects in multi-site imaging data (Johnson et al., 2007; Fortin et al., 2018), and it is commonly assumed that successful harmonisation improves generalisation. Our results qualify that assumption: ComBat achieved near-complete removal of marginal shift [Fig 2] yet left external discrimination at </w:t>
      </w:r>
      <w:r>
        <w:rPr>
          <w:b/>
        </w:rPr>
        <w:t>0.507 (95% CI 0.431–0.580)</w:t>
      </w:r>
      <w:r>
        <w:t xml:space="preserve"> [Table 2]. This is consistent with earlier reports that algorithm performance across institutions is unstable and that no single algorithm is universally optimal across modalities and endpoints (Amini et al., 2022), and with the broader literature on the fragility of model generalisation across sites (Zech et al., 2018; Wynants et al., 2020). The point of departure of the present study is its design rather than a new estimator. Single-cohort radiomic signatures continue to be reported with moderate discrimination and without a genuinely independent public external cohort (Sahin and Karacor, 2026), and comparisons of harmonisation strategies are typically reported either for internal performance or for a single external set. By contrast, we applied one fixed preprocessing, feature, and modelling protocol head-to-head across cohorts, and decomposed the resulting performance loss into layers that were corrected (orientation, baseline hazard) and layers that were not corrected by any of the interventions tested (discrimination, feature–outcome heterogeneity) [Tables 4–6; Fig 5]. Framing cross-cohort reproducibility as a layered benchmark, rather than as a single metric, also aligns the evaluation of radiomic models with established guidance for prediction-model assessment (Collins et al., 2015, 2024; Tejani et al., 2024).</w:t>
      </w:r>
    </w:p>
    <w:p>
      <w:pPr>
        <w:pStyle w:val="Heading3"/>
      </w:pPr>
      <w:r>
        <w:rPr>
          <w:rFonts w:ascii="Times New Roman" w:hAnsi="Times New Roman"/>
        </w:rPr>
        <w:t>4.7 Limitations</w:t>
      </w:r>
    </w:p>
    <w:p>
      <w:pPr>
        <w:ind w:firstLine="720"/>
      </w:pPr>
      <w:r>
        <w:t xml:space="preserve">Several limitations bound these conclusions. First, only two external cohorts were available for survival modelling (Radiogenomics, n = </w:t>
      </w:r>
      <w:r>
        <w:rPr>
          <w:b/>
        </w:rPr>
        <w:t>211</w:t>
      </w:r>
      <w:r>
        <w:t xml:space="preserve">; LUAD-CT-Survival, n = </w:t>
      </w:r>
      <w:r>
        <w:rPr>
          <w:b/>
        </w:rPr>
        <w:t>40</w:t>
      </w:r>
      <w:r>
        <w:t xml:space="preserve"> for the binary long/short endpoint), and the second is small; the analysis therefore characterises transport between two specific cohorts rather than the distribution of possible cohort shifts, and additional external cohorts would be required to estimate the variability of the observed decay. Second, the LUAD analysis was underpowered: all three models had 95% CIs spanning 0.5 (radiomics </w:t>
      </w:r>
      <w:r>
        <w:rPr>
          <w:b/>
        </w:rPr>
        <w:t>0.587</w:t>
      </w:r>
      <w:r>
        <w:t xml:space="preserve">, 95% CI </w:t>
      </w:r>
      <w:r>
        <w:rPr>
          <w:b/>
        </w:rPr>
        <w:t>0.415–0.775</w:t>
      </w:r>
      <w:r>
        <w:t xml:space="preserve">; deep </w:t>
      </w:r>
      <w:r>
        <w:rPr>
          <w:b/>
        </w:rPr>
        <w:t>0.525</w:t>
      </w:r>
      <w:r>
        <w:t xml:space="preserve">, 95% CI </w:t>
      </w:r>
      <w:r>
        <w:rPr>
          <w:b/>
        </w:rPr>
        <w:t>0.346–0.699</w:t>
      </w:r>
      <w:r>
        <w:t xml:space="preserve">; joint </w:t>
      </w:r>
      <w:r>
        <w:rPr>
          <w:b/>
        </w:rPr>
        <w:t>0.568</w:t>
      </w:r>
      <w:r>
        <w:t xml:space="preserve">, 95% CI </w:t>
      </w:r>
      <w:r>
        <w:rPr>
          <w:b/>
        </w:rPr>
        <w:t>0.385–0.740</w:t>
      </w:r>
      <w:r>
        <w:t xml:space="preserve">), so it is reported as diagnostic rather than confirmatory, and at this sample size a non-significant interval does not exclude a real effect. Third, ComBat was applied without covariates; harmonisation that protects biological signal by including age, gender, or stage as covariates was not explored, and such covariate-protected harmonisation might preserve feature–outcome associations that the present implementation removes, which warrants direct evaluation. Fourth, only linear recalibration was examined; non-linear recalibration (isotonic or piecewise-exponential) may change absolute-risk predictions, although it cannot change discrimination because discrimination is rank-based, and the two approaches warrant direct comparison. Fifth, the deep representation used 2D InceptionV3 embeddings aggregated across slices from native-spacing images; 3D encoders and medical-domain pretrained weights were not tested, although they could alter both the ceiling and the apparent advantage of deep features, and warrant evaluation. Sixth, the calibration slope was estimated on a single external cohort of </w:t>
      </w:r>
      <w:r>
        <w:rPr>
          <w:b/>
        </w:rPr>
        <w:t>211</w:t>
      </w:r>
      <w:r>
        <w:t xml:space="preserve"> patients, and slope estimates in the tails are sensitive to sample size; the reported slopes should therefore be regarded as cohort-specific descriptions rather than stable model properties, and larger external cohorts would provide more stable estimates. Eighth, all imaging features were extracted within automatically segmented lung regions rather than tumour volumes. Tumour delineations were unavailable for some cohorts and varied in origin where they were present; the lung-mask approach was chosen for cross-cohort consistency. As a consequence the radiomic features do not directly characterise tumour texture, and studies extracting features within a tumour volume may observe different cross-cohort transport behaviour. This design choice limits direct comparison with tumour-volume radiomics studies; it does not affect the within-study comparison between ComBat conditions, which used an identical region definition. Finally, our de-duplication used original patient identifiers and yielded </w:t>
      </w:r>
      <w:r>
        <w:rPr>
          <w:b/>
        </w:rPr>
        <w:t>741</w:t>
      </w:r>
      <w:r>
        <w:t xml:space="preserve"> unique patients from </w:t>
      </w:r>
      <w:r>
        <w:rPr>
          <w:b/>
        </w:rPr>
        <w:t>781</w:t>
      </w:r>
      <w:r>
        <w:t xml:space="preserve"> imaging entries; 24 LungCT-Diagnosis cases share a 30-digit StudyInstanceUID suffix with corresponding LUAD-CT-Survival/QIN-LUNG-CT cases, suggesting potential cross-collection duplicate submissions, and treating these as shared patients would reduce the unique count to </w:t>
      </w:r>
      <w:r>
        <w:rPr>
          <w:b/>
        </w:rPr>
        <w:t>717</w:t>
      </w:r>
      <w:r>
        <w:t>. Because the primary analysis cohorts LUNG1 and Radiogenomics show no patient overlap by either patient identifier or StudyInstanceUID, this ambiguity does not affect any primary analysis [Fig 1].</w:t>
      </w:r>
    </w:p>
    <w:p>
      <w:pPr>
        <w:ind w:firstLine="720"/>
      </w:pPr>
      <w:r>
        <w:t>---</w:t>
      </w:r>
    </w:p>
    <w:p>
      <w:pPr>
        <w:pStyle w:val="Heading1"/>
      </w:pPr>
      <w:r>
        <w:t>5. Conclusions</w:t>
      </w:r>
    </w:p>
    <w:p>
      <w:pPr>
        <w:ind w:firstLine="720"/>
      </w:pPr>
      <w:r>
        <w:t>In this benchmark, ComBat reduced the mean absolute standardised difference between cohorts from 0.755 to 0.012 and changed the external calibration slope from −0.327 to +0.815, yet external discrimination remained at 0.507 (95% CI 0.431–0.580) against an internal cross-validated 0.582 (95% CI 0.565–0.598). Cross-cohort reproducibility should therefore be treated as three orthogonal layers — feature-space orientation, baseline hazard and discrimination — because recalibration reduced the Brier score by 40–52% without changing discrimination, and the feature–outcome associations themselves differed between cohorts (top-ten component overlap 10%); distributional diagnostics such as Cohen's d should not be used as a surrogate for transportability, and raising the discrimination ceiling will require larger multi-cohort benchmarks and covariate-protected harmonisation strategies. Reporting C-index alone conceals each of these layers; external validation reports in radiomics should include calibration and decision-curve analyses alongside discrimination metrics.</w:t>
      </w:r>
    </w:p>
    <w:p>
      <w:r>
        <w:br w:type="page"/>
      </w:r>
    </w:p>
    <w:p>
      <w:pPr>
        <w:pStyle w:val="Heading1"/>
      </w:pPr>
      <w:r>
        <w:t>Declarations</w:t>
      </w:r>
    </w:p>
    <w:p>
      <w:r>
        <w:t>---</w:t>
      </w:r>
    </w:p>
    <w:p>
      <w:pPr>
        <w:pStyle w:val="Heading2"/>
      </w:pPr>
      <w:r>
        <w:rPr>
          <w:rFonts w:ascii="Times New Roman" w:hAnsi="Times New Roman"/>
        </w:rPr>
        <w:t>Data availability</w:t>
      </w:r>
    </w:p>
    <w:p>
      <w:r>
        <w:t xml:space="preserve">All imaging data analysed in this study are publicly available from The Cancer Imaging Archive (TCIA). Five collections were used: </w:t>
      </w:r>
      <w:r>
        <w:rPr>
          <w:b/>
        </w:rPr>
        <w:t>NSCLC-Radiomics (LUNG1)</w:t>
      </w:r>
      <w:r>
        <w:t xml:space="preserve">, </w:t>
      </w:r>
      <w:r>
        <w:rPr>
          <w:b/>
        </w:rPr>
        <w:t>NSCLC-Radiogenomics</w:t>
      </w:r>
      <w:r>
        <w:t xml:space="preserve">, </w:t>
      </w:r>
      <w:r>
        <w:rPr>
          <w:b/>
        </w:rPr>
        <w:t>LungCT-Diagnosis</w:t>
      </w:r>
      <w:r>
        <w:t xml:space="preserve">, </w:t>
      </w:r>
      <w:r>
        <w:rPr>
          <w:b/>
        </w:rPr>
        <w:t>QIN-LUNG-CT</w:t>
      </w:r>
      <w:r>
        <w:t xml:space="preserve"> and </w:t>
      </w:r>
      <w:r>
        <w:rPr>
          <w:b/>
        </w:rPr>
        <w:t>LUAD-CT-Survival</w:t>
      </w:r>
      <w:r>
        <w:t>. Each collection is distributed by TCIA under its own data use agreement and licence.</w:t>
      </w:r>
    </w:p>
    <w:p>
      <w:r>
        <w:rPr>
          <w:b/>
        </w:rPr>
        <w:t>说明（务必阅读）</w:t>
      </w:r>
      <w:r>
        <w:t>：2026-09-14 本次核验时，`cancerimagingarchive.net` 与 `wiki.cancerimagingarchive.net` 在本环境均持续超时，</w:t>
      </w:r>
      <w:r>
        <w:rPr>
          <w:b/>
        </w:rPr>
        <w:t>无法联网核实各集合的 DOI、许可条款与下载日期</w:t>
      </w:r>
      <w:r>
        <w:t>。按不得编造原则，上表一律留 `[待作者核对]` 占位。请作者在投稿前从各集合官方页面填入：集合 DOI、许可类型（多数 TCIA 集合为 CC BY 或 CC BY-NC）、以及实际下载日期。</w:t>
      </w:r>
      <w:r>
        <w:rPr>
          <w:b/>
        </w:rPr>
        <w:t>禁止凭记忆填写 DOI。</w:t>
      </w:r>
    </w:p>
    <w:p>
      <w:r>
        <w:rPr>
          <w:b/>
        </w:rPr>
        <w:t>No new data were generated.</w:t>
      </w:r>
      <w:r>
        <w:t xml:space="preserve"> Individual-level derived feature tables are not redistributed because the data use agreements of the source collections govern reuse of derived data; the analysis scripts required to regenerate all tables from the public source data are provided in the code repository below.</w:t>
      </w:r>
    </w:p>
    <w:p>
      <w:r>
        <w:t>---</w:t>
      </w:r>
    </w:p>
    <w:p>
      <w:pPr>
        <w:pStyle w:val="Heading2"/>
      </w:pPr>
      <w:r>
        <w:rPr>
          <w:rFonts w:ascii="Times New Roman" w:hAnsi="Times New Roman"/>
        </w:rPr>
        <w:t>Code availability</w:t>
      </w:r>
    </w:p>
    <w:p>
      <w:r>
        <w:t xml:space="preserve">All analysis code is available at </w:t>
      </w:r>
      <w:r>
        <w:rPr>
          <w:b/>
        </w:rPr>
        <w:t>https://github.com/wkuku514-cpu/ct-lung-cross-cohort-benchmark</w:t>
      </w:r>
      <w:r>
        <w:t xml:space="preserve"> under the </w:t>
      </w:r>
      <w:r>
        <w:rPr>
          <w:b/>
        </w:rPr>
        <w:t>MIT License</w:t>
      </w:r>
      <w:r>
        <w:t xml:space="preserve">, released as tag </w:t>
      </w:r>
      <w:r>
        <w:rPr>
          <w:b/>
        </w:rPr>
        <w:t>v1.0.0</w:t>
      </w:r>
      <w:r>
        <w:t xml:space="preserve"> and archived at </w:t>
      </w:r>
      <w:r>
        <w:rPr>
          <w:b/>
        </w:rPr>
        <w:t>https://doi.org/10.5281/zenodo.22754482</w:t>
      </w:r>
      <w:r>
        <w:t>. The repository contains the preprocessing and feature-extraction scripts, the ComBat and modelling pipelines, the evaluation and stability analyses, and the scripts used to generate every table and figure in this manuscript. No source imaging data or individual-level derived feature tables are redistributed in the repository.</w:t>
      </w:r>
    </w:p>
    <w:p>
      <w:r>
        <w:t>---</w:t>
      </w:r>
    </w:p>
    <w:p>
      <w:pPr>
        <w:pStyle w:val="Heading2"/>
      </w:pPr>
      <w:r>
        <w:rPr>
          <w:rFonts w:ascii="Times New Roman" w:hAnsi="Times New Roman"/>
        </w:rPr>
        <w:t>Conflict of interest</w:t>
      </w:r>
    </w:p>
    <w:p>
      <w:r>
        <w:t>The authors declare no competing interests.</w:t>
      </w:r>
    </w:p>
    <w:p>
      <w:r>
        <w:t>---</w:t>
      </w:r>
    </w:p>
    <w:p>
      <w:pPr>
        <w:pStyle w:val="Heading2"/>
      </w:pPr>
      <w:r>
        <w:rPr>
          <w:rFonts w:ascii="Times New Roman" w:hAnsi="Times New Roman"/>
        </w:rPr>
        <w:t>Funding</w:t>
      </w:r>
    </w:p>
    <w:p>
      <w:r>
        <w:t>This research received no specific grant from any funding agency in the public, commercial, or not-for-profit sectors.</w:t>
      </w:r>
    </w:p>
    <w:p>
      <w:r>
        <w:t>---</w:t>
      </w:r>
    </w:p>
    <w:p>
      <w:pPr>
        <w:pStyle w:val="Heading2"/>
      </w:pPr>
      <w:r>
        <w:rPr>
          <w:rFonts w:ascii="Times New Roman" w:hAnsi="Times New Roman"/>
        </w:rPr>
        <w:t>Author contributions</w:t>
      </w:r>
    </w:p>
    <w:p>
      <w:r>
        <w:t>Conceptualization: Yong LI, Jiuyang WANG. Data curation: Jiuyang WANG. Formal analysis: Jiuyang WANG. Methodology: Yong LI, Jiuyang WANG. Software: Jiuyang WANG. Writing – original draft: Jiuyang WANG. Writing – review &amp; editing: Jiuyang WANG, Yong LI. Supervision: Yong LI. Funding acquisition: Yong LI.</w:t>
      </w:r>
    </w:p>
    <w:p>
      <w:r>
        <w:t>---</w:t>
      </w:r>
    </w:p>
    <w:p>
      <w:pPr>
        <w:pStyle w:val="Heading2"/>
      </w:pPr>
      <w:r>
        <w:rPr>
          <w:rFonts w:ascii="Times New Roman" w:hAnsi="Times New Roman"/>
        </w:rPr>
        <w:t>Use of artificial intelligence</w:t>
      </w:r>
    </w:p>
    <w:p>
      <w:r>
        <w:t>During the preparation of this work, the authors used an AI-assisted writing tool to support manuscript drafting and language editing. The authors reviewed and edited the content as needed and take full responsibility for the content of the publication.</w:t>
      </w:r>
    </w:p>
    <w:p>
      <w:r>
        <w:t>---</w:t>
      </w:r>
    </w:p>
    <w:p>
      <w:pPr>
        <w:pStyle w:val="Heading2"/>
      </w:pPr>
      <w:r>
        <w:rPr>
          <w:rFonts w:ascii="Times New Roman" w:hAnsi="Times New Roman"/>
        </w:rPr>
        <w:t>Acknowledgements</w:t>
      </w:r>
    </w:p>
    <w:p>
      <w:r>
        <w:t>This study used publicly available data from The Cancer Imaging Archive (TCIA). We thank the investigators and institutions that contributed the NSCLC-Radiomics, NSCLC-Radiogenomics, LungCT-Diagnosis, QIN-LUNG-CT and LUAD-CT-Survival collections, and the TCIA staff who curated and distributed them. The content of this manuscript is solely the responsibility of the authors and does not necessarily represent the official views of the contributing institutions.</w:t>
      </w:r>
    </w:p>
    <w:p>
      <w:r>
        <w:t>---</w:t>
      </w:r>
    </w:p>
    <w:p>
      <w:r>
        <w:br w:type="page"/>
      </w:r>
    </w:p>
    <w:p>
      <w:pPr>
        <w:pStyle w:val="Heading1"/>
      </w:pPr>
      <w:r>
        <w:t>References</w:t>
      </w:r>
    </w:p>
    <w:p>
      <w:pPr>
        <w:ind w:left="432" w:hanging="432"/>
      </w:pPr>
      <w:r>
        <w:t>Aerts, H.J.W.L., Velazquez, E.R., Leijenaar, R.T.H., Parmar, C., Grossmann, P., Carvalho, S., et al., 2014. Decoding tumour phenotype by noninvasive imaging using a quantitative radiomics approach. Nat. Commun. 5, 4006. https://doi.org/10.1038/ncomms5006</w:t>
      </w:r>
    </w:p>
    <w:p>
      <w:pPr>
        <w:ind w:left="432" w:hanging="432"/>
      </w:pPr>
      <w:r>
        <w:t>Amini, M., Hajianfar, G., Hadadi Avval, A., Nazari, M., Deevband, M.R., Oveisi, M., et al., 2022. Overall Survival Prognostic Modelling of Non-small Cell Lung Cancer Patients Using Positron Emission Tomography/Computed Tomography Harmonised Radiomics Features: The Quest for the Optimal Machine Learning Algorithm. Clin. Oncol. (R. Coll. Radiol.) 34, 114-127. https://doi.org/10.1016/j.clon.2021.11.014</w:t>
      </w:r>
    </w:p>
    <w:p>
      <w:pPr>
        <w:ind w:left="432" w:hanging="432"/>
      </w:pPr>
      <w:r>
        <w:t>Bakr, S., Gevaert, O., Echegaray, S., Ayers, K., Zhou, M., Shafiq, M., et al., 2018. A radiogenomic dataset of non-small cell lung cancer. Sci. Data 5, 180202. https://doi.org/10.1038/sdata.2018.202</w:t>
      </w:r>
    </w:p>
    <w:p>
      <w:pPr>
        <w:ind w:left="432" w:hanging="432"/>
      </w:pPr>
      <w:r>
        <w:t>Bertolini, M., Trojani, V., Botti, A., Cucurachi, N., Galaverni, M., Cozzi, S., et al., 2022. Novel Harmonization Method for Multi-Centric Radiomic Studies in Non-Small Cell Lung Cancer. Curr. Oncol. 29, 5179-5194. https://doi.org/10.3390/curroncol29080410</w:t>
      </w:r>
    </w:p>
    <w:p>
      <w:pPr>
        <w:ind w:left="432" w:hanging="432"/>
      </w:pPr>
      <w:r>
        <w:t>Brier, G.W., 1950. Verification of forecasts expressed in terms of probability. Mon. Weather Rev. 78, 1–3. https://doi.org/10.1175/1520-0493(1950)078&lt;0001:VOFEIT&gt;2.0.CO;2</w:t>
      </w:r>
    </w:p>
    <w:p>
      <w:pPr>
        <w:ind w:left="432" w:hanging="432"/>
      </w:pPr>
      <w:r>
        <w:t>Chen, J., Bermejo, I., Dekker, A., Wee, L., 2022. Generative models improve radiomics performance in different tasks and different datasets: An experimental study. Phys. Med. 98, 11-17. https://doi.org/10.1016/j.ejmp.2022.04.008</w:t>
      </w:r>
    </w:p>
    <w:p>
      <w:pPr>
        <w:ind w:left="432" w:hanging="432"/>
      </w:pPr>
      <w:r>
        <w:t>Collins, G.S., Moons, K.G.M., Dhiman, P., Riley, R.D., Beam, A.L., Van Calster, B., et al., 2024. TRIPOD+AI statement: updated guidance for reporting clinical prediction models that use regression or machine learning methods. BMJ 385, e078378. https://doi.org/10.1136/bmj-2023-078378</w:t>
      </w:r>
    </w:p>
    <w:p>
      <w:pPr>
        <w:ind w:left="432" w:hanging="432"/>
      </w:pPr>
      <w:r>
        <w:t>Collins, G.S., Reitsma, J.B., Altman, D.G., Moons, K.G.M., 2015. Transparent reporting of a multivariable prediction model for individual prognosis or diagnosis (TRIPOD): the TRIPOD statement. BMJ 350, g7594. https://doi.org/10.1136/bmj.g7594</w:t>
      </w:r>
    </w:p>
    <w:p>
      <w:pPr>
        <w:ind w:left="432" w:hanging="432"/>
      </w:pPr>
      <w:r>
        <w:t>Crombé, A., Kind, M., Fadli, D., Le Loarer, F., Italiano, A., Buy, X., et al., 2020. Intensity harmonization techniques influence radiomics features and radiomics-based predictions in sarcoma patients. Sci. Rep. 10, 15496. https://doi.org/10.1038/s41598-020-72535-0</w:t>
      </w:r>
    </w:p>
    <w:p>
      <w:pPr>
        <w:ind w:left="432" w:hanging="432"/>
      </w:pPr>
      <w:r>
        <w:t>Crowson, C.S., Atkinson, E.J., Therneau, T.M., 2016. Assessing calibration of prognostic risk scores. Stat. Methods Med. Res. 25, 1692-706. https://doi.org/10.1177/0962280213497434</w:t>
      </w:r>
    </w:p>
    <w:p>
      <w:pPr>
        <w:ind w:left="432" w:hanging="432"/>
      </w:pPr>
      <w:r>
        <w:t>D'Anna, A., Stella, G., Gueli, A.M., Marino, C., Pulvirenti, A., 2024. Mitigating Interobserver Variability in Radiomics with ComBat: A Feasibility Study. J. Imaging 10, [article number to verify]. https://doi.org/10.3390/jimaging10110270</w:t>
      </w:r>
    </w:p>
    <w:p>
      <w:pPr>
        <w:ind w:left="432" w:hanging="432"/>
      </w:pPr>
      <w:r>
        <w:t>Da-Ano, R., Visvikis, D., Hatt, M., 2020. Harmonization strategies for multicenter radiomics investigations. Phys. Med. Biol. 65, 24TR02. https://doi.org/10.1088/1361-6560/aba798</w:t>
      </w:r>
    </w:p>
    <w:p>
      <w:pPr>
        <w:ind w:left="432" w:hanging="432"/>
      </w:pPr>
      <w:r>
        <w:t>Fortin, J.P., Cullen, N., Sheline, Y.I., Taylor, W.D., Aselcioglu, I., Cook, P.A., et al., 2018. Harmonization of cortical thickness measurements across scanners and sites. Neuroimage 167, 104-120. https://doi.org/10.1016/j.neuroimage.2017.11.024</w:t>
      </w:r>
    </w:p>
    <w:p>
      <w:pPr>
        <w:ind w:left="432" w:hanging="432"/>
      </w:pPr>
      <w:r>
        <w:t>Gao, Z., Zhang, G., Liang, H., Liu, J., Ma, L., Wang, T., et al., 2025. A lung CT vision foundation model facilitating disease diagnosis and medical imaging. Nat. Commun. 17, 35. https://doi.org/10.1038/s41467-025-66620-z</w:t>
      </w:r>
    </w:p>
    <w:p>
      <w:pPr>
        <w:ind w:left="432" w:hanging="432"/>
      </w:pPr>
      <w:r>
        <w:t>Ge, G., Siddique, A., Zhang, J., 2023. Inconsistent CT NSCLC radiomics associated with feature selection methods, predictive models and related factors. Phys. Med. Biol. 68, [article number to verify]. https://doi.org/10.1088/1361-6560/acce1c</w:t>
      </w:r>
    </w:p>
    <w:p>
      <w:pPr>
        <w:ind w:left="432" w:hanging="432"/>
      </w:pPr>
      <w:r>
        <w:t>Gneiting, T., Raftery, A.E., 2007. Strictly proper scoring rules, prediction, and estimation. J. Am. Stat. Assoc. 102, 359–378. https://doi.org/10.1198/016214506000001437</w:t>
      </w:r>
    </w:p>
    <w:p>
      <w:pPr>
        <w:ind w:left="432" w:hanging="432"/>
      </w:pPr>
      <w:r>
        <w:t>Horng, H., Singh, A., Yousefi, B., Cohen, E.A., Haghighi, B., Katz, S., et al., 2022. Generalized ComBat harmonization methods for radiomic features with multi-modal distributions and multiple batch effects. Sci. Rep. 12, 4493. https://doi.org/10.1038/s41598-022-08412-9</w:t>
      </w:r>
    </w:p>
    <w:p>
      <w:pPr>
        <w:ind w:left="432" w:hanging="432"/>
      </w:pPr>
      <w:r>
        <w:t>Hosny, A., Parmar, C., Coroller, T.P., Grossmann, P., Zeleznik, R., Kumar, A., et al., 2018. Deep learning for lung cancer prognostication: A retrospective multi-cohort radiomics study. PLoS Med. 15, e1002711. https://doi.org/10.1371/journal.pmed.1002711</w:t>
      </w:r>
    </w:p>
    <w:p>
      <w:pPr>
        <w:ind w:left="432" w:hanging="432"/>
      </w:pPr>
      <w:r>
        <w:t>Jha, A.K., Sherkhane, U.B., Mthun, S., Jaiswar, V., Purandare, N., Prabhash, K., et al., 2023. External Validation of Robust Radiomic Signature to Predict 2-Year Overall Survival in Non-Small-Cell Lung Cancer. J. Digit. Imaging 36, 2519-2531. https://doi.org/10.1007/s10278-023-00835-8</w:t>
      </w:r>
    </w:p>
    <w:p>
      <w:pPr>
        <w:ind w:left="432" w:hanging="432"/>
      </w:pPr>
      <w:r>
        <w:t>Jiang, Z., Xu, Y., Jia, S., Liu, H., 2026. Radiomics-Based AI for Predicting Neoadjuvant Immunochemotherapy Pathological Response in Non-Small Cell Lung Cancer: Systematic Review and Meta-Analysis. J. Med. Internet Res. 28, e93892. https://doi.org/10.2196/93892</w:t>
      </w:r>
    </w:p>
    <w:p>
      <w:pPr>
        <w:ind w:left="432" w:hanging="432"/>
      </w:pPr>
      <w:r>
        <w:t>Johnson, W.E., Li, C., Rabinovic, A., 2007. Adjusting batch effects in microarray expression data using empirical Bayes methods. Biostatistics 8, 118-27. https://doi.org/10.1093/biostatistics/kxj037</w:t>
      </w:r>
    </w:p>
    <w:p>
      <w:pPr>
        <w:ind w:left="432" w:hanging="432"/>
      </w:pPr>
      <w:r>
        <w:t>Lambin, P., Woodruff, H.C., Mali, S.A., Zhong, X., Kuang, S., Lavrova, E., et al., 2025. Radiomics Quality Score 2.0: towards radiomics readiness levels and clinical translation for personalized medicine. Nat. Rev. Clin. Oncol. 22, 831-846. https://doi.org/10.1038/s41571-025-01067-1</w:t>
      </w:r>
    </w:p>
    <w:p>
      <w:pPr>
        <w:ind w:left="432" w:hanging="432"/>
      </w:pPr>
      <w:r>
        <w:t>Le, V.H., Kha, Q.H., Minh, T.N.T., Nguyen, V.H., Le, V.L., Le, N.Q.K., 2023. Development and Validation of CT-Based Radiomics Signature for Overall Survival Prediction in Multi-organ Cancer. J. Digit. Imaging 36, 911-922. https://doi.org/10.1007/s10278-023-00778-0</w:t>
      </w:r>
    </w:p>
    <w:p>
      <w:pPr>
        <w:ind w:left="432" w:hanging="432"/>
      </w:pPr>
      <w:r>
        <w:t>Liang, B., Tong, C., Nong, J., Zhang, Y., 2024. Histological Subtype Classification of Non-Small Cell Lung Cancer with Radiomics and 3D Convolutional Neural Networks. J. Imaging Inform. Med. 37, 2895-2909. https://doi.org/10.1007/s10278-024-01152-4</w:t>
      </w:r>
    </w:p>
    <w:p>
      <w:pPr>
        <w:ind w:left="432" w:hanging="432"/>
      </w:pPr>
      <w:r>
        <w:t>Liu, Y., Shi, H., Wu, Y., Xu, C., Xie, Z., Wang, J., et al., 2026. Deep learning for visceral pleural invasion in non-small cell lung cancer. Clin. Radiol. 99, 107393. https://doi.org/10.1016/j.crad.2026.107393</w:t>
      </w:r>
    </w:p>
    <w:p>
      <w:pPr>
        <w:ind w:left="432" w:hanging="432"/>
      </w:pPr>
      <w:r>
        <w:t>[dataset] LUAD-CT-Survival. The Cancer Imaging Archive. https://www.cancerimagingarchive.net/collection/luad-ct-survival/ (accessed 15 September 2026).</w:t>
      </w:r>
    </w:p>
    <w:p>
      <w:pPr>
        <w:ind w:left="432" w:hanging="432"/>
      </w:pPr>
      <w:r>
        <w:t>[dataset] LungCT-Diagnosis. The Cancer Imaging Archive. https://www.cancerimagingarchive.net/collection/lungct-diagnosis/ (accessed 15 September 2026).</w:t>
      </w:r>
    </w:p>
    <w:p>
      <w:pPr>
        <w:ind w:left="432" w:hanging="432"/>
      </w:pPr>
      <w:r>
        <w:t>Mahon, R.N., Ghita, M., Hugo, G.D., Weiss, E., 2020. ComBat harmonization for radiomic features in independent phantom and lung cancer patient computed tomography datasets. Phys. Med. Biol. 65, 015010. https://doi.org/10.1088/1361-6560/ab6177</w:t>
      </w:r>
    </w:p>
    <w:p>
      <w:pPr>
        <w:ind w:left="432" w:hanging="432"/>
      </w:pPr>
      <w:r>
        <w:t>Mayerhoefer, M.E., Materka, A., Langs, G., Häggström, I., Szczypiński, P., Gibbs, P., et al., 2020. Introduction to Radiomics. J. Nucl. Med. 61, 488-495. https://doi.org/10.2967/jnumed.118.222893</w:t>
      </w:r>
    </w:p>
    <w:p>
      <w:pPr>
        <w:ind w:left="432" w:hanging="432"/>
      </w:pPr>
      <w:r>
        <w:t>Niu, S., Liu, M., Liu, Y., Wang, J., Song, H., 2021. Distant Domain Transfer Learning for Medical Imaging. IEEE J. Biomed. Health Inform. 25, 3784-3793. https://doi.org/10.1109/JBHI.2021.3051470</w:t>
      </w:r>
    </w:p>
    <w:p>
      <w:pPr>
        <w:ind w:left="432" w:hanging="432"/>
      </w:pPr>
      <w:r>
        <w:t>[dataset] NSCLC-Radiogenomics. The Cancer Imaging Archive, Stanford University. https://www.cancerimagingarchive.net/collection/nsclc-radiogenomics/ (accessed 15 September 2026).</w:t>
      </w:r>
    </w:p>
    <w:p>
      <w:pPr>
        <w:ind w:left="432" w:hanging="432"/>
      </w:pPr>
      <w:r>
        <w:t>[dataset] NSCLC-Radiomics. The Cancer Imaging Archive, Maastricht University. https://www.cancerimagingarchive.net/collection/nsclc-radiomics/ (accessed 15 September 2026).</w:t>
      </w:r>
    </w:p>
    <w:p>
      <w:pPr>
        <w:ind w:left="432" w:hanging="432"/>
      </w:pPr>
      <w:r>
        <w:t>[dataset] QIN-LUNG-CT. The Cancer Imaging Archive. https://www.cancerimagingarchive.net/collection/qin-lung-ct/ (accessed 15 September 2026).</w:t>
      </w:r>
    </w:p>
    <w:p>
      <w:pPr>
        <w:ind w:left="432" w:hanging="432"/>
      </w:pPr>
      <w:r>
        <w:t>Sahin, S., Karacor, A.G., 2026. Data-Efficient and Explainable Multimodal Survival Prediction in NSCLC Using Deep Image Embeddings, Clinical Variables, and Gradient-Boosted Trees. Diagnostics (Basel) 16, [article number to verify]. https://doi.org/10.3390/diagnostics16121941</w:t>
      </w:r>
    </w:p>
    <w:p>
      <w:pPr>
        <w:ind w:left="432" w:hanging="432"/>
      </w:pPr>
      <w:r>
        <w:t>Shin, Y.E., Gail, M.H., Pfeiffer, R.M., 2022. Assessing risk model calibration with missing covariates. Biostatistics 23, 875-890. https://doi.org/10.1093/biostatistics/kxaa060</w:t>
      </w:r>
    </w:p>
    <w:p>
      <w:pPr>
        <w:ind w:left="432" w:hanging="432"/>
      </w:pPr>
      <w:r>
        <w:t>Tariq, A., Ramasamy, G., Patel, B., Banerjee, I., 2024. Self-supervised learning for chest computed tomography: training strategies and effect on downstream applications. J. Med. Imaging (Bellingham) 11, 064003. https://doi.org/10.1117/1.JMI.11.6.064003</w:t>
      </w:r>
    </w:p>
    <w:p>
      <w:pPr>
        <w:ind w:left="432" w:hanging="432"/>
      </w:pPr>
      <w:r>
        <w:t>Tejani, A.S., Klontzas, M.E., Gatti, A.A., Mongan, J.T., Moy, L., Park, S.H., et al., 2024. Checklist for Artificial Intelligence in Medical Imaging (CLAIM): 2024 Update. Radiol. Artif. Intell. 6, e240300. https://doi.org/10.1148/ryai.240300</w:t>
      </w:r>
    </w:p>
    <w:p>
      <w:pPr>
        <w:ind w:left="432" w:hanging="432"/>
      </w:pPr>
      <w:r>
        <w:t>Van Calster, B., McLernon, D.J., van Smeden, M., Wynants, L., Steyerberg, E.W., Topic Group ‘Evaluating diagnostic tests and prediction models’ of the STRATOS initiative, 2019. Calibration: the Achilles heel of predictive analytics. BMC Med. 17, 230. https://doi.org/10.1186/s12916-019-1466-7</w:t>
      </w:r>
    </w:p>
    <w:p>
      <w:pPr>
        <w:ind w:left="432" w:hanging="432"/>
      </w:pPr>
      <w:r>
        <w:t>van Griethuysen, J.J.M., Fedorov, A., Parmar, C., Hosny, A., Aucoin, N., Narayan, V., et al., 2017. Computational Radiomics System to Decode the Radiographic Phenotype. Cancer Res. 77, e104-e107. https://doi.org/10.1158/0008-5472.CAN-17-0339</w:t>
      </w:r>
    </w:p>
    <w:p>
      <w:pPr>
        <w:ind w:left="432" w:hanging="432"/>
      </w:pPr>
      <w:r>
        <w:t>van Timmeren, J.E., Cester, D., Tanadini-Lang, S., Alkadhi, H., Baessler, B., 2020. Radiomics in medical imaging-"how-to" guide and critical reflection. Insights Imaging 11, 91. https://doi.org/10.1186/s13244-020-00887-2</w:t>
      </w:r>
    </w:p>
    <w:p>
      <w:pPr>
        <w:ind w:left="432" w:hanging="432"/>
      </w:pPr>
      <w:r>
        <w:t>Vickers, A.J., Elkin, E.B., 2006. Decision curve analysis: a novel method for evaluating prediction models. Med. Decis. Making 26, 565-74. https://doi.org/10.1177/0272989X06295361</w:t>
      </w:r>
    </w:p>
    <w:p>
      <w:pPr>
        <w:ind w:left="432" w:hanging="432"/>
      </w:pPr>
      <w:r>
        <w:t>Vickers, A.J., Van Claster, B., Wynants, L., Steyerberg, E.W., 2023. Decision curve analysis: confidence intervals and hypothesis testing for net benefit. Diagn. Progn. Res. 7, 11. https://doi.org/10.1186/s41512-023-00148-y</w:t>
      </w:r>
    </w:p>
    <w:p>
      <w:pPr>
        <w:ind w:left="432" w:hanging="432"/>
      </w:pPr>
      <w:r>
        <w:t>[software] Wang, J., Li, Y., 2026. ct-lung-cross-cohort-benchmark: Analysis code for cross-cohort reproducibility of CT-based lung cancer survival prediction, version v1.0.0. Zenodo. https://doi.org/10.5281/zenodo.22754482</w:t>
      </w:r>
    </w:p>
    <w:p>
      <w:pPr>
        <w:ind w:left="432" w:hanging="432"/>
      </w:pPr>
      <w:r>
        <w:t>Wang, T., Gong, J., Duan, H.H., Wang, L.J., Ye, X.D., Nie, S.D., 2019. Correlation between CT based radiomics features and gene expression data in non-small cell lung cancer. J. Xray Sci. Technol. 27, 773-803. https://doi.org/10.3233/XST-190526</w:t>
      </w:r>
    </w:p>
    <w:p>
      <w:pPr>
        <w:ind w:left="432" w:hanging="432"/>
      </w:pPr>
      <w:r>
        <w:t>Wang, T., She, Y., Yang, Y., Liu, X., Chen, S., Zhong, Y., et al., 2022. Radiomics for Survival Risk Stratification of Clinical and Pathologic Stage IA Pure-Solid Non-Small Cell Lung Cancer. Radiology 302, 425-434. https://doi.org/10.1148/radiol.2021210109</w:t>
      </w:r>
    </w:p>
    <w:p>
      <w:pPr>
        <w:ind w:left="432" w:hanging="432"/>
      </w:pPr>
      <w:r>
        <w:t>Wang, Z., Yang, C., Han, W., Sui, X., Zheng, F., Xue, F., et al., 2022. Quantifying lung cancer heterogeneity using novel CT features: a cross-institute study. Insights Imaging 13, 82. https://doi.org/10.1186/s13244-022-01204-9</w:t>
      </w:r>
    </w:p>
    <w:p>
      <w:pPr>
        <w:ind w:left="432" w:hanging="432"/>
      </w:pPr>
      <w:r>
        <w:t>Wynants, L., Van Calster, B., Collins, G.S., Riley, R.D., Heinze, G., Schuit, E., et al., 2020. Prediction models for diagnosis and prognosis of covid-19: systematic review and critical appraisal. BMJ 369, m1328. https://doi.org/10.1136/bmj.m1328</w:t>
      </w:r>
    </w:p>
    <w:p>
      <w:pPr>
        <w:ind w:left="432" w:hanging="432"/>
      </w:pPr>
      <w:r>
        <w:t>Zech, J.R., Badgeley, M.A., Liu, M., Costa, A.B., Titano, J.J., Oermann, E.K., 2018. Variable generalization performance of a deep learning model to detect pneumonia in chest radiographs: A cross-sectional study. PLoS Med. 15, e1002683. https://doi.org/10.1371/journal.pmed.1002683</w:t>
      </w:r>
    </w:p>
    <w:p>
      <w:pPr>
        <w:ind w:left="432" w:hanging="432"/>
      </w:pPr>
      <w:r>
        <w:t>Zhao, L., Leng, Y., Hu, Y., Xiao, J., Li, Q., Liu, C., et al., 2024. Understanding decision curve analysis in clinical prediction model research. Postgrad. Med. J. 100, 512-515. https://doi.org/10.1093/postmj/qgae027</w:t>
      </w:r>
    </w:p>
    <w:p>
      <w:pPr>
        <w:ind w:left="432" w:hanging="432"/>
      </w:pPr>
      <w:r>
        <w:t>Zhou, Z., Sodha, V., Pang, J., Gotway, M.B., Liang, J., 2021. Models Genesis. Med. Image Anal. 67, 101840. https://doi.org/10.1016/j.media.2020.101840</w:t>
      </w:r>
    </w:p>
    <w:p>
      <w:r>
        <w:br w:type="page"/>
      </w:r>
    </w:p>
    <w:p>
      <w:pPr>
        <w:pStyle w:val="Heading1"/>
      </w:pPr>
      <w:r>
        <w:t>Figure legends</w:t>
      </w:r>
    </w:p>
    <w:p>
      <w:r>
        <w:rPr>
          <w:b/>
        </w:rPr>
        <w:t>Figure 1. Study flow and cohort composition.</w:t>
      </w:r>
      <w:r>
        <w:t xml:space="preserve"> Five publicly available collections from The Cancer Imaging Archive (TCIA) contributed 781 imaging entries, corresponding to 741 unique patients after de-duplication by original patient identifier. NSCLC-Radiomics (LUNG1, n = 422) and NSCLC-Radiogenomics (n = 211) formed the 633-patient survival cohort, with LUNG1 used for model development and NSCLC-Radiogenomics used for external validation. LungCT-Diagnosis (n = 61), QIN-LUNG-CT (n = 47) and LUAD-CT-Survival (n = 40) were not used for survival model development; LUAD-CT-Survival (20 long, 20 short) was used only as a diagnostic binary-endpoint evaluation. Twenty-four LungCT-Diagnosis cases share a 30-digit StudyInstanceUID suffix with corresponding LUAD-CT-Survival/QIN-LUNG-CT cases, which would reduce the unique patient count to 717 if these were treated as shared patients. LUNG1 and NSCLC-Radiogenomics share no patients by either patient identifier or StudyInstanceUID. Blue boxes indicate the three core counts reported in the Results. Panel letter a is shown in bold lowercase. TCIA, The Cancer Imaging Archive.</w:t>
      </w:r>
    </w:p>
    <w:p>
      <w:r>
        <w:rPr>
          <w:b/>
        </w:rPr>
        <w:t>Figure 2. Feature distributions before and after ComBat correction.</w:t>
      </w:r>
      <w:r>
        <w:t xml:space="preserve"> Principal component analysis (PCA) projections of image-derived features in the two survival cohorts before and after ComBat correction. (a) Radiomic features (107 per patient) before correction. (b) Radiomic features after correction. (c) InceptionV3 embeddings (2048 per patient) before correction. (d) Embeddings after correction. Each point is one patient (LUNG1, n = 422, circles; NSCLC-Radiogenomics, n = 211, triangles); s = 12, alpha = 0.6, no marker edges. Features were median-imputed and standardised on the combined cohort before PCA; axes are the first two principal components, and the x and y ranges are shared between a and b and between c and d so that panels are directly comparable. Before correction the two cohorts occupied separated regions of feature space; after correction the projections overlapped. Corresponding summary statistics: mean absolute standardised difference 0.755 → 0.012 for radiomic features and 0.647 → 0.014 for embeddings; the proportion of features exceeding |d| = 0.8 fell from 47% to 0% (radiomics) and from 32% to 0% (embeddings). PCA, principal component analysis.</w:t>
      </w:r>
    </w:p>
    <w:p>
      <w:r>
        <w:rPr>
          <w:b/>
        </w:rPr>
        <w:t>Figure 3. Calibration of the joint model in external and internal evaluation.</w:t>
      </w:r>
      <w:r>
        <w:t xml:space="preserve"> Calibration of the joint (clinical + radiomic + embedding) Cox model at 365, 730 and 1095 days. Rows: (a–c) external cohort (NSCLC-Radiogenomics, n = 211) with the original model; (d–f) external cohort after linear recalibration fitted on the external cohort, with the original predictions overlaid as open circles; (g–i) internal out-of-fold predictions in LUNG1 (n = 422) from five-fold cross-validation. Within each panel, patients were divided into four risk quartile groups; each point is the group-mean predicted survival plotted against Kaplan-Meier observed survival at that time point. The black dashed line is the identity (ideal) line. All panels share 0–1 axes. Recalibration moved the external calibration points onto the identity line and reduced the Brier score by 40–52% (365 days: 0.1468 → 0.0884; 730 days: 0.2889 → 0.1380; 1095 days: 0.2801 → 0.1608) without changing the C-index. Recalibration was applied as a post hoc analysis of failure structure and is not proposed as a prospectively applicable correction. Panel letters a–i are shown in bold lowercase.</w:t>
      </w:r>
    </w:p>
    <w:p>
      <w:r>
        <w:rPr>
          <w:b/>
        </w:rPr>
        <w:t>Figure 4. Decision curves for the joint and embedding models.</w:t>
      </w:r>
      <w:r>
        <w:t xml:space="preserve"> Net benefit as a function of threshold probability (0.05–0.90 in steps of 0.05) at 365, 730 and 1095 days. Rows: (a–c) external cohort (NSCLC-Radiogenomics, n = 211) with the original models, showing the embedding-only model (Deep, blue) and the joint model (Joint, orange); (d–f) external cohort with the joint model after linear recalibration fitted on the external cohort; (g–i) internal LUNG1 out-of-fold joint model (n = 422) from five-fold cross-validation. Reference strategies are treat-all (black dashed) and treat-none (grey solid, net benefit = 0). Recalibration was fitted for the joint model only, so Deep curves are shown only for the original external model; the internal row shows the joint model only, matching the analysis that was run. Y axes are fixed at −0.2 to 0.5 across all panels. Decision curve analysis is shown as graphical evidence: numeric net-benefit values are not reported because the analysis pipeline produced the curves without a numeric output table, and values were not read off the images. DCA, decision curve analysis.</w:t>
      </w:r>
    </w:p>
    <w:p>
      <w:r>
        <w:rPr>
          <w:b/>
        </w:rPr>
        <w:t>Figure 5. Cross-cohort agreement of fitted Cox coefficients.</w:t>
      </w:r>
      <w:r>
        <w:t xml:space="preserve"> (a) Coefficients of the 89 components of the joint model fitted separately in LUNG1 (n = 422) and NSCLC-Radiogenomics (n = 211); each point is one component. Orange squares (s = 28) indicate the 19 components forming the union of the ten components with the largest absolute coefficient in each cohort; grey circles (s = 12) indicate the remaining components; the black dashed line is the identity line and the thin grey lines mark zero. Marker shape, not colour alone, distinguishes the two classes, so the panel remains interpretable in grayscale. (b) The ten components with the largest absolute coefficient in LUNG1, shown as paired bars giving the coefficient fitted in LUNG1 (blue, solid) and the corresponding coefficient fitted in NSCLC-Radiogenomics (green, hatched); hatching is a redundant cue that survives grayscale reproduction. The inset box in (a) reports the Spearman correlation between the two coefficient vectors, ρ = 0.223 (p = 0.036), and the overlap of the top-10 components, 10% (1 of 10). Coefficients were fitted with the same model specification in both cohorts, so differences reflect the fitted coefficients rather than differences in model construction.</w:t>
      </w:r>
    </w:p>
    <w:p>
      <w:r>
        <w:br w:type="page"/>
      </w:r>
    </w:p>
    <w:p>
      <w:pPr>
        <w:pStyle w:val="Heading1"/>
      </w:pPr>
      <w:r>
        <w:rPr>
          <w:rFonts w:ascii="Times New Roman" w:hAnsi="Times New Roman"/>
        </w:rPr>
        <w:t>Author biographies (Vitae)</w:t>
      </w:r>
    </w:p>
    <w:p>
      <w:r>
        <w:rPr>
          <w:rFonts w:ascii="Times New Roman" w:hAnsi="Times New Roman"/>
          <w:b/>
          <w:sz w:val="24"/>
        </w:rPr>
        <w:t>Jiuyang WANG</w:t>
      </w:r>
    </w:p>
    <w:p>
      <w:pPr>
        <w:spacing w:line="480" w:lineRule="auto"/>
        <w:ind w:firstLine="720"/>
      </w:pPr>
      <w:r>
        <w:rPr>
          <w:rFonts w:ascii="Times New Roman" w:hAnsi="Times New Roman"/>
          <w:sz w:val="24"/>
        </w:rPr>
        <w:t>Jiuyang WANG is a Master's student in Oncology at the First Clinical Medical College of Nanchang University. He received his Bachelor of Medicine degree in Clinical Medicine from Hubei Minzu University in 2026. His research focuses on radiomics and medical image analysis of thoracic tumours. He has published a peer-reviewed conference paper as co-first author in Proceedings of SPIE (DOI: 10.1117/12.3070640).</w:t>
      </w:r>
    </w:p>
    <w:p>
      <w:r>
        <w:rPr>
          <w:rFonts w:ascii="Times New Roman" w:hAnsi="Times New Roman"/>
          <w:b/>
          <w:sz w:val="24"/>
        </w:rPr>
        <w:t>Yong LI</w:t>
      </w:r>
    </w:p>
    <w:p>
      <w:pPr>
        <w:spacing w:line="480" w:lineRule="auto"/>
        <w:ind w:firstLine="720"/>
      </w:pPr>
      <w:r>
        <w:rPr>
          <w:rFonts w:ascii="Times New Roman" w:hAnsi="Times New Roman"/>
          <w:sz w:val="24"/>
        </w:rPr>
        <w:t>Yong LI is Professor and Chief Physician at The First Affiliated Hospital of Nanchang University, where he directs the Oncology Department and its Teaching and Research Office, and serves as a doctoral and master's supervisor and postdoctoral co-supervisor. His research covers lung cancer metastasis, immune escape, radiotherapy resistance and thoracic malignancy precision treatment. He has led three NSFC and over ten other national and provincial projects, publishing in Clinical and Translational Medicine, Journal of Translational Medicine, Cancer Immunology Immunotherapy, BMC Cancer and Thoracic Cancer. He received the First Prize of the Jiangxi Provincial Science and Technology Progress Award.</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