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6.png" ContentType="image/png"/>
  <Override PartName="/word/media/rId153.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2023-06-07</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molecular features (MFs),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MFs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olecular feature that was only visible in the standards run alongside the samples. Culture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molecular feature that was only visible in the standards run alongside the samples. Culture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GFF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all models had similar performance with %FDR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features found (%GFF) plotted across different subsets of model parameters. Lower %FDR indicates a smaller fraction of false positives among those molecular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st slopes found in the full and XCMS-only models indicating excessive overfitting on the training data." title="" id="30" name="Picture"/>
            <a:graphic>
              <a:graphicData uri="http://schemas.openxmlformats.org/drawingml/2006/picture">
                <pic:pic>
                  <pic:nvPicPr>
                    <pic:cNvPr descr="figures/fdr_gf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molecular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steepest slopes found in the full and XCMS-only models indicating excessive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When compared in ranked space, we found an intensification of the effect described previously,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GFF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GFF=100%,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752374" cy="3669832"/>
            <wp:effectExtent b="0" l="0" r="0" t="0"/>
            <wp:docPr descr="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FF is calculated by dividing the number of true positives by the total number of good features as identified manually. Points correspond to the calculated percentage and absolute numbers are provided above/below the point." title="" id="39" name="Picture"/>
            <a:graphic>
              <a:graphicData uri="http://schemas.openxmlformats.org/drawingml/2006/picture">
                <pic:pic>
                  <pic:nvPicPr>
                    <pic:cNvPr descr="figures/fdr_gf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individually with a threshold of 0.9. FDR is calculated by dividing the number of false positives by the total positives produced by the model and GFF is calculated by dividing the number of true positives by the total number of good features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MFs corresponded to instrument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w:t>
      </w:r>
      <w:r>
        <w:rPr>
          <w:bCs/>
          <w:b/>
        </w:rPr>
        <w:t xml:space="preserve">ref?</w:t>
      </w:r>
      <w:r>
        <w:t xml:space="preserve">)</w:t>
      </w:r>
      <w:r>
        <w:t xml:space="preserve"> </w:t>
      </w:r>
      <w:r>
        <w:t xml:space="preserve">Although we were unable to calculate their exact concentrations due to a lack of authentic standards, peak areas were approximately 100 to 1000 times higher in the 15 meter samples than the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MFs was also illustrated visually with non-metric multidimensional scaling (NMDS) plots (Figure XX).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molecular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detected while doing so. This strategy, when applied to our data, returned accuracies in the 80-90% range despite being a useless classifier for downstream analysis. This is perhaps a facetious argument, but many of the single-parameter logistic models we tested never exceeded a 50% likelihood and essentially functioned as this type of classifier.</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raw confusion matrices in Supplemental Table XX.</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(Libiseller et al. 2015; Treutler and Neumann 2016; El Abiead et al. 2021)</w:t>
      </w:r>
      <w:r>
        <w:t xml:space="preserve"> </w:t>
      </w:r>
      <w:r>
        <w:t xml:space="preserve">We learned that many noise MFs still have reliable isotopes (perhaps unsurprising, given that the noise is in fact often caused by solvents or contaminants that are still chemical in nature) and that many real MFs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(Houriet et al. 2022; Barupal et al. 2021)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molecular features due to noise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molecular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 “FT” and followed by 4 digits. Two features were annotated using authentic standards run alongside: the 13C isotope of dimethylsulfonioacetate (DMS-Ac) and taurine."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w:t>
      </w:r>
      <w:r>
        <w:t xml:space="preserve"> </w:t>
      </w:r>
      <w:r>
        <w:t xml:space="preserve">“</w:t>
      </w:r>
      <w:r>
        <w:t xml:space="preserve">FT</w:t>
      </w:r>
      <w:r>
        <w:t xml:space="preserve">”</w:t>
      </w:r>
      <w:r>
        <w:t xml:space="preserve"> </w:t>
      </w:r>
      <w:r>
        <w:t xml:space="preserve">and followed by 4 digits. Two features were annotated using authentic standards run alongside: the 13C isotope of dimethylsulfonioacetate (DMS-Ac) and taurine.</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for a given feature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molecular feature (MF) was found, but could not be calculated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molecular feature as a whole.</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 version 4.2.2, and code is available on the Github at</w:t>
      </w:r>
      <w:r>
        <w:t xml:space="preserve"> </w:t>
      </w:r>
      <w:hyperlink r:id="rId74">
        <w:r>
          <w:rPr>
            <w:rStyle w:val="Hyperlink"/>
          </w:rPr>
          <w:t xml:space="preserve">https://github.com/wkumler/MS_metrics</w:t>
        </w:r>
      </w:hyperlink>
      <w:r>
        <w:t xml:space="preserve">.</w:t>
      </w:r>
      <w:r>
        <w:t xml:space="preserve">(R Core Team 2022)</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GFF: Good Feature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9" w:name="references"/>
    <w:p>
      <w:pPr>
        <w:pStyle w:val="Heading2"/>
      </w:pPr>
      <w:r>
        <w:t xml:space="preserve">References</w:t>
      </w:r>
    </w:p>
    <w:bookmarkStart w:id="148"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2">
        <w:r>
          <w:rPr>
            <w:rStyle w:val="Hyperlink"/>
          </w:rPr>
          <w:t xml:space="preserve">https://doi.org/10.1021/acs.analchem.9b02983</w:t>
        </w:r>
      </w:hyperlink>
      <w:r>
        <w:t xml:space="preserve">.</w:t>
      </w:r>
    </w:p>
    <w:bookmarkEnd w:id="123"/>
    <w:bookmarkStart w:id="125"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4">
        <w:r>
          <w:rPr>
            <w:rStyle w:val="Hyperlink"/>
          </w:rPr>
          <w:t xml:space="preserve">https://doi.org/10.1016/j.marchem.2015.06.029</w:t>
        </w:r>
      </w:hyperlink>
      <w:r>
        <w:t xml:space="preserve">.</w:t>
      </w:r>
    </w:p>
    <w:bookmarkEnd w:id="125"/>
    <w:bookmarkStart w:id="127"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6">
        <w:r>
          <w:rPr>
            <w:rStyle w:val="Hyperlink"/>
          </w:rPr>
          <w:t xml:space="preserve">https://doi.org/10.1186/s12859-015-0562-8</w:t>
        </w:r>
      </w:hyperlink>
      <w:r>
        <w:t xml:space="preserve">.</w:t>
      </w:r>
    </w:p>
    <w:bookmarkEnd w:id="127"/>
    <w:bookmarkStart w:id="129"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8">
        <w:r>
          <w:rPr>
            <w:rStyle w:val="Hyperlink"/>
          </w:rPr>
          <w:t xml:space="preserve">https://doi.org/10.1021/acs.analchem.9b04811</w:t>
        </w:r>
      </w:hyperlink>
      <w:r>
        <w:t xml:space="preserve">.</w:t>
      </w:r>
    </w:p>
    <w:bookmarkEnd w:id="129"/>
    <w:bookmarkStart w:id="131"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0">
        <w:r>
          <w:rPr>
            <w:rStyle w:val="Hyperlink"/>
          </w:rPr>
          <w:t xml:space="preserve">https://doi.org/10.3390/metabo10040162</w:t>
        </w:r>
      </w:hyperlink>
      <w:r>
        <w:t xml:space="preserve">.</w:t>
      </w:r>
    </w:p>
    <w:bookmarkEnd w:id="131"/>
    <w:bookmarkStart w:id="133"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2">
        <w:r>
          <w:rPr>
            <w:rStyle w:val="Hyperlink"/>
          </w:rPr>
          <w:t xml:space="preserve">https://doi.org/10.1021/acs.analchem.7b01069</w:t>
        </w:r>
      </w:hyperlink>
      <w:r>
        <w:t xml:space="preserve">.</w:t>
      </w:r>
    </w:p>
    <w:bookmarkEnd w:id="133"/>
    <w:bookmarkStart w:id="135"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4">
        <w:r>
          <w:rPr>
            <w:rStyle w:val="Hyperlink"/>
          </w:rPr>
          <w:t xml:space="preserve">https://doi.org/10.1021/acs.analchem.7b00947</w:t>
        </w:r>
      </w:hyperlink>
      <w:r>
        <w:t xml:space="preserve">.</w:t>
      </w:r>
    </w:p>
    <w:bookmarkEnd w:id="135"/>
    <w:bookmarkStart w:id="137"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8">
        <w:r>
          <w:rPr>
            <w:rStyle w:val="Hyperlink"/>
          </w:rPr>
          <w:t xml:space="preserve">https://doi.org/10.3390/metabo12020137</w:t>
        </w:r>
      </w:hyperlink>
      <w:r>
        <w:t xml:space="preserve">.</w:t>
      </w:r>
    </w:p>
    <w:bookmarkEnd w:id="139"/>
    <w:bookmarkStart w:id="141"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2">
        <w:r>
          <w:rPr>
            <w:rStyle w:val="Hyperlink"/>
          </w:rPr>
          <w:t xml:space="preserve">https://doi.org/10.1021/ac051437y</w:t>
        </w:r>
      </w:hyperlink>
      <w:r>
        <w:t xml:space="preserve">.</w:t>
      </w:r>
    </w:p>
    <w:bookmarkEnd w:id="143"/>
    <w:bookmarkStart w:id="145"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4">
        <w:r>
          <w:rPr>
            <w:rStyle w:val="Hyperlink"/>
          </w:rPr>
          <w:t xml:space="preserve">https://doi.org/10.1186/1471-2105-9-504</w:t>
        </w:r>
      </w:hyperlink>
      <w:r>
        <w:t xml:space="preserve">.</w:t>
      </w:r>
    </w:p>
    <w:bookmarkEnd w:id="145"/>
    <w:bookmarkStart w:id="147"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6">
        <w:r>
          <w:rPr>
            <w:rStyle w:val="Hyperlink"/>
          </w:rPr>
          <w:t xml:space="preserve">https://doi.org/10.3390/metabo6040037</w:t>
        </w:r>
      </w:hyperlink>
      <w:r>
        <w:t xml:space="preserve">.</w:t>
      </w:r>
    </w:p>
    <w:bookmarkEnd w:id="147"/>
    <w:bookmarkEnd w:id="148"/>
    <w:bookmarkEnd w:id="149"/>
    <w:bookmarkStart w:id="159"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51" name="Picture"/>
            <a:graphic>
              <a:graphicData uri="http://schemas.openxmlformats.org/drawingml/2006/picture">
                <pic:pic>
                  <pic:nvPicPr>
                    <pic:cNvPr descr="supplement/suppfig_model_param_estimates.png" id="152" name="Picture"/>
                    <pic:cNvPicPr>
                      <a:picLocks noChangeArrowheads="1" noChangeAspect="1"/>
                    </pic:cNvPicPr>
                  </pic:nvPicPr>
                  <pic:blipFill>
                    <a:blip r:embed="rId150"/>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4" name="Picture"/>
            <a:graphic>
              <a:graphicData uri="http://schemas.openxmlformats.org/drawingml/2006/picture">
                <pic:pic>
                  <pic:nvPicPr>
                    <pic:cNvPr descr="supplement/sampled_model_est.png" id="155" name="Picture"/>
                    <pic:cNvPicPr>
                      <a:picLocks noChangeArrowheads="1" noChangeAspect="1"/>
                    </pic:cNvPicPr>
                  </pic:nvPicPr>
                  <pic:blipFill>
                    <a:blip r:embed="rId15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7" name="Picture"/>
            <a:graphic>
              <a:graphicData uri="http://schemas.openxmlformats.org/drawingml/2006/picture">
                <pic:pic>
                  <pic:nvPicPr>
                    <pic:cNvPr descr="supplement/regregrf_fdrgff_cross_train.png" id="158" name="Picture"/>
                    <pic:cNvPicPr>
                      <a:picLocks noChangeArrowheads="1" noChangeAspect="1"/>
                    </pic:cNvPicPr>
                  </pic:nvPicPr>
                  <pic:blipFill>
                    <a:blip r:embed="rId156"/>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9"/>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2023-06-07T16:57:14Z</dcterms:created>
  <dcterms:modified xsi:type="dcterms:W3CDTF">2023-06-07T16:57:14Z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2023-06-07</vt:lpwstr>
  </property>
  <property fmtid="{D5CDD505-2E9C-101B-9397-08002B2CF9AE}" pid="4" name="output">
    <vt:lpwstr/>
  </property>
</Properties>
</file>