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2023-06-12</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(Bajad et al. 2006; Myers et al. 2017b; Gika et al. 2019)</w:t>
      </w:r>
      <w:r>
        <w:t xml:space="preserve">.</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 </w:t>
      </w:r>
      <w:r>
        <w:t xml:space="preserve">(Pirttilä et al. 2022; Gloaguen, Kirwan, and Beule 2022)</w:t>
      </w:r>
      <w:r>
        <w:t xml:space="preserve">. However, this approach creates two downstream problems. First, the abundance of false positives requires more time from the researcher as they manually evaluate a potentially enormous number of mass features (MFs), a task that scales combinatorially with the number of samples and compounds measured</w:t>
      </w:r>
      <w:r>
        <w:t xml:space="preserve"> </w:t>
      </w:r>
      <w:r>
        <w:t xml:space="preserve">(Myers et al. 2017a)</w:t>
      </w:r>
      <w:r>
        <w:t xml:space="preserve">. 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(Pirttilä et al. 2022)</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 </w:t>
      </w:r>
      <w:r>
        <w:t xml:space="preserve">and</w:t>
      </w:r>
      <w:r>
        <w:t xml:space="preserve"> </w:t>
      </w:r>
      <w:r>
        <w:t xml:space="preserve">Kantz et al. (2019)</w:t>
      </w:r>
      <w:r>
        <w:t xml:space="preserve">.</w:t>
      </w:r>
    </w:p>
    <w:p>
      <w:pPr>
        <w:pStyle w:val="BodyText"/>
      </w:pPr>
      <w:r>
        <w:t xml:space="preserve">An area particularly ripe for metabolomic analysis is that of the open ocean</w:t>
      </w:r>
      <w:r>
        <w:t xml:space="preserve"> </w:t>
      </w:r>
      <w:r>
        <w:t xml:space="preserve">(Kido Soule et al. 2015)</w:t>
      </w:r>
      <w:r>
        <w:t xml:space="preserve">. Low compound and high salt concentrations make this area difficult to study but its vast size and direct effect on the Earth’s biogeochemistry make it critical that we understand its dynamics of energy and nutrients on a molecular scale</w:t>
      </w:r>
      <w:r>
        <w:t xml:space="preserve"> </w:t>
      </w:r>
      <w:r>
        <w:t xml:space="preserve">(Boysen et al. 2018)</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(Kido Soule et al. 2015; Boysen et al. 2021; Heal et al. 2021)</w:t>
      </w:r>
      <w:r>
        <w:t xml:space="preserve">.</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the novel peak shape and SNR metrics, with higher peak shape correlations and larger SNR values corresponding to good MFs and almost complete separation for the peak shape (</w:t>
      </w:r>
      <w:r>
        <w:rPr>
          <w:rStyle w:val="VerbatimChar"/>
        </w:rPr>
        <w:t xml:space="preserve">med_cor</w:t>
      </w:r>
      <w:r>
        <w:t xml:space="preserve">) metric. Peak width and its standard deviation also showed reasonable separation between good and bad MFs (good MFs tended to have low SDs and larger peak widths). The isotope shape and area correlations also showed good separation (Supp. figure 1).</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349240" cy="329184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the novel peak shape correlation metric</w:t>
      </w:r>
      <w:r>
        <w:t xml:space="preserve"> </w:t>
      </w:r>
      <w:r>
        <w:rPr>
          <w:rStyle w:val="VerbatimChar"/>
        </w:rPr>
        <w:t xml:space="preserve">med_cor</w:t>
      </w:r>
      <w:r>
        <w:t xml:space="preserve">, and the novel SNR estimate</w:t>
      </w:r>
      <w:r>
        <w:t xml:space="preserve"> </w:t>
      </w:r>
      <w:r>
        <w:rPr>
          <w:rStyle w:val="VerbatimChar"/>
        </w:rPr>
        <w:t xml:space="preserve">med_SNR</w:t>
      </w:r>
      <w:r>
        <w:t xml:space="preserve">, all with reported p-values &lt; 10</w:t>
      </w:r>
      <m:oMath>
        <m:sSup>
          <m:e>
            <m:r>
              <m:t>​</m:t>
            </m:r>
          </m:e>
          <m:sup>
            <m:r>
              <m:rPr>
                <m:sty m:val="p"/>
              </m:rPr>
              <m:t>−</m:t>
            </m:r>
            <m:r>
              <m:t>10</m:t>
            </m:r>
          </m:sup>
        </m:sSup>
      </m:oMath>
      <w:r>
        <w:t xml:space="preserve">. The novel parameters were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349240" cy="2468880"/>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349240" cy="41148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1783080" cy="2377440"/>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1783080" cy="2377440"/>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w:t>
      </w:r>
    </w:p>
    <w:p>
      <w:pPr>
        <w:pStyle w:val="CaptionedFigure"/>
      </w:pPr>
      <w:r>
        <w:drawing>
          <wp:inline>
            <wp:extent cx="5349240" cy="576072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349240" cy="576072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349240" cy="3291840"/>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(Pirttilä et al. 2022; Guo et al. 2021; Müller et al. 2020)</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However, they could be implemented in XCMS directly, removing the need to revisit the raw data.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(Libiseller et al. 2015; Treutler and Neumann 2016; El Abiead et al. 2021)</w:t>
      </w:r>
      <w:r>
        <w:t xml:space="preserve">. 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(Houriet et al. 2022; Barupal et al. 2021)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(Barone et al. 2022; Heal et al. 2021)</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(Smith et al. 2006; Tautenhahn, Böttcher, and Neumann 2008)</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(Benton, Want, and Ebbels 2010)</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4160520" cy="1920240"/>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s are provided as the title of each panel, starting with “FT” and followed by 4 digits except for the two features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4160520" cy="1920240"/>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(Myers et al. 2017b)</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349240" cy="329184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349240" cy="329184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had one of the correlated metrics removed.</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(Benjamini and Hochberg 1995)</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(Dunn 1964)</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(Oksanen et al. 2022)</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(R Core Team 2022)</w:t>
      </w:r>
      <w:r>
        <w:t xml:space="preserve">, version 4.2.2, and code is available on GitHub at</w:t>
      </w:r>
      <w:r>
        <w:t xml:space="preserve"> </w:t>
      </w:r>
      <w:hyperlink r:id="rId74">
        <w:r>
          <w:rPr>
            <w:rStyle w:val="Hyperlink"/>
          </w:rPr>
          <w:t xml:space="preserve">https://github.com/wkumler/MS_metrics</w:t>
        </w:r>
      </w:hyperlink>
      <w:r>
        <w:t xml:space="preserve">.</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p>
      <w:pPr>
        <w:pStyle w:val="FirstParagraph"/>
      </w:pPr>
      <w:r>
        <w:t xml:space="preserve">WK performed the analyses and wrote the manuscript. BH helped design the metrics and implement the regressions as well as providing support and context for the analysis. AI provided funding and support and helped interpret the conclusions.</w:t>
      </w:r>
    </w:p>
    <w:bookmarkEnd w:id="85"/>
    <w:bookmarkStart w:id="86" w:name="acknowledgements"/>
    <w:p>
      <w:pPr>
        <w:pStyle w:val="Heading3"/>
      </w:pPr>
      <w:r>
        <w:t xml:space="preserve">Acknowledgements</w:t>
      </w:r>
    </w:p>
    <w:p>
      <w:pPr>
        <w:pStyle w:val="FirstParagraph"/>
      </w:pPr>
      <w:r>
        <w:t xml:space="preserve">The authors would like to acknowledge</w:t>
      </w:r>
    </w:p>
    <w:p>
      <w:pPr>
        <w:pStyle w:val="BodyText"/>
      </w:pPr>
      <w:r>
        <w:t xml:space="preserve">[TBD]</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FirstParagraph"/>
      </w:pPr>
      <w:r>
        <w:rPr>
          <w:iCs/>
          <w:i/>
        </w:rPr>
        <w:t xml:space="preserve">Supplemental figure 1: Distribution and single-parameter logistic curves for each metric extracted for model training, shown separately for the MESOSCOPE and Falkor datasets. Histograms show the distribution of good and bad mass features by color across the span of the data on the x-axis with the number of MFs in each bin shown on the y-axis. Scatterplots show the same x-axis but show the results of a logistic regression on the single parameter, with the line of best fit in black and a ±1 standard error ribbon around it in grey. Vertical jittering has been applied when plotting to reduce the number of overlapping points.</w:t>
      </w:r>
    </w:p>
    <w:p>
      <w:pPr>
        <w:pStyle w:val="CaptionedFigure"/>
      </w:pPr>
      <w:r>
        <w:drawing>
          <wp:inline>
            <wp:extent cx="5349240" cy="7406640"/>
            <wp:effectExtent b="0" l="0" r="0" t="0"/>
            <wp:docPr descr="Supplemental figure 2: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349240" cy="7406640"/>
                    </a:xfrm>
                    <a:prstGeom prst="rect">
                      <a:avLst/>
                    </a:prstGeom>
                    <a:noFill/>
                    <a:ln w="9525">
                      <a:noFill/>
                      <a:headEnd/>
                      <a:tailEnd/>
                    </a:ln>
                  </pic:spPr>
                </pic:pic>
              </a:graphicData>
            </a:graphic>
          </wp:inline>
        </w:drawing>
      </w:r>
    </w:p>
    <w:p>
      <w:pPr>
        <w:pStyle w:val="ImageCaption"/>
      </w:pPr>
      <w:r>
        <w:t xml:space="preserve">Supplemental figure 2: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w:t>
      </w:r>
    </w:p>
    <w:p>
      <w:pPr>
        <w:pStyle w:val="CaptionedFigure"/>
      </w:pPr>
      <w:r>
        <w:drawing>
          <wp:inline>
            <wp:extent cx="5349240" cy="4114800"/>
            <wp:effectExtent b="0" l="0" r="0" t="0"/>
            <wp:docPr descr="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349240" cy="4114800"/>
                    </a:xfrm>
                    <a:prstGeom prst="rect">
                      <a:avLst/>
                    </a:prstGeom>
                    <a:noFill/>
                    <a:ln w="9525">
                      <a:noFill/>
                      <a:headEnd/>
                      <a:tailEnd/>
                    </a:ln>
                  </pic:spPr>
                </pic:pic>
              </a:graphicData>
            </a:graphic>
          </wp:inline>
        </w:drawing>
      </w:r>
    </w:p>
    <w:p>
      <w:pPr>
        <w:pStyle w:val="ImageCaption"/>
      </w:pPr>
      <w:r>
        <w:t xml:space="preserve">Supplemental figure 3: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349240" cy="2468880"/>
            <wp:effectExtent b="0" l="0" r="0" t="0"/>
            <wp:docPr descr="Supplemental figure 4: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349240" cy="2468880"/>
                    </a:xfrm>
                    <a:prstGeom prst="rect">
                      <a:avLst/>
                    </a:prstGeom>
                    <a:noFill/>
                    <a:ln w="9525">
                      <a:noFill/>
                      <a:headEnd/>
                      <a:tailEnd/>
                    </a:ln>
                  </pic:spPr>
                </pic:pic>
              </a:graphicData>
            </a:graphic>
          </wp:inline>
        </w:drawing>
      </w:r>
    </w:p>
    <w:p>
      <w:pPr>
        <w:pStyle w:val="ImageCaption"/>
      </w:pPr>
      <w:r>
        <w:t xml:space="preserve">Supplemental figure 4: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2023-06-12T22:00:28Z</dcterms:created>
  <dcterms:modified xsi:type="dcterms:W3CDTF">2023-06-12T22:00:28Z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2023-06-12</vt:lpwstr>
  </property>
  <property fmtid="{D5CDD505-2E9C-101B-9397-08002B2CF9AE}" pid="4" name="output">
    <vt:lpwstr/>
  </property>
</Properties>
</file>