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0.799 and 0.863, respectively. When compared in ranked space, we found an intensification of the effect described previously,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CaptionedFigure"/>
      </w:pPr>
      <w:r>
        <w:drawing>
          <wp:inline>
            <wp:extent cx="5943600" cy="6400799"/>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6400799"/>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p>
      <w:pPr>
        <w:pStyle w:val="BodyText"/>
      </w:pPr>
      <w:r>
        <w:t xml:space="preserve">[Switch the shapes to make empty circles</w:t>
      </w:r>
      <w:r>
        <w:t xml:space="preserve"> </w:t>
      </w:r>
      <w:r>
        <w:t xml:space="preserve">“</w:t>
      </w:r>
      <w:r>
        <w:t xml:space="preserve">good peaks missed</w:t>
      </w:r>
      <w:r>
        <w:t xml:space="preserve">”</w:t>
      </w:r>
      <w:r>
        <w:t xml:space="preserve">]</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2023-06-08T00:13:12Z</dcterms:created>
  <dcterms:modified xsi:type="dcterms:W3CDTF">2023-06-08T00:13:12Z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