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33.png" ContentType="image/png"/>
  <Override PartName="/word/media/rId38.png" ContentType="image/png"/>
  <Override PartName="/word/media/rId42.png" ContentType="image/png"/>
  <Override PartName="/word/media/rId46.png" ContentType="image/png"/>
  <Override PartName="/word/media/rId65.png" ContentType="image/png"/>
  <Override PartName="/word/media/rId6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J.</w:t>
      </w:r>
      <w:r>
        <w:t xml:space="preserve"> </w:t>
      </w:r>
      <w:r>
        <w:t xml:space="preserve">Hazelton,</w:t>
      </w:r>
      <w:r>
        <w:t xml:space="preserve"> </w:t>
      </w:r>
      <w:r>
        <w:t xml:space="preserve">and</w:t>
      </w:r>
      <w:r>
        <w:t xml:space="preserve"> </w:t>
      </w:r>
      <w:r>
        <w:t xml:space="preserve">Anitra</w:t>
      </w:r>
      <w:r>
        <w:t xml:space="preserve"> </w:t>
      </w:r>
      <w:r>
        <w:t xml:space="preserve">E.</w:t>
      </w:r>
      <w:r>
        <w:t xml:space="preserve"> </w:t>
      </w:r>
      <w:r>
        <w:t xml:space="preserve">Ingalls</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implemented two novel peak quality metrics, a custom signal-to-noise metric and a test of similarity to a bell curve, both calculated from the raw data in the extracted ion chromatogram and found that these outperformed existing measurements of peak quality. A simple logistic regression model built on two metrics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 </w:t>
      </w:r>
      <w:r>
        <w:t xml:space="preserve">(Bajad et al. 2006; Myers et al. 2017b; Gika et al. 2019)</w:t>
      </w:r>
      <w:r>
        <w:t xml:space="preserve">.</w:t>
      </w:r>
    </w:p>
    <w:p>
      <w:pPr>
        <w:pStyle w:val="BodyText"/>
      </w:pPr>
      <w:r>
        <w:t xml:space="preserve">Noisy data and imperfect detection algorithms introduce a tradeoff between false positives (where contamination, background instrument or chemical noise is misclassified as biological signal) and false negatives (where real signals are undetected). Existing algorithms tend to favor the inclusion of false positives because downstream analyses can always remove erroneous mass features, but false negatives cannot be later recovered</w:t>
      </w:r>
      <w:r>
        <w:t xml:space="preserve"> </w:t>
      </w:r>
      <w:r>
        <w:t xml:space="preserve">(Pirttilä et al. 2022; Gloaguen, Kirwan, and Beule 2022)</w:t>
      </w:r>
      <w:r>
        <w:t xml:space="preserve">. However, this approach requires more time from the researcher as they manually evaluate a potentially enormous number of mass features (MFs), a task that scales combinatorially with the number of samples and compounds measured</w:t>
      </w:r>
      <w:r>
        <w:t xml:space="preserve"> </w:t>
      </w:r>
      <w:r>
        <w:t xml:space="preserve">(Myers et al. 2017a)</w:t>
      </w:r>
      <w:r>
        <w:t xml:space="preserve">. Instead of minimizing false negatives, we believe that emphasis should be placed on allowing the experimenter to set a threshold for the proportion of false positives (the false discovery rate or FDR) and accept that this will inherently add to the number of MFs already lost in the data collection process.</w:t>
      </w:r>
    </w:p>
    <w:p>
      <w:pPr>
        <w:pStyle w:val="BodyText"/>
      </w:pPr>
      <w:r>
        <w:t xml:space="preserve">Existing peak-detection softwares do not provide a clear way to exclude false positives in an a consistent and unbiased way. Typical outputs consistent across the different implementations consist of the</w:t>
      </w:r>
      <w:r>
        <w:t xml:space="preserve"> </w:t>
      </w:r>
      <w:r>
        <w:rPr>
          <w:iCs/>
          <w:i/>
        </w:rPr>
        <w:t xml:space="preserve">m/z</w:t>
      </w:r>
      <w:r>
        <w:t xml:space="preserve"> </w:t>
      </w:r>
      <w:r>
        <w:t xml:space="preserve">ratio, retention time, and area for each mass feature, with some additional useful information occasionally provided such as the peak’s signal-to-noise ratio or degree of skew</w:t>
      </w:r>
      <w:r>
        <w:t xml:space="preserve"> </w:t>
      </w:r>
      <w:r>
        <w:t xml:space="preserve">(Pirttilä et al. 2022)</w:t>
      </w:r>
      <w:r>
        <w:t xml:space="preserve">. 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mass feature more than 50% likely to be real is perhaps worth considering, while in a confirmatory study this threshold may need to be above 99% likely to be real.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 </w:t>
      </w:r>
      <w:r>
        <w:t xml:space="preserve">and</w:t>
      </w:r>
      <w:r>
        <w:t xml:space="preserve"> </w:t>
      </w:r>
      <w:r>
        <w:t xml:space="preserve">Kantz et al. (2019)</w:t>
      </w:r>
      <w:r>
        <w:t xml:space="preserve">.</w:t>
      </w:r>
    </w:p>
    <w:p>
      <w:pPr>
        <w:pStyle w:val="BodyText"/>
      </w:pPr>
      <w:r>
        <w:t xml:space="preserve">An area particularly ripe for improved tools for metabolomic data analysis is that of the open ocean</w:t>
      </w:r>
      <w:r>
        <w:t xml:space="preserve"> </w:t>
      </w:r>
      <w:r>
        <w:t xml:space="preserve">(Kido Soule et al. 2015)</w:t>
      </w:r>
      <w:r>
        <w:t xml:space="preserve">. Low compound and high salt concentrations make metabolomics analyses difficult to study in this area but its vast size and the direct effect of its microbial communities on the Earth’s biogeochemistry make it critical that we understand the transformation of energy and nutrients on a molecular scale</w:t>
      </w:r>
      <w:r>
        <w:t xml:space="preserve"> </w:t>
      </w:r>
      <w:r>
        <w:t xml:space="preserve">(Boysen et al. 2018)</w:t>
      </w:r>
      <w:r>
        <w:t xml:space="preserve">. 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 </w:t>
      </w:r>
      <w:r>
        <w:t xml:space="preserve">(Kido Soule et al. 2015; Boysen et al. 2021; Heal et al. 2021)</w:t>
      </w:r>
      <w:r>
        <w:t xml:space="preserve">.</w:t>
      </w:r>
    </w:p>
    <w:p>
      <w:pPr>
        <w:pStyle w:val="BodyText"/>
      </w:pPr>
      <w:r>
        <w:t xml:space="preserve">In this paper, we use open ocean marine metabolite LC-MS samples to develop and test a variety of chromatographic peak metrics.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mass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p>
      <w:pPr>
        <w:pStyle w:val="BodyText"/>
      </w:pPr>
      <w:r>
        <w:t xml:space="preserve">Most metrics had reasonably normal distributions after the scaling and normalization described in Methods. Visually, the most compelling separations between good and bad MFs were observed in our peak shape and novel SNR metrics, with almost complete separation between good and bad peaks provided by the new peak shape metric alone. Peak width and its standard deviation also showed reasonable separation between good and bad MFs (good MFs tended to have low SDs and larger peak widths). The isotope shape and area correlations also showed good separation (Supp. figure 1).</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evaluated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72179"/>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 title="" id="27" name="Picture"/>
            <a:graphic>
              <a:graphicData uri="http://schemas.openxmlformats.org/drawingml/2006/picture">
                <pic:pic>
                  <pic:nvPicPr>
                    <pic:cNvPr descr="figures/fig_1_pred_prob_class_color_hists.png" id="28" name="Picture"/>
                    <pic:cNvPicPr>
                      <a:picLocks noChangeArrowheads="1" noChangeAspect="1"/>
                    </pic:cNvPicPr>
                  </pic:nvPicPr>
                  <pic:blipFill>
                    <a:blip r:embed="rId26"/>
                    <a:stretch>
                      <a:fillRect/>
                    </a:stretch>
                  </pic:blipFill>
                  <pic:spPr bwMode="auto">
                    <a:xfrm>
                      <a:off x="0" y="0"/>
                      <a:ext cx="5943600" cy="3672179"/>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w:t>
      </w:r>
    </w:p>
    <w:p>
      <w:pPr>
        <w:pStyle w:val="BodyText"/>
      </w:pPr>
      <w:r>
        <w:t xml:space="preserve">We explored the relative predictive power of the individual parameters using the full model and found that the predictors least likely to be different from zero due to chance were the mean</w:t>
      </w:r>
      <w:r>
        <w:t xml:space="preserve"> </w:t>
      </w:r>
      <w:r>
        <w:rPr>
          <w:iCs/>
          <w:i/>
        </w:rPr>
        <w:t xml:space="preserve">m/z</w:t>
      </w:r>
      <w:r>
        <w:t xml:space="preserve"> </w:t>
      </w:r>
      <w:r>
        <w:t xml:space="preserve">ratio, our novel peak shape correlation metric, and our novel SNR estimate, all with reported p-values &lt; 10</w:t>
      </w:r>
      <m:oMath>
        <m:sSup>
          <m:e>
            <m:r>
              <m:t>​</m:t>
            </m:r>
          </m:e>
          <m:sup>
            <m:r>
              <m:rPr>
                <m:sty m:val="p"/>
              </m:rPr>
              <m:t>−</m:t>
            </m:r>
            <m:r>
              <m:t>10</m:t>
            </m:r>
          </m:sup>
        </m:sSup>
      </m:oMath>
      <w:r>
        <w:t xml:space="preserve">. The value of the novel parameters was then validated using a random forest model that also found them to have the highest importance (Supp. table 1).</w:t>
      </w:r>
    </w:p>
    <w:p>
      <w:pPr>
        <w:pStyle w:val="BodyText"/>
      </w:pPr>
      <w:r>
        <w:t xml:space="preserve">The full model performed very well when tested internally on the same dataset both during 80/20 cross validation and when using the full dataset, with FDR (false discovery rate, defined as the number of false positives divided by the total number of positive predictions) values in the 5-10% range and 80-90% GFF (% good features found, defined as the number of true positives divided by the total number of features manually classifed as good)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they all had similar performance with FDRs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943600" cy="2727481"/>
            <wp:effectExtent b="0" l="0" r="0" t="0"/>
            <wp:docPr descr="Figure 2: False discovery rate (FDR) and fraction of good features found (GFF) plotted across different subsets of model parameters. Lower FDR indicates a smaller fraction of false positives among those mass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 title="" id="30" name="Picture"/>
            <a:graphic>
              <a:graphicData uri="http://schemas.openxmlformats.org/drawingml/2006/picture">
                <pic:pic>
                  <pic:nvPicPr>
                    <pic:cNvPr descr="figures/fig_2_fdr_gff_cross_train.png" id="31" name="Picture"/>
                    <pic:cNvPicPr>
                      <a:picLocks noChangeArrowheads="1" noChangeAspect="1"/>
                    </pic:cNvPicPr>
                  </pic:nvPicPr>
                  <pic:blipFill>
                    <a:blip r:embed="rId29"/>
                    <a:stretch>
                      <a:fillRect/>
                    </a:stretch>
                  </pic:blipFill>
                  <pic:spPr bwMode="auto">
                    <a:xfrm>
                      <a:off x="0" y="0"/>
                      <a:ext cx="5943600" cy="2727481"/>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mass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 Pearson correlation coefficient (</w:t>
      </w:r>
      <m:oMath>
        <m:r>
          <m:t>r</m:t>
        </m:r>
      </m:oMath>
      <w:r>
        <w:t xml:space="preserve">) value of 0.996, while the full models and the XCMS-trained models had</w:t>
      </w:r>
      <w:r>
        <w:t xml:space="preserve"> </w:t>
      </w:r>
      <m:oMath>
        <m:r>
          <m:t>r</m:t>
        </m:r>
      </m:oMath>
      <w:r>
        <w:t xml:space="preserve"> </w:t>
      </w:r>
      <w:r>
        <w:t xml:space="preserve">values of 0.799 and 0.863, respectively. When compared in ranked space using Spearman’s ranked correlation, we found an intensification of this effect,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943600" cy="4581339"/>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fig_3_comb_prob_space.png" id="35" name="Picture"/>
                    <pic:cNvPicPr>
                      <a:picLocks noChangeArrowheads="1" noChangeAspect="1"/>
                    </pic:cNvPicPr>
                  </pic:nvPicPr>
                  <pic:blipFill>
                    <a:blip r:embed="rId33"/>
                    <a:stretch>
                      <a:fillRect/>
                    </a:stretch>
                  </pic:blipFill>
                  <pic:spPr bwMode="auto">
                    <a:xfrm>
                      <a:off x="0" y="0"/>
                      <a:ext cx="5943600" cy="4581339"/>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two times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2).</w:t>
      </w:r>
    </w:p>
    <w:p>
      <w:pPr>
        <w:pStyle w:val="BodyText"/>
      </w:pPr>
      <w:r>
        <w:t xml:space="preserve">When testing model stability under a smaller sample size, we found reasonably good convergence in a dataset containing half the mass features with most model parameters falling within two standard errors of the estimate for the XCMS and two-parameter model, while the full model required closer to 80% of the mass features to produce estimates consistent with the original model (Supp. figure 3).</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obtaining the lowest rates for both GFF and FDR, while lasso (α = 1) obtained higher rates for both and represented a less-stringent false negative acceptance. As expected, the elastic net (α = 0.5) fell in between the two (Supp. figure 4). The random forest model, interestingly, had perfect predictive capacity when tested internally on the training data (FDR=0%, GFF=100%, for both MESOSCOPE and Falkor) but showed a significant drop in improvement when applied across datasets (Supp. figure 4).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meant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2971800" cy="3674009"/>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39" name="Picture"/>
            <a:graphic>
              <a:graphicData uri="http://schemas.openxmlformats.org/drawingml/2006/picture">
                <pic:pic>
                  <pic:nvPicPr>
                    <pic:cNvPr descr="figures/fig_4_fdr_gff_all_datasets.png" id="40" name="Picture"/>
                    <pic:cNvPicPr>
                      <a:picLocks noChangeArrowheads="1" noChangeAspect="1"/>
                    </pic:cNvPicPr>
                  </pic:nvPicPr>
                  <pic:blipFill>
                    <a:blip r:embed="rId38"/>
                    <a:stretch>
                      <a:fillRect/>
                    </a:stretch>
                  </pic:blipFill>
                  <pic:spPr bwMode="auto">
                    <a:xfrm>
                      <a:off x="0" y="0"/>
                      <a:ext cx="2971800" cy="3674009"/>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mass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at 175 meters.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w:t>
      </w:r>
    </w:p>
    <w:p>
      <w:pPr>
        <w:pStyle w:val="BodyText"/>
      </w:pPr>
      <w:r>
        <w:t xml:space="preserve">Additionally, a large number of features manually identified as bad nonetheless had significant differences with depth. This was surprising because we had assumed that bad MFs corresponded to instrument or chemical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that decreases despite an increase in biomass.</w:t>
      </w:r>
    </w:p>
    <w:p>
      <w:pPr>
        <w:pStyle w:val="CaptionedFigure"/>
      </w:pPr>
      <w:r>
        <w:drawing>
          <wp:inline>
            <wp:extent cx="5943600" cy="6399660"/>
            <wp:effectExtent b="0" l="0" r="0" t="0"/>
            <wp:docPr descr="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 “All equal” 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 title="" id="43" name="Picture"/>
            <a:graphic>
              <a:graphicData uri="http://schemas.openxmlformats.org/drawingml/2006/picture">
                <pic:pic>
                  <pic:nvPicPr>
                    <pic:cNvPr descr="figures/fig_5_clockplot_complete.png" id="44" name="Picture"/>
                    <pic:cNvPicPr>
                      <a:picLocks noChangeArrowheads="1" noChangeAspect="1"/>
                    </pic:cNvPicPr>
                  </pic:nvPicPr>
                  <pic:blipFill>
                    <a:blip r:embed="rId42"/>
                    <a:stretch>
                      <a:fillRect/>
                    </a:stretch>
                  </pic:blipFill>
                  <pic:spPr bwMode="auto">
                    <a:xfrm>
                      <a:off x="0" y="0"/>
                      <a:ext cx="5943600" cy="6399660"/>
                    </a:xfrm>
                    <a:prstGeom prst="rect">
                      <a:avLst/>
                    </a:prstGeom>
                    <a:noFill/>
                    <a:ln w="9525">
                      <a:noFill/>
                      <a:headEnd/>
                      <a:tailEnd/>
                    </a:ln>
                  </pic:spPr>
                </pic:pic>
              </a:graphicData>
            </a:graphic>
          </wp:inline>
        </w:drawing>
      </w:r>
    </w:p>
    <w:p>
      <w:pPr>
        <w:pStyle w:val="ImageCaption"/>
      </w:pPr>
      <w:r>
        <w:t xml:space="preserve">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w:t>
      </w:r>
      <w:r>
        <w:t xml:space="preserve"> </w:t>
      </w:r>
      <w:r>
        <w:t xml:space="preserve">“</w:t>
      </w:r>
      <w:r>
        <w:t xml:space="preserve">All equal</w:t>
      </w:r>
      <w:r>
        <w:t xml:space="preserve">”</w:t>
      </w:r>
      <w:r>
        <w:t xml:space="preserve"> </w:t>
      </w:r>
      <w:r>
        <w:t xml:space="preserve">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unlikely to be due to chance. However, the pseudo-F and was much larger with higher thresholds, scaling from around 8.5 when thresholding at a 1% likelihood to 42 when thresholded at a 90% likelihood (Table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Data subset</w:t>
            </w:r>
          </w:p>
        </w:tc>
        <w:tc>
          <w:tcPr/>
          <w:p>
            <w:pPr>
              <w:pStyle w:val="Compact"/>
              <w:jc w:val="right"/>
            </w:pPr>
            <w:r>
              <w:t xml:space="preserve"># of MFs</w:t>
            </w:r>
          </w:p>
        </w:tc>
        <w:tc>
          <w:tcPr/>
          <w:p>
            <w:pPr>
              <w:pStyle w:val="Compact"/>
              <w:jc w:val="right"/>
            </w:pPr>
            <w:r>
              <w:t xml:space="preserve">% Var Expl.</w:t>
            </w:r>
          </w:p>
        </w:tc>
        <w:tc>
          <w:tcPr/>
          <w:p>
            <w:pPr>
              <w:pStyle w:val="Compact"/>
              <w:jc w:val="right"/>
            </w:pPr>
            <w:r>
              <w:t xml:space="preserve">Pseudo-F</w:t>
            </w:r>
          </w:p>
        </w:tc>
        <w:tc>
          <w:tcPr/>
          <w:p>
            <w:pPr>
              <w:pStyle w:val="Compact"/>
              <w:jc w:val="right"/>
            </w:pPr>
            <w:r>
              <w:t xml:space="preserve">2D NMDS stress</w:t>
            </w:r>
          </w:p>
        </w:tc>
      </w:tr>
      <w:tr>
        <w:tc>
          <w:tcPr/>
          <w:p>
            <w:pPr>
              <w:pStyle w:val="Compact"/>
              <w:jc w:val="left"/>
            </w:pPr>
            <w:r>
              <w:t xml:space="preserve">All MFs</w:t>
            </w:r>
          </w:p>
        </w:tc>
        <w:tc>
          <w:tcPr/>
          <w:p>
            <w:pPr>
              <w:pStyle w:val="Compact"/>
              <w:jc w:val="right"/>
            </w:pPr>
            <w:r>
              <w:t xml:space="preserve">2086</w:t>
            </w:r>
          </w:p>
        </w:tc>
        <w:tc>
          <w:tcPr/>
          <w:p>
            <w:pPr>
              <w:pStyle w:val="Compact"/>
              <w:jc w:val="right"/>
            </w:pPr>
            <w:r>
              <w:t xml:space="preserve">10.4</w:t>
            </w:r>
          </w:p>
        </w:tc>
        <w:tc>
          <w:tcPr/>
          <w:p>
            <w:pPr>
              <w:pStyle w:val="Compact"/>
              <w:jc w:val="right"/>
            </w:pPr>
            <w:r>
              <w:t xml:space="preserve">5.5</w:t>
            </w:r>
          </w:p>
        </w:tc>
        <w:tc>
          <w:tcPr/>
          <w:p>
            <w:pPr>
              <w:pStyle w:val="Compact"/>
              <w:jc w:val="right"/>
            </w:pPr>
            <w:r>
              <w:t xml:space="preserve">0.169</w:t>
            </w:r>
          </w:p>
        </w:tc>
      </w:tr>
      <w:tr>
        <w:tc>
          <w:tcPr/>
          <w:p>
            <w:pPr>
              <w:pStyle w:val="Compact"/>
              <w:jc w:val="left"/>
            </w:pPr>
            <w:r>
              <w:t xml:space="preserve">Threshold 0.01</w:t>
            </w:r>
          </w:p>
        </w:tc>
        <w:tc>
          <w:tcPr/>
          <w:p>
            <w:pPr>
              <w:pStyle w:val="Compact"/>
              <w:jc w:val="right"/>
            </w:pPr>
            <w:r>
              <w:t xml:space="preserve">1129</w:t>
            </w:r>
          </w:p>
        </w:tc>
        <w:tc>
          <w:tcPr/>
          <w:p>
            <w:pPr>
              <w:pStyle w:val="Compact"/>
              <w:jc w:val="right"/>
            </w:pPr>
            <w:r>
              <w:t xml:space="preserve">15.2</w:t>
            </w:r>
          </w:p>
        </w:tc>
        <w:tc>
          <w:tcPr/>
          <w:p>
            <w:pPr>
              <w:pStyle w:val="Compact"/>
              <w:jc w:val="right"/>
            </w:pPr>
            <w:r>
              <w:t xml:space="preserve">8.6</w:t>
            </w:r>
          </w:p>
        </w:tc>
        <w:tc>
          <w:tcPr/>
          <w:p>
            <w:pPr>
              <w:pStyle w:val="Compact"/>
              <w:jc w:val="right"/>
            </w:pPr>
            <w:r>
              <w:t xml:space="preserve">0.191</w:t>
            </w:r>
          </w:p>
        </w:tc>
      </w:tr>
      <w:tr>
        <w:tc>
          <w:tcPr/>
          <w:p>
            <w:pPr>
              <w:pStyle w:val="Compact"/>
              <w:jc w:val="left"/>
            </w:pPr>
            <w:r>
              <w:t xml:space="preserve">Threshold 0.1</w:t>
            </w:r>
          </w:p>
        </w:tc>
        <w:tc>
          <w:tcPr/>
          <w:p>
            <w:pPr>
              <w:pStyle w:val="Compact"/>
              <w:jc w:val="right"/>
            </w:pPr>
            <w:r>
              <w:t xml:space="preserve">516</w:t>
            </w:r>
          </w:p>
        </w:tc>
        <w:tc>
          <w:tcPr/>
          <w:p>
            <w:pPr>
              <w:pStyle w:val="Compact"/>
              <w:jc w:val="right"/>
            </w:pPr>
            <w:r>
              <w:t xml:space="preserve">25.0</w:t>
            </w:r>
          </w:p>
        </w:tc>
        <w:tc>
          <w:tcPr/>
          <w:p>
            <w:pPr>
              <w:pStyle w:val="Compact"/>
              <w:jc w:val="right"/>
            </w:pPr>
            <w:r>
              <w:t xml:space="preserve">16.0</w:t>
            </w:r>
          </w:p>
        </w:tc>
        <w:tc>
          <w:tcPr/>
          <w:p>
            <w:pPr>
              <w:pStyle w:val="Compact"/>
              <w:jc w:val="right"/>
            </w:pPr>
            <w:r>
              <w:t xml:space="preserve">0.200</w:t>
            </w:r>
          </w:p>
        </w:tc>
      </w:tr>
      <w:tr>
        <w:tc>
          <w:tcPr/>
          <w:p>
            <w:pPr>
              <w:pStyle w:val="Compact"/>
              <w:jc w:val="left"/>
            </w:pPr>
            <w:r>
              <w:t xml:space="preserve">Threshold 0.5</w:t>
            </w:r>
          </w:p>
        </w:tc>
        <w:tc>
          <w:tcPr/>
          <w:p>
            <w:pPr>
              <w:pStyle w:val="Compact"/>
              <w:jc w:val="right"/>
            </w:pPr>
            <w:r>
              <w:t xml:space="preserve">287</w:t>
            </w:r>
          </w:p>
        </w:tc>
        <w:tc>
          <w:tcPr/>
          <w:p>
            <w:pPr>
              <w:pStyle w:val="Compact"/>
              <w:jc w:val="right"/>
            </w:pPr>
            <w:r>
              <w:t xml:space="preserve">34.6</w:t>
            </w:r>
          </w:p>
        </w:tc>
        <w:tc>
          <w:tcPr/>
          <w:p>
            <w:pPr>
              <w:pStyle w:val="Compact"/>
              <w:jc w:val="right"/>
            </w:pPr>
            <w:r>
              <w:t xml:space="preserve">25.3</w:t>
            </w:r>
          </w:p>
        </w:tc>
        <w:tc>
          <w:tcPr/>
          <w:p>
            <w:pPr>
              <w:pStyle w:val="Compact"/>
              <w:jc w:val="right"/>
            </w:pPr>
            <w:r>
              <w:t xml:space="preserve">0.180</w:t>
            </w:r>
          </w:p>
        </w:tc>
      </w:tr>
      <w:tr>
        <w:tc>
          <w:tcPr/>
          <w:p>
            <w:pPr>
              <w:pStyle w:val="Compact"/>
              <w:jc w:val="left"/>
            </w:pPr>
            <w:r>
              <w:t xml:space="preserve">Threshold 0.9</w:t>
            </w:r>
          </w:p>
        </w:tc>
        <w:tc>
          <w:tcPr/>
          <w:p>
            <w:pPr>
              <w:pStyle w:val="Compact"/>
              <w:jc w:val="right"/>
            </w:pPr>
            <w:r>
              <w:t xml:space="preserve">75</w:t>
            </w:r>
          </w:p>
        </w:tc>
        <w:tc>
          <w:tcPr/>
          <w:p>
            <w:pPr>
              <w:pStyle w:val="Compact"/>
              <w:jc w:val="right"/>
            </w:pPr>
            <w:r>
              <w:t xml:space="preserve">46.7</w:t>
            </w:r>
          </w:p>
        </w:tc>
        <w:tc>
          <w:tcPr/>
          <w:p>
            <w:pPr>
              <w:pStyle w:val="Compact"/>
              <w:jc w:val="right"/>
            </w:pPr>
            <w:r>
              <w:t xml:space="preserve">42.0</w:t>
            </w:r>
          </w:p>
        </w:tc>
        <w:tc>
          <w:tcPr/>
          <w:p>
            <w:pPr>
              <w:pStyle w:val="Compact"/>
              <w:jc w:val="right"/>
            </w:pPr>
            <w:r>
              <w:t xml:space="preserve">0.097</w:t>
            </w:r>
          </w:p>
        </w:tc>
      </w:tr>
      <w:tr>
        <w:tc>
          <w:tcPr/>
          <w:p>
            <w:pPr>
              <w:pStyle w:val="Compact"/>
              <w:jc w:val="left"/>
            </w:pPr>
            <w:r>
              <w:t xml:space="preserve">Only good MFs</w:t>
            </w:r>
          </w:p>
        </w:tc>
        <w:tc>
          <w:tcPr/>
          <w:p>
            <w:pPr>
              <w:pStyle w:val="Compact"/>
              <w:jc w:val="right"/>
            </w:pPr>
            <w:r>
              <w:t xml:space="preserve">249</w:t>
            </w:r>
          </w:p>
        </w:tc>
        <w:tc>
          <w:tcPr/>
          <w:p>
            <w:pPr>
              <w:pStyle w:val="Compact"/>
              <w:jc w:val="right"/>
            </w:pPr>
            <w:r>
              <w:t xml:space="preserve">44.2</w:t>
            </w:r>
          </w:p>
        </w:tc>
        <w:tc>
          <w:tcPr/>
          <w:p>
            <w:pPr>
              <w:pStyle w:val="Compact"/>
              <w:jc w:val="right"/>
            </w:pPr>
            <w:r>
              <w:t xml:space="preserve">38.1</w:t>
            </w:r>
          </w:p>
        </w:tc>
        <w:tc>
          <w:tcPr/>
          <w:p>
            <w:pPr>
              <w:pStyle w:val="Compact"/>
              <w:jc w:val="right"/>
            </w:pPr>
            <w:r>
              <w:t xml:space="preserve">0.142</w:t>
            </w:r>
          </w:p>
        </w:tc>
      </w:tr>
    </w:tbl>
    <w:p>
      <w:pPr>
        <w:pStyle w:val="BodyText"/>
      </w:pPr>
      <w:r>
        <w:rPr>
          <w:iCs/>
          <w:i/>
        </w:rPr>
        <w:t xml:space="preserve">Table 1: Number of mass features, percent variance explained, pseudo-F statistic, and stress values from performing a permutational MANOVA and 2D non-metric multidimensional scaling (NMDS) on subsets of the full mass feature selection according to variable likelihood thresholds.</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 (Table 1).</w:t>
      </w:r>
    </w:p>
    <w:p>
      <w:pPr>
        <w:pStyle w:val="BodyText"/>
      </w:pPr>
      <w:r>
        <w:t xml:space="preserve">The relative power of identifying only the very best MFs was also illustrated visually with non-metric multidimensional scaling (NMDS) plots (Figure 6).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w:t>
      </w:r>
    </w:p>
    <w:p>
      <w:pPr>
        <w:pStyle w:val="CaptionedFigure"/>
      </w:pPr>
      <w:r>
        <w:drawing>
          <wp:inline>
            <wp:extent cx="5943600" cy="3672179"/>
            <wp:effectExtent b="0" l="0" r="0" t="0"/>
            <wp:docPr descr="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 “Only good MFs” refers to those features manually labeled as “Good”. NMDS stress values are reported in the upper right corner of each plot." title="" id="47" name="Picture"/>
            <a:graphic>
              <a:graphicData uri="http://schemas.openxmlformats.org/drawingml/2006/picture">
                <pic:pic>
                  <pic:nvPicPr>
                    <pic:cNvPr descr="figures/fig_6_thresh_NMDS_plots.png" id="48" name="Picture"/>
                    <pic:cNvPicPr>
                      <a:picLocks noChangeArrowheads="1" noChangeAspect="1"/>
                    </pic:cNvPicPr>
                  </pic:nvPicPr>
                  <pic:blipFill>
                    <a:blip r:embed="rId46"/>
                    <a:stretch>
                      <a:fillRect/>
                    </a:stretch>
                  </pic:blipFill>
                  <pic:spPr bwMode="auto">
                    <a:xfrm>
                      <a:off x="0" y="0"/>
                      <a:ext cx="5943600" cy="3672179"/>
                    </a:xfrm>
                    <a:prstGeom prst="rect">
                      <a:avLst/>
                    </a:prstGeom>
                    <a:noFill/>
                    <a:ln w="9525">
                      <a:noFill/>
                      <a:headEnd/>
                      <a:tailEnd/>
                    </a:ln>
                  </pic:spPr>
                </pic:pic>
              </a:graphicData>
            </a:graphic>
          </wp:inline>
        </w:drawing>
      </w:r>
    </w:p>
    <w:p>
      <w:pPr>
        <w:pStyle w:val="ImageCaption"/>
      </w:pPr>
      <w:r>
        <w:t xml:space="preserve">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 MFs</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in the upper right corner of each plot.</w:t>
      </w:r>
    </w:p>
    <w:bookmarkEnd w:id="49"/>
    <w:bookmarkEnd w:id="50"/>
    <w:bookmarkEnd w:id="51"/>
    <w:bookmarkStart w:id="58"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mass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 </w:t>
      </w:r>
      <w:r>
        <w:t xml:space="preserve">(Pirttilä et al. 2022; Guo et al. 2021; Müller et al. 2020)</w:t>
      </w:r>
      <w:r>
        <w:t xml:space="preserve">. 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6"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mass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4).</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 Previous work on a</w:t>
      </w:r>
      <w:r>
        <w:t xml:space="preserve"> </w:t>
      </w:r>
      <w:r>
        <w:t xml:space="preserve">“</w:t>
      </w:r>
      <w:r>
        <w:t xml:space="preserve">shape-orientated</w:t>
      </w:r>
      <w:r>
        <w:t xml:space="preserve">”</w:t>
      </w:r>
      <w:r>
        <w:t xml:space="preserve"> </w:t>
      </w:r>
      <w:r>
        <w:t xml:space="preserve">algorithm also established the utility of testing the extracted ion chromatogram against a Gaussian shape</w:t>
      </w:r>
      <w:r>
        <w:t xml:space="preserve"> </w:t>
      </w:r>
      <w:r>
        <w:t xml:space="preserve">(Bai et al. 2022)</w:t>
      </w:r>
      <w:r>
        <w:t xml:space="preserve">. There, the use of a Marr wavelet had GFF values in the 98-100% range but very high FDR values of 82-91%, representing a very lenient threshold much closer to the XCMS or ADAP defaults.</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initially picked while doing so. This strategy, when applied to our data, returned accuracies in the 80-90% range despite being a useless classifier for downstream analysis.</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confusion matrices in Supplemental Table 2.</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4"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informative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 To avoid the additional overhead of recalculation and the possiblity of raw data unavailability, we have implemented these metrics during the initial peakpicking step of XCMS in a fork of the GitHub available at</w:t>
      </w:r>
      <w:r>
        <w:t xml:space="preserve"> </w:t>
      </w:r>
      <w:hyperlink r:id="rId53">
        <w:r>
          <w:rPr>
            <w:rStyle w:val="Hyperlink"/>
          </w:rPr>
          <w:t xml:space="preserve">https://github.com/wkumler/xcms</w:t>
        </w:r>
      </w:hyperlink>
      <w:r>
        <w:t xml:space="preserve"> </w:t>
      </w:r>
      <w:r>
        <w:t xml:space="preserve">and have submitted a pull request to implement them into XCMS directly.</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 </w:t>
      </w:r>
      <w:r>
        <w:t xml:space="preserve">(Libiseller et al. 2015; Treutler and Neumann 2016; El Abiead et al. 2021)</w:t>
      </w:r>
      <w:r>
        <w:t xml:space="preserve">. We learned that many noise MFs still have reliable isotopes (perhaps unsurprising, given that the noise is in fact often caused by solvents or contaminants that are still chemical in nature) and that many real MFs are simply too small (low-intensity) to have detectable isotope peaks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 </w:t>
      </w:r>
      <w:r>
        <w:t xml:space="preserve">(Houriet et al. 2022; Barupal et al. 2021)</w:t>
      </w:r>
      <w:r>
        <w:t xml:space="preserve">. Similarly surprising was the lack of power in the design-of-experiments metrics, although this was less surprising given the number of missing values that were later filled in with an order of magnitude outside the most extreme value (Supp. figure 1).</w:t>
      </w:r>
    </w:p>
    <w:bookmarkEnd w:id="54"/>
    <w:bookmarkStart w:id="55"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The drastic drop in performance on out-of-sample data was particularly concerning because it creates overconfidence in the true level of noise actually ending up in the final dataset.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starts viewing the chromatograms associated with the very best features and eventually reaches a point where enough MFs have been reviewed or bad MFs are frequent enough that they decide to stop.</w:t>
      </w:r>
    </w:p>
    <w:p>
      <w:pPr>
        <w:pStyle w:val="BodyText"/>
      </w:pPr>
      <w:r>
        <w:t xml:space="preserve">A final benefit to the reduced model is the smaller training set required to reach stability (Supp. figure 3).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5"/>
    <w:bookmarkEnd w:id="56"/>
    <w:bookmarkStart w:id="57"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 </w:t>
      </w:r>
      <w:r>
        <w:t xml:space="preserve">(Barone et al. 2022; Heal et al. 2021)</w:t>
      </w:r>
      <w:r>
        <w:t xml:space="preserve">. 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7"/>
    <w:bookmarkEnd w:id="58"/>
    <w:bookmarkStart w:id="59" w:name="conclusions-1"/>
    <w:p>
      <w:pPr>
        <w:pStyle w:val="Heading2"/>
      </w:pPr>
      <w:r>
        <w:t xml:space="preserve">Conclusions</w:t>
      </w:r>
    </w:p>
    <w:p>
      <w:pPr>
        <w:pStyle w:val="FirstParagraph"/>
      </w:pPr>
      <w:r>
        <w:t xml:space="preserve">The large number of mass features due to noise present in metabolomics datasets can be controlled using a simple logistic classification model. We trained such a model on two full-labeled open ocean HILIC datasets and found that the best performing parameters in the model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9"/>
    <w:bookmarkStart w:id="77" w:name="methods"/>
    <w:p>
      <w:pPr>
        <w:pStyle w:val="Heading2"/>
      </w:pPr>
      <w:r>
        <w:t xml:space="preserve">Methods</w:t>
      </w:r>
    </w:p>
    <w:bookmarkStart w:id="60"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60"/>
    <w:bookmarkStart w:id="61"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1"/>
    <w:bookmarkStart w:id="62"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2"/>
    <w:bookmarkStart w:id="63"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3"/>
    <w:bookmarkStart w:id="64"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 </w:t>
      </w:r>
      <w:r>
        <w:t xml:space="preserve">(Smith et al. 2006; Tautenhahn, Böttcher, and Neumann 2008)</w:t>
      </w:r>
      <w:r>
        <w:t xml:space="preserve">. Files were loaded and run separately for each dataset using the</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 </w:t>
      </w:r>
      <w:r>
        <w:t xml:space="preserve">(Benton, Want, and Ebbels 2010)</w:t>
      </w:r>
      <w:r>
        <w:t xml:space="preserve">. 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4"/>
    <w:bookmarkStart w:id="68" w:name="manual-inspection-and-classification"/>
    <w:p>
      <w:pPr>
        <w:pStyle w:val="Heading3"/>
      </w:pPr>
      <w:r>
        <w:t xml:space="preserve">Manual inspection and classification</w:t>
      </w:r>
    </w:p>
    <w:p>
      <w:pPr>
        <w:pStyle w:val="FirstParagraph"/>
      </w:pPr>
      <w:r>
        <w:t xml:space="preserve">After the full XCMS workflow was completed, the mass features were visually inspected by a single qualified MS expert. For the Falkor and MESOSCOPE datasets, every mass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by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mass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5943600" cy="2727481"/>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 “FT” and followed by 4 digits except for the two features annotated using authentic standards run alongside: the 13C isotope of dimethylsulfonioacetate (DMS-Ac) and taurine." title="" id="66" name="Picture"/>
            <a:graphic>
              <a:graphicData uri="http://schemas.openxmlformats.org/drawingml/2006/picture">
                <pic:pic>
                  <pic:nvPicPr>
                    <pic:cNvPr descr="figures/fig_7_somegood_somebad_depthcolor_chroms.png" id="67" name="Picture"/>
                    <pic:cNvPicPr>
                      <a:picLocks noChangeArrowheads="1" noChangeAspect="1"/>
                    </pic:cNvPicPr>
                  </pic:nvPicPr>
                  <pic:blipFill>
                    <a:blip r:embed="rId65"/>
                    <a:stretch>
                      <a:fillRect/>
                    </a:stretch>
                  </pic:blipFill>
                  <pic:spPr bwMode="auto">
                    <a:xfrm>
                      <a:off x="0" y="0"/>
                      <a:ext cx="5943600" cy="2727481"/>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w:t>
      </w:r>
      <w:r>
        <w:t xml:space="preserve"> </w:t>
      </w:r>
      <w:r>
        <w:t xml:space="preserve">“</w:t>
      </w:r>
      <w:r>
        <w:t xml:space="preserve">FT</w:t>
      </w:r>
      <w:r>
        <w:t xml:space="preserve">”</w:t>
      </w:r>
      <w:r>
        <w:t xml:space="preserve"> </w:t>
      </w:r>
      <w:r>
        <w:t xml:space="preserve">and followed by 4 digits except for the two features annotated using authentic standards run alongside: the 13C isotope of dimethylsulfonioacetate (DMS-Ac) and taurine.</w:t>
      </w:r>
    </w:p>
    <w:bookmarkEnd w:id="68"/>
    <w:bookmarkStart w:id="72" w:name="X863b367709584fb1f97ae3b658caca05ebd1e92"/>
    <w:p>
      <w:pPr>
        <w:pStyle w:val="Heading3"/>
      </w:pPr>
      <w:r>
        <w:t xml:space="preserve">Peak feature extraction and metric calculation</w:t>
      </w:r>
    </w:p>
    <w:p>
      <w:pPr>
        <w:pStyle w:val="FirstParagraph"/>
      </w:pPr>
      <w:r>
        <w:t xml:space="preserve">Our process of feature engineering involved querying several MS experts in our lab about their intuition for what they thought best distinguished poor-quality MFs and noise from good ones.</w:t>
      </w:r>
    </w:p>
    <w:p>
      <w:pPr>
        <w:pStyle w:val="BodyText"/>
      </w:pPr>
      <w:r>
        <w:t xml:space="preserve">The simplest metrics to calculate were summary statistics of those parameters reported directly by XCMS. These features consisted of the mean retention time (RT) of each MF and the standard deviation (SD) within the feature and the mean peak width (calculated by subtracting the max RT from the minimum) and its SD. We also calculated the mean</w:t>
      </w:r>
      <w:r>
        <w:t xml:space="preserve"> </w:t>
      </w:r>
      <w:r>
        <w:rPr>
          <w:iCs/>
          <w:i/>
        </w:rPr>
        <w:t xml:space="preserve">m/z</w:t>
      </w:r>
      <w:r>
        <w:t xml:space="preserve"> </w:t>
      </w:r>
      <w:r>
        <w:t xml:space="preserve">ratio and the SD in parts-per-million (PPM) by dividing each peak’s reported</w:t>
      </w:r>
      <w:r>
        <w:t xml:space="preserve"> </w:t>
      </w:r>
      <w:r>
        <w:rPr>
          <w:iCs/>
          <w:i/>
        </w:rPr>
        <w:t xml:space="preserve">m/z</w:t>
      </w:r>
      <w:r>
        <w:t xml:space="preserve"> </w:t>
      </w:r>
      <w:r>
        <w:t xml:space="preserve">ratio by the</w:t>
      </w:r>
      <w:r>
        <w:t xml:space="preserve"> </w:t>
      </w:r>
      <w:r>
        <w:rPr>
          <w:iCs/>
          <w:i/>
        </w:rPr>
        <w:t xml:space="preserve">m/z</w:t>
      </w:r>
      <w:r>
        <w:t xml:space="preserve"> </w:t>
      </w:r>
      <w:r>
        <w:t xml:space="preserve">ratio of the feature as a whole, then multiplying by one million. Mean peak area was calculated by taking the log</w:t>
      </w:r>
      <m:oMath>
        <m:sSub>
          <m:e>
            <m:r>
              <m:t>​</m:t>
            </m:r>
          </m:e>
          <m:sub>
            <m:r>
              <m:t>10</m:t>
            </m:r>
          </m:sub>
        </m:sSub>
      </m:oMath>
      <w:r>
        <w:t xml:space="preserve"> </w:t>
      </w:r>
      <w:r>
        <w:t xml:space="preserve">of the individual areas then taking the mean, and the same process (log</w:t>
      </w:r>
      <m:oMath>
        <m:sSub>
          <m:e>
            <m:r>
              <m:t>​</m:t>
            </m:r>
          </m:e>
          <m:sub>
            <m:r>
              <m:t>10</m:t>
            </m:r>
          </m:sub>
        </m:sSub>
      </m:oMath>
      <w:r>
        <w:t xml:space="preserve"> </w:t>
      </w:r>
      <w:r>
        <w:t xml:space="preserve">then mean) was repeated for the SD of the peak areas. XCMS’s default signal-to-noise parameter,</w:t>
      </w:r>
      <w:r>
        <w:t xml:space="preserve"> </w:t>
      </w:r>
      <w:r>
        <w:rPr>
          <w:rStyle w:val="VerbatimChar"/>
        </w:rPr>
        <w:t xml:space="preserve">sn</w:t>
      </w:r>
      <w:r>
        <w:t xml:space="preserve">, was also summarized in this way, but we only used</w:t>
      </w:r>
      <w:r>
        <w:t xml:space="preserve"> </w:t>
      </w:r>
      <w:r>
        <w:rPr>
          <w:rStyle w:val="VerbatimChar"/>
        </w:rPr>
        <w:t xml:space="preserve">sn</w:t>
      </w:r>
      <w:r>
        <w:t xml:space="preserve"> </w:t>
      </w:r>
      <w:r>
        <w:t xml:space="preserve">values that were greater than or equal to zero and replaced any zeros with ones to avoid negative infinities after taking the log</w:t>
      </w:r>
      <m:oMath>
        <m:sSub>
          <m:e>
            <m:r>
              <m:t>​</m:t>
            </m:r>
          </m:e>
          <m:sub>
            <m:r>
              <m:t>10</m:t>
            </m:r>
          </m:sub>
        </m:sSub>
      </m:oMath>
      <w:r>
        <w:t xml:space="preserve">. We also used the mean of other parameters reported by XCMS (f, scale, and lmin) as features. We additionally calculated several design-of-experiments metrics, using the number of peaks in each feature divided by the total number of files as well as the fraction of files in which a peak initially found by the peakpicker. This last metric was further subset into the fraction of samples in which a peak was initially found and the fraction of standards in which a peak was found (for those datasets in which standards were run). Finally, the coefficient of variance was estimated for the pooled sample peak areas by dividing the SD of the pooled sample peak areas by the mean of the same and additionally done in a robust way by using the median absolute deviation and median, respectively. For all of the above features, missing values were dropped silently from the summary calculations. We were unable to use any of the columns produced by enabling the</w:t>
      </w:r>
      <w:r>
        <w:t xml:space="preserve"> </w:t>
      </w:r>
      <w:r>
        <w:rPr>
          <w:rStyle w:val="VerbatimChar"/>
        </w:rPr>
        <w:t xml:space="preserve">verboseColumns = TRUE</w:t>
      </w:r>
      <w:r>
        <w:t xml:space="preserve"> </w:t>
      </w:r>
      <w:r>
        <w:t xml:space="preserve">option in</w:t>
      </w:r>
      <w:r>
        <w:t xml:space="preserve"> </w:t>
      </w:r>
      <w:r>
        <w:rPr>
          <w:rStyle w:val="VerbatimChar"/>
        </w:rPr>
        <w:t xml:space="preserve">findChromPeaks</w:t>
      </w:r>
      <w:r>
        <w:t xml:space="preserve"> </w:t>
      </w:r>
      <w:r>
        <w:t xml:space="preserve">because all of the values returned were NAs.</w:t>
      </w:r>
    </w:p>
    <w:p>
      <w:pPr>
        <w:pStyle w:val="BodyText"/>
      </w:pPr>
      <w:r>
        <w:t xml:space="preserve">We also calculated several novel metrics from the raw</w:t>
      </w:r>
      <w:r>
        <w:t xml:space="preserve"> </w:t>
      </w:r>
      <w:r>
        <w:rPr>
          <w:iCs/>
          <w:i/>
        </w:rPr>
        <w:t xml:space="preserve">m/z</w:t>
      </w:r>
      <w:r>
        <w:t xml:space="preserve">/RT/intensity values by extracting the data points falling within each individual peak’s</w:t>
      </w:r>
      <w:r>
        <w:t xml:space="preserve"> </w:t>
      </w:r>
      <w:r>
        <w:rPr>
          <w:iCs/>
          <w:i/>
        </w:rPr>
        <w:t xml:space="preserve">m/z</w:t>
      </w:r>
      <w:r>
        <w:t xml:space="preserve"> </w:t>
      </w:r>
      <w:r>
        <w:t xml:space="preserve">and RT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t>
      </w:r>
      <w:r>
        <w:rPr>
          <w:iCs/>
          <w:i/>
        </w:rPr>
        <w:t xml:space="preserve">r</w:t>
      </w:r>
      <w:r>
        <w:t xml:space="preserve">)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scaling both the beta distribution probability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mass signals</w:t>
      </w:r>
      <w:r>
        <w:t xml:space="preserve"> </w:t>
      </w:r>
      <w:r>
        <w:t xml:space="preserve">(Myers et al. 2017b)</w:t>
      </w:r>
      <w:r>
        <w:t xml:space="preserve">. 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an RT exists at other masses in the same sample but for which no data was produced at the selected</w:t>
      </w:r>
      <w:r>
        <w:t xml:space="preserve"> </w:t>
      </w:r>
      <w:r>
        <w:rPr>
          <w:iCs/>
          <w:i/>
        </w:rPr>
        <w:t xml:space="preserve">m/z</w:t>
      </w:r>
      <w:r>
        <w:t xml:space="preserve"> </w:t>
      </w:r>
      <w:r>
        <w:t xml:space="preserve">ratio, divided by the total number of scans between the min and max RTs.</w:t>
      </w:r>
    </w:p>
    <w:p>
      <w:pPr>
        <w:pStyle w:val="CaptionedFigure"/>
      </w:pPr>
      <w:r>
        <w:drawing>
          <wp:inline>
            <wp:extent cx="5943600" cy="3672179"/>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70" name="Picture"/>
            <a:graphic>
              <a:graphicData uri="http://schemas.openxmlformats.org/drawingml/2006/picture">
                <pic:pic>
                  <pic:nvPicPr>
                    <pic:cNvPr descr="figures/fig_8_peakmetrics_singlechrom.png" id="71" name="Picture"/>
                    <pic:cNvPicPr>
                      <a:picLocks noChangeArrowheads="1" noChangeAspect="1"/>
                    </pic:cNvPicPr>
                  </pic:nvPicPr>
                  <pic:blipFill>
                    <a:blip r:embed="rId69"/>
                    <a:stretch>
                      <a:fillRect/>
                    </a:stretch>
                  </pic:blipFill>
                  <pic:spPr bwMode="auto">
                    <a:xfrm>
                      <a:off x="0" y="0"/>
                      <a:ext cx="5943600" cy="3672179"/>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presence or absence of a</w:t>
      </w:r>
      <w:r>
        <w:t xml:space="preserve"> </w:t>
      </w:r>
      <m:oMath>
        <m:sSup>
          <m:e>
            <m:r>
              <m:t>​</m:t>
            </m:r>
          </m:e>
          <m:sup>
            <m:r>
              <m:t>13</m:t>
            </m:r>
          </m:sup>
        </m:sSup>
      </m:oMath>
      <w:r>
        <w:t xml:space="preserve">C isotope using a similar method to extract the raw</w:t>
      </w:r>
      <w:r>
        <w:t xml:space="preserve"> </w:t>
      </w:r>
      <w:r>
        <w:rPr>
          <w:iCs/>
          <w:i/>
        </w:rPr>
        <w:t xml:space="preserve">m/z</w:t>
      </w:r>
      <w:r>
        <w:t xml:space="preserve">/RT/intensity values within the peak bounding box, then searched the same RT values at an</w:t>
      </w:r>
      <w:r>
        <w:t xml:space="preserve"> </w:t>
      </w:r>
      <w:r>
        <w:rPr>
          <w:iCs/>
          <w:i/>
        </w:rPr>
        <w:t xml:space="preserve">m/z</w:t>
      </w:r>
      <w:r>
        <w:t xml:space="preserve"> </w:t>
      </w:r>
      <w:r>
        <w:t xml:space="preserve">delta of +1.003355 ± 4 PPM.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peak areas 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mass feature as a whole. Because these isotope metrics typically had highly skewed distributions with most values very close to one, we normalized them by taking the log</w:t>
      </w:r>
      <m:oMath>
        <m:sSub>
          <m:e>
            <m:r>
              <m:t>​</m:t>
            </m:r>
          </m:e>
          <m:sub>
            <m:r>
              <m:t>10</m:t>
            </m:r>
          </m:sub>
        </m:sSub>
      </m:oMath>
      <w:r>
        <w:t xml:space="preserve"> </w:t>
      </w:r>
      <w:r>
        <w:t xml:space="preserve">of one minus the value.</w:t>
      </w:r>
    </w:p>
    <w:p>
      <w:pPr>
        <w:pStyle w:val="BodyText"/>
      </w:pPr>
      <w:r>
        <w:t xml:space="preserve">Distributions were visually inspected using a pairs plot and highly correlated (above a Pearson’s r ~ 0.9) metrics had one of the redundant metrics removed.</w:t>
      </w:r>
    </w:p>
    <w:bookmarkEnd w:id="72"/>
    <w:bookmarkStart w:id="73"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mass feature as a true positive (TP) if it was predicted to be Good and was manually classified as Good, a true negative if both predicted and classified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additionally looked at the estimates produced by these two models and compared them with the combined model trained on both datasets combined to assess the model stability directly.</w:t>
      </w:r>
    </w:p>
    <w:p>
      <w:pPr>
        <w:pStyle w:val="BodyText"/>
      </w:pPr>
      <w:r>
        <w:t xml:space="preserve">We also measured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w:t>
      </w:r>
      <w:r>
        <w:t xml:space="preserve"> </w:t>
      </w:r>
      <w:r>
        <w:rPr>
          <w:iCs/>
          <w:i/>
        </w:rPr>
        <w:t xml:space="preserve">m/z</w:t>
      </w:r>
      <w:r>
        <w:t xml:space="preserve"> </w:t>
      </w:r>
      <w:r>
        <w:t xml:space="preserve">and the standard deviation in retention time for the XCMS model, and peak shape and SNR for the two-parameter model.</w:t>
      </w:r>
    </w:p>
    <w:p>
      <w:pPr>
        <w:pStyle w:val="BodyText"/>
      </w:pPr>
      <w:r>
        <w:t xml:space="preserve">Finally, we tested whether the performance could be improved with regularized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applied rather than regression.</w:t>
      </w:r>
    </w:p>
    <w:bookmarkEnd w:id="73"/>
    <w:bookmarkStart w:id="74"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for the performance that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4"/>
    <w:bookmarkStart w:id="76"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 </w:t>
      </w:r>
      <w:r>
        <w:t xml:space="preserve">(Benjamini and Hochberg 1995)</w:t>
      </w:r>
      <w:r>
        <w:t xml:space="preserve">. 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 outputs</w:t>
      </w:r>
      <w:r>
        <w:t xml:space="preserve"> </w:t>
      </w:r>
      <w:r>
        <w:t xml:space="preserve">(Dunn 1964)</w:t>
      </w:r>
      <w:r>
        <w:t xml:space="preserve">. 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 </w:t>
      </w:r>
      <w:r>
        <w:t xml:space="preserve">(Oksanen et al. 2022)</w:t>
      </w:r>
      <w:r>
        <w:t xml:space="preserve">. 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w:t>
      </w:r>
      <w:r>
        <w:t xml:space="preserve"> </w:t>
      </w:r>
      <w:r>
        <w:t xml:space="preserve">(R Core Team 2022)</w:t>
      </w:r>
      <w:r>
        <w:t xml:space="preserve">, version 4.2.2, and code is available on GitHub at</w:t>
      </w:r>
      <w:r>
        <w:t xml:space="preserve"> </w:t>
      </w:r>
      <w:hyperlink r:id="rId75">
        <w:r>
          <w:rPr>
            <w:rStyle w:val="Hyperlink"/>
          </w:rPr>
          <w:t xml:space="preserve">https://github.com/wkumler/MS_metrics</w:t>
        </w:r>
      </w:hyperlink>
      <w:r>
        <w:t xml:space="preserve">.</w:t>
      </w:r>
    </w:p>
    <w:bookmarkEnd w:id="76"/>
    <w:bookmarkEnd w:id="77"/>
    <w:bookmarkStart w:id="78" w:name="abbreviations"/>
    <w:p>
      <w:pPr>
        <w:pStyle w:val="Heading2"/>
      </w:pPr>
      <w:r>
        <w:t xml:space="preserve">Abbreviations</w:t>
      </w:r>
    </w:p>
    <w:p>
      <w:pPr>
        <w:pStyle w:val="FirstParagraph"/>
      </w:pPr>
      <w:r>
        <w:t xml:space="preserve">DCM: Deep Chlorophyll Maximum</w:t>
      </w:r>
    </w:p>
    <w:p>
      <w:pPr>
        <w:pStyle w:val="BodyText"/>
      </w:pPr>
      <w:r>
        <w:t xml:space="preserve">EIC: Extracted Ion Chromatogram</w:t>
      </w:r>
    </w:p>
    <w:p>
      <w:pPr>
        <w:pStyle w:val="BodyText"/>
      </w:pPr>
      <w:r>
        <w:t xml:space="preserve">FDR: False Discovery Rate</w:t>
      </w:r>
    </w:p>
    <w:p>
      <w:pPr>
        <w:pStyle w:val="BodyText"/>
      </w:pPr>
      <w:r>
        <w:t xml:space="preserve">GFF: Good Feature Found</w:t>
      </w:r>
    </w:p>
    <w:p>
      <w:pPr>
        <w:pStyle w:val="BodyText"/>
      </w:pPr>
      <w:r>
        <w:t xml:space="preserve">HILIC: Hydrophilic Interaction Liquid Chromatography</w:t>
      </w:r>
    </w:p>
    <w:p>
      <w:pPr>
        <w:pStyle w:val="BodyText"/>
      </w:pPr>
      <w:r>
        <w:t xml:space="preserve">LC: Liquid Chromatography</w:t>
      </w:r>
    </w:p>
    <w:p>
      <w:pPr>
        <w:pStyle w:val="BodyText"/>
      </w:pPr>
      <w:r>
        <w:t xml:space="preserve">MF: Mass Feature</w:t>
      </w:r>
    </w:p>
    <w:p>
      <w:pPr>
        <w:pStyle w:val="BodyText"/>
      </w:pPr>
      <w:r>
        <w:t xml:space="preserve">MS: Mass Spectrometry</w:t>
      </w:r>
    </w:p>
    <w:p>
      <w:pPr>
        <w:pStyle w:val="BodyText"/>
      </w:pPr>
      <w:r>
        <w:t xml:space="preserve">PPM: parts-per-million</w:t>
      </w:r>
    </w:p>
    <w:p>
      <w:pPr>
        <w:pStyle w:val="BodyText"/>
      </w:pPr>
      <w:r>
        <w:t xml:space="preserve">RT: Retention time</w:t>
      </w:r>
    </w:p>
    <w:p>
      <w:pPr>
        <w:pStyle w:val="BodyText"/>
      </w:pPr>
      <w:r>
        <w:t xml:space="preserve">SNR: Signal to Noise Ratio</w:t>
      </w:r>
    </w:p>
    <w:bookmarkEnd w:id="78"/>
    <w:bookmarkStart w:id="89" w:name="declarations"/>
    <w:p>
      <w:pPr>
        <w:pStyle w:val="Heading2"/>
      </w:pPr>
      <w:r>
        <w:t xml:space="preserve">Declarations</w:t>
      </w:r>
    </w:p>
    <w:bookmarkStart w:id="79" w:name="Xd182db0490b2de20bd2b4e4cc8698599182035f"/>
    <w:p>
      <w:pPr>
        <w:pStyle w:val="Heading3"/>
      </w:pPr>
      <w:r>
        <w:t xml:space="preserve">Ethics approval and consent to participate</w:t>
      </w:r>
    </w:p>
    <w:p>
      <w:pPr>
        <w:pStyle w:val="FirstParagraph"/>
      </w:pPr>
      <w:r>
        <w:t xml:space="preserve">Not applicable</w:t>
      </w:r>
    </w:p>
    <w:bookmarkEnd w:id="79"/>
    <w:bookmarkStart w:id="80" w:name="consent-for-publication"/>
    <w:p>
      <w:pPr>
        <w:pStyle w:val="Heading3"/>
      </w:pPr>
      <w:r>
        <w:t xml:space="preserve">Consent for publication</w:t>
      </w:r>
    </w:p>
    <w:p>
      <w:pPr>
        <w:pStyle w:val="FirstParagraph"/>
      </w:pPr>
      <w:r>
        <w:t xml:space="preserve">Not applicable</w:t>
      </w:r>
    </w:p>
    <w:bookmarkEnd w:id="80"/>
    <w:bookmarkStart w:id="84" w:name="availability-of-data-and-materials"/>
    <w:p>
      <w:pPr>
        <w:pStyle w:val="Heading3"/>
      </w:pPr>
      <w:r>
        <w:t xml:space="preserve">Availability of data and materials</w:t>
      </w:r>
    </w:p>
    <w:p>
      <w:pPr>
        <w:pStyle w:val="FirstParagraph"/>
      </w:pPr>
      <w:r>
        <w:t xml:space="preserve">The raw mzML files are all available on Metabolomics Workbench. The Falkor and MESOSCOPE datasets can be found under project ID PR001738 via</w:t>
      </w:r>
      <w:r>
        <w:t xml:space="preserve"> </w:t>
      </w:r>
      <w:hyperlink r:id="rId81">
        <w:r>
          <w:rPr>
            <w:rStyle w:val="Hyperlink"/>
          </w:rPr>
          <w:t xml:space="preserve">http://dx.doi.org/10.21228/M82719</w:t>
        </w:r>
      </w:hyperlink>
      <w:r>
        <w:t xml:space="preserve">. The CultureData samples were appended to the previously existing culturing collection, accessible at project ID PR001021 via</w:t>
      </w:r>
      <w:r>
        <w:t xml:space="preserve"> </w:t>
      </w:r>
      <w:hyperlink r:id="rId82">
        <w:r>
          <w:rPr>
            <w:rStyle w:val="Hyperlink"/>
          </w:rPr>
          <w:t xml:space="preserve">http://dx.doi.org/10.21228/M8QM5H</w:t>
        </w:r>
      </w:hyperlink>
      <w:r>
        <w:t xml:space="preserve">. Pttime is located under Project ID PR001317 and can also be accessed directly using its Project DOI:</w:t>
      </w:r>
      <w:r>
        <w:t xml:space="preserve"> </w:t>
      </w:r>
      <w:hyperlink r:id="rId83">
        <w:r>
          <w:rPr>
            <w:rStyle w:val="Hyperlink"/>
          </w:rPr>
          <w:t xml:space="preserve">http://dx.doi.org/10.21228/M8GH6P</w:t>
        </w:r>
      </w:hyperlink>
      <w:r>
        <w:t xml:space="preserve">. Code and other raw data is available on the GitHub repository at</w:t>
      </w:r>
      <w:r>
        <w:t xml:space="preserve"> </w:t>
      </w:r>
      <w:hyperlink r:id="rId75">
        <w:r>
          <w:rPr>
            <w:rStyle w:val="Hyperlink"/>
          </w:rPr>
          <w:t xml:space="preserve">https://github.com/wkumler/MS_metrics</w:t>
        </w:r>
      </w:hyperlink>
      <w:r>
        <w:t xml:space="preserve">. The manuscript has been rendered as a single R Markdown document with analyses contained within for reproducibility.</w:t>
      </w:r>
    </w:p>
    <w:bookmarkEnd w:id="84"/>
    <w:bookmarkStart w:id="85" w:name="competing-interests"/>
    <w:p>
      <w:pPr>
        <w:pStyle w:val="Heading3"/>
      </w:pPr>
      <w:r>
        <w:t xml:space="preserve">Competing interests</w:t>
      </w:r>
    </w:p>
    <w:p>
      <w:pPr>
        <w:pStyle w:val="FirstParagraph"/>
      </w:pPr>
      <w:r>
        <w:t xml:space="preserve">The authors declare that they have no competing interests</w:t>
      </w:r>
    </w:p>
    <w:bookmarkEnd w:id="85"/>
    <w:bookmarkStart w:id="86" w:name="funding"/>
    <w:p>
      <w:pPr>
        <w:pStyle w:val="Heading3"/>
      </w:pPr>
      <w:r>
        <w:t xml:space="preserve">Funding</w:t>
      </w:r>
    </w:p>
    <w:p>
      <w:pPr>
        <w:pStyle w:val="FirstParagraph"/>
      </w:pPr>
      <w:r>
        <w:t xml:space="preserve">This work was supported by grants from the Simons Foundation (SCOPE Award ID 329108 to AEI, SF Award ID 385428 to AEI).</w:t>
      </w:r>
    </w:p>
    <w:bookmarkEnd w:id="86"/>
    <w:bookmarkStart w:id="87" w:name="authors-contributions"/>
    <w:p>
      <w:pPr>
        <w:pStyle w:val="Heading3"/>
      </w:pPr>
      <w:r>
        <w:t xml:space="preserve">Authors’ contributions</w:t>
      </w:r>
    </w:p>
    <w:p>
      <w:pPr>
        <w:pStyle w:val="FirstParagraph"/>
      </w:pPr>
      <w:r>
        <w:t xml:space="preserve">WK extracted the Falkor samples, processed the data, performed the analyses, and wrote the manuscript. BJH helped design the metrics and implement the regressions as well as providing support and context for the analysis. AEI provided funding and data and helped to interpret the conclusions and edit the manuscript.</w:t>
      </w:r>
    </w:p>
    <w:bookmarkEnd w:id="87"/>
    <w:bookmarkStart w:id="88" w:name="acknowledgements"/>
    <w:p>
      <w:pPr>
        <w:pStyle w:val="Heading3"/>
      </w:pPr>
      <w:r>
        <w:t xml:space="preserve">Acknowledgements</w:t>
      </w:r>
    </w:p>
    <w:p>
      <w:pPr>
        <w:pStyle w:val="FirstParagraph"/>
      </w:pPr>
      <w:r>
        <w:t xml:space="preserve">This work was supported by the University of Washington eScience Institute through their Data Science Incubator program. The authors would also like to acknowledge Laura Carlson for her expertise in obtaining the CultureData, MESOSCOPE, and Falkor datasets; Katherine Heal, Angie Boysen, and Bryn Durham for their assistance with culturing and collecting the cultured samples; the captain and crew of the R/Vs</w:t>
      </w:r>
      <w:r>
        <w:t xml:space="preserve"> </w:t>
      </w:r>
      <w:r>
        <w:rPr>
          <w:iCs/>
          <w:i/>
        </w:rPr>
        <w:t xml:space="preserve">Kilo Moana</w:t>
      </w:r>
      <w:r>
        <w:t xml:space="preserve"> </w:t>
      </w:r>
      <w:r>
        <w:t xml:space="preserve">and</w:t>
      </w:r>
      <w:r>
        <w:t xml:space="preserve"> </w:t>
      </w:r>
      <w:r>
        <w:rPr>
          <w:iCs/>
          <w:i/>
        </w:rPr>
        <w:t xml:space="preserve">Falkor</w:t>
      </w:r>
      <w:r>
        <w:t xml:space="preserve">, Wei Qin, Rachel Lundeen, and the SCOPE ops team for collecting and processing the environmental samples; Joshua Sacks, Dave Beck, and the entire eScience incubator team for their feedback on the project development and scope; and Brisson Vanessa and LLNL for making their Pttime dataset available for reuse on Metabolomics Workbench. Additionally, the R packages plotly, dbscan, ClusterR, RaMS, and the entire tidyverse were crucial for preliminary data exploration.</w:t>
      </w:r>
    </w:p>
    <w:bookmarkEnd w:id="88"/>
    <w:bookmarkEnd w:id="89"/>
    <w:bookmarkStart w:id="153" w:name="references"/>
    <w:p>
      <w:pPr>
        <w:pStyle w:val="Heading2"/>
      </w:pPr>
      <w:r>
        <w:t xml:space="preserve">References</w:t>
      </w:r>
    </w:p>
    <w:bookmarkStart w:id="152" w:name="refs"/>
    <w:bookmarkStart w:id="91"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90">
        <w:r>
          <w:rPr>
            <w:rStyle w:val="Hyperlink"/>
          </w:rPr>
          <w:t xml:space="preserve">https://doi.org/10.1002/9781118445112.stat07841</w:t>
        </w:r>
      </w:hyperlink>
      <w:r>
        <w:t xml:space="preserve">.</w:t>
      </w:r>
    </w:p>
    <w:bookmarkEnd w:id="91"/>
    <w:bookmarkStart w:id="93" w:name="ref-Bai2022"/>
    <w:p>
      <w:pPr>
        <w:pStyle w:val="Bibliography"/>
      </w:pPr>
      <w:r>
        <w:t xml:space="preserve">Bai, Caihong, Suyun Xu, Jingyi Tang, Yuxi Zhang, Jiahui Yang, and Kaifeng Hu. 2022.</w:t>
      </w:r>
      <w:r>
        <w:t xml:space="preserve"> </w:t>
      </w:r>
      <w:r>
        <w:t xml:space="preserve">“A</w:t>
      </w:r>
      <w:r>
        <w:t xml:space="preserve"> </w:t>
      </w:r>
      <w:r>
        <w:t xml:space="preserve">‘Shape-Orientated’</w:t>
      </w:r>
      <w:r>
        <w:t xml:space="preserve"> </w:t>
      </w:r>
      <w:r>
        <w:t xml:space="preserve">Algorithm Employing an Adapted Marr Wavelet and Shape Matching Index Improves the Performance of Continuous Wavelet Transform for Chromatographic Peak Detection and Quantification.”</w:t>
      </w:r>
      <w:r>
        <w:t xml:space="preserve"> </w:t>
      </w:r>
      <w:r>
        <w:rPr>
          <w:iCs/>
          <w:i/>
        </w:rPr>
        <w:t xml:space="preserve">Journal of Chromatography A</w:t>
      </w:r>
      <w:r>
        <w:t xml:space="preserve"> </w:t>
      </w:r>
      <w:r>
        <w:t xml:space="preserve">1673: 463086. https://doi.org/</w:t>
      </w:r>
      <w:hyperlink r:id="rId92">
        <w:r>
          <w:rPr>
            <w:rStyle w:val="Hyperlink"/>
          </w:rPr>
          <w:t xml:space="preserve">https://doi.org/10.1016/j.chroma.2022.463086</w:t>
        </w:r>
      </w:hyperlink>
      <w:r>
        <w:t xml:space="preserve">.</w:t>
      </w:r>
    </w:p>
    <w:bookmarkEnd w:id="93"/>
    <w:bookmarkStart w:id="95"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4">
        <w:r>
          <w:rPr>
            <w:rStyle w:val="Hyperlink"/>
          </w:rPr>
          <w:t xml:space="preserve">https://doi.org/10.1016/j.chroma.2006.05.019</w:t>
        </w:r>
      </w:hyperlink>
      <w:r>
        <w:t xml:space="preserve">.</w:t>
      </w:r>
    </w:p>
    <w:bookmarkEnd w:id="95"/>
    <w:bookmarkStart w:id="97"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6">
        <w:r>
          <w:rPr>
            <w:rStyle w:val="Hyperlink"/>
          </w:rPr>
          <w:t xml:space="preserve">https://doi.org/10.1029/2021GB007115</w:t>
        </w:r>
      </w:hyperlink>
      <w:r>
        <w:t xml:space="preserve">.</w:t>
      </w:r>
    </w:p>
    <w:bookmarkEnd w:id="97"/>
    <w:bookmarkStart w:id="99"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8">
        <w:r>
          <w:rPr>
            <w:rStyle w:val="Hyperlink"/>
          </w:rPr>
          <w:t xml:space="preserve">https://doi.org/10.3389/fpubh.2021.653599</w:t>
        </w:r>
      </w:hyperlink>
      <w:r>
        <w:t xml:space="preserve">.</w:t>
      </w:r>
    </w:p>
    <w:bookmarkEnd w:id="99"/>
    <w:bookmarkStart w:id="101"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100">
        <w:r>
          <w:rPr>
            <w:rStyle w:val="Hyperlink"/>
          </w:rPr>
          <w:t xml:space="preserve">https://doi.org/10.1111/j.2517-6161.1995.tb02031.x</w:t>
        </w:r>
      </w:hyperlink>
      <w:r>
        <w:t xml:space="preserve">.</w:t>
      </w:r>
    </w:p>
    <w:bookmarkEnd w:id="101"/>
    <w:bookmarkStart w:id="103"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102">
        <w:r>
          <w:rPr>
            <w:rStyle w:val="Hyperlink"/>
          </w:rPr>
          <w:t xml:space="preserve">https://doi.org/10.1093/bioinformatics/btq441</w:t>
        </w:r>
      </w:hyperlink>
      <w:r>
        <w:t xml:space="preserve">.</w:t>
      </w:r>
    </w:p>
    <w:bookmarkEnd w:id="103"/>
    <w:bookmarkStart w:id="105"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4">
        <w:r>
          <w:rPr>
            <w:rStyle w:val="Hyperlink"/>
          </w:rPr>
          <w:t xml:space="preserve">https://doi.org/10.1128/mSystems.00896-20</w:t>
        </w:r>
      </w:hyperlink>
      <w:r>
        <w:t xml:space="preserve">.</w:t>
      </w:r>
    </w:p>
    <w:bookmarkEnd w:id="105"/>
    <w:bookmarkStart w:id="107"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6">
        <w:r>
          <w:rPr>
            <w:rStyle w:val="Hyperlink"/>
          </w:rPr>
          <w:t xml:space="preserve">https://doi.org/10.1021/acs.analchem.7b04400</w:t>
        </w:r>
      </w:hyperlink>
      <w:r>
        <w:t xml:space="preserve">.</w:t>
      </w:r>
    </w:p>
    <w:bookmarkEnd w:id="107"/>
    <w:bookmarkStart w:id="109"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8">
        <w:r>
          <w:rPr>
            <w:rStyle w:val="Hyperlink"/>
          </w:rPr>
          <w:t xml:space="preserve">https://doi.org/10.1080/00401706.1964.10490181</w:t>
        </w:r>
      </w:hyperlink>
      <w:r>
        <w:t xml:space="preserve">.</w:t>
      </w:r>
    </w:p>
    <w:bookmarkEnd w:id="109"/>
    <w:bookmarkStart w:id="111"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10">
        <w:r>
          <w:rPr>
            <w:rStyle w:val="Hyperlink"/>
          </w:rPr>
          <w:t xml:space="preserve">https://doi.org/10.3389/fmars.2022.864796</w:t>
        </w:r>
      </w:hyperlink>
      <w:r>
        <w:t xml:space="preserve">.</w:t>
      </w:r>
    </w:p>
    <w:bookmarkEnd w:id="111"/>
    <w:bookmarkStart w:id="113"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12">
        <w:r>
          <w:rPr>
            <w:rStyle w:val="Hyperlink"/>
          </w:rPr>
          <w:t xml:space="preserve">https://doi.org/10.1093/bioinformatics/btab231</w:t>
        </w:r>
      </w:hyperlink>
      <w:r>
        <w:t xml:space="preserve">.</w:t>
      </w:r>
    </w:p>
    <w:bookmarkEnd w:id="113"/>
    <w:bookmarkStart w:id="115"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4">
        <w:r>
          <w:rPr>
            <w:rStyle w:val="Hyperlink"/>
          </w:rPr>
          <w:t xml:space="preserve">https://doi.org/10.1016/j.jchromb.2019.04.009</w:t>
        </w:r>
      </w:hyperlink>
      <w:r>
        <w:t xml:space="preserve">.</w:t>
      </w:r>
    </w:p>
    <w:bookmarkEnd w:id="115"/>
    <w:bookmarkStart w:id="117"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6">
        <w:r>
          <w:rPr>
            <w:rStyle w:val="Hyperlink"/>
          </w:rPr>
          <w:t xml:space="preserve">https://doi.org/10.1021/acs.analchem.1c02220</w:t>
        </w:r>
      </w:hyperlink>
      <w:r>
        <w:t xml:space="preserve">.</w:t>
      </w:r>
    </w:p>
    <w:bookmarkEnd w:id="117"/>
    <w:bookmarkStart w:id="119"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8">
        <w:r>
          <w:rPr>
            <w:rStyle w:val="Hyperlink"/>
          </w:rPr>
          <w:t xml:space="preserve">https://doi.org/10.1021/acs.analchem.1c01309</w:t>
        </w:r>
      </w:hyperlink>
      <w:r>
        <w:t xml:space="preserve">.</w:t>
      </w:r>
    </w:p>
    <w:bookmarkEnd w:id="119"/>
    <w:bookmarkStart w:id="121"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20">
        <w:r>
          <w:rPr>
            <w:rStyle w:val="Hyperlink"/>
          </w:rPr>
          <w:t xml:space="preserve">https://doi.org/10.1128/mSystems.01334-20</w:t>
        </w:r>
      </w:hyperlink>
      <w:r>
        <w:t xml:space="preserve">.</w:t>
      </w:r>
    </w:p>
    <w:bookmarkEnd w:id="121"/>
    <w:bookmarkStart w:id="123"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22">
        <w:r>
          <w:rPr>
            <w:rStyle w:val="Hyperlink"/>
          </w:rPr>
          <w:t xml:space="preserve">https://doi.org/10.1021/acs.analchem.2c04088</w:t>
        </w:r>
      </w:hyperlink>
      <w:r>
        <w:t xml:space="preserve">.</w:t>
      </w:r>
    </w:p>
    <w:bookmarkEnd w:id="123"/>
    <w:bookmarkStart w:id="125"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4">
        <w:r>
          <w:rPr>
            <w:rStyle w:val="Hyperlink"/>
          </w:rPr>
          <w:t xml:space="preserve">https://doi.org/10.1021/ac902361f</w:t>
        </w:r>
      </w:hyperlink>
      <w:r>
        <w:t xml:space="preserve">.</w:t>
      </w:r>
    </w:p>
    <w:bookmarkEnd w:id="125"/>
    <w:bookmarkStart w:id="127"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6">
        <w:r>
          <w:rPr>
            <w:rStyle w:val="Hyperlink"/>
          </w:rPr>
          <w:t xml:space="preserve">https://doi.org/10.1021/acs.analchem.9b02983</w:t>
        </w:r>
      </w:hyperlink>
      <w:r>
        <w:t xml:space="preserve">.</w:t>
      </w:r>
    </w:p>
    <w:bookmarkEnd w:id="127"/>
    <w:bookmarkStart w:id="129"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8">
        <w:r>
          <w:rPr>
            <w:rStyle w:val="Hyperlink"/>
          </w:rPr>
          <w:t xml:space="preserve">https://doi.org/10.1016/j.marchem.2015.06.029</w:t>
        </w:r>
      </w:hyperlink>
      <w:r>
        <w:t xml:space="preserve">.</w:t>
      </w:r>
    </w:p>
    <w:bookmarkEnd w:id="129"/>
    <w:bookmarkStart w:id="131"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30">
        <w:r>
          <w:rPr>
            <w:rStyle w:val="Hyperlink"/>
          </w:rPr>
          <w:t xml:space="preserve">https://doi.org/10.1186/s12859-015-0562-8</w:t>
        </w:r>
      </w:hyperlink>
      <w:r>
        <w:t xml:space="preserve">.</w:t>
      </w:r>
    </w:p>
    <w:bookmarkEnd w:id="131"/>
    <w:bookmarkStart w:id="133"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32">
        <w:r>
          <w:rPr>
            <w:rStyle w:val="Hyperlink"/>
          </w:rPr>
          <w:t xml:space="preserve">https://doi.org/10.1021/acs.analchem.9b04811</w:t>
        </w:r>
      </w:hyperlink>
      <w:r>
        <w:t xml:space="preserve">.</w:t>
      </w:r>
    </w:p>
    <w:bookmarkEnd w:id="133"/>
    <w:bookmarkStart w:id="135"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4">
        <w:r>
          <w:rPr>
            <w:rStyle w:val="Hyperlink"/>
          </w:rPr>
          <w:t xml:space="preserve">https://doi.org/10.3390/metabo10040162</w:t>
        </w:r>
      </w:hyperlink>
      <w:r>
        <w:t xml:space="preserve">.</w:t>
      </w:r>
    </w:p>
    <w:bookmarkEnd w:id="135"/>
    <w:bookmarkStart w:id="137"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6">
        <w:r>
          <w:rPr>
            <w:rStyle w:val="Hyperlink"/>
          </w:rPr>
          <w:t xml:space="preserve">https://doi.org/10.1021/acs.analchem.7b01069</w:t>
        </w:r>
      </w:hyperlink>
      <w:r>
        <w:t xml:space="preserve">.</w:t>
      </w:r>
    </w:p>
    <w:bookmarkEnd w:id="137"/>
    <w:bookmarkStart w:id="139"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8">
        <w:r>
          <w:rPr>
            <w:rStyle w:val="Hyperlink"/>
          </w:rPr>
          <w:t xml:space="preserve">https://doi.org/10.1021/acs.analchem.7b00947</w:t>
        </w:r>
      </w:hyperlink>
      <w:r>
        <w:t xml:space="preserve">.</w:t>
      </w:r>
    </w:p>
    <w:bookmarkEnd w:id="139"/>
    <w:bookmarkStart w:id="141"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40">
        <w:r>
          <w:rPr>
            <w:rStyle w:val="Hyperlink"/>
          </w:rPr>
          <w:t xml:space="preserve">https://cran.r-project.org/package=vegan</w:t>
        </w:r>
      </w:hyperlink>
      <w:r>
        <w:t xml:space="preserve">.</w:t>
      </w:r>
    </w:p>
    <w:bookmarkEnd w:id="141"/>
    <w:bookmarkStart w:id="143"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42">
        <w:r>
          <w:rPr>
            <w:rStyle w:val="Hyperlink"/>
          </w:rPr>
          <w:t xml:space="preserve">https://doi.org/10.3390/metabo12020137</w:t>
        </w:r>
      </w:hyperlink>
      <w:r>
        <w:t xml:space="preserve">.</w:t>
      </w:r>
    </w:p>
    <w:bookmarkEnd w:id="143"/>
    <w:bookmarkStart w:id="145"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4">
        <w:r>
          <w:rPr>
            <w:rStyle w:val="Hyperlink"/>
          </w:rPr>
          <w:t xml:space="preserve">https://www.r-project.org/</w:t>
        </w:r>
      </w:hyperlink>
      <w:r>
        <w:t xml:space="preserve">.</w:t>
      </w:r>
    </w:p>
    <w:bookmarkEnd w:id="145"/>
    <w:bookmarkStart w:id="147"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6">
        <w:r>
          <w:rPr>
            <w:rStyle w:val="Hyperlink"/>
          </w:rPr>
          <w:t xml:space="preserve">https://doi.org/10.1021/ac051437y</w:t>
        </w:r>
      </w:hyperlink>
      <w:r>
        <w:t xml:space="preserve">.</w:t>
      </w:r>
    </w:p>
    <w:bookmarkEnd w:id="147"/>
    <w:bookmarkStart w:id="149"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8">
        <w:r>
          <w:rPr>
            <w:rStyle w:val="Hyperlink"/>
          </w:rPr>
          <w:t xml:space="preserve">https://doi.org/10.1186/1471-2105-9-504</w:t>
        </w:r>
      </w:hyperlink>
      <w:r>
        <w:t xml:space="preserve">.</w:t>
      </w:r>
    </w:p>
    <w:bookmarkEnd w:id="149"/>
    <w:bookmarkStart w:id="151"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50">
        <w:r>
          <w:rPr>
            <w:rStyle w:val="Hyperlink"/>
          </w:rPr>
          <w:t xml:space="preserve">https://doi.org/10.3390/metabo6040037</w:t>
        </w:r>
      </w:hyperlink>
      <w:r>
        <w:t xml:space="preserve">.</w:t>
      </w:r>
    </w:p>
    <w:bookmarkEnd w:id="151"/>
    <w:bookmarkEnd w:id="152"/>
    <w:bookmarkEnd w:id="153"/>
    <w:bookmarkStart w:id="154" w:name="supplement"/>
    <w:p>
      <w:pPr>
        <w:pStyle w:val="Heading2"/>
      </w:pPr>
      <w:r>
        <w:t xml:space="preserve">Supplement</w:t>
      </w:r>
    </w:p>
    <w:p>
      <w:pPr>
        <w:pStyle w:val="FirstParagraph"/>
      </w:pPr>
      <w:r>
        <w:rPr>
          <w:iCs/>
          <w:i/>
        </w:rPr>
        <w:t xml:space="preserve">Supplemental figure 1: Distribution and single-parameter logistic curves for each metric extracted for model training, shown separately for the MESOSCOPE and Falkor datasets. Histograms show the distribution of good and bad mass features by color across the span of the data on the x-axis with the number of MFs in each bin shown on the y-axis. Scatterplots show the same x-axis but show the results of a logistic regression on the single parameter, with the line of best fit in black and a ±1 standard error ribbon around it in grey. Vertical jittering has been applied when plotting to reduce the number of overlapping points.</w:t>
      </w:r>
    </w:p>
    <w:p>
      <w:pPr>
        <w:pStyle w:val="BodyText"/>
      </w:pPr>
      <w:r>
        <w:rPr>
          <w:iCs/>
          <w:i/>
        </w:rPr>
        <w:t xml:space="preserve">Supplemental figure 2: Model parameter estimates for each of the metrics in the full model, additionally broken down by their inclusion in the two-parameter (raw_data) and XCMS-exclusively models. Colors correspond to the dataset used to train the logistic regression model, with</w:t>
      </w:r>
      <w:r>
        <w:rPr>
          <w:iCs/>
          <w:i/>
        </w:rPr>
        <w:t xml:space="preserve"> </w:t>
      </w:r>
      <w:r>
        <w:rPr>
          <w:iCs/>
          <w:i/>
        </w:rPr>
        <w:t xml:space="preserve">“</w:t>
      </w:r>
      <w:r>
        <w:rPr>
          <w:iCs/>
          <w:i/>
        </w:rPr>
        <w:t xml:space="preserve">both</w:t>
      </w:r>
      <w:r>
        <w:rPr>
          <w:iCs/>
          <w:i/>
        </w:rPr>
        <w:t xml:space="preserve">”</w:t>
      </w:r>
      <w:r>
        <w:rPr>
          <w:iCs/>
          <w:i/>
        </w:rPr>
        <w:t xml:space="preserve"> </w:t>
      </w:r>
      <w:r>
        <w:rPr>
          <w:iCs/>
          <w:i/>
        </w:rPr>
        <w:t xml:space="preserve">indicating a combined model using all manually-labeled features across both datasets.</w:t>
      </w:r>
    </w:p>
    <w:p>
      <w:pPr>
        <w:pStyle w:val="BodyText"/>
      </w:pPr>
      <w:r>
        <w:rPr>
          <w:iCs/>
          <w:i/>
        </w:rPr>
        <w:t xml:space="preserve">Supplemental figure 3: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BodyText"/>
      </w:pPr>
      <w:r>
        <w:rPr>
          <w:iCs/>
          <w:i/>
        </w:rPr>
        <w:t xml:space="preserve">Supplemental figure 4: Performance of regularized regression and random forest models on internally (same train-test) and externally (different train-test) validated datasets.</w:t>
      </w:r>
    </w:p>
    <w:bookmarkEnd w:id="154"/>
    <w:sectPr w:rsidR="00806BE4" w:rsidSect="00A2297C">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4"/>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83F6F"/>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83F6F"/>
  </w:style>
  <w:style w:styleId="LineNumber" w:type="character">
    <w:name w:val="line number"/>
    <w:basedOn w:val="DefaultParagraphFont"/>
    <w:semiHidden/>
    <w:unhideWhenUsed/>
    <w:rsid w:val="00A22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0" Target="https://cran.r-project.org/package=vegan" TargetMode="External" /><Relationship Type="http://schemas.openxmlformats.org/officeDocument/2006/relationships/hyperlink" Id="rId90" Target="https://doi.org/10.1002/9781118445112.stat07841" TargetMode="External" /><Relationship Type="http://schemas.openxmlformats.org/officeDocument/2006/relationships/hyperlink" Id="rId94" Target="https://doi.org/10.1016/j.chroma.2006.05.019" TargetMode="External" /><Relationship Type="http://schemas.openxmlformats.org/officeDocument/2006/relationships/hyperlink" Id="rId92" Target="https://doi.org/10.1016/j.chroma.2022.463086" TargetMode="External" /><Relationship Type="http://schemas.openxmlformats.org/officeDocument/2006/relationships/hyperlink" Id="rId114" Target="https://doi.org/10.1016/j.jchromb.2019.04.009" TargetMode="External" /><Relationship Type="http://schemas.openxmlformats.org/officeDocument/2006/relationships/hyperlink" Id="rId128" Target="https://doi.org/10.1016/j.marchem.2015.06.029" TargetMode="External" /><Relationship Type="http://schemas.openxmlformats.org/officeDocument/2006/relationships/hyperlink" Id="rId146" Target="https://doi.org/10.1021/ac051437y" TargetMode="External" /><Relationship Type="http://schemas.openxmlformats.org/officeDocument/2006/relationships/hyperlink" Id="rId124" Target="https://doi.org/10.1021/ac902361f" TargetMode="External" /><Relationship Type="http://schemas.openxmlformats.org/officeDocument/2006/relationships/hyperlink" Id="rId118" Target="https://doi.org/10.1021/acs.analchem.1c01309" TargetMode="External" /><Relationship Type="http://schemas.openxmlformats.org/officeDocument/2006/relationships/hyperlink" Id="rId116" Target="https://doi.org/10.1021/acs.analchem.1c02220" TargetMode="External" /><Relationship Type="http://schemas.openxmlformats.org/officeDocument/2006/relationships/hyperlink" Id="rId122" Target="https://doi.org/10.1021/acs.analchem.2c04088" TargetMode="External" /><Relationship Type="http://schemas.openxmlformats.org/officeDocument/2006/relationships/hyperlink" Id="rId138" Target="https://doi.org/10.1021/acs.analchem.7b00947" TargetMode="External" /><Relationship Type="http://schemas.openxmlformats.org/officeDocument/2006/relationships/hyperlink" Id="rId136"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26" Target="https://doi.org/10.1021/acs.analchem.9b02983" TargetMode="External" /><Relationship Type="http://schemas.openxmlformats.org/officeDocument/2006/relationships/hyperlink" Id="rId132" Target="https://doi.org/10.1021/acs.analchem.9b04811" TargetMode="External" /><Relationship Type="http://schemas.openxmlformats.org/officeDocument/2006/relationships/hyperlink" Id="rId96" Target="https://doi.org/10.1029/2021GB007115" TargetMode="External" /><Relationship Type="http://schemas.openxmlformats.org/officeDocument/2006/relationships/hyperlink" Id="rId108" Target="https://doi.org/10.1080/00401706.1964.10490181" TargetMode="External" /><Relationship Type="http://schemas.openxmlformats.org/officeDocument/2006/relationships/hyperlink" Id="rId112" Target="https://doi.org/10.1093/bioinformatics/btab231" TargetMode="External" /><Relationship Type="http://schemas.openxmlformats.org/officeDocument/2006/relationships/hyperlink" Id="rId102" Target="https://doi.org/10.1093/bioinformatics/btq441" TargetMode="External" /><Relationship Type="http://schemas.openxmlformats.org/officeDocument/2006/relationships/hyperlink" Id="rId100" Target="https://doi.org/10.1111/j.2517-6161.1995.tb02031.x" TargetMode="External" /><Relationship Type="http://schemas.openxmlformats.org/officeDocument/2006/relationships/hyperlink" Id="rId104" Target="https://doi.org/10.1128/mSystems.00896-20" TargetMode="External" /><Relationship Type="http://schemas.openxmlformats.org/officeDocument/2006/relationships/hyperlink" Id="rId120" Target="https://doi.org/10.1128/mSystems.01334-20" TargetMode="External" /><Relationship Type="http://schemas.openxmlformats.org/officeDocument/2006/relationships/hyperlink" Id="rId148" Target="https://doi.org/10.1186/1471-2105-9-504" TargetMode="External" /><Relationship Type="http://schemas.openxmlformats.org/officeDocument/2006/relationships/hyperlink" Id="rId130" Target="https://doi.org/10.1186/s12859-015-0562-8" TargetMode="External" /><Relationship Type="http://schemas.openxmlformats.org/officeDocument/2006/relationships/hyperlink" Id="rId110" Target="https://doi.org/10.3389/fmars.2022.864796" TargetMode="External" /><Relationship Type="http://schemas.openxmlformats.org/officeDocument/2006/relationships/hyperlink" Id="rId98" Target="https://doi.org/10.3389/fpubh.2021.653599" TargetMode="External" /><Relationship Type="http://schemas.openxmlformats.org/officeDocument/2006/relationships/hyperlink" Id="rId134" Target="https://doi.org/10.3390/metabo10040162" TargetMode="External" /><Relationship Type="http://schemas.openxmlformats.org/officeDocument/2006/relationships/hyperlink" Id="rId142" Target="https://doi.org/10.3390/metabo12020137" TargetMode="External" /><Relationship Type="http://schemas.openxmlformats.org/officeDocument/2006/relationships/hyperlink" Id="rId150"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44"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0" Target="https://cran.r-project.org/package=vegan" TargetMode="External" /><Relationship Type="http://schemas.openxmlformats.org/officeDocument/2006/relationships/hyperlink" Id="rId90" Target="https://doi.org/10.1002/9781118445112.stat07841" TargetMode="External" /><Relationship Type="http://schemas.openxmlformats.org/officeDocument/2006/relationships/hyperlink" Id="rId94" Target="https://doi.org/10.1016/j.chroma.2006.05.019" TargetMode="External" /><Relationship Type="http://schemas.openxmlformats.org/officeDocument/2006/relationships/hyperlink" Id="rId92" Target="https://doi.org/10.1016/j.chroma.2022.463086" TargetMode="External" /><Relationship Type="http://schemas.openxmlformats.org/officeDocument/2006/relationships/hyperlink" Id="rId114" Target="https://doi.org/10.1016/j.jchromb.2019.04.009" TargetMode="External" /><Relationship Type="http://schemas.openxmlformats.org/officeDocument/2006/relationships/hyperlink" Id="rId128" Target="https://doi.org/10.1016/j.marchem.2015.06.029" TargetMode="External" /><Relationship Type="http://schemas.openxmlformats.org/officeDocument/2006/relationships/hyperlink" Id="rId146" Target="https://doi.org/10.1021/ac051437y" TargetMode="External" /><Relationship Type="http://schemas.openxmlformats.org/officeDocument/2006/relationships/hyperlink" Id="rId124" Target="https://doi.org/10.1021/ac902361f" TargetMode="External" /><Relationship Type="http://schemas.openxmlformats.org/officeDocument/2006/relationships/hyperlink" Id="rId118" Target="https://doi.org/10.1021/acs.analchem.1c01309" TargetMode="External" /><Relationship Type="http://schemas.openxmlformats.org/officeDocument/2006/relationships/hyperlink" Id="rId116" Target="https://doi.org/10.1021/acs.analchem.1c02220" TargetMode="External" /><Relationship Type="http://schemas.openxmlformats.org/officeDocument/2006/relationships/hyperlink" Id="rId122" Target="https://doi.org/10.1021/acs.analchem.2c04088" TargetMode="External" /><Relationship Type="http://schemas.openxmlformats.org/officeDocument/2006/relationships/hyperlink" Id="rId138" Target="https://doi.org/10.1021/acs.analchem.7b00947" TargetMode="External" /><Relationship Type="http://schemas.openxmlformats.org/officeDocument/2006/relationships/hyperlink" Id="rId136"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26" Target="https://doi.org/10.1021/acs.analchem.9b02983" TargetMode="External" /><Relationship Type="http://schemas.openxmlformats.org/officeDocument/2006/relationships/hyperlink" Id="rId132" Target="https://doi.org/10.1021/acs.analchem.9b04811" TargetMode="External" /><Relationship Type="http://schemas.openxmlformats.org/officeDocument/2006/relationships/hyperlink" Id="rId96" Target="https://doi.org/10.1029/2021GB007115" TargetMode="External" /><Relationship Type="http://schemas.openxmlformats.org/officeDocument/2006/relationships/hyperlink" Id="rId108" Target="https://doi.org/10.1080/00401706.1964.10490181" TargetMode="External" /><Relationship Type="http://schemas.openxmlformats.org/officeDocument/2006/relationships/hyperlink" Id="rId112" Target="https://doi.org/10.1093/bioinformatics/btab231" TargetMode="External" /><Relationship Type="http://schemas.openxmlformats.org/officeDocument/2006/relationships/hyperlink" Id="rId102" Target="https://doi.org/10.1093/bioinformatics/btq441" TargetMode="External" /><Relationship Type="http://schemas.openxmlformats.org/officeDocument/2006/relationships/hyperlink" Id="rId100" Target="https://doi.org/10.1111/j.2517-6161.1995.tb02031.x" TargetMode="External" /><Relationship Type="http://schemas.openxmlformats.org/officeDocument/2006/relationships/hyperlink" Id="rId104" Target="https://doi.org/10.1128/mSystems.00896-20" TargetMode="External" /><Relationship Type="http://schemas.openxmlformats.org/officeDocument/2006/relationships/hyperlink" Id="rId120" Target="https://doi.org/10.1128/mSystems.01334-20" TargetMode="External" /><Relationship Type="http://schemas.openxmlformats.org/officeDocument/2006/relationships/hyperlink" Id="rId148" Target="https://doi.org/10.1186/1471-2105-9-504" TargetMode="External" /><Relationship Type="http://schemas.openxmlformats.org/officeDocument/2006/relationships/hyperlink" Id="rId130" Target="https://doi.org/10.1186/s12859-015-0562-8" TargetMode="External" /><Relationship Type="http://schemas.openxmlformats.org/officeDocument/2006/relationships/hyperlink" Id="rId110" Target="https://doi.org/10.3389/fmars.2022.864796" TargetMode="External" /><Relationship Type="http://schemas.openxmlformats.org/officeDocument/2006/relationships/hyperlink" Id="rId98" Target="https://doi.org/10.3389/fpubh.2021.653599" TargetMode="External" /><Relationship Type="http://schemas.openxmlformats.org/officeDocument/2006/relationships/hyperlink" Id="rId134" Target="https://doi.org/10.3390/metabo10040162" TargetMode="External" /><Relationship Type="http://schemas.openxmlformats.org/officeDocument/2006/relationships/hyperlink" Id="rId142" Target="https://doi.org/10.3390/metabo12020137" TargetMode="External" /><Relationship Type="http://schemas.openxmlformats.org/officeDocument/2006/relationships/hyperlink" Id="rId150"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4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J. Hazelton, and Anitra E. Ingalls</dc:creator>
  <cp:keywords/>
  <dcterms:created xsi:type="dcterms:W3CDTF">2023-07-28T18:24:22Z</dcterms:created>
  <dcterms:modified xsi:type="dcterms:W3CDTF">2023-07-28T18:24:22Z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output">
    <vt:lpwstr/>
  </property>
</Properties>
</file>