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5.png" ContentType="image/png"/>
  <Override PartName="/word/media/rId26.png" ContentType="image/png"/>
  <Override PartName="/word/media/rId61.png" ContentType="image/png"/>
  <Override PartName="/word/media/rId46.png" ContentType="image/png"/>
  <Override PartName="/word/media/rId140.png" ContentType="image/png"/>
  <Override PartName="/word/media/rId137.png" ContentType="image/png"/>
  <Override PartName="/word/media/rId1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p>
    <w:p>
      <w:pPr>
        <w:pStyle w:val="Date"/>
      </w:pPr>
      <w:r>
        <w:t xml:space="preserve">2023-06-01</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peaks, a task that scales combinatorially with the number of samples and compounds measured. 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peak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peak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peaks also exceeding a 99% chance of being good, while the two-parameter model (consisting of the novel SNR metric and the peak shape correlation metric) had a flatter distribution with fewer high-confidence MF assignments and more intermediate values (Fig. 3).</w:t>
      </w:r>
    </w:p>
    <w:p>
      <w:pPr>
        <w:pStyle w:val="CaptionedFigure"/>
      </w:pPr>
      <w:r>
        <w:drawing>
          <wp:inline>
            <wp:extent cx="5943600" cy="3657600"/>
            <wp:effectExtent b="0" l="0" r="0" t="0"/>
            <wp:docPr descr="Figure 3: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3: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GPF values implying that a large majority of the good peaks passed the threshold with very little noise included. The XCMS metrics performed slightly worse, with FDR values in the 10-15% range and GPF values closer to 75%. The two-parameter model performed worst when tested internally, with an FDR of about 20% and %GPF also around 75% (Figure 4). However, when the models were trained on a different dataset than the one they were used to predict classifications for, all models had similar performance with %FDR around 10-25 and %GPF around 60-80. The model trained on MESOSCOPE and tested on Falkor had consistently higher values, indicating that it was favoring more peaks recovered at the cost of a higher FDR, while the reverse was true for the model trained on Falkor and tested on MESOSCOPE (Figure 4).</w:t>
      </w:r>
    </w:p>
    <w:p>
      <w:pPr>
        <w:pStyle w:val="CaptionedFigure"/>
      </w:pPr>
      <w:r>
        <w:drawing>
          <wp:inline>
            <wp:extent cx="5943600" cy="2743199"/>
            <wp:effectExtent b="0" l="0" r="0" t="0"/>
            <wp:docPr descr="Figure 4: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4: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5).</w:t>
      </w:r>
    </w:p>
    <w:p>
      <w:pPr>
        <w:pStyle w:val="CaptionedFigure"/>
      </w:pPr>
      <w:r>
        <w:drawing>
          <wp:inline>
            <wp:extent cx="5943600" cy="4572000"/>
            <wp:effectExtent b="0" l="0" r="0" t="0"/>
            <wp:docPr descr="Figure 5: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6]. Of course, this low error rate required that we miss out on additional potentially valuable features, with only a fraction of the total good peaks making it past this threshold. In both the Falkor and MESOSCOPE datasets, less than half of the good peaks were labeled as such, with actual values of 39.4% and 26.5%, respectively. Since we did not label the complete dataset for CultureData and Pttime, we cannot accurately calculate the %GPF but expect it to be in a similar range (Figure 6).</w:t>
      </w:r>
    </w:p>
    <w:p>
      <w:pPr>
        <w:pStyle w:val="CaptionedFigure"/>
      </w:pPr>
      <w:r>
        <w:drawing>
          <wp:inline>
            <wp:extent cx="2752374" cy="3669832"/>
            <wp:effectExtent b="0" l="0" r="0" t="0"/>
            <wp:docPr descr="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7).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peaks were removed from this analysis. Good features were most commonly found to have their highest concentrations at the DCM or the surface, rather than being fixed with respect to depth. Of the 182 good peaks,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peaks corresponded to instrument noise, which we did not expect to have any biological trend. Further investigation of a few randomly selected bad features with a biological difference revealed the reason behind this: most of those investigated were actually tails of other peaks.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peaks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(Figure XX).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XX: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XX: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4"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good peaks found (GPF, also known as the recall or sensitivity) and the percentage of bad peaks included or false discovery rate (FDR). We also chose these metrics because they are independent of the number of true negatives detected. This was a concern because we did not want to create a situation in which the algorithm is rewarded for artificially increasing the number of overall bad peaks, only to later remove them. Similarly,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w:t>
      </w:r>
      <w:r>
        <w:t xml:space="preserve">(Pirttilä et al. 2022; Guo et al. 2021; Müller et al. 2020)</w:t>
      </w:r>
      <w:r>
        <w:t xml:space="preserve"> </w:t>
      </w:r>
      <w:r>
        <w:t xml:space="preserve">Most existing peakpicking literature uses the single-file EIC peak as the core bit of training data, but that approach ignores critical information obtained elsewhere in the MS run that can change the judgement made on a single chromatogram. Features that are high quality are typically represented in multiple files, especially in QC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Of course, this approach inherits all the difficulties of summary statistic calculations. The authors spent many hours discussing the implications of differences between mean and median values, but in general this approach produced more confidence than any single-file EIC.</w:t>
      </w:r>
    </w:p>
    <w:bookmarkStart w:id="52" w:name="X13b592fdb80f0175b3a015601ebe2cd5a748477"/>
    <w:p>
      <w:pPr>
        <w:pStyle w:val="Heading3"/>
      </w:pPr>
      <w:r>
        <w:t xml:space="preserve">Two-parameter logistic regression model with raw data metrics showed the most reliable performance</w:t>
      </w:r>
    </w:p>
    <w:p>
      <w:pPr>
        <w:pStyle w:val="FirstParagraph"/>
      </w:pPr>
      <w:r>
        <w:t xml:space="preserve">These two measures of success were then used to explore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w:t>
      </w:r>
    </w:p>
    <w:p>
      <w:pPr>
        <w:pStyle w:val="BodyText"/>
      </w:pPr>
      <w:r>
        <w:t xml:space="preserve">The logistic regression in particular was favored over the random forest and regularized regression we tried due to their similar performance and increased interpretability (Supp. figure XX). In the literature, more complex models have also shown similar or better performance but typically require larger training sets and are fundamentally uninterpretable.</w:t>
      </w:r>
      <w:r>
        <w:t xml:space="preserve">(Pirttilä et al. 2022 and references therein)</w:t>
      </w:r>
    </w:p>
    <w:p>
      <w:pPr>
        <w:pStyle w:val="BodyText"/>
      </w:pPr>
      <w:r>
        <w:t xml:space="preserve">Guo et al. (2021)</w:t>
      </w:r>
      <w:r>
        <w:t xml:space="preserve"> </w:t>
      </w:r>
      <w:r>
        <w:t xml:space="preserve">(EVA): Accuracy of 90-95% but did not distinguish between false positives and false negatives. Likely driven by the large number of bad peaks - here, our accuracy with a threshold of 0.5 was 92.1% for Falkor and 94.4% for MESOSCOPE.</w:t>
      </w:r>
    </w:p>
    <w:p>
      <w:pPr>
        <w:pStyle w:val="BodyText"/>
      </w:pPr>
      <w:r>
        <w:t xml:space="preserve">Accuracy is a problematic metric because if just predicting everything as</w:t>
      </w:r>
      <w:r>
        <w:t xml:space="preserve"> </w:t>
      </w:r>
      <w:r>
        <w:t xml:space="preserve">“</w:t>
      </w:r>
      <w:r>
        <w:t xml:space="preserve">Bad</w:t>
      </w:r>
      <w:r>
        <w:t xml:space="preserve">”</w:t>
      </w:r>
      <w:r>
        <w:t xml:space="preserve"> </w:t>
      </w:r>
      <w:r>
        <w:t xml:space="preserve">was 82.4% and 86.4%, respectively. Might be slightly facetious, but this was essentially what happened for a good number of the individual predictors - none of the smoothing curves exceeded 50% likelihood (Supp figure XX).</w:t>
      </w:r>
    </w:p>
    <w:p>
      <w:pPr>
        <w:pStyle w:val="BodyText"/>
      </w:pPr>
      <w:r>
        <w:t xml:space="preserve">This is why we chose to measure GPF and FDR instead of total accuracy. Not directly comparable datasets though and we’ve definitely got the advantage of using a half-internal training set.</w:t>
      </w:r>
    </w:p>
    <w:p>
      <w:pPr>
        <w:pStyle w:val="BodyText"/>
      </w:pPr>
      <w:r>
        <w:t xml:space="preserve">Melnikov, Tsentalovich, and Yanshole (2020)</w:t>
      </w:r>
      <w:r>
        <w:t xml:space="preserve"> </w:t>
      </w:r>
      <w:r>
        <w:t xml:space="preserve">(peakonly): Accuracy of 89%, precision of 97% and a recall of 89%</w:t>
      </w:r>
      <w:r>
        <w:t xml:space="preserve"> </w:t>
      </w:r>
      <w:r>
        <w:t xml:space="preserve">Versus our precision (PPV) of 95.6% and recall (sensitivity) of 94.6% for Falkor</w:t>
      </w:r>
      <w:r>
        <w:t xml:space="preserve"> </w:t>
      </w:r>
      <w:r>
        <w:t xml:space="preserve">Versus our precision (PPV) of 95.9% and recall (sensitivity) of 97.7% for MESOSCOPE</w:t>
      </w:r>
      <w:r>
        <w:t xml:space="preserve"> </w:t>
      </w:r>
      <w:r>
        <w:t xml:space="preserve">Gloaguen, Kirwan, and Beule (2022)</w:t>
      </w:r>
      <w:r>
        <w:t xml:space="preserve"> </w:t>
      </w:r>
      <w:r>
        <w:t xml:space="preserve">(NeatMS): Claims universally superior performance to peakonly</w:t>
      </w:r>
    </w:p>
    <w:p>
      <w:pPr>
        <w:pStyle w:val="BodyText"/>
      </w:pPr>
      <w:r>
        <w:t xml:space="preserve">These deep learning methods in particular are challenging because they do not produce overall quality scores and the tradeoff between false positives and false negatives is fixed regardless of experimental priorities.</w:t>
      </w:r>
    </w:p>
    <w:p>
      <w:pPr>
        <w:pStyle w:val="BodyText"/>
      </w:pPr>
      <w:r>
        <w:t xml:space="preserve">The two metrics in the final model were derived from the raw EIC data rather than any summary statistic calculated by XCMS automaticallyand were implemented because they matched our intuition about what makes an MF look good to an MS expert. It is worth noting that these are very simple metrics and therefore fast to calculate, but we expect that more complicated metrics could perform even better. For example,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and that the centWave algorithm essentially uses this information already during the wavelet fitting, but still proved to be a highly effective check on noise inclusion.</w:t>
      </w:r>
      <w:r>
        <w:t xml:space="preserve">(Ipsen et al. 2010)</w:t>
      </w:r>
      <w:r>
        <w:t xml:space="preserve"> </w:t>
      </w:r>
      <w:r>
        <w:t xml:space="preserve">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w:t>
      </w:r>
    </w:p>
    <w:p>
      <w:pPr>
        <w:pStyle w:val="BodyText"/>
      </w:pPr>
      <w:r>
        <w:t xml:space="preserve">We were surprised at the poor performance of several other metrics. The isotope information in particular was expected to be a very strong predictor of peak quality given previous work that uses this metric extensively.</w:t>
      </w:r>
      <w:r>
        <w:t xml:space="preserve">(Libiseller et al. 2015; Treutler and Neumann 2016; El Abiead et al. 2021)</w:t>
      </w:r>
      <w:r>
        <w:t xml:space="preserve"> </w:t>
      </w:r>
      <w:r>
        <w:t xml:space="preserve">We learned that many noise peaks still have reliable isotopes (perhaps unsurprising, given that the noise is in fact often caused by solvents or contaminants that are still chemical in nature) and that many real peaks are simply too low-intensity to have them in this kind of dilute environmental sample. We also showed that the automatically calculated SNR parameter from XCMS is not especially useful in distinguishing signal from noise. After inspecting a selection of peaks that had anomalous values for this metric, we are inclined to agree with</w:t>
      </w:r>
      <w:r>
        <w:t xml:space="preserve"> </w:t>
      </w:r>
      <w:r>
        <w:t xml:space="preserve">(Myers et al. 2017)</w:t>
      </w:r>
      <w:r>
        <w:t xml:space="preserve"> </w:t>
      </w:r>
      <w:r>
        <w:t xml:space="preserve">and conclude that this is often due to insufficient data outside of the peak for a robust calculation of noise level. Finally, we were surprised to find essentially no predictive power offered by peak area or intensity, with good peaks distributed almost identically to the bad peaks in this space. This cautions strongly against an arbitrarily-decided intensity threshold for winnowing down the number of MFs, in agreement with previous work.</w:t>
      </w:r>
      <w:r>
        <w:t xml:space="preserve">(Houriet et al. 2022; Barupal et al. 2021)</w:t>
      </w:r>
    </w:p>
    <w:p>
      <w:pPr>
        <w:pStyle w:val="BodyText"/>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XX). One important caveat to note is that for the partially-labelled CultureData and Pttime datasets, there exists an uncontrolled degree of experimenter bias because the MS expert responsible for labeling did know that these peaks were all expected to be good. However, given that we do still see poor-quality peaks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XX).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2"/>
    <w:bookmarkStart w:id="53"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peaks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peak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3"/>
    <w:bookmarkEnd w:id="54"/>
    <w:bookmarkStart w:id="55" w:name="conclusions-1"/>
    <w:p>
      <w:pPr>
        <w:pStyle w:val="Heading2"/>
      </w:pPr>
      <w:r>
        <w:t xml:space="preserve">Conclusions</w:t>
      </w:r>
    </w:p>
    <w:p>
      <w:pPr>
        <w:pStyle w:val="FirstParagraph"/>
      </w:pPr>
      <w:r>
        <w:t xml:space="preserve">The large number of noise peaks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5"/>
    <w:bookmarkStart w:id="73" w:name="methods"/>
    <w:p>
      <w:pPr>
        <w:pStyle w:val="Heading2"/>
      </w:pPr>
      <w:r>
        <w:t xml:space="preserve">Methods</w:t>
      </w:r>
    </w:p>
    <w:bookmarkStart w:id="56"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6"/>
    <w:bookmarkStart w:id="57"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57"/>
    <w:bookmarkStart w:id="58"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58"/>
    <w:bookmarkStart w:id="59"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59"/>
    <w:bookmarkStart w:id="60"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0"/>
    <w:bookmarkStart w:id="64"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peak. [Fig 1.]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 1].</w:t>
      </w:r>
    </w:p>
    <w:p>
      <w:pPr>
        <w:pStyle w:val="CaptionedFigure"/>
      </w:pPr>
      <w:r>
        <w:drawing>
          <wp:inline>
            <wp:extent cx="5943600" cy="2743199"/>
            <wp:effectExtent b="0" l="0" r="0" t="0"/>
            <wp:docPr descr="Figure 1: Randomly selected ion chromatograms from both “Good” (top row) and “Bad” (bottom row) manual classifications, colored by the depth from which the biological sample was taken. DCM = deep chlorophyll maximum, approximately 110 meters." title="" id="62" name="Picture"/>
            <a:graphic>
              <a:graphicData uri="http://schemas.openxmlformats.org/drawingml/2006/picture">
                <pic:pic>
                  <pic:nvPicPr>
                    <pic:cNvPr descr="figures/somegood_somebad_depthcolor_chroms.png" id="63" name="Picture"/>
                    <pic:cNvPicPr>
                      <a:picLocks noChangeArrowheads="1" noChangeAspect="1"/>
                    </pic:cNvPicPr>
                  </pic:nvPicPr>
                  <pic:blipFill>
                    <a:blip r:embed="rId61"/>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1: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4"/>
    <w:bookmarkStart w:id="68"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 2].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 2].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2: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6" name="Picture"/>
            <a:graphic>
              <a:graphicData uri="http://schemas.openxmlformats.org/drawingml/2006/picture">
                <pic:pic>
                  <pic:nvPicPr>
                    <pic:cNvPr descr="figures/peakmetrics_singlechrom.png" id="67" name="Picture"/>
                    <pic:cNvPicPr>
                      <a:picLocks noChangeArrowheads="1" noChangeAspect="1"/>
                    </pic:cNvPicPr>
                  </pic:nvPicPr>
                  <pic:blipFill>
                    <a:blip r:embed="rId65"/>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2: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68"/>
    <w:bookmarkStart w:id="69"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peaks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69"/>
    <w:bookmarkStart w:id="70"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peaks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peaks.</w:t>
      </w:r>
    </w:p>
    <w:bookmarkEnd w:id="70"/>
    <w:bookmarkStart w:id="72"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71">
        <w:r>
          <w:rPr>
            <w:rStyle w:val="Hyperlink"/>
          </w:rPr>
          <w:t xml:space="preserve">https://github.com/wkumler/MS_metrics</w:t>
        </w:r>
      </w:hyperlink>
      <w:r>
        <w:t xml:space="preserve">.</w:t>
      </w:r>
      <w:r>
        <w:t xml:space="preserve">(R Core Team 2022)</w:t>
      </w:r>
    </w:p>
    <w:bookmarkEnd w:id="72"/>
    <w:bookmarkEnd w:id="73"/>
    <w:bookmarkStart w:id="74"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GPF: Good Peaks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4"/>
    <w:bookmarkStart w:id="75" w:name="acknowledgements"/>
    <w:p>
      <w:pPr>
        <w:pStyle w:val="Heading2"/>
      </w:pPr>
      <w:r>
        <w:t xml:space="preserve">Acknowledgements</w:t>
      </w:r>
    </w:p>
    <w:bookmarkEnd w:id="75"/>
    <w:bookmarkStart w:id="133" w:name="references"/>
    <w:p>
      <w:pPr>
        <w:pStyle w:val="Heading2"/>
      </w:pPr>
      <w:r>
        <w:t xml:space="preserve">References</w:t>
      </w:r>
    </w:p>
    <w:bookmarkStart w:id="132" w:name="refs"/>
    <w:bookmarkStart w:id="77"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76">
        <w:r>
          <w:rPr>
            <w:rStyle w:val="Hyperlink"/>
          </w:rPr>
          <w:t xml:space="preserve">https://doi.org/10.1002/9781118445112.stat07841</w:t>
        </w:r>
      </w:hyperlink>
      <w:r>
        <w:t xml:space="preserve">.</w:t>
      </w:r>
    </w:p>
    <w:bookmarkEnd w:id="77"/>
    <w:bookmarkStart w:id="79"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78">
        <w:r>
          <w:rPr>
            <w:rStyle w:val="Hyperlink"/>
          </w:rPr>
          <w:t xml:space="preserve">https://doi.org/10.1016/j.chroma.2006.05.019</w:t>
        </w:r>
      </w:hyperlink>
      <w:r>
        <w:t xml:space="preserve">.</w:t>
      </w:r>
    </w:p>
    <w:bookmarkEnd w:id="79"/>
    <w:bookmarkStart w:id="81"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80">
        <w:r>
          <w:rPr>
            <w:rStyle w:val="Hyperlink"/>
          </w:rPr>
          <w:t xml:space="preserve">https://doi.org/10.1029/2021GB007115</w:t>
        </w:r>
      </w:hyperlink>
      <w:r>
        <w:t xml:space="preserve">.</w:t>
      </w:r>
    </w:p>
    <w:bookmarkEnd w:id="81"/>
    <w:bookmarkStart w:id="83"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82">
        <w:r>
          <w:rPr>
            <w:rStyle w:val="Hyperlink"/>
          </w:rPr>
          <w:t xml:space="preserve">https://doi.org/10.3389/fpubh.2021.653599</w:t>
        </w:r>
      </w:hyperlink>
      <w:r>
        <w:t xml:space="preserve">.</w:t>
      </w:r>
    </w:p>
    <w:bookmarkEnd w:id="83"/>
    <w:bookmarkStart w:id="85"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84">
        <w:r>
          <w:rPr>
            <w:rStyle w:val="Hyperlink"/>
          </w:rPr>
          <w:t xml:space="preserve">https://doi.org/10.1111/j.2517-6161.1995.tb02031.x</w:t>
        </w:r>
      </w:hyperlink>
      <w:r>
        <w:t xml:space="preserve">.</w:t>
      </w:r>
    </w:p>
    <w:bookmarkEnd w:id="85"/>
    <w:bookmarkStart w:id="87"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86">
        <w:r>
          <w:rPr>
            <w:rStyle w:val="Hyperlink"/>
          </w:rPr>
          <w:t xml:space="preserve">https://doi.org/10.1093/bioinformatics/btq441</w:t>
        </w:r>
      </w:hyperlink>
      <w:r>
        <w:t xml:space="preserve">.</w:t>
      </w:r>
    </w:p>
    <w:bookmarkEnd w:id="87"/>
    <w:bookmarkStart w:id="89"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88">
        <w:r>
          <w:rPr>
            <w:rStyle w:val="Hyperlink"/>
          </w:rPr>
          <w:t xml:space="preserve">https://doi.org/10.1128/mSystems.00896-20</w:t>
        </w:r>
      </w:hyperlink>
      <w:r>
        <w:t xml:space="preserve">.</w:t>
      </w:r>
    </w:p>
    <w:bookmarkEnd w:id="89"/>
    <w:bookmarkStart w:id="91"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90">
        <w:r>
          <w:rPr>
            <w:rStyle w:val="Hyperlink"/>
          </w:rPr>
          <w:t xml:space="preserve">https://doi.org/10.1021/acs.analchem.7b04400</w:t>
        </w:r>
      </w:hyperlink>
      <w:r>
        <w:t xml:space="preserve">.</w:t>
      </w:r>
    </w:p>
    <w:bookmarkEnd w:id="91"/>
    <w:bookmarkStart w:id="93"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92">
        <w:r>
          <w:rPr>
            <w:rStyle w:val="Hyperlink"/>
          </w:rPr>
          <w:t xml:space="preserve">https://doi.org/10.1080/00401706.1964.10490181</w:t>
        </w:r>
      </w:hyperlink>
      <w:r>
        <w:t xml:space="preserve">.</w:t>
      </w:r>
    </w:p>
    <w:bookmarkEnd w:id="93"/>
    <w:bookmarkStart w:id="95"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94">
        <w:r>
          <w:rPr>
            <w:rStyle w:val="Hyperlink"/>
          </w:rPr>
          <w:t xml:space="preserve">https://doi.org/10.3389/fmars.2022.864796</w:t>
        </w:r>
      </w:hyperlink>
      <w:r>
        <w:t xml:space="preserve">.</w:t>
      </w:r>
    </w:p>
    <w:bookmarkEnd w:id="95"/>
    <w:bookmarkStart w:id="97"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96">
        <w:r>
          <w:rPr>
            <w:rStyle w:val="Hyperlink"/>
          </w:rPr>
          <w:t xml:space="preserve">https://doi.org/10.1093/bioinformatics/btab231</w:t>
        </w:r>
      </w:hyperlink>
      <w:r>
        <w:t xml:space="preserve">.</w:t>
      </w:r>
    </w:p>
    <w:bookmarkEnd w:id="97"/>
    <w:bookmarkStart w:id="99"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98">
        <w:r>
          <w:rPr>
            <w:rStyle w:val="Hyperlink"/>
          </w:rPr>
          <w:t xml:space="preserve">https://doi.org/10.1016/j.jchromb.2019.04.009</w:t>
        </w:r>
      </w:hyperlink>
      <w:r>
        <w:t xml:space="preserve">.</w:t>
      </w:r>
    </w:p>
    <w:bookmarkEnd w:id="99"/>
    <w:bookmarkStart w:id="101"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00">
        <w:r>
          <w:rPr>
            <w:rStyle w:val="Hyperlink"/>
          </w:rPr>
          <w:t xml:space="preserve">https://doi.org/10.1021/acs.analchem.1c02220</w:t>
        </w:r>
      </w:hyperlink>
      <w:r>
        <w:t xml:space="preserve">.</w:t>
      </w:r>
    </w:p>
    <w:bookmarkEnd w:id="101"/>
    <w:bookmarkStart w:id="103"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02">
        <w:r>
          <w:rPr>
            <w:rStyle w:val="Hyperlink"/>
          </w:rPr>
          <w:t xml:space="preserve">https://doi.org/10.1021/acs.analchem.1c01309</w:t>
        </w:r>
      </w:hyperlink>
      <w:r>
        <w:t xml:space="preserve">.</w:t>
      </w:r>
    </w:p>
    <w:bookmarkEnd w:id="103"/>
    <w:bookmarkStart w:id="105"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04">
        <w:r>
          <w:rPr>
            <w:rStyle w:val="Hyperlink"/>
          </w:rPr>
          <w:t xml:space="preserve">https://doi.org/10.1128/mSystems.01334-20</w:t>
        </w:r>
      </w:hyperlink>
      <w:r>
        <w:t xml:space="preserve">.</w:t>
      </w:r>
    </w:p>
    <w:bookmarkEnd w:id="105"/>
    <w:bookmarkStart w:id="107"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06">
        <w:r>
          <w:rPr>
            <w:rStyle w:val="Hyperlink"/>
          </w:rPr>
          <w:t xml:space="preserve">https://doi.org/10.1021/acs.analchem.2c04088</w:t>
        </w:r>
      </w:hyperlink>
      <w:r>
        <w:t xml:space="preserve">.</w:t>
      </w:r>
    </w:p>
    <w:bookmarkEnd w:id="107"/>
    <w:bookmarkStart w:id="109"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08">
        <w:r>
          <w:rPr>
            <w:rStyle w:val="Hyperlink"/>
          </w:rPr>
          <w:t xml:space="preserve">https://doi.org/10.1021/ac902361f</w:t>
        </w:r>
      </w:hyperlink>
      <w:r>
        <w:t xml:space="preserve">.</w:t>
      </w:r>
    </w:p>
    <w:bookmarkEnd w:id="109"/>
    <w:bookmarkStart w:id="111"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10">
        <w:r>
          <w:rPr>
            <w:rStyle w:val="Hyperlink"/>
          </w:rPr>
          <w:t xml:space="preserve">https://doi.org/10.1016/j.marchem.2015.06.029</w:t>
        </w:r>
      </w:hyperlink>
      <w:r>
        <w:t xml:space="preserve">.</w:t>
      </w:r>
    </w:p>
    <w:bookmarkEnd w:id="111"/>
    <w:bookmarkStart w:id="113"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12">
        <w:r>
          <w:rPr>
            <w:rStyle w:val="Hyperlink"/>
          </w:rPr>
          <w:t xml:space="preserve">https://doi.org/10.1186/s12859-015-0562-8</w:t>
        </w:r>
      </w:hyperlink>
      <w:r>
        <w:t xml:space="preserve">.</w:t>
      </w:r>
    </w:p>
    <w:bookmarkEnd w:id="113"/>
    <w:bookmarkStart w:id="115"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14">
        <w:r>
          <w:rPr>
            <w:rStyle w:val="Hyperlink"/>
          </w:rPr>
          <w:t xml:space="preserve">https://doi.org/10.1021/acs.analchem.9b04811</w:t>
        </w:r>
      </w:hyperlink>
      <w:r>
        <w:t xml:space="preserve">.</w:t>
      </w:r>
    </w:p>
    <w:bookmarkEnd w:id="115"/>
    <w:bookmarkStart w:id="117"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16">
        <w:r>
          <w:rPr>
            <w:rStyle w:val="Hyperlink"/>
          </w:rPr>
          <w:t xml:space="preserve">https://doi.org/10.3390/metabo10040162</w:t>
        </w:r>
      </w:hyperlink>
      <w:r>
        <w:t xml:space="preserve">.</w:t>
      </w:r>
    </w:p>
    <w:bookmarkEnd w:id="117"/>
    <w:bookmarkStart w:id="119" w:name="ref-Myers2017"/>
    <w:p>
      <w:pPr>
        <w:pStyle w:val="Bibliography"/>
      </w:pPr>
      <w:r>
        <w:t xml:space="preserve">Myers, Owen D., Susan J. Sumner, Shuzhao Li, Stephen Barnes, and Xiuxia Du. 2017.</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18">
        <w:r>
          <w:rPr>
            <w:rStyle w:val="Hyperlink"/>
          </w:rPr>
          <w:t xml:space="preserve">https://doi.org/10.1021/acs.analchem.7b00947</w:t>
        </w:r>
      </w:hyperlink>
      <w:r>
        <w:t xml:space="preserve">.</w:t>
      </w:r>
    </w:p>
    <w:bookmarkEnd w:id="119"/>
    <w:bookmarkStart w:id="12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20">
        <w:r>
          <w:rPr>
            <w:rStyle w:val="Hyperlink"/>
          </w:rPr>
          <w:t xml:space="preserve">https://cran.r-project.org/package=vegan</w:t>
        </w:r>
      </w:hyperlink>
      <w:r>
        <w:t xml:space="preserve">.</w:t>
      </w:r>
    </w:p>
    <w:bookmarkEnd w:id="121"/>
    <w:bookmarkStart w:id="12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22">
        <w:r>
          <w:rPr>
            <w:rStyle w:val="Hyperlink"/>
          </w:rPr>
          <w:t xml:space="preserve">https://doi.org/10.3390/metabo12020137</w:t>
        </w:r>
      </w:hyperlink>
      <w:r>
        <w:t xml:space="preserve">.</w:t>
      </w:r>
    </w:p>
    <w:bookmarkEnd w:id="123"/>
    <w:bookmarkStart w:id="12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24">
        <w:r>
          <w:rPr>
            <w:rStyle w:val="Hyperlink"/>
          </w:rPr>
          <w:t xml:space="preserve">https://www.r-project.org/</w:t>
        </w:r>
      </w:hyperlink>
      <w:r>
        <w:t xml:space="preserve">.</w:t>
      </w:r>
    </w:p>
    <w:bookmarkEnd w:id="125"/>
    <w:bookmarkStart w:id="12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26">
        <w:r>
          <w:rPr>
            <w:rStyle w:val="Hyperlink"/>
          </w:rPr>
          <w:t xml:space="preserve">https://doi.org/10.1021/ac051437y</w:t>
        </w:r>
      </w:hyperlink>
      <w:r>
        <w:t xml:space="preserve">.</w:t>
      </w:r>
    </w:p>
    <w:bookmarkEnd w:id="127"/>
    <w:bookmarkStart w:id="12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28">
        <w:r>
          <w:rPr>
            <w:rStyle w:val="Hyperlink"/>
          </w:rPr>
          <w:t xml:space="preserve">https://doi.org/10.1186/1471-2105-9-504</w:t>
        </w:r>
      </w:hyperlink>
      <w:r>
        <w:t xml:space="preserve">.</w:t>
      </w:r>
    </w:p>
    <w:bookmarkEnd w:id="129"/>
    <w:bookmarkStart w:id="13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30">
        <w:r>
          <w:rPr>
            <w:rStyle w:val="Hyperlink"/>
          </w:rPr>
          <w:t xml:space="preserve">https://doi.org/10.3390/metabo6040037</w:t>
        </w:r>
      </w:hyperlink>
      <w:r>
        <w:t xml:space="preserve">.</w:t>
      </w:r>
    </w:p>
    <w:bookmarkEnd w:id="131"/>
    <w:bookmarkEnd w:id="132"/>
    <w:bookmarkEnd w:id="133"/>
    <w:bookmarkStart w:id="143"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35" name="Picture"/>
            <a:graphic>
              <a:graphicData uri="http://schemas.openxmlformats.org/drawingml/2006/picture">
                <pic:pic>
                  <pic:nvPicPr>
                    <pic:cNvPr descr="supplement/suppfig_model_param_estimates.png" id="136" name="Picture"/>
                    <pic:cNvPicPr>
                      <a:picLocks noChangeArrowheads="1" noChangeAspect="1"/>
                    </pic:cNvPicPr>
                  </pic:nvPicPr>
                  <pic:blipFill>
                    <a:blip r:embed="rId134"/>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38" name="Picture"/>
            <a:graphic>
              <a:graphicData uri="http://schemas.openxmlformats.org/drawingml/2006/picture">
                <pic:pic>
                  <pic:nvPicPr>
                    <pic:cNvPr descr="supplement/sampled_model_est.png" id="139" name="Picture"/>
                    <pic:cNvPicPr>
                      <a:picLocks noChangeArrowheads="1" noChangeAspect="1"/>
                    </pic:cNvPicPr>
                  </pic:nvPicPr>
                  <pic:blipFill>
                    <a:blip r:embed="rId137"/>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41" name="Picture"/>
            <a:graphic>
              <a:graphicData uri="http://schemas.openxmlformats.org/drawingml/2006/picture">
                <pic:pic>
                  <pic:nvPicPr>
                    <pic:cNvPr descr="supplement/regregrf_fdrgpf_cross_train.png" id="142" name="Picture"/>
                    <pic:cNvPicPr>
                      <a:picLocks noChangeArrowheads="1" noChangeAspect="1"/>
                    </pic:cNvPicPr>
                  </pic:nvPicPr>
                  <pic:blipFill>
                    <a:blip r:embed="rId140"/>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43"/>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46" Target="media/rId46.png" /><Relationship Type="http://schemas.openxmlformats.org/officeDocument/2006/relationships/image" Id="rId140" Target="media/rId140.png" /><Relationship Type="http://schemas.openxmlformats.org/officeDocument/2006/relationships/image" Id="rId137" Target="media/rId137.png" /><Relationship Type="http://schemas.openxmlformats.org/officeDocument/2006/relationships/image" Id="rId134" Target="media/rId134.png" /><Relationship Type="http://schemas.openxmlformats.org/officeDocument/2006/relationships/hyperlink" Id="rId120" Target="https://cran.r-project.org/package=vegan" TargetMode="External" /><Relationship Type="http://schemas.openxmlformats.org/officeDocument/2006/relationships/hyperlink" Id="rId76" Target="https://doi.org/10.1002/9781118445112.stat07841" TargetMode="External" /><Relationship Type="http://schemas.openxmlformats.org/officeDocument/2006/relationships/hyperlink" Id="rId78" Target="https://doi.org/10.1016/j.chroma.2006.05.019" TargetMode="External" /><Relationship Type="http://schemas.openxmlformats.org/officeDocument/2006/relationships/hyperlink" Id="rId98" Target="https://doi.org/10.1016/j.jchromb.2019.04.009" TargetMode="External" /><Relationship Type="http://schemas.openxmlformats.org/officeDocument/2006/relationships/hyperlink" Id="rId110" Target="https://doi.org/10.1016/j.marchem.2015.06.029" TargetMode="External" /><Relationship Type="http://schemas.openxmlformats.org/officeDocument/2006/relationships/hyperlink" Id="rId126" Target="https://doi.org/10.1021/ac051437y" TargetMode="External" /><Relationship Type="http://schemas.openxmlformats.org/officeDocument/2006/relationships/hyperlink" Id="rId108" Target="https://doi.org/10.1021/ac902361f" TargetMode="External" /><Relationship Type="http://schemas.openxmlformats.org/officeDocument/2006/relationships/hyperlink" Id="rId102" Target="https://doi.org/10.1021/acs.analchem.1c01309" TargetMode="External" /><Relationship Type="http://schemas.openxmlformats.org/officeDocument/2006/relationships/hyperlink" Id="rId100" Target="https://doi.org/10.1021/acs.analchem.1c02220" TargetMode="External" /><Relationship Type="http://schemas.openxmlformats.org/officeDocument/2006/relationships/hyperlink" Id="rId106" Target="https://doi.org/10.1021/acs.analchem.2c04088" TargetMode="External" /><Relationship Type="http://schemas.openxmlformats.org/officeDocument/2006/relationships/hyperlink" Id="rId118" Target="https://doi.org/10.1021/acs.analchem.7b00947" TargetMode="External" /><Relationship Type="http://schemas.openxmlformats.org/officeDocument/2006/relationships/hyperlink" Id="rId90" Target="https://doi.org/10.1021/acs.analchem.7b04400" TargetMode="External" /><Relationship Type="http://schemas.openxmlformats.org/officeDocument/2006/relationships/hyperlink" Id="rId114" Target="https://doi.org/10.1021/acs.analchem.9b04811" TargetMode="External" /><Relationship Type="http://schemas.openxmlformats.org/officeDocument/2006/relationships/hyperlink" Id="rId80" Target="https://doi.org/10.1029/2021GB007115" TargetMode="External" /><Relationship Type="http://schemas.openxmlformats.org/officeDocument/2006/relationships/hyperlink" Id="rId92" Target="https://doi.org/10.1080/00401706.1964.10490181" TargetMode="External" /><Relationship Type="http://schemas.openxmlformats.org/officeDocument/2006/relationships/hyperlink" Id="rId96" Target="https://doi.org/10.1093/bioinformatics/btab231" TargetMode="External" /><Relationship Type="http://schemas.openxmlformats.org/officeDocument/2006/relationships/hyperlink" Id="rId86" Target="https://doi.org/10.1093/bioinformatics/btq441" TargetMode="External" /><Relationship Type="http://schemas.openxmlformats.org/officeDocument/2006/relationships/hyperlink" Id="rId84" Target="https://doi.org/10.1111/j.2517-6161.1995.tb02031.x" TargetMode="External" /><Relationship Type="http://schemas.openxmlformats.org/officeDocument/2006/relationships/hyperlink" Id="rId88" Target="https://doi.org/10.1128/mSystems.00896-20" TargetMode="External" /><Relationship Type="http://schemas.openxmlformats.org/officeDocument/2006/relationships/hyperlink" Id="rId104" Target="https://doi.org/10.1128/mSystems.01334-20" TargetMode="External" /><Relationship Type="http://schemas.openxmlformats.org/officeDocument/2006/relationships/hyperlink" Id="rId128" Target="https://doi.org/10.1186/1471-2105-9-504" TargetMode="External" /><Relationship Type="http://schemas.openxmlformats.org/officeDocument/2006/relationships/hyperlink" Id="rId112" Target="https://doi.org/10.1186/s12859-015-0562-8" TargetMode="External" /><Relationship Type="http://schemas.openxmlformats.org/officeDocument/2006/relationships/hyperlink" Id="rId94" Target="https://doi.org/10.3389/fmars.2022.864796" TargetMode="External" /><Relationship Type="http://schemas.openxmlformats.org/officeDocument/2006/relationships/hyperlink" Id="rId82" Target="https://doi.org/10.3389/fpubh.2021.653599" TargetMode="External" /><Relationship Type="http://schemas.openxmlformats.org/officeDocument/2006/relationships/hyperlink" Id="rId116" Target="https://doi.org/10.3390/metabo10040162" TargetMode="External" /><Relationship Type="http://schemas.openxmlformats.org/officeDocument/2006/relationships/hyperlink" Id="rId122" Target="https://doi.org/10.3390/metabo12020137" TargetMode="External" /><Relationship Type="http://schemas.openxmlformats.org/officeDocument/2006/relationships/hyperlink" Id="rId130" Target="https://doi.org/10.3390/metabo6040037" TargetMode="External" /><Relationship Type="http://schemas.openxmlformats.org/officeDocument/2006/relationships/hyperlink" Id="rId71" Target="https://github.com/wkumler/MS_metrics" TargetMode="External" /><Relationship Type="http://schemas.openxmlformats.org/officeDocument/2006/relationships/hyperlink" Id="rId12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20" Target="https://cran.r-project.org/package=vegan" TargetMode="External" /><Relationship Type="http://schemas.openxmlformats.org/officeDocument/2006/relationships/hyperlink" Id="rId76" Target="https://doi.org/10.1002/9781118445112.stat07841" TargetMode="External" /><Relationship Type="http://schemas.openxmlformats.org/officeDocument/2006/relationships/hyperlink" Id="rId78" Target="https://doi.org/10.1016/j.chroma.2006.05.019" TargetMode="External" /><Relationship Type="http://schemas.openxmlformats.org/officeDocument/2006/relationships/hyperlink" Id="rId98" Target="https://doi.org/10.1016/j.jchromb.2019.04.009" TargetMode="External" /><Relationship Type="http://schemas.openxmlformats.org/officeDocument/2006/relationships/hyperlink" Id="rId110" Target="https://doi.org/10.1016/j.marchem.2015.06.029" TargetMode="External" /><Relationship Type="http://schemas.openxmlformats.org/officeDocument/2006/relationships/hyperlink" Id="rId126" Target="https://doi.org/10.1021/ac051437y" TargetMode="External" /><Relationship Type="http://schemas.openxmlformats.org/officeDocument/2006/relationships/hyperlink" Id="rId108" Target="https://doi.org/10.1021/ac902361f" TargetMode="External" /><Relationship Type="http://schemas.openxmlformats.org/officeDocument/2006/relationships/hyperlink" Id="rId102" Target="https://doi.org/10.1021/acs.analchem.1c01309" TargetMode="External" /><Relationship Type="http://schemas.openxmlformats.org/officeDocument/2006/relationships/hyperlink" Id="rId100" Target="https://doi.org/10.1021/acs.analchem.1c02220" TargetMode="External" /><Relationship Type="http://schemas.openxmlformats.org/officeDocument/2006/relationships/hyperlink" Id="rId106" Target="https://doi.org/10.1021/acs.analchem.2c04088" TargetMode="External" /><Relationship Type="http://schemas.openxmlformats.org/officeDocument/2006/relationships/hyperlink" Id="rId118" Target="https://doi.org/10.1021/acs.analchem.7b00947" TargetMode="External" /><Relationship Type="http://schemas.openxmlformats.org/officeDocument/2006/relationships/hyperlink" Id="rId90" Target="https://doi.org/10.1021/acs.analchem.7b04400" TargetMode="External" /><Relationship Type="http://schemas.openxmlformats.org/officeDocument/2006/relationships/hyperlink" Id="rId114" Target="https://doi.org/10.1021/acs.analchem.9b04811" TargetMode="External" /><Relationship Type="http://schemas.openxmlformats.org/officeDocument/2006/relationships/hyperlink" Id="rId80" Target="https://doi.org/10.1029/2021GB007115" TargetMode="External" /><Relationship Type="http://schemas.openxmlformats.org/officeDocument/2006/relationships/hyperlink" Id="rId92" Target="https://doi.org/10.1080/00401706.1964.10490181" TargetMode="External" /><Relationship Type="http://schemas.openxmlformats.org/officeDocument/2006/relationships/hyperlink" Id="rId96" Target="https://doi.org/10.1093/bioinformatics/btab231" TargetMode="External" /><Relationship Type="http://schemas.openxmlformats.org/officeDocument/2006/relationships/hyperlink" Id="rId86" Target="https://doi.org/10.1093/bioinformatics/btq441" TargetMode="External" /><Relationship Type="http://schemas.openxmlformats.org/officeDocument/2006/relationships/hyperlink" Id="rId84" Target="https://doi.org/10.1111/j.2517-6161.1995.tb02031.x" TargetMode="External" /><Relationship Type="http://schemas.openxmlformats.org/officeDocument/2006/relationships/hyperlink" Id="rId88" Target="https://doi.org/10.1128/mSystems.00896-20" TargetMode="External" /><Relationship Type="http://schemas.openxmlformats.org/officeDocument/2006/relationships/hyperlink" Id="rId104" Target="https://doi.org/10.1128/mSystems.01334-20" TargetMode="External" /><Relationship Type="http://schemas.openxmlformats.org/officeDocument/2006/relationships/hyperlink" Id="rId128" Target="https://doi.org/10.1186/1471-2105-9-504" TargetMode="External" /><Relationship Type="http://schemas.openxmlformats.org/officeDocument/2006/relationships/hyperlink" Id="rId112" Target="https://doi.org/10.1186/s12859-015-0562-8" TargetMode="External" /><Relationship Type="http://schemas.openxmlformats.org/officeDocument/2006/relationships/hyperlink" Id="rId94" Target="https://doi.org/10.3389/fmars.2022.864796" TargetMode="External" /><Relationship Type="http://schemas.openxmlformats.org/officeDocument/2006/relationships/hyperlink" Id="rId82" Target="https://doi.org/10.3389/fpubh.2021.653599" TargetMode="External" /><Relationship Type="http://schemas.openxmlformats.org/officeDocument/2006/relationships/hyperlink" Id="rId116" Target="https://doi.org/10.3390/metabo10040162" TargetMode="External" /><Relationship Type="http://schemas.openxmlformats.org/officeDocument/2006/relationships/hyperlink" Id="rId122" Target="https://doi.org/10.3390/metabo12020137" TargetMode="External" /><Relationship Type="http://schemas.openxmlformats.org/officeDocument/2006/relationships/hyperlink" Id="rId130" Target="https://doi.org/10.3390/metabo6040037" TargetMode="External" /><Relationship Type="http://schemas.openxmlformats.org/officeDocument/2006/relationships/hyperlink" Id="rId71" Target="https://github.com/wkumler/MS_metrics" TargetMode="External" /><Relationship Type="http://schemas.openxmlformats.org/officeDocument/2006/relationships/hyperlink" Id="rId12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dc:creator>
  <cp:keywords/>
  <dcterms:created xsi:type="dcterms:W3CDTF">2023-06-01T18:46:35Z</dcterms:created>
  <dcterms:modified xsi:type="dcterms:W3CDTF">2023-06-01T18:46:35Z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2023-06-01</vt:lpwstr>
  </property>
  <property fmtid="{D5CDD505-2E9C-101B-9397-08002B2CF9AE}" pid="4" name="output">
    <vt:lpwstr/>
  </property>
</Properties>
</file>