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46.png" ContentType="image/png"/>
  <Override PartName="/word/media/rId50.png" ContentType="image/png"/>
  <Override PartName="/word/media/rId42.png" ContentType="image/png"/>
  <Override PartName="/word/media/rId31.png" ContentType="image/png"/>
  <Override PartName="/word/media/rId39.png" ContentType="image/png"/>
  <Override PartName="/word/media/rId27.png" ContentType="image/png"/>
  <Override PartName="/word/media/rId75.png" ContentType="image/png"/>
  <Override PartName="/word/media/rId72.png" ContentType="image/png"/>
  <Override PartName="/word/media/rId69.png" ContentType="image/png"/>
  <Override PartName="/word/media/rId7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p>
    <w:p>
      <w:pPr>
        <w:pStyle w:val="Date"/>
      </w:pPr>
      <w:r>
        <w:t xml:space="preserve">2023-05-03</w:t>
      </w:r>
    </w:p>
    <w:bookmarkStart w:id="20" w:name="abstract"/>
    <w:p>
      <w:pPr>
        <w:pStyle w:val="Heading2"/>
      </w:pPr>
      <w:r>
        <w:t xml:space="preserve">Abstract</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Here, we manually labeled two oceanographic particulate metabolite datasets to assess the performance of individual peak quality metrics and constructed a predictive model calibrated to the likelihood that visual inspection by an MS expert would include a given mass feature in the downstream analysis. A simple logistic regression model built on two metrics calculated from the raw MS data reduced the fraction of false positives in the analysis from 80-90% down to 1-5% and showed minimal overfitting when applied to novel datasets. We then explored the implications of this quality thresholding on the conclusions obtained by the downstream analysis, concluding that the poor performance of peakpicking algorithms significantly reduces the power of both univariate and multivariate statistical analyses in detecting environmental differences. We finally show that depth is a major driver of variability in the metabolome in high-quality environmental metabolomics datasets and identify several interesting metabolite groups for future investigation.</w:t>
      </w:r>
    </w:p>
    <w:bookmarkEnd w:id="20"/>
    <w:bookmarkStart w:id="21" w:name="introduction"/>
    <w:p>
      <w:pPr>
        <w:pStyle w:val="Heading2"/>
      </w:pPr>
      <w:r>
        <w:t xml:space="preserve">Introduction</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However, much of the data produced by these instruments goes unused because traditional workflows target only a fraction of the compounds detected based on an</w:t>
      </w:r>
      <w:r>
        <w:t xml:space="preserve"> </w:t>
      </w:r>
      <w:r>
        <w:rPr>
          <w:iCs/>
          <w:i/>
        </w:rPr>
        <w:t xml:space="preserve">a priori</w:t>
      </w:r>
      <w:r>
        <w:t xml:space="preserve"> </w:t>
      </w:r>
      <w:r>
        <w:t xml:space="preserve">list of known molecules. Significant efforts in the past two decades have established workflows for untargeted metabolomics</w:t>
      </w:r>
      <w:r>
        <w:t xml:space="preserve"> </w:t>
      </w:r>
      <w:r>
        <w:t xml:space="preserve">[@xcms, @mzmine, @msdial]</w:t>
      </w:r>
      <w:r>
        <w:t xml:space="preserve">, but these data-driven methods are still handicapped by the poor performance of the core peakpicking algorithms and require manual oversight and curation of the datasets after they’re produced by the software. This peakpicking step is typically the very first in the data processing stage, with implications for all downstream analysis and interpretation. [Mention HILIC chromatography specifically to justify its use here?]</w:t>
      </w:r>
    </w:p>
    <w:p>
      <w:pPr>
        <w:pStyle w:val="BodyText"/>
      </w:pPr>
      <w:r>
        <w:t xml:space="preserve">Peakpicking is a well-known problem across many fields of science and especially in LC-MS analysis due to the smooth transition from high-quality peaks into background noise as the limit of detection is approached and crossed, with background signals often sharing many features of high-quality peaks. The imperfection of these algorithms introduces a fundamental tradeoff between false positives and false negatives, where false positives (Type I errors) represent background instrument or chemical noise that has been misclassified as true biological signal and false negatives (Type II errors) indicating biological signals that are misclassified as noise. Existing algorithms tend to be very forgiving of Type I errors and very harsh on Type II, presenting many false positives to the researcher in their attempt to absolutely minimize the number of real molecules missed. This approach makes sense because downstream analyses can always remove additional mass features, but Type II errors cannot be later recovered. However, we would argue that this emphasis on an absolute minimization of the missed peaks does a disservice to scientists for two reasons. First, the abundance of false positives means that peakpicking output cannot be automatically trusted. This mandates manual evaluation of the raw data, a time-consuming and mind-numbing process with a large degree of subjective decision making that cannot be perfectly replicated and scales combinatorially with the number of samples and compounds measured. Second, the presence of false negatives cannot be fully accounted for in the way the false positive rate can. False negatives are introduced in every step of metabolomic analyses, with compounds lost during sample processing, injection, and detection on the instrument. This is a well-known problem in metabolomics and will not be solved by any perfecting of peakpicking algorithms. Instead, emphasis should be placed on allowing the experimenter to set an acceptable threshold for the false discovery rate and accepting that this will inherently add to the number of peaks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 which are rarely estimated using a well-documented algorithm. None of these parameters answer the critical question of interest: what is the likelihood that this subset of data corresponds to an actual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While significant effort has been recently invested into improvements in the peakpicking algorithms, very little has been done to quantify the accuracy and precision of their outputs on the wide variety of datasets from which they are determined.</w:t>
      </w:r>
    </w:p>
    <w:p>
      <w:pPr>
        <w:pStyle w:val="BodyText"/>
      </w:pPr>
      <w:r>
        <w:t xml:space="preserve">A single metric of peak quality calibrated to its likelihood of representing an actual molecule has multiple advantages over the current heuristic approaches. First, providing an intuitive metric of peak goodness allows researchers to focus their energy on those features least likely to be noise and most likely to be found in a repeated analysis. This applies both during the manual curation phase in which the very best or most interesting peaks can be visually inspected while those of poor quality can be discarded, as well as in the compound discovery/characterization steps where time and energy spent attempting to determine the structure or molecular formula of a noise signal is wasted. Second, removing low-quality noise signals from the dataset prior to downstream analysis should improve statistical power by reducing the number of hypotheses tested for univariate analyses and increasing the relative power of significant peaks in multivariate analyses. Third, such a metric would allow optimization of peakpicking and chromatographic parameters for untargeted datasets. Rather than measuring the effect of a change on a small subset of known molecules or by counting the total number of peaks found, one could look at the metric’s distribution to see whether the change was an improvement in the number and absolute quality of the peaks detected. Fourth, high quality peaks should be independent of software implementations and should be found no matter what algorithms are used, relieving the scientist (and reviewers!) of some of the burden of learning new software or programming languages to check their work. Fifth, this metric would enable more consistent quality control between labs and analyists. Rather than discussing a plethora of parameters or making subjective assessments of peak shape, an idealized metric would provide a simple and intuitive threshold upon which to agree for a given project. This metric would be scripted and provide consistent, reproducible results independent of the particular expert reviewing its performance.</w:t>
      </w:r>
    </w:p>
    <w:p>
      <w:pPr>
        <w:pStyle w:val="BodyText"/>
      </w:pPr>
      <w:r>
        <w:t xml:space="preserve">A single comprehensive metric also has significant advantages over multiple individual thresholds. First, a metric calibrated to likelihood is easier and more intuitive to use for classification than relatively arbitrary thresholds of signal-to-noise or peak skewness with ambiguous units and unintuitive interpretations. Second, a single compound metric also has the multivariate advantage over independent thresholds by allowing a good peak to be weak in one area which is compensated for by strong performance in other metrics. Sometimes good peaks do have high SNR or small areas, and thresholding on these metrics independently unnecessarily increases the likelihood of missing signals. Finally, the relative power of these many different metrics is difficult to compute and hard to compare. Is it more important to have an isotope, or a Gaussian peak shape? Is it more likely to be a biological signal if it has a large area, or if it differs between treatment? If so, by what degree? These metrics differ in strength depending on the dataset, but many MS experts have some degree of heuristic knowledge about their relative power for the data they’ve worked with and analyzed.</w:t>
      </w:r>
    </w:p>
    <w:p>
      <w:pPr>
        <w:pStyle w:val="BodyText"/>
      </w:pPr>
      <w:r>
        <w:t xml:space="preserve">An area particularly ripe for LC-MS analysis is that of the open ocean. Low compound and high salt concentrations make this area difficult to study</w:t>
      </w:r>
      <w:r>
        <w:t xml:space="preserve"> </w:t>
      </w:r>
      <w:r>
        <w:t xml:space="preserve">[@BMIS]</w:t>
      </w:r>
      <w:r>
        <w:t xml:space="preserve"> </w:t>
      </w:r>
      <w:r>
        <w:t xml:space="preserve">but its vast size and direct effect on the Earth’s carbon cycling make it critical that we understand its dynamics of energy and nutrients on a molecular scale. Metabolites are the currency of chemical exchange both intra- and inter-cellularly, serving as building blocks of larger molecules, regulators of osmotic balance and storage of nutrients, as well as chemical signals on their own. These small molecules serve both as signposts for the complex biological landscape in this highly dynamic region and give a sense of not only who is present but also what ecological roles they’re serving and the niches they fill.</w:t>
      </w:r>
    </w:p>
    <w:p>
      <w:pPr>
        <w:pStyle w:val="BodyText"/>
      </w:pPr>
      <w:r>
        <w:t xml:space="preserve">In this paper, we use open ocean marine metabolite LC-MS samples to develop and test a variety of chromatographic peak metrics. Here, we construct and validate multiple predictive models of peak quality based on metrics both common in the literature and custom implementations we’ve found useful in our own analysis. This allows us to connect the physical, chemical, and biological measurements taken regularly around the globe to a molecular-scale perspective of particular organic matter in the ocean by linking the chemical currencies that fuel the planet to the environments in which they’re found.</w:t>
      </w:r>
    </w:p>
    <w:bookmarkEnd w:id="21"/>
    <w:bookmarkStart w:id="37" w:name="methods"/>
    <w:p>
      <w:pPr>
        <w:pStyle w:val="Heading2"/>
      </w:pPr>
      <w:r>
        <w:t xml:space="preserve">Methods</w:t>
      </w:r>
    </w:p>
    <w:bookmarkStart w:id="22"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were obtained from existing [blah] and have been previously described by</w:t>
      </w:r>
      <w:r>
        <w:t xml:space="preserve"> </w:t>
      </w:r>
      <w:r>
        <w:t xml:space="preserve">[@Bryn]</w:t>
      </w:r>
      <w:r>
        <w:t xml:space="preserve"> </w:t>
      </w:r>
      <w:r>
        <w:t xml:space="preserve">and</w:t>
      </w:r>
      <w:r>
        <w:t xml:space="preserve"> </w:t>
      </w:r>
      <w:r>
        <w:t xml:space="preserve">[@Pttime paper?]</w:t>
      </w:r>
      <w:r>
        <w:t xml:space="preserve">.</w:t>
      </w:r>
    </w:p>
    <w:bookmarkEnd w:id="22"/>
    <w:bookmarkStart w:id="23"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[@BMIS]</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[@BMIS]</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MW? in their paper?].</w:t>
      </w:r>
    </w:p>
    <w:bookmarkEnd w:id="23"/>
    <w:bookmarkStart w:id="24"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MW? in their paper?].</w:t>
      </w:r>
    </w:p>
    <w:bookmarkEnd w:id="24"/>
    <w:bookmarkStart w:id="25"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[blah] and used in their existing mzXML format.</w:t>
      </w:r>
    </w:p>
    <w:bookmarkEnd w:id="25"/>
    <w:bookmarkStart w:id="26"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 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[@myers2017]</w:t>
      </w:r>
      <w:r>
        <w:t xml:space="preserve">, and both verboseColumns and the extendLengthMSW parameter were set to TRUE. For retention time correction, the Obiwarp method was used except for the CultureData dataset, which was visually inspected and determined not to require correction.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 [Check this with Laura]</w:t>
      </w:r>
    </w:p>
    <w:bookmarkEnd w:id="26"/>
    <w:bookmarkStart w:id="30"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labelling and to more accurately represent what MS experts typically do when assessing the quality of a given peak. [Fig 1.] We also decided to ignore missing values and linearly interpolate between known data points rather than filling with zeroes. These EICs were then shown to an MS expert for classification into one of 4 categories: Good, Bad, Ambiguous, or Stans only if the peak appeared to only show up in the standards. A few randomly-chosen features from the manually-assigned Good and Bad classifications are shown in [Fig. 1].</w:t>
      </w:r>
    </w:p>
    <w:p>
      <w:pPr>
        <w:pStyle w:val="CaptionedFigure"/>
      </w:pPr>
      <w:r>
        <w:drawing>
          <wp:inline>
            <wp:extent cx="5943600" cy="2743199"/>
            <wp:effectExtent b="0" l="0" r="0" t="0"/>
            <wp:docPr descr="Figure 1: Randomly selected ion chromatograms from both “Good” (top row) and “Bad” (bottom row) manual classifications, colored by the depth from which the biological sample was taken. DCM = deep chlorophyll maximum, approximately 110 meters." title="" id="28" name="Picture"/>
            <a:graphic>
              <a:graphicData uri="http://schemas.openxmlformats.org/drawingml/2006/picture">
                <pic:pic>
                  <pic:nvPicPr>
                    <pic:cNvPr descr="figures/somegood_somebad_depthcolor_chroms.png" id="29" name="Picture"/>
                    <pic:cNvPicPr>
                      <a:picLocks noChangeArrowheads="1" noChangeAspect="1"/>
                    </pic:cNvPicPr>
                  </pic:nvPicPr>
                  <pic:blipFill>
                    <a:blip r:embed="rId27"/>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1: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30"/>
    <w:bookmarkStart w:id="34"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peak was found, but could not be supplied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 2].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 2].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 </w:t>
      </w:r>
      <w:r>
        <w:t xml:space="preserve">[@myers?]</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2: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32" name="Picture"/>
            <a:graphic>
              <a:graphicData uri="http://schemas.openxmlformats.org/drawingml/2006/picture">
                <pic:pic>
                  <pic:nvPicPr>
                    <pic:cNvPr descr="figures/peakmetrics_singlechrom.png" id="33" name="Picture"/>
                    <pic:cNvPicPr>
                      <a:picLocks noChangeArrowheads="1" noChangeAspect="1"/>
                    </pic:cNvPicPr>
                  </pic:nvPicPr>
                  <pic:blipFill>
                    <a:blip r:embed="rId31"/>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2: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34"/>
    <w:bookmarkStart w:id="36" w:name="statistics"/>
    <w:p>
      <w:pPr>
        <w:pStyle w:val="Heading3"/>
      </w:pPr>
      <w:r>
        <w:t xml:space="preserve">Statistics</w:t>
      </w:r>
    </w:p>
    <w:p>
      <w:pPr>
        <w:pStyle w:val="FirstParagraph"/>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p>
      <w:pPr>
        <w:pStyle w:val="BodyText"/>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[@ref]</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[@ref]</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[@ref]</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[@ref]</w:t>
      </w:r>
      <w:r>
        <w:t xml:space="preserve"> </w:t>
      </w:r>
      <w:r>
        <w:t xml:space="preserve">We ran multiple PERMANOVAs with a different subset of mass features included each time, corresponding to using the output from XCMS directly, likelihood thresholds of 0.01, 0.1, 0.5, 0.9, and finally only those peaks manually annotated as good.</w:t>
      </w:r>
    </w:p>
    <w:p>
      <w:pPr>
        <w:pStyle w:val="BodyText"/>
      </w:pPr>
      <w:r>
        <w:t xml:space="preserve">All analyses were run in R, version 4.2.2, and code is available on the Github at</w:t>
      </w:r>
      <w:r>
        <w:t xml:space="preserve"> </w:t>
      </w:r>
      <w:hyperlink r:id="rId35">
        <w:r>
          <w:rPr>
            <w:rStyle w:val="Hyperlink"/>
          </w:rPr>
          <w:t xml:space="preserve">https://github.com/wkumler/MS_metrics</w:t>
        </w:r>
      </w:hyperlink>
      <w:r>
        <w:t xml:space="preserve">.</w:t>
      </w:r>
      <w:r>
        <w:t xml:space="preserve">[@ref]</w:t>
      </w:r>
    </w:p>
    <w:bookmarkEnd w:id="36"/>
    <w:bookmarkEnd w:id="37"/>
    <w:bookmarkStart w:id="61" w:name="results"/>
    <w:p>
      <w:pPr>
        <w:pStyle w:val="Heading2"/>
      </w:pPr>
      <w:r>
        <w:t xml:space="preserve">Results</w:t>
      </w:r>
    </w:p>
    <w:bookmarkStart w:id="38"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peaks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38"/>
    <w:bookmarkStart w:id="45" w:name="logistic-regression-performance"/>
    <w:p>
      <w:pPr>
        <w:pStyle w:val="Heading3"/>
      </w:pPr>
      <w:r>
        <w:t xml:space="preserve">Logistic regression performance</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 In all three cases, the majority of MFs were estimated to have a less than 1% chance of being good. The full model and the XCMS model both displayed a strongly bimodal distribution, with a large number of peaks also exceeding a 99% chance of being good, while the two-parameter model had a flatter distribution with fewer high-confidence MF assignments and more intermediate values (Fig. 3).</w:t>
      </w:r>
    </w:p>
    <w:p>
      <w:pPr>
        <w:pStyle w:val="CaptionedFigure"/>
      </w:pPr>
      <w:r>
        <w:drawing>
          <wp:inline>
            <wp:extent cx="5943600" cy="3657600"/>
            <wp:effectExtent b="0" l="0" r="0" t="0"/>
            <wp:docPr descr="Figure 3: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40" name="Picture"/>
            <a:graphic>
              <a:graphicData uri="http://schemas.openxmlformats.org/drawingml/2006/picture">
                <pic:pic>
                  <pic:nvPicPr>
                    <pic:cNvPr descr="figures/pred_prob_class_color_hists.png" id="41" name="Picture"/>
                    <pic:cNvPicPr>
                      <a:picLocks noChangeArrowheads="1" noChangeAspect="1"/>
                    </pic:cNvPicPr>
                  </pic:nvPicPr>
                  <pic:blipFill>
                    <a:blip r:embed="rId39"/>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3: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In each case, we determined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positive predictions). These two measures allowed us to monitor two key questions typically asked of a predictive model in this context: first, what fraction of the data predicted to be good is actually noise; and second, what fraction of the good data am I actually recovering in the downstream analysis?</w:t>
      </w:r>
    </w:p>
    <w:p>
      <w:pPr>
        <w:pStyle w:val="BodyText"/>
      </w:pPr>
      <w:r>
        <w:t xml:space="preserve">The full model performed very well when tested internally on the same dataset both during 80/20 cross validation and when [predicting] using the full dataset, with FDR values in the 5-10% range and 80-90% GPF values implying that a large majority of the good peaks passed the threshold. The XCMS metrics performed slightly worse, with FDR values in the 10-15% range and GPF values closer to 75%. The two-parameter model performed worst when tested internally, with an FDR of about 20% and %GPF also around 75% (Figure 4). However, when the models were trained on a different dataset than the one they were used to predict classifications for, nearly all models had similar performance with %FDR around 10-25 and %GPF around 60-80. This dramatic drop in performance on out-of-training data strongly implied that the full and XCMS-only models were highly overfit, while the two-parameter model had probably reached stability. Also notably, the model trained on MESOSCOPE and tested on Falkor had consistently higher values, indicating that it was favoring more peaks recovered at the cost of a higher FDR, while the reverse was true for the model trained on Falkor and tested on MESOSCOPE [and it’s unclear why this should be the case] (Figure 4).</w:t>
      </w:r>
    </w:p>
    <w:p>
      <w:pPr>
        <w:pStyle w:val="CaptionedFigure"/>
      </w:pPr>
      <w:r>
        <w:drawing>
          <wp:inline>
            <wp:extent cx="5943600" cy="2743199"/>
            <wp:effectExtent b="0" l="0" r="0" t="0"/>
            <wp:docPr descr="Figure 4: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43" name="Picture"/>
            <a:graphic>
              <a:graphicData uri="http://schemas.openxmlformats.org/drawingml/2006/picture">
                <pic:pic>
                  <pic:nvPicPr>
                    <pic:cNvPr descr="figures/fdr_gpf_cross_train.png" id="44" name="Picture"/>
                    <pic:cNvPicPr>
                      <a:picLocks noChangeArrowheads="1" noChangeAspect="1"/>
                    </pic:cNvPicPr>
                  </pic:nvPicPr>
                  <pic:blipFill>
                    <a:blip r:embed="rId42"/>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4: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45"/>
    <w:bookmarkStart w:id="49" w:name="Xb005949a1fdd5a50723cd886297782718c9f098"/>
    <w:p>
      <w:pPr>
        <w:pStyle w:val="Heading3"/>
      </w:pPr>
      <w:r>
        <w:t xml:space="preserve">Model stability under different training sets and subset of labels</w:t>
      </w:r>
    </w:p>
    <w:p>
      <w:pPr>
        <w:pStyle w:val="FirstParagraph"/>
      </w:pPr>
      <w:r>
        <w:t xml:space="preserve">To further explore questions of model stability and the potential for overfitting, we compared the predictions from a Falkor-trained model to a MESOSCOPE-trained model. In the ideal situation, these predictions are the same because the values are independent of a given training set’s quirks, but this was not what we found for the full and XCMS-only models (Figure 5). We compared the absolute likelihood values using Pearson’s correlation coefficient and found that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(Figure 5). Finally, we compared the model likelihoods in ranked space with Spearman’s correlation coefficient to test the question of whether or not the</w:t>
      </w:r>
      <w:r>
        <w:t xml:space="preserve"> </w:t>
      </w:r>
      <w:r>
        <w:rPr>
          <w:iCs/>
          <w:i/>
        </w:rPr>
        <w:t xml:space="preserve">ranking</w:t>
      </w:r>
      <w:r>
        <w:t xml:space="preserve"> </w:t>
      </w:r>
      <w:r>
        <w:t xml:space="preserve">was similar even if the absolute values differed. Here, we found an intensification of the effect described before,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5).</w:t>
      </w:r>
    </w:p>
    <w:p>
      <w:pPr>
        <w:pStyle w:val="CaptionedFigure"/>
      </w:pPr>
      <w:r>
        <w:drawing>
          <wp:inline>
            <wp:extent cx="5943600" cy="4572000"/>
            <wp:effectExtent b="0" l="0" r="0" t="0"/>
            <wp:docPr descr="Figure 5: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47" name="Picture"/>
            <a:graphic>
              <a:graphicData uri="http://schemas.openxmlformats.org/drawingml/2006/picture">
                <pic:pic>
                  <pic:nvPicPr>
                    <pic:cNvPr descr="figures/comb_prob_space.png" id="48" name="Picture"/>
                    <pic:cNvPicPr>
                      <a:picLocks noChangeArrowheads="1" noChangeAspect="1"/>
                    </pic:cNvPicPr>
                  </pic:nvPicPr>
                  <pic:blipFill>
                    <a:blip r:embed="rId46"/>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We also looked at the estimates produced by the two models and compared them with the combined model trained on the combined datasets to assess the model stability directly. A majority of the time, the estimates from the two models disagreed by more than 2x the standard error of the estimate and frequently disagreed by that amount depending on the other parameters included in the model. Some parameters disagreed not only in magnitude but also in sign, with the Falkor-trained full model increasing peak goodness likelihood with larger ppm variation and a wider peak width, while the MESOSCOPE-trained full model had negative estimates for each of these parameters. Notably, the peak shape and novel SNR parameters in the two-parameter model were among the most robust to training model variation, potentially explaining the consistency described above (Supp. figure 1).</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 For the XCMS and two-parameter model, we found reasonably good convergence in a dataset containing half the mass features with most values falling within two standard errors of the estimate, while the full model required closer to 80% of the mass features to produce estimates consistent with the original model (Supp. figure 2).</w:t>
      </w:r>
    </w:p>
    <w:bookmarkEnd w:id="49"/>
    <w:bookmarkStart w:id="53" w:name="X8c8e710b54d77e9c19b37f889f60e14ff5f1081"/>
    <w:p>
      <w:pPr>
        <w:pStyle w:val="Heading3"/>
      </w:pPr>
      <w:r>
        <w:t xml:space="preserve">Performance of a stricter threshold on novel datasets</w:t>
      </w:r>
    </w:p>
    <w:p>
      <w:pPr>
        <w:pStyle w:val="FirstParagraph"/>
      </w:pPr>
      <w:r>
        <w:t xml:space="preserve">Given the reasonably compelling evidence above favoring the two-parameter model on novel datasets, we applied this trained model on two additional datasets that differed significantly from the training data. The CultureData samples were produced in the Ingalls lab like the MESOSCOPE and Falkor samples, but represent data from a variety of phytoplankton and bacterial cultures in fresh and salt water rather than environmental samples. The Pttime dataset was discovered on Metabolomics Workbench</w:t>
      </w:r>
      <w:r>
        <w:t xml:space="preserve"> </w:t>
      </w:r>
      <w:r>
        <w:t xml:space="preserve">[@MW id]</w:t>
      </w:r>
      <w:r>
        <w:t xml:space="preserve"> </w:t>
      </w:r>
      <w:r>
        <w:t xml:space="preserve">and consists of Phaeodactylum triconutum cultures collected at a variety of timepoints from both pelleted cells and the released exudate. This dataset was chosen because of the similar LC-MS setup used as a benchmark comparison for the performance other labs with similar setups may expect to achieve. Each of these datasets were only fractionally labeled, with those peaks above the 0.9 likelihood threshold according to the two-parameter model reviewed manually and categorized.</w:t>
      </w:r>
    </w:p>
    <w:p>
      <w:pPr>
        <w:pStyle w:val="BodyText"/>
      </w:pPr>
      <w:r>
        <w:t xml:space="preserve">This stricter threshold was chosen because we felt less comfortable interpreting results based on mass features that were only 50% likely to be real, but did not feel the need to be so strict with this exploratory analysis that we wanted to limit it to 99+% likelihood peaks. This threshold also struck a nice balance between the number of peaks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peaks, 35 were ambiguous, and 17 were</w:t>
      </w:r>
      <w:r>
        <w:t xml:space="preserve"> </w:t>
      </w:r>
      <w:r>
        <w:t xml:space="preserve">“</w:t>
      </w:r>
      <w:r>
        <w:t xml:space="preserve">Bad</w:t>
      </w:r>
      <w:r>
        <w:t xml:space="preserve">”</w:t>
      </w:r>
      <w:r>
        <w:t xml:space="preserve">. No standards were run during this analysis, so there were no features in that category. [There exists, however, some uncontrolled confirmation bias here in the manual labelling because the MS expert knew that these peaks had already passed some quality threshold and were more likely to be good than not.]</w:t>
      </w:r>
    </w:p>
    <w:p>
      <w:pPr>
        <w:pStyle w:val="BodyText"/>
      </w:pPr>
      <w:r>
        <w:t xml:space="preserve">With the stricter threshold, we obtained FDR rates consistently below 5% even on the novel datasets, with values of 1.0%, 0.0% (truly zero false positives), 2.0%, and 4.6% for the Falkor, MESOSCOPE, CultureData, and Pttime respectively [Figure 6]. Of course, this low error rate required that we miss out on additional valuable features, with only a fraction of the total good peaks making it past this threshold. In both the Falkor and MESOSCOPE datasets, the fraction of good peaks found was below 40% with actual values of 39.4% and 26.5%, respectively. Since we did not label the complete dataset for CultureData and Pttime, we cannot accurately calculate the %GPF but expect it to be in a similar range (Figure 6).</w:t>
      </w:r>
    </w:p>
    <w:p>
      <w:pPr>
        <w:pStyle w:val="CaptionedFigure"/>
      </w:pPr>
      <w:r>
        <w:drawing>
          <wp:inline>
            <wp:extent cx="2752374" cy="3669832"/>
            <wp:effectExtent b="0" l="0" r="0" t="0"/>
            <wp:docPr descr="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51" name="Picture"/>
            <a:graphic>
              <a:graphicData uri="http://schemas.openxmlformats.org/drawingml/2006/picture">
                <pic:pic>
                  <pic:nvPicPr>
                    <pic:cNvPr descr="figures/fdr_gpf_all_datasets.png" id="52" name="Picture"/>
                    <pic:cNvPicPr>
                      <a:picLocks noChangeArrowheads="1" noChangeAspect="1"/>
                    </pic:cNvPicPr>
                  </pic:nvPicPr>
                  <pic:blipFill>
                    <a:blip r:embed="rId50"/>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bookmarkEnd w:id="53"/>
    <w:bookmarkStart w:id="54" w:name="X7356c222f5ed73d3e67953473a4612f94ea0d3a"/>
    <w:p>
      <w:pPr>
        <w:pStyle w:val="Heading3"/>
      </w:pPr>
      <w:r>
        <w:t xml:space="preserve">Regularized regression and random forests perform about the same</w:t>
      </w:r>
    </w:p>
    <w:p>
      <w:pPr>
        <w:pStyle w:val="FirstParagraph"/>
      </w:pPr>
      <w:r>
        <w:t xml:space="preserve">None of the advanced ML models significantly improved performance when cross-validated between the MESOSCOPE and Falkor datasets when measured by both initial performance and the performance drop when applied across datasets. All three regularized regression models had similar behavior, with ridge regression (α = 0) had the lowest rates for both GPF and FDR, with lasso (α = 1) obtaining higher ones and representing a less-stringent Type II error acceptance while, as expected, the elastic net (α = 0.5) fell in between the two (Supp. figure 3). The random forest model had perfect predictive capacity when tested internally on the training data (FDR=0%, GPF=100%,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54"/>
    <w:bookmarkStart w:id="60" w:name="implications-for-biological-conclusions"/>
    <w:p>
      <w:pPr>
        <w:pStyle w:val="Heading3"/>
      </w:pPr>
      <w:r>
        <w:t xml:space="preserve">Implications for biological conclusions</w:t>
      </w:r>
    </w:p>
    <w:bookmarkStart w:id="58" w:name="univariate-techniques"/>
    <w:p>
      <w:pPr>
        <w:pStyle w:val="Heading4"/>
      </w:pPr>
      <w:r>
        <w:t xml:space="preserve">Univariate techniques</w:t>
      </w:r>
    </w:p>
    <w:p>
      <w:pPr>
        <w:pStyle w:val="FirstParagraph"/>
      </w:pPr>
      <w:r>
        <w:t xml:space="preserve">[Figure 7] shows the distribution of all mass features identified by XCMS and their categorization according to both the biochemical response to depth as well as the classifications assigned by the MS expert and the two-parameter model at a 50% likelihood threshold.</w:t>
      </w:r>
    </w:p>
    <w:p>
      <w:pPr>
        <w:pStyle w:val="BodyText"/>
      </w:pPr>
      <w:r>
        <w:t xml:space="preserve">The abundance of noise peaks located at the center of the plot and therefore lacking much biological trend with depth validates the conventional heuristic of relying on downstream statistical tests to separate signal from noise (with the assumption that noise will be fixed across all samples and unaffected by environmental structuring of samples). However, it is also clear that there are both some good peaks that do not have trends with depth (and are therefore interesting for bucking the biomass signal) as well as a good number of bad peaks that do change across sample depths. These bad peaks that have biological signals appear to be frequently due to the tail of a peak being integrated as a separate molecular feature, which then retains the biological signal of the actual feature.</w:t>
      </w:r>
    </w:p>
    <w:p>
      <w:pPr>
        <w:pStyle w:val="BodyText"/>
      </w:pPr>
      <w:r>
        <w:t xml:space="preserve">Although the identification of bad peaks predominantly improves univariate analysis by removing those features from consideration in individual molecular narratives, filtering out the bad peaks should also improve the power of the individual analyses by reducing the number of hypotheses that must then be corrected for later. Multiple hypothesis testing corrections rely on the number and shape of the p-value distribution to make estimates of the</w:t>
      </w:r>
      <w:r>
        <w:t xml:space="preserve"> </w:t>
      </w:r>
      <w:r>
        <w:t xml:space="preserve">“</w:t>
      </w:r>
      <w:r>
        <w:t xml:space="preserve">true</w:t>
      </w:r>
      <w:r>
        <w:t xml:space="preserve">”</w:t>
      </w:r>
      <w:r>
        <w:t xml:space="preserve"> </w:t>
      </w:r>
      <w:r>
        <w:t xml:space="preserve">p-values for each compound, and removing a large number of noise peaks will result in lower p-values for those peaks that are flagged as good.</w:t>
      </w:r>
    </w:p>
    <w:p>
      <w:pPr>
        <w:pStyle w:val="BodyText"/>
      </w:pPr>
      <w:r>
        <w:t xml:space="preserve">Most metabolites track with biomass and are consistently abundant through the surface and DCM but drop off at depth, as prior measurements of particulate carbon and beam attenuation have shown</w:t>
      </w:r>
      <w:r>
        <w:t xml:space="preserve"> </w:t>
      </w:r>
      <w:r>
        <w:t xml:space="preserve">[@benedetto]</w:t>
      </w:r>
      <w:r>
        <w:t xml:space="preserve">. However, several groups of compounds diverge intriguingly from this bulk biomass trend, with some molecules found almost exclusively at the surface and others found to increase with depth rather than decrease. Several mass features that were found dominantly at the surface were putatively identified as mycosporine-like amino acids (MAAs), which have been shown to have UV photoprotective properties.</w:t>
      </w:r>
      <w:r>
        <w:t xml:space="preserve">[@ref]</w:t>
      </w:r>
      <w:r>
        <w:t xml:space="preserve"> </w:t>
      </w:r>
      <w:r>
        <w:t xml:space="preserve">Although we were unable to calculate their exact concentrations due to a lack of authentic standards, peak areas were approximately 100 to 1000 times higher at 15 meters than their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56" name="Picture"/>
            <a:graphic>
              <a:graphicData uri="http://schemas.openxmlformats.org/drawingml/2006/picture">
                <pic:pic>
                  <pic:nvPicPr>
                    <pic:cNvPr descr="figures/clockplot_complete.png" id="57" name="Picture"/>
                    <pic:cNvPicPr>
                      <a:picLocks noChangeArrowheads="1" noChangeAspect="1"/>
                    </pic:cNvPicPr>
                  </pic:nvPicPr>
                  <pic:blipFill>
                    <a:blip r:embed="rId55"/>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58"/>
    <w:bookmarkStart w:id="59" w:name="multivariate-techniques"/>
    <w:p>
      <w:pPr>
        <w:pStyle w:val="Heading4"/>
      </w:pPr>
      <w:r>
        <w:t xml:space="preserve">Multivariate techniques</w:t>
      </w:r>
    </w:p>
    <w:p>
      <w:pPr>
        <w:pStyle w:val="FirstParagraph"/>
      </w:pPr>
      <w:r>
        <w:t xml:space="preserve">Multivariate statistics also benefit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in all cases.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peaks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peaks was also illustrated visually with non-metric multidimensional scaling (NMDS) plots (Supp. figure 4). In these common exploratory plots, the features with likelihoods above 50% strongly separated by depth while lower thresholds disguised the true signal and had higher stress values. Performing an NMDS on the manually-identified Good peaks resulted in output nearly indistinguishable from those of the 90% and 50% thresholds, while the 0.1 and 0.01 thresholds looked almost identical to the same analysis performed on all the XCMS features.</w:t>
      </w:r>
    </w:p>
    <w:bookmarkEnd w:id="59"/>
    <w:bookmarkEnd w:id="60"/>
    <w:bookmarkEnd w:id="61"/>
    <w:bookmarkStart w:id="65" w:name="discussion"/>
    <w:p>
      <w:pPr>
        <w:pStyle w:val="Heading2"/>
      </w:pPr>
      <w:r>
        <w:t xml:space="preserve">Discussion</w:t>
      </w:r>
    </w:p>
    <w:bookmarkStart w:id="62" w:name="X7b01f0d3d1e66b9029d90b27a4e2a3a572a52f7"/>
    <w:p>
      <w:pPr>
        <w:pStyle w:val="Heading3"/>
      </w:pPr>
      <w:r>
        <w:t xml:space="preserve">Simple logistic regression models show good performance and minimal overfitting</w:t>
      </w:r>
    </w:p>
    <w:p>
      <w:pPr>
        <w:numPr>
          <w:ilvl w:val="0"/>
          <w:numId w:val="1001"/>
        </w:numPr>
        <w:pStyle w:val="Compact"/>
      </w:pPr>
      <w:r>
        <w:t xml:space="preserve">Recap performance metrics</w:t>
      </w:r>
    </w:p>
    <w:p>
      <w:pPr>
        <w:numPr>
          <w:ilvl w:val="1"/>
          <w:numId w:val="1002"/>
        </w:numPr>
        <w:pStyle w:val="Compact"/>
      </w:pPr>
      <w:r>
        <w:t xml:space="preserve">Discuss the relative performance and compare to assumptions in lit for</w:t>
      </w:r>
    </w:p>
    <w:p>
      <w:pPr>
        <w:numPr>
          <w:ilvl w:val="2"/>
          <w:numId w:val="1003"/>
        </w:numPr>
        <w:pStyle w:val="Compact"/>
      </w:pPr>
      <w:r>
        <w:t xml:space="preserve">Large peak area</w:t>
      </w:r>
    </w:p>
    <w:p>
      <w:pPr>
        <w:numPr>
          <w:ilvl w:val="2"/>
          <w:numId w:val="1003"/>
        </w:numPr>
        <w:pStyle w:val="Compact"/>
      </w:pPr>
      <w:r>
        <w:t xml:space="preserve">Has an isotope</w:t>
      </w:r>
    </w:p>
    <w:p>
      <w:pPr>
        <w:numPr>
          <w:ilvl w:val="2"/>
          <w:numId w:val="1003"/>
        </w:numPr>
        <w:pStyle w:val="Compact"/>
      </w:pPr>
      <w:r>
        <w:t xml:space="preserve">p-values</w:t>
      </w:r>
    </w:p>
    <w:p>
      <w:pPr>
        <w:numPr>
          <w:ilvl w:val="1"/>
          <w:numId w:val="1002"/>
        </w:numPr>
        <w:pStyle w:val="Compact"/>
      </w:pPr>
      <w:r>
        <w:t xml:space="preserve">Discuss use of summary statistics and the potential need for a blocked model by sample type</w:t>
      </w:r>
    </w:p>
    <w:p>
      <w:pPr>
        <w:numPr>
          <w:ilvl w:val="0"/>
          <w:numId w:val="1001"/>
        </w:numPr>
        <w:pStyle w:val="Compact"/>
      </w:pPr>
      <w:r>
        <w:t xml:space="preserve">Emphasize the best performance of the two-parameter model</w:t>
      </w:r>
    </w:p>
    <w:p>
      <w:pPr>
        <w:numPr>
          <w:ilvl w:val="1"/>
          <w:numId w:val="1004"/>
        </w:numPr>
        <w:pStyle w:val="Compact"/>
      </w:pPr>
      <w:r>
        <w:t xml:space="preserve">Full model and XCMS model definitely overfit, same for regularized/random forest</w:t>
      </w:r>
    </w:p>
    <w:p>
      <w:pPr>
        <w:numPr>
          <w:ilvl w:val="1"/>
          <w:numId w:val="1004"/>
        </w:numPr>
        <w:pStyle w:val="Compact"/>
      </w:pPr>
      <w:r>
        <w:t xml:space="preserve">XCMS alone does not provide enough information to accurately distinguish good from noise</w:t>
      </w:r>
    </w:p>
    <w:p>
      <w:pPr>
        <w:numPr>
          <w:ilvl w:val="2"/>
          <w:numId w:val="1005"/>
        </w:numPr>
        <w:pStyle w:val="Compact"/>
      </w:pPr>
      <w:r>
        <w:t xml:space="preserve">Likely true for all peakpickers</w:t>
      </w:r>
    </w:p>
    <w:p>
      <w:pPr>
        <w:numPr>
          <w:ilvl w:val="2"/>
          <w:numId w:val="1005"/>
        </w:numPr>
        <w:pStyle w:val="Compact"/>
      </w:pPr>
      <w:r>
        <w:t xml:space="preserve">Plea: report mz/rt bounding box for individual peaks so additional metrics can be calculated</w:t>
      </w:r>
    </w:p>
    <w:p>
      <w:pPr>
        <w:numPr>
          <w:ilvl w:val="1"/>
          <w:numId w:val="1004"/>
        </w:numPr>
        <w:pStyle w:val="Compact"/>
      </w:pPr>
      <w:r>
        <w:t xml:space="preserve">These params very simple (and fast!) to estimate</w:t>
      </w:r>
    </w:p>
    <w:p>
      <w:pPr>
        <w:numPr>
          <w:ilvl w:val="2"/>
          <w:numId w:val="1006"/>
        </w:numPr>
        <w:pStyle w:val="Compact"/>
      </w:pPr>
      <w:r>
        <w:t xml:space="preserve">Easy to do better with fancier models (e.g. loess smoothing for SNR)</w:t>
      </w:r>
    </w:p>
    <w:p>
      <w:pPr>
        <w:numPr>
          <w:ilvl w:val="1"/>
          <w:numId w:val="1004"/>
        </w:numPr>
        <w:pStyle w:val="Compact"/>
      </w:pPr>
      <w:r>
        <w:t xml:space="preserve">Why do all the models seem to approach ~25% FDR and ~75% GPF on the novel datasets?</w:t>
      </w:r>
    </w:p>
    <w:p>
      <w:pPr>
        <w:numPr>
          <w:ilvl w:val="0"/>
          <w:numId w:val="1001"/>
        </w:numPr>
        <w:pStyle w:val="Compact"/>
      </w:pPr>
      <w:r>
        <w:t xml:space="preserve">Limited to HILIC data at the moment but does seem to perform well across labs</w:t>
      </w:r>
    </w:p>
    <w:bookmarkEnd w:id="62"/>
    <w:bookmarkStart w:id="63" w:name="Xd9c25572b8700f4f12b0e6695fe51817ed21e20"/>
    <w:p>
      <w:pPr>
        <w:pStyle w:val="Heading3"/>
      </w:pPr>
      <w:r>
        <w:t xml:space="preserve">Unable to create strict control of the FDR but a single threshold still makes life easier</w:t>
      </w:r>
    </w:p>
    <w:p>
      <w:pPr>
        <w:numPr>
          <w:ilvl w:val="0"/>
          <w:numId w:val="1007"/>
        </w:numPr>
        <w:pStyle w:val="Compact"/>
      </w:pPr>
      <w:r>
        <w:t xml:space="preserve">Initial goal: set an FDR, choose a likelihood threshold based on it</w:t>
      </w:r>
    </w:p>
    <w:p>
      <w:pPr>
        <w:numPr>
          <w:ilvl w:val="1"/>
          <w:numId w:val="1008"/>
        </w:numPr>
        <w:pStyle w:val="Compact"/>
      </w:pPr>
      <w:r>
        <w:t xml:space="preserve">Not doable here but maybe in future work?</w:t>
      </w:r>
    </w:p>
    <w:p>
      <w:pPr>
        <w:numPr>
          <w:ilvl w:val="1"/>
          <w:numId w:val="1008"/>
        </w:numPr>
        <w:pStyle w:val="Compact"/>
      </w:pPr>
      <w:r>
        <w:t xml:space="preserve">Pivoted to recommending step-down manual labelling</w:t>
      </w:r>
    </w:p>
    <w:p>
      <w:pPr>
        <w:numPr>
          <w:ilvl w:val="0"/>
          <w:numId w:val="1007"/>
        </w:numPr>
        <w:pStyle w:val="Compact"/>
      </w:pPr>
      <w:r>
        <w:t xml:space="preserve">Plea: report your FDR! Especially if you’re manually labelling!</w:t>
      </w:r>
    </w:p>
    <w:p>
      <w:pPr>
        <w:numPr>
          <w:ilvl w:val="1"/>
          <w:numId w:val="1009"/>
        </w:numPr>
        <w:pStyle w:val="Compact"/>
      </w:pPr>
      <w:r>
        <w:t xml:space="preserve">Necessary for error propagation anyway</w:t>
      </w:r>
    </w:p>
    <w:p>
      <w:pPr>
        <w:numPr>
          <w:ilvl w:val="0"/>
          <w:numId w:val="1007"/>
        </w:numPr>
        <w:pStyle w:val="Compact"/>
      </w:pPr>
      <w:r>
        <w:t xml:space="preserve">Future work: alter chromatography/peakpicking params to maximize # of peaks above 0.9 threshold</w:t>
      </w:r>
    </w:p>
    <w:bookmarkEnd w:id="63"/>
    <w:bookmarkStart w:id="64" w:name="Xa1db471568c488e7bdf7509bdb4e6989469b2db"/>
    <w:p>
      <w:pPr>
        <w:pStyle w:val="Heading3"/>
      </w:pPr>
      <w:r>
        <w:t xml:space="preserve">Biological results do depend on the threshold used</w:t>
      </w:r>
    </w:p>
    <w:p>
      <w:pPr>
        <w:numPr>
          <w:ilvl w:val="0"/>
          <w:numId w:val="1010"/>
        </w:numPr>
        <w:pStyle w:val="Compact"/>
      </w:pPr>
      <w:r>
        <w:t xml:space="preserve">Large amounts of noise reduce the power of both univariate and multivariate stats</w:t>
      </w:r>
    </w:p>
    <w:p>
      <w:pPr>
        <w:numPr>
          <w:ilvl w:val="1"/>
          <w:numId w:val="1011"/>
        </w:numPr>
        <w:pStyle w:val="Compact"/>
      </w:pPr>
      <w:r>
        <w:t xml:space="preserve">Trade-off with loss of interesting signals at higher thresholds (cmpds on clockplot left)</w:t>
      </w:r>
    </w:p>
    <w:p>
      <w:pPr>
        <w:numPr>
          <w:ilvl w:val="1"/>
          <w:numId w:val="1011"/>
        </w:numPr>
        <w:pStyle w:val="Compact"/>
      </w:pPr>
      <w:r>
        <w:t xml:space="preserve">Possible to get wildly different results with different thresholds (% variance explained)</w:t>
      </w:r>
    </w:p>
    <w:p>
      <w:pPr>
        <w:numPr>
          <w:ilvl w:val="1"/>
          <w:numId w:val="1011"/>
        </w:numPr>
        <w:pStyle w:val="Compact"/>
      </w:pPr>
      <w:r>
        <w:t xml:space="preserve">Manual evaluation for interesting signals still strongly recommended</w:t>
      </w:r>
    </w:p>
    <w:p>
      <w:pPr>
        <w:numPr>
          <w:ilvl w:val="0"/>
          <w:numId w:val="1010"/>
        </w:numPr>
        <w:pStyle w:val="Compact"/>
      </w:pPr>
      <w:r>
        <w:t xml:space="preserve">Depth is a major driver of metabolome composition in the gyre</w:t>
      </w:r>
    </w:p>
    <w:p>
      <w:pPr>
        <w:numPr>
          <w:ilvl w:val="0"/>
          <w:numId w:val="1010"/>
        </w:numPr>
        <w:pStyle w:val="Compact"/>
      </w:pPr>
      <w:r>
        <w:t xml:space="preserve">Majority of metabolites track with biomass metrics</w:t>
      </w:r>
    </w:p>
    <w:p>
      <w:pPr>
        <w:numPr>
          <w:ilvl w:val="0"/>
          <w:numId w:val="1010"/>
        </w:numPr>
        <w:pStyle w:val="Compact"/>
      </w:pPr>
      <w:r>
        <w:t xml:space="preserve">Some interesting metabolites diverge from dominant biomass trend</w:t>
      </w:r>
    </w:p>
    <w:p>
      <w:pPr>
        <w:numPr>
          <w:ilvl w:val="1"/>
          <w:numId w:val="1012"/>
        </w:numPr>
        <w:pStyle w:val="Compact"/>
      </w:pPr>
      <w:r>
        <w:t xml:space="preserve">Some new MAAs in clockplot top left? (Still need to check this w MSMS)</w:t>
      </w:r>
    </w:p>
    <w:p>
      <w:pPr>
        <w:numPr>
          <w:ilvl w:val="1"/>
          <w:numId w:val="1012"/>
        </w:numPr>
        <w:pStyle w:val="Compact"/>
      </w:pPr>
      <w:r>
        <w:t xml:space="preserve">Degradation products / bacterial specialties at bottom?</w:t>
      </w:r>
    </w:p>
    <w:bookmarkEnd w:id="64"/>
    <w:bookmarkEnd w:id="65"/>
    <w:bookmarkStart w:id="66" w:name="conclusions"/>
    <w:p>
      <w:pPr>
        <w:pStyle w:val="Heading2"/>
      </w:pPr>
      <w:r>
        <w:t xml:space="preserve">Conclusions</w:t>
      </w:r>
    </w:p>
    <w:p>
      <w:pPr>
        <w:pStyle w:val="FirstParagraph"/>
      </w:pPr>
      <w:r>
        <w:t xml:space="preserve">TBD</w:t>
      </w:r>
    </w:p>
    <w:bookmarkEnd w:id="66"/>
    <w:bookmarkStart w:id="67" w:name="acknowledgements"/>
    <w:p>
      <w:pPr>
        <w:pStyle w:val="Heading2"/>
      </w:pPr>
      <w:r>
        <w:t xml:space="preserve">Acknowledgements</w:t>
      </w:r>
    </w:p>
    <w:bookmarkEnd w:id="67"/>
    <w:bookmarkStart w:id="68" w:name="references"/>
    <w:p>
      <w:pPr>
        <w:pStyle w:val="Heading2"/>
      </w:pPr>
      <w:r>
        <w:t xml:space="preserve">References</w:t>
      </w:r>
    </w:p>
    <w:bookmarkEnd w:id="68"/>
    <w:bookmarkStart w:id="81"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70" name="Picture"/>
            <a:graphic>
              <a:graphicData uri="http://schemas.openxmlformats.org/drawingml/2006/picture">
                <pic:pic>
                  <pic:nvPicPr>
                    <pic:cNvPr descr="supplement/suppfig_model_param_estimates.png" id="71" name="Picture"/>
                    <pic:cNvPicPr>
                      <a:picLocks noChangeArrowheads="1" noChangeAspect="1"/>
                    </pic:cNvPicPr>
                  </pic:nvPicPr>
                  <pic:blipFill>
                    <a:blip r:embed="rId69"/>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73" name="Picture"/>
            <a:graphic>
              <a:graphicData uri="http://schemas.openxmlformats.org/drawingml/2006/picture">
                <pic:pic>
                  <pic:nvPicPr>
                    <pic:cNvPr descr="supplement/sampled_model_est.png" id="74" name="Picture"/>
                    <pic:cNvPicPr>
                      <a:picLocks noChangeArrowheads="1" noChangeAspect="1"/>
                    </pic:cNvPicPr>
                  </pic:nvPicPr>
                  <pic:blipFill>
                    <a:blip r:embed="rId7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76" name="Picture"/>
            <a:graphic>
              <a:graphicData uri="http://schemas.openxmlformats.org/drawingml/2006/picture">
                <pic:pic>
                  <pic:nvPicPr>
                    <pic:cNvPr descr="supplement/regregrf_fdrgpf_cross_train.png" id="77" name="Picture"/>
                    <pic:cNvPicPr>
                      <a:picLocks noChangeArrowheads="1" noChangeAspect="1"/>
                    </pic:cNvPicPr>
                  </pic:nvPicPr>
                  <pic:blipFill>
                    <a:blip r:embed="rId75"/>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p>
      <w:pPr>
        <w:pStyle w:val="CaptionedFigure"/>
      </w:pPr>
      <w:r>
        <w:drawing>
          <wp:inline>
            <wp:extent cx="5943600" cy="3657600"/>
            <wp:effectExtent b="0" l="0" r="0" t="0"/>
            <wp:docPr descr="Supplemental figure 4: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79" name="Picture"/>
            <a:graphic>
              <a:graphicData uri="http://schemas.openxmlformats.org/drawingml/2006/picture">
                <pic:pic>
                  <pic:nvPicPr>
                    <pic:cNvPr descr="supplement/thresh_NMDS_plots.png" id="80" name="Picture"/>
                    <pic:cNvPicPr>
                      <a:picLocks noChangeArrowheads="1" noChangeAspect="1"/>
                    </pic:cNvPicPr>
                  </pic:nvPicPr>
                  <pic:blipFill>
                    <a:blip r:embed="rId7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Supplemental figure 4: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81"/>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hyperlink" Id="rId35" Target="https://github.com/wkumler/MS_metrics" TargetMode="External" /></Relationships>
</file>

<file path=word/_rels/footnotes.xml.rels><?xml version="1.0" encoding="UTF-8"?><Relationships xmlns="http://schemas.openxmlformats.org/package/2006/relationships"><Relationship Type="http://schemas.openxmlformats.org/officeDocument/2006/relationships/hyperlink" Id="rId35" Target="https://github.com/wkumler/MS_metr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dc:creator>
  <cp:keywords/>
  <dcterms:created xsi:type="dcterms:W3CDTF">2023-05-04T00:35:01Z</dcterms:created>
  <dcterms:modified xsi:type="dcterms:W3CDTF">2023-05-04T00:35:01Z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2023-05-03</vt:lpwstr>
  </property>
  <property fmtid="{D5CDD505-2E9C-101B-9397-08002B2CF9AE}" pid="3" name="output">
    <vt:lpwstr/>
  </property>
</Properties>
</file>