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8.png" ContentType="image/png"/>
  <Override PartName="/word/media/rId26.png" ContentType="image/png"/>
  <Override PartName="/word/media/rId64.png" ContentType="image/png"/>
  <Override PartName="/word/media/rId46.png" ContentType="image/png"/>
  <Override PartName="/word/media/rId156.png" ContentType="image/png"/>
  <Override PartName="/word/media/rId153.png" ContentType="image/png"/>
  <Override PartName="/word/media/rId1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Ingalls</w:t>
      </w:r>
    </w:p>
    <w:p>
      <w:pPr>
        <w:pStyle w:val="Date"/>
      </w:pPr>
      <w:r>
        <w:t xml:space="preserve">2023-06-12</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 </w:t>
      </w:r>
      <w:r>
        <w:t xml:space="preserve">(Bajad et al. 2006; Myers et al. 2017b; Gika et al. 2019)</w:t>
      </w:r>
      <w:r>
        <w:t xml:space="preserve">.</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 </w:t>
      </w:r>
      <w:r>
        <w:t xml:space="preserve">(Pirttilä et al. 2022; Gloaguen, Kirwan, and Beule 2022)</w:t>
      </w:r>
      <w:r>
        <w:t xml:space="preserve">. However, this approach creates two downstream problems. First, the abundance of false positives requires more time from the researcher as they manually evaluate a potentially enormous number of molecular features (MFs), a task that scales combinatorially with the number of samples and compounds measured</w:t>
      </w:r>
      <w:r>
        <w:t xml:space="preserve"> </w:t>
      </w:r>
      <w:r>
        <w:t xml:space="preserve">(Myers et al. 2017a)</w:t>
      </w:r>
      <w:r>
        <w:t xml:space="preserve">. 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MFs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w:t>
      </w:r>
      <w:r>
        <w:t xml:space="preserve"> </w:t>
      </w:r>
      <w:r>
        <w:t xml:space="preserve">(Pirttilä et al. 2022)</w:t>
      </w:r>
      <w:r>
        <w:t xml:space="preserve">. 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 </w:t>
      </w:r>
      <w:r>
        <w:t xml:space="preserve">and</w:t>
      </w:r>
      <w:r>
        <w:t xml:space="preserve"> </w:t>
      </w:r>
      <w:r>
        <w:t xml:space="preserve">Kantz et al. (2019)</w:t>
      </w:r>
      <w:r>
        <w:t xml:space="preserve">.</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w:t>
      </w:r>
      <w:r>
        <w:t xml:space="preserve"> </w:t>
      </w:r>
      <w:r>
        <w:t xml:space="preserve">(Kido Soule et al. 2015)</w:t>
      </w:r>
      <w:r>
        <w:t xml:space="preserve">. Low compound and high salt concentrations make this area difficult to study but its vast size and direct effect on the Earth’s biogeochemistry make it critical that we understand its dynamics of energy and nutrients on a molecular scale</w:t>
      </w:r>
      <w:r>
        <w:t xml:space="preserve"> </w:t>
      </w:r>
      <w:r>
        <w:t xml:space="preserve">(Boysen et al. 2018)</w:t>
      </w:r>
      <w:r>
        <w:t xml:space="preserve">. 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 </w:t>
      </w:r>
      <w:r>
        <w:t xml:space="preserve">(Kido Soule et al. 2015; Boysen et al. 2021; Heal et al. 2021)</w:t>
      </w:r>
      <w:r>
        <w:t xml:space="preserve">.</w:t>
      </w:r>
    </w:p>
    <w:p>
      <w:pPr>
        <w:pStyle w:val="BodyText"/>
      </w:pPr>
      <w:r>
        <w:t xml:space="preserve">In this paper, we use open ocean marine metabolite LC-MS samples to develop and test a variety of chromatographic peak metrics. Here,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p>
      <w:pPr>
        <w:pStyle w:val="BodyText"/>
      </w:pPr>
      <w:r>
        <w:t xml:space="preserve">Most metrics had reasonably normal distributions after the scaling and normalization described in Methods. Visually, the most compelling separations between good and bad MFs were observed in the novel peak shape and SNR metrics, with higher peak shape correlations and larger SNR values corresponding to good MFs and almost complete separation for the peak shape (</w:t>
      </w:r>
      <w:r>
        <w:rPr>
          <w:rStyle w:val="VerbatimChar"/>
        </w:rPr>
        <w:t xml:space="preserve">med_cor</w:t>
      </w:r>
      <w:r>
        <w:t xml:space="preserve">) metric. Peak width and its standard deviation also showed reasonable separation between good and bad MFs (good MFs tended to have low SDs and larger peak widths). The isotope shape and area correlations also showed good separation (Supp. figure XX).</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349240" cy="3291840"/>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olecular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349240" cy="3291840"/>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molecular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w:t>
      </w:r>
    </w:p>
    <w:p>
      <w:pPr>
        <w:pStyle w:val="BodyText"/>
      </w:pPr>
      <w:r>
        <w:t xml:space="preserve">We explored the relative predictive power of the individual parameters using the full model and found that the predictors least likely to be different from zero due to chance were the mean</w:t>
      </w:r>
      <w:r>
        <w:t xml:space="preserve"> </w:t>
      </w:r>
      <w:r>
        <w:rPr>
          <w:iCs/>
          <w:i/>
        </w:rPr>
        <w:t xml:space="preserve">m/z</w:t>
      </w:r>
      <w:r>
        <w:t xml:space="preserve"> </w:t>
      </w:r>
      <w:r>
        <w:t xml:space="preserve">ratio, the novel peak shape correlation metric</w:t>
      </w:r>
      <w:r>
        <w:t xml:space="preserve"> </w:t>
      </w:r>
      <w:r>
        <w:rPr>
          <w:rStyle w:val="VerbatimChar"/>
        </w:rPr>
        <w:t xml:space="preserve">med_cor</w:t>
      </w:r>
      <w:r>
        <w:t xml:space="preserve">, and the novel SNR estimate</w:t>
      </w:r>
      <w:r>
        <w:t xml:space="preserve"> </w:t>
      </w:r>
      <w:r>
        <w:rPr>
          <w:rStyle w:val="VerbatimChar"/>
        </w:rPr>
        <w:t xml:space="preserve">med_SNR</w:t>
      </w:r>
      <w:r>
        <w:t xml:space="preserve">, all with reported p-values &lt; 10</w:t>
      </w:r>
      <m:oMath>
        <m:sSup>
          <m:e>
            <m:r>
              <m:t>​</m:t>
            </m:r>
          </m:e>
          <m:sup>
            <m:r>
              <m:rPr>
                <m:sty m:val="p"/>
              </m:rPr>
              <m:t>−</m:t>
            </m:r>
            <m:r>
              <m:t>10</m:t>
            </m:r>
          </m:sup>
        </m:sSup>
      </m:oMath>
      <w:r>
        <w:t xml:space="preserve">. The novel parameters were then validated using a random forest model that also found them to have the highest importance (Supp table XX).</w:t>
      </w:r>
    </w:p>
    <w:p>
      <w:pPr>
        <w:pStyle w:val="BodyText"/>
      </w:pPr>
      <w:r>
        <w:t xml:space="preserve">The full model performed very well when tested internally on the same dataset both during 80/20 cross validation and when using the full dataset, with FDR values in the 5-10% range and 80-90% GFF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they all had similar performance with FDRs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349240" cy="2468880"/>
            <wp:effectExtent b="0" l="0" r="0" t="0"/>
            <wp:docPr descr="Figure 2: False discovery rate (FDR) and fraction of good features found (GFF) plotted across different subsets of model parameters. Lower FDR indicates a smaller fraction of false positives among those molecular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excessive overfitting on the training data." title="" id="30" name="Picture"/>
            <a:graphic>
              <a:graphicData uri="http://schemas.openxmlformats.org/drawingml/2006/picture">
                <pic:pic>
                  <pic:nvPicPr>
                    <pic:cNvPr descr="figures/fdr_gff_cross_train.png" id="31" name="Picture"/>
                    <pic:cNvPicPr>
                      <a:picLocks noChangeArrowheads="1" noChangeAspect="1"/>
                    </pic:cNvPicPr>
                  </pic:nvPicPr>
                  <pic:blipFill>
                    <a:blip r:embed="rId29"/>
                    <a:stretch>
                      <a:fillRect/>
                    </a:stretch>
                  </pic:blipFill>
                  <pic:spPr bwMode="auto">
                    <a:xfrm>
                      <a:off x="0" y="0"/>
                      <a:ext cx="5349240" cy="2468880"/>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molecular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excessive overfitting on the training data.</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 Pearson correlation coefficient (</w:t>
      </w:r>
      <m:oMath>
        <m:r>
          <m:t>r</m:t>
        </m:r>
      </m:oMath>
      <w:r>
        <w:t xml:space="preserve">) value of 0.996, while the full models and the XCMS-trained models had</w:t>
      </w:r>
      <w:r>
        <w:t xml:space="preserve"> </w:t>
      </w:r>
      <m:oMath>
        <m:r>
          <m:t>r</m:t>
        </m:r>
      </m:oMath>
      <w:r>
        <w:t xml:space="preserve"> </w:t>
      </w:r>
      <w:r>
        <w:t xml:space="preserve">values of 0.799 and 0.863, respectively. When compared in ranked space using Spearman’s ranked correlation, we found an intensification of this effect, with a higher</w:t>
      </w:r>
      <w:r>
        <w:t xml:space="preserve"> </w:t>
      </w:r>
      <m:oMath>
        <m:r>
          <m:t>ρ</m:t>
        </m:r>
      </m:oMath>
      <w:r>
        <w:t xml:space="preserve"> </w:t>
      </w:r>
      <w:r>
        <w:t xml:space="preserve">for the two-parameter model of 0.998 but lower</w:t>
      </w:r>
      <w:r>
        <w:t xml:space="preserve"> </w:t>
      </w:r>
      <m:oMath>
        <m:r>
          <m:t>ρ</m:t>
        </m:r>
      </m:oMath>
      <w:r>
        <w:t xml:space="preserve"> </w:t>
      </w:r>
      <w:r>
        <w:t xml:space="preserve">values for the full and XCMS-trained model of 0.725 and 0.804, respectively (Figure 3).</w:t>
      </w:r>
    </w:p>
    <w:p>
      <w:pPr>
        <w:pStyle w:val="CaptionedFigure"/>
      </w:pPr>
      <w:r>
        <w:drawing>
          <wp:inline>
            <wp:extent cx="5349240" cy="4114800"/>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349240" cy="4114800"/>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two times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XX).</w:t>
      </w:r>
    </w:p>
    <w:p>
      <w:pPr>
        <w:pStyle w:val="BodyText"/>
      </w:pPr>
      <w:r>
        <w:t xml:space="preserve">When testing model stability under a smaller sample size, we found reasonably good convergence in a dataset containing half the mass features with most model parameters falling within two standard errors of the estimate for the XCMS and two-parameter model, while the full model required closer to 80% of the mass features to produce estimates consistent with the original model (Supp. figure XX).</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GFF and FDR, with lasso (α = 1) obtaining higher ones and representing a less-stringent false negative acceptance while, as expected, the elastic net (α = 0.5) fell in between the two (Supp. figure XX). The random forest model, interestingly, had perfect predictive capacity when tested internally on the training data (FDR=0%, GFF=100%, for both MESOSCOPE and Falkor) but showed a significant drop in improvement when applied across datasets (Supp. figure XX).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required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1783080" cy="2377440"/>
            <wp:effectExtent b="0" l="0" r="0" t="0"/>
            <wp:docPr descr="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 title="" id="39" name="Picture"/>
            <a:graphic>
              <a:graphicData uri="http://schemas.openxmlformats.org/drawingml/2006/picture">
                <pic:pic>
                  <pic:nvPicPr>
                    <pic:cNvPr descr="figures/fdr_gff_all_datasets.png" id="40" name="Picture"/>
                    <pic:cNvPicPr>
                      <a:picLocks noChangeArrowheads="1" noChangeAspect="1"/>
                    </pic:cNvPicPr>
                  </pic:nvPicPr>
                  <pic:blipFill>
                    <a:blip r:embed="rId38"/>
                    <a:stretch>
                      <a:fillRect/>
                    </a:stretch>
                  </pic:blipFill>
                  <pic:spPr bwMode="auto">
                    <a:xfrm>
                      <a:off x="0" y="0"/>
                      <a:ext cx="1783080" cy="2377440"/>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w:t>
      </w:r>
    </w:p>
    <w:p>
      <w:pPr>
        <w:pStyle w:val="BodyText"/>
      </w:pPr>
      <w:r>
        <w:t xml:space="preserve">Additionally, a large number of features manually identified as bad nonetheless had significant differences with depth. This was surprising because we had assumed that bad MFs corresponded to instrument or chemical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w:t>
      </w:r>
    </w:p>
    <w:p>
      <w:pPr>
        <w:pStyle w:val="CaptionedFigure"/>
      </w:pPr>
      <w:r>
        <w:drawing>
          <wp:inline>
            <wp:extent cx="5349240" cy="5760720"/>
            <wp:effectExtent b="0" l="0" r="0" t="0"/>
            <wp:docPr descr="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 “All equal” depth clas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349240" cy="5760720"/>
                    </a:xfrm>
                    <a:prstGeom prst="rect">
                      <a:avLst/>
                    </a:prstGeom>
                    <a:noFill/>
                    <a:ln w="9525">
                      <a:noFill/>
                      <a:headEnd/>
                      <a:tailEnd/>
                    </a:ln>
                  </pic:spPr>
                </pic:pic>
              </a:graphicData>
            </a:graphic>
          </wp:inline>
        </w:drawing>
      </w:r>
    </w:p>
    <w:p>
      <w:pPr>
        <w:pStyle w:val="ImageCaption"/>
      </w:pPr>
      <w:r>
        <w:t xml:space="preserve">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w:t>
      </w:r>
      <w:r>
        <w:t xml:space="preserve"> </w:t>
      </w:r>
      <w:r>
        <w:t xml:space="preserve">“</w:t>
      </w:r>
      <w:r>
        <w:t xml:space="preserve">All equal</w:t>
      </w:r>
      <w:r>
        <w:t xml:space="preserve">”</w:t>
      </w:r>
      <w:r>
        <w:t xml:space="preserve"> </w:t>
      </w:r>
      <w:r>
        <w:t xml:space="preserve">depth class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w:t>
      </w:r>
    </w:p>
    <w:p>
      <w:pPr>
        <w:pStyle w:val="BodyText"/>
      </w:pPr>
      <w:r>
        <w:t xml:space="preserve">[Switch the shapes to make empty circles</w:t>
      </w:r>
      <w:r>
        <w:t xml:space="preserve"> </w:t>
      </w:r>
      <w:r>
        <w:t xml:space="preserve">“</w:t>
      </w:r>
      <w:r>
        <w:t xml:space="preserve">good peaks missed</w:t>
      </w:r>
      <w:r>
        <w:t xml:space="preserve">”</w:t>
      </w:r>
      <w:r>
        <w:t xml:space="preserve">]</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never likely to be due entirely to chance. However, the pseudo-F and was much larger with higher thresholds, scaling from around 8.5 when thresholding at a 1% likelihood to 42 when thresholded at a 90% likelihood (Table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Data subset</w:t>
            </w:r>
          </w:p>
        </w:tc>
        <w:tc>
          <w:tcPr/>
          <w:p>
            <w:pPr>
              <w:pStyle w:val="Compact"/>
              <w:jc w:val="right"/>
            </w:pPr>
            <w:r>
              <w:t xml:space="preserve"># of MFs</w:t>
            </w:r>
          </w:p>
        </w:tc>
        <w:tc>
          <w:tcPr/>
          <w:p>
            <w:pPr>
              <w:pStyle w:val="Compact"/>
              <w:jc w:val="right"/>
            </w:pPr>
            <w:r>
              <w:t xml:space="preserve">% Var Expl.</w:t>
            </w:r>
          </w:p>
        </w:tc>
        <w:tc>
          <w:tcPr/>
          <w:p>
            <w:pPr>
              <w:pStyle w:val="Compact"/>
              <w:jc w:val="right"/>
            </w:pPr>
            <w:r>
              <w:t xml:space="preserve">Pseudo-F</w:t>
            </w:r>
          </w:p>
        </w:tc>
        <w:tc>
          <w:tcPr/>
          <w:p>
            <w:pPr>
              <w:pStyle w:val="Compact"/>
              <w:jc w:val="right"/>
            </w:pPr>
            <w:r>
              <w:t xml:space="preserve">2D NMDS stress</w:t>
            </w:r>
          </w:p>
        </w:tc>
      </w:tr>
      <w:tr>
        <w:tc>
          <w:tcPr/>
          <w:p>
            <w:pPr>
              <w:pStyle w:val="Compact"/>
              <w:jc w:val="left"/>
            </w:pPr>
            <w:r>
              <w:t xml:space="preserve">All MFs</w:t>
            </w:r>
          </w:p>
        </w:tc>
        <w:tc>
          <w:tcPr/>
          <w:p>
            <w:pPr>
              <w:pStyle w:val="Compact"/>
              <w:jc w:val="right"/>
            </w:pPr>
            <w:r>
              <w:t xml:space="preserve">2086</w:t>
            </w:r>
          </w:p>
        </w:tc>
        <w:tc>
          <w:tcPr/>
          <w:p>
            <w:pPr>
              <w:pStyle w:val="Compact"/>
              <w:jc w:val="right"/>
            </w:pPr>
            <w:r>
              <w:t xml:space="preserve">10.4</w:t>
            </w:r>
          </w:p>
        </w:tc>
        <w:tc>
          <w:tcPr/>
          <w:p>
            <w:pPr>
              <w:pStyle w:val="Compact"/>
              <w:jc w:val="right"/>
            </w:pPr>
            <w:r>
              <w:t xml:space="preserve">5.5</w:t>
            </w:r>
          </w:p>
        </w:tc>
        <w:tc>
          <w:tcPr/>
          <w:p>
            <w:pPr>
              <w:pStyle w:val="Compact"/>
              <w:jc w:val="right"/>
            </w:pPr>
            <w:r>
              <w:t xml:space="preserve">0.169</w:t>
            </w:r>
          </w:p>
        </w:tc>
      </w:tr>
      <w:tr>
        <w:tc>
          <w:tcPr/>
          <w:p>
            <w:pPr>
              <w:pStyle w:val="Compact"/>
              <w:jc w:val="left"/>
            </w:pPr>
            <w:r>
              <w:t xml:space="preserve">Threshold 0.01</w:t>
            </w:r>
          </w:p>
        </w:tc>
        <w:tc>
          <w:tcPr/>
          <w:p>
            <w:pPr>
              <w:pStyle w:val="Compact"/>
              <w:jc w:val="right"/>
            </w:pPr>
            <w:r>
              <w:t xml:space="preserve">1129</w:t>
            </w:r>
          </w:p>
        </w:tc>
        <w:tc>
          <w:tcPr/>
          <w:p>
            <w:pPr>
              <w:pStyle w:val="Compact"/>
              <w:jc w:val="right"/>
            </w:pPr>
            <w:r>
              <w:t xml:space="preserve">15.2</w:t>
            </w:r>
          </w:p>
        </w:tc>
        <w:tc>
          <w:tcPr/>
          <w:p>
            <w:pPr>
              <w:pStyle w:val="Compact"/>
              <w:jc w:val="right"/>
            </w:pPr>
            <w:r>
              <w:t xml:space="preserve">8.6</w:t>
            </w:r>
          </w:p>
        </w:tc>
        <w:tc>
          <w:tcPr/>
          <w:p>
            <w:pPr>
              <w:pStyle w:val="Compact"/>
              <w:jc w:val="right"/>
            </w:pPr>
            <w:r>
              <w:t xml:space="preserve">0.191</w:t>
            </w:r>
          </w:p>
        </w:tc>
      </w:tr>
      <w:tr>
        <w:tc>
          <w:tcPr/>
          <w:p>
            <w:pPr>
              <w:pStyle w:val="Compact"/>
              <w:jc w:val="left"/>
            </w:pPr>
            <w:r>
              <w:t xml:space="preserve">Threshold 0.1</w:t>
            </w:r>
          </w:p>
        </w:tc>
        <w:tc>
          <w:tcPr/>
          <w:p>
            <w:pPr>
              <w:pStyle w:val="Compact"/>
              <w:jc w:val="right"/>
            </w:pPr>
            <w:r>
              <w:t xml:space="preserve">516</w:t>
            </w:r>
          </w:p>
        </w:tc>
        <w:tc>
          <w:tcPr/>
          <w:p>
            <w:pPr>
              <w:pStyle w:val="Compact"/>
              <w:jc w:val="right"/>
            </w:pPr>
            <w:r>
              <w:t xml:space="preserve">25.0</w:t>
            </w:r>
          </w:p>
        </w:tc>
        <w:tc>
          <w:tcPr/>
          <w:p>
            <w:pPr>
              <w:pStyle w:val="Compact"/>
              <w:jc w:val="right"/>
            </w:pPr>
            <w:r>
              <w:t xml:space="preserve">16.0</w:t>
            </w:r>
          </w:p>
        </w:tc>
        <w:tc>
          <w:tcPr/>
          <w:p>
            <w:pPr>
              <w:pStyle w:val="Compact"/>
              <w:jc w:val="right"/>
            </w:pPr>
            <w:r>
              <w:t xml:space="preserve">0.200</w:t>
            </w:r>
          </w:p>
        </w:tc>
      </w:tr>
      <w:tr>
        <w:tc>
          <w:tcPr/>
          <w:p>
            <w:pPr>
              <w:pStyle w:val="Compact"/>
              <w:jc w:val="left"/>
            </w:pPr>
            <w:r>
              <w:t xml:space="preserve">Threshold 0.5</w:t>
            </w:r>
          </w:p>
        </w:tc>
        <w:tc>
          <w:tcPr/>
          <w:p>
            <w:pPr>
              <w:pStyle w:val="Compact"/>
              <w:jc w:val="right"/>
            </w:pPr>
            <w:r>
              <w:t xml:space="preserve">287</w:t>
            </w:r>
          </w:p>
        </w:tc>
        <w:tc>
          <w:tcPr/>
          <w:p>
            <w:pPr>
              <w:pStyle w:val="Compact"/>
              <w:jc w:val="right"/>
            </w:pPr>
            <w:r>
              <w:t xml:space="preserve">34.6</w:t>
            </w:r>
          </w:p>
        </w:tc>
        <w:tc>
          <w:tcPr/>
          <w:p>
            <w:pPr>
              <w:pStyle w:val="Compact"/>
              <w:jc w:val="right"/>
            </w:pPr>
            <w:r>
              <w:t xml:space="preserve">25.3</w:t>
            </w:r>
          </w:p>
        </w:tc>
        <w:tc>
          <w:tcPr/>
          <w:p>
            <w:pPr>
              <w:pStyle w:val="Compact"/>
              <w:jc w:val="right"/>
            </w:pPr>
            <w:r>
              <w:t xml:space="preserve">0.180</w:t>
            </w:r>
          </w:p>
        </w:tc>
      </w:tr>
      <w:tr>
        <w:tc>
          <w:tcPr/>
          <w:p>
            <w:pPr>
              <w:pStyle w:val="Compact"/>
              <w:jc w:val="left"/>
            </w:pPr>
            <w:r>
              <w:t xml:space="preserve">Threshold 0.9</w:t>
            </w:r>
          </w:p>
        </w:tc>
        <w:tc>
          <w:tcPr/>
          <w:p>
            <w:pPr>
              <w:pStyle w:val="Compact"/>
              <w:jc w:val="right"/>
            </w:pPr>
            <w:r>
              <w:t xml:space="preserve">75</w:t>
            </w:r>
          </w:p>
        </w:tc>
        <w:tc>
          <w:tcPr/>
          <w:p>
            <w:pPr>
              <w:pStyle w:val="Compact"/>
              <w:jc w:val="right"/>
            </w:pPr>
            <w:r>
              <w:t xml:space="preserve">46.7</w:t>
            </w:r>
          </w:p>
        </w:tc>
        <w:tc>
          <w:tcPr/>
          <w:p>
            <w:pPr>
              <w:pStyle w:val="Compact"/>
              <w:jc w:val="right"/>
            </w:pPr>
            <w:r>
              <w:t xml:space="preserve">42.0</w:t>
            </w:r>
          </w:p>
        </w:tc>
        <w:tc>
          <w:tcPr/>
          <w:p>
            <w:pPr>
              <w:pStyle w:val="Compact"/>
              <w:jc w:val="right"/>
            </w:pPr>
            <w:r>
              <w:t xml:space="preserve">0.097</w:t>
            </w:r>
          </w:p>
        </w:tc>
      </w:tr>
      <w:tr>
        <w:tc>
          <w:tcPr/>
          <w:p>
            <w:pPr>
              <w:pStyle w:val="Compact"/>
              <w:jc w:val="left"/>
            </w:pPr>
            <w:r>
              <w:t xml:space="preserve">Only good MFs</w:t>
            </w:r>
          </w:p>
        </w:tc>
        <w:tc>
          <w:tcPr/>
          <w:p>
            <w:pPr>
              <w:pStyle w:val="Compact"/>
              <w:jc w:val="right"/>
            </w:pPr>
            <w:r>
              <w:t xml:space="preserve">249</w:t>
            </w:r>
          </w:p>
        </w:tc>
        <w:tc>
          <w:tcPr/>
          <w:p>
            <w:pPr>
              <w:pStyle w:val="Compact"/>
              <w:jc w:val="right"/>
            </w:pPr>
            <w:r>
              <w:t xml:space="preserve">44.2</w:t>
            </w:r>
          </w:p>
        </w:tc>
        <w:tc>
          <w:tcPr/>
          <w:p>
            <w:pPr>
              <w:pStyle w:val="Compact"/>
              <w:jc w:val="right"/>
            </w:pPr>
            <w:r>
              <w:t xml:space="preserve">38.1</w:t>
            </w:r>
          </w:p>
        </w:tc>
        <w:tc>
          <w:tcPr/>
          <w:p>
            <w:pPr>
              <w:pStyle w:val="Compact"/>
              <w:jc w:val="right"/>
            </w:pPr>
            <w:r>
              <w:t xml:space="preserve">0.142</w:t>
            </w:r>
          </w:p>
        </w:tc>
      </w:tr>
    </w:tbl>
    <w:p>
      <w:pPr>
        <w:pStyle w:val="BodyText"/>
      </w:pPr>
      <w:r>
        <w:rPr>
          <w:iCs/>
          <w:i/>
        </w:rPr>
        <w:t xml:space="preserve">Table 1: Number of mass features, percent variance explained, pseudo-F statistic, and stress values from performing a permutational MANOVA and 2D non-metric multidimensional scaling (NMDS) on subsets of the full mass feature selection according to variable likelihood thresholds.</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 (Table 1).</w:t>
      </w:r>
    </w:p>
    <w:p>
      <w:pPr>
        <w:pStyle w:val="BodyText"/>
      </w:pPr>
      <w:r>
        <w:t xml:space="preserve">The relative power of identifying only the very best MFs was also illustrated visually with non-metric multidimensional scaling (NMDS) plots (Figure 6).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w:t>
      </w:r>
    </w:p>
    <w:p>
      <w:pPr>
        <w:pStyle w:val="CaptionedFigure"/>
      </w:pPr>
      <w:r>
        <w:drawing>
          <wp:inline>
            <wp:extent cx="5349240" cy="3291840"/>
            <wp:effectExtent b="0" l="0" r="0" t="0"/>
            <wp:docPr descr="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 “Only good MFs” refers to those features manually labeled as “Good”. NMDS stress values are reported in the upper right corner of each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349240" cy="3291840"/>
                    </a:xfrm>
                    <a:prstGeom prst="rect">
                      <a:avLst/>
                    </a:prstGeom>
                    <a:noFill/>
                    <a:ln w="9525">
                      <a:noFill/>
                      <a:headEnd/>
                      <a:tailEnd/>
                    </a:ln>
                  </pic:spPr>
                </pic:pic>
              </a:graphicData>
            </a:graphic>
          </wp:inline>
        </w:drawing>
      </w:r>
    </w:p>
    <w:p>
      <w:pPr>
        <w:pStyle w:val="ImageCaption"/>
      </w:pPr>
      <w:r>
        <w:t xml:space="preserve">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 MFs</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in the upper right corner of each plot.</w:t>
      </w:r>
    </w:p>
    <w:bookmarkEnd w:id="49"/>
    <w:bookmarkEnd w:id="50"/>
    <w:bookmarkEnd w:id="51"/>
    <w:bookmarkStart w:id="57"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molecular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 </w:t>
      </w:r>
      <w:r>
        <w:t xml:space="preserve">(Pirttilä et al. 2022; Guo et al. 2021; Müller et al. 2020)</w:t>
      </w:r>
      <w:r>
        <w:t xml:space="preserve">. 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5"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molecular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XX).</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initially picked while doing so. This strategy, when applied to our data, returned accuracies in the 80-90% range despite being a useless classifier for downstream analysis.</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confusion matrices in Supplemental Table XX.</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3"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However, they could be implemented in XCMS directly, removing the need to revisit the raw data. It is worth noting that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informative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 </w:t>
      </w:r>
      <w:r>
        <w:t xml:space="preserve">(Libiseller et al. 2015; Treutler and Neumann 2016; El Abiead et al. 2021)</w:t>
      </w:r>
      <w:r>
        <w:t xml:space="preserve">. We learned that many noise MFs still have reliable isotopes (perhaps unsurprising, given that the noise is in fact often caused by solvents or contaminants that are still chemical in nature) and that many real MFs are simply too low-intensity to have them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 </w:t>
      </w:r>
      <w:r>
        <w:t xml:space="preserve">(Houriet et al. 2022; Barupal et al. 2021)</w:t>
      </w:r>
      <w:r>
        <w:t xml:space="preserve">.</w:t>
      </w:r>
    </w:p>
    <w:bookmarkEnd w:id="53"/>
    <w:bookmarkStart w:id="54"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The drastic drop in performance on out-of-sample data was particularly concerning because it creates overconfidence in the true level of noise actually ending up in the final dataset.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starts viewing the chromatograms associated with the very best features and eventually reaches a point where enough MFs have been reviewed or bad MFs are frequent enough that they decide to stop.</w:t>
      </w:r>
    </w:p>
    <w:p>
      <w:pPr>
        <w:pStyle w:val="BodyText"/>
      </w:pPr>
      <w:r>
        <w:t xml:space="preserve">A final benefit to the reduced model is the smaller training set required to reach stability (Supp figure XX).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4"/>
    <w:bookmarkEnd w:id="55"/>
    <w:bookmarkStart w:id="56"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 </w:t>
      </w:r>
      <w:r>
        <w:t xml:space="preserve">(Barone et al. 2022; Heal et al. 2021)</w:t>
      </w:r>
      <w:r>
        <w:t xml:space="preserve">. 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6"/>
    <w:bookmarkEnd w:id="57"/>
    <w:bookmarkStart w:id="58" w:name="conclusions-1"/>
    <w:p>
      <w:pPr>
        <w:pStyle w:val="Heading2"/>
      </w:pPr>
      <w:r>
        <w:t xml:space="preserve">Conclusions</w:t>
      </w:r>
    </w:p>
    <w:p>
      <w:pPr>
        <w:pStyle w:val="FirstParagraph"/>
      </w:pPr>
      <w:r>
        <w:t xml:space="preserve">The large number of molecular features due to noise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8"/>
    <w:bookmarkStart w:id="76" w:name="methods"/>
    <w:p>
      <w:pPr>
        <w:pStyle w:val="Heading2"/>
      </w:pPr>
      <w:r>
        <w:t xml:space="preserve">Methods</w:t>
      </w:r>
    </w:p>
    <w:bookmarkStart w:id="59"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59"/>
    <w:bookmarkStart w:id="60"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0"/>
    <w:bookmarkStart w:id="61"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1"/>
    <w:bookmarkStart w:id="62"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2"/>
    <w:bookmarkStart w:id="63"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 </w:t>
      </w:r>
      <w:r>
        <w:t xml:space="preserve">(Smith et al. 2006; Tautenhahn, Böttcher, and Neumann 2008)</w:t>
      </w:r>
      <w:r>
        <w:t xml:space="preserve">. Files were loaded and run separately for each dataset using the</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 </w:t>
      </w:r>
      <w:r>
        <w:t xml:space="preserve">(Benton, Want, and Ebbels 2010)</w:t>
      </w:r>
      <w:r>
        <w:t xml:space="preserve">. 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3"/>
    <w:bookmarkStart w:id="67"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by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molecular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4160520" cy="1920240"/>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 “FT” and followed by 4 digits. Two features were annotated using authentic standards run alongside: the 13C isotope of dimethylsulfonioacetate (DMS-Ac) and taurine." title="" id="65" name="Picture"/>
            <a:graphic>
              <a:graphicData uri="http://schemas.openxmlformats.org/drawingml/2006/picture">
                <pic:pic>
                  <pic:nvPicPr>
                    <pic:cNvPr descr="figures/somegood_somebad_depthcolor_chroms.png" id="66" name="Picture"/>
                    <pic:cNvPicPr>
                      <a:picLocks noChangeArrowheads="1" noChangeAspect="1"/>
                    </pic:cNvPicPr>
                  </pic:nvPicPr>
                  <pic:blipFill>
                    <a:blip r:embed="rId64"/>
                    <a:stretch>
                      <a:fillRect/>
                    </a:stretch>
                  </pic:blipFill>
                  <pic:spPr bwMode="auto">
                    <a:xfrm>
                      <a:off x="0" y="0"/>
                      <a:ext cx="4160520" cy="1920240"/>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w:t>
      </w:r>
      <w:r>
        <w:t xml:space="preserve"> </w:t>
      </w:r>
      <w:r>
        <w:t xml:space="preserve">“</w:t>
      </w:r>
      <w:r>
        <w:t xml:space="preserve">FT</w:t>
      </w:r>
      <w:r>
        <w:t xml:space="preserve">”</w:t>
      </w:r>
      <w:r>
        <w:t xml:space="preserve"> </w:t>
      </w:r>
      <w:r>
        <w:t xml:space="preserve">and followed by 4 digits. Two features were annotated using authentic standards run alongside: the 13C isotope of dimethylsulfonioacetate (DMS-Ac) and taurine.</w:t>
      </w:r>
    </w:p>
    <w:bookmarkEnd w:id="67"/>
    <w:bookmarkStart w:id="71" w:name="X863b367709584fb1f97ae3b658caca05ebd1e92"/>
    <w:p>
      <w:pPr>
        <w:pStyle w:val="Heading3"/>
      </w:pPr>
      <w:r>
        <w:t xml:space="preserve">Peak feature extraction and metric calculation</w:t>
      </w:r>
    </w:p>
    <w:p>
      <w:pPr>
        <w:pStyle w:val="FirstParagraph"/>
      </w:pPr>
      <w:r>
        <w:t xml:space="preserve">Our process of feature engineering involved querying several MS experts in our lab about their intuition for what they thought best distinguished poor-quality MFs and noise from good ones.</w:t>
      </w:r>
    </w:p>
    <w:p>
      <w:pPr>
        <w:pStyle w:val="BodyText"/>
      </w:pPr>
      <w:r>
        <w:t xml:space="preserve">The simplest metrics to calculate were summary statistics of those parameters reported directly by XCMS. These features consisted of the mean retention time (RT) of each MF and the standard deviation (SD) within the feature and the mean peak width (calculated by subtracting the max RT from the minimum) and its SD. We also calculated the mean</w:t>
      </w:r>
      <w:r>
        <w:t xml:space="preserve"> </w:t>
      </w:r>
      <w:r>
        <w:rPr>
          <w:iCs/>
          <w:i/>
        </w:rPr>
        <w:t xml:space="preserve">m/z</w:t>
      </w:r>
      <w:r>
        <w:t xml:space="preserve"> </w:t>
      </w:r>
      <w:r>
        <w:t xml:space="preserve">ratio and the SD in parts-per-million (PPM) by dividing each peak’s reported</w:t>
      </w:r>
      <w:r>
        <w:t xml:space="preserve"> </w:t>
      </w:r>
      <w:r>
        <w:rPr>
          <w:iCs/>
          <w:i/>
        </w:rPr>
        <w:t xml:space="preserve">m/z</w:t>
      </w:r>
      <w:r>
        <w:t xml:space="preserve"> </w:t>
      </w:r>
      <w:r>
        <w:t xml:space="preserve">ratio by the</w:t>
      </w:r>
      <w:r>
        <w:t xml:space="preserve"> </w:t>
      </w:r>
      <w:r>
        <w:rPr>
          <w:iCs/>
          <w:i/>
        </w:rPr>
        <w:t xml:space="preserve">m/z</w:t>
      </w:r>
      <w:r>
        <w:t xml:space="preserve"> </w:t>
      </w:r>
      <w:r>
        <w:t xml:space="preserve">ratio of the feature as a whole, then multiplying by one million. Mean peak area was calculated by taking the log</w:t>
      </w:r>
      <m:oMath>
        <m:sSub>
          <m:e>
            <m:r>
              <m:t>​</m:t>
            </m:r>
          </m:e>
          <m:sub>
            <m:r>
              <m:t>10</m:t>
            </m:r>
          </m:sub>
        </m:sSub>
      </m:oMath>
      <w:r>
        <w:t xml:space="preserve"> </w:t>
      </w:r>
      <w:r>
        <w:t xml:space="preserve">of the individual areas then taking the mean, and the same process (log</w:t>
      </w:r>
      <m:oMath>
        <m:sSub>
          <m:e>
            <m:r>
              <m:t>​</m:t>
            </m:r>
          </m:e>
          <m:sub>
            <m:r>
              <m:t>10</m:t>
            </m:r>
          </m:sub>
        </m:sSub>
      </m:oMath>
      <w:r>
        <w:t xml:space="preserve"> </w:t>
      </w:r>
      <w:r>
        <w:t xml:space="preserve">then mean) was repeated for the SD of the peak areas. XCMS’s default signal-to-noise parameter,</w:t>
      </w:r>
      <w:r>
        <w:t xml:space="preserve"> </w:t>
      </w:r>
      <w:r>
        <w:rPr>
          <w:rStyle w:val="VerbatimChar"/>
        </w:rPr>
        <w:t xml:space="preserve">sn</w:t>
      </w:r>
      <w:r>
        <w:t xml:space="preserve">, was also summarized in this way, but we only used</w:t>
      </w:r>
      <w:r>
        <w:t xml:space="preserve"> </w:t>
      </w:r>
      <w:r>
        <w:rPr>
          <w:rStyle w:val="VerbatimChar"/>
        </w:rPr>
        <w:t xml:space="preserve">sn</w:t>
      </w:r>
      <w:r>
        <w:t xml:space="preserve"> </w:t>
      </w:r>
      <w:r>
        <w:t xml:space="preserve">values that were greater than or equal to zero and replaced any zeros with ones to avoid negative infinities after taking the log</w:t>
      </w:r>
      <m:oMath>
        <m:sSub>
          <m:e>
            <m:r>
              <m:t>​</m:t>
            </m:r>
          </m:e>
          <m:sub>
            <m:r>
              <m:t>10</m:t>
            </m:r>
          </m:sub>
        </m:sSub>
      </m:oMath>
      <w:r>
        <w:t xml:space="preserve">. We also used the mean of other parameters reported by XCMS (f, scale, and lmin) as features. We additionally calculated several design-of-experiments metrics, using the number of peaks in each feature divided by the total number of files as well as the fraction of files in which a peak initially found by the peakpicker. This last metric was further subset into the fraction of samples in which a peak was initially found and the fraction of standards in which a peak was found (for those datasets in which standards were run). Finally, the coefficient of variance was estimated for the pooled sample peak areas by dividing the SD of the pooled sample peak areas by the mean of the same and additionally done in a robust way by using the median absolute deviation and median, respectively. For all of the above features, missing values were dropped silently from the summary calculations. We were unable to use any of the columns produced by enabling the</w:t>
      </w:r>
      <w:r>
        <w:t xml:space="preserve"> </w:t>
      </w:r>
      <w:r>
        <w:rPr>
          <w:rStyle w:val="VerbatimChar"/>
        </w:rPr>
        <w:t xml:space="preserve">verboseColumns = TRUE</w:t>
      </w:r>
      <w:r>
        <w:t xml:space="preserve"> </w:t>
      </w:r>
      <w:r>
        <w:t xml:space="preserve">option in</w:t>
      </w:r>
      <w:r>
        <w:t xml:space="preserve"> </w:t>
      </w:r>
      <w:r>
        <w:rPr>
          <w:rStyle w:val="VerbatimChar"/>
        </w:rPr>
        <w:t xml:space="preserve">findChromPeaks</w:t>
      </w:r>
      <w:r>
        <w:t xml:space="preserve"> </w:t>
      </w:r>
      <w:r>
        <w:t xml:space="preserve">because all of the values returned were NAs.</w:t>
      </w:r>
    </w:p>
    <w:p>
      <w:pPr>
        <w:pStyle w:val="BodyText"/>
      </w:pPr>
      <w:r>
        <w:t xml:space="preserve">We also calculated several novel metrics from the raw</w:t>
      </w:r>
      <w:r>
        <w:t xml:space="preserve"> </w:t>
      </w:r>
      <w:r>
        <w:rPr>
          <w:iCs/>
          <w:i/>
        </w:rPr>
        <w:t xml:space="preserve">m/z</w:t>
      </w:r>
      <w:r>
        <w:t xml:space="preserve">/RT/intensity values by extracting the data points falling within each individual peak’s</w:t>
      </w:r>
      <w:r>
        <w:t xml:space="preserve"> </w:t>
      </w:r>
      <w:r>
        <w:rPr>
          <w:iCs/>
          <w:i/>
        </w:rPr>
        <w:t xml:space="preserve">m/z</w:t>
      </w:r>
      <w:r>
        <w:t xml:space="preserve"> </w:t>
      </w:r>
      <w:r>
        <w:t xml:space="preserve">and RT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t>
      </w:r>
      <w:r>
        <w:rPr>
          <w:iCs/>
          <w:i/>
        </w:rPr>
        <w:t xml:space="preserve">r</w:t>
      </w:r>
      <w:r>
        <w:t xml:space="preserve">)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scaling both the beta distribution probability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 </w:t>
      </w:r>
      <w:r>
        <w:t xml:space="preserve">(Myers et al. 2017b)</w:t>
      </w:r>
      <w:r>
        <w:t xml:space="preserve">. 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an RT exists at other masses in the same sample but for which no data was produced at the selected</w:t>
      </w:r>
      <w:r>
        <w:t xml:space="preserve"> </w:t>
      </w:r>
      <w:r>
        <w:rPr>
          <w:iCs/>
          <w:i/>
        </w:rPr>
        <w:t xml:space="preserve">m/z</w:t>
      </w:r>
      <w:r>
        <w:t xml:space="preserve"> </w:t>
      </w:r>
      <w:r>
        <w:t xml:space="preserve">ratio, divided by the total number of scans between the min and max RTs.</w:t>
      </w:r>
    </w:p>
    <w:p>
      <w:pPr>
        <w:pStyle w:val="CaptionedFigure"/>
      </w:pPr>
      <w:r>
        <w:drawing>
          <wp:inline>
            <wp:extent cx="5349240" cy="3291840"/>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9" name="Picture"/>
            <a:graphic>
              <a:graphicData uri="http://schemas.openxmlformats.org/drawingml/2006/picture">
                <pic:pic>
                  <pic:nvPicPr>
                    <pic:cNvPr descr="figures/peakmetrics_singlechrom.png" id="70" name="Picture"/>
                    <pic:cNvPicPr>
                      <a:picLocks noChangeArrowheads="1" noChangeAspect="1"/>
                    </pic:cNvPicPr>
                  </pic:nvPicPr>
                  <pic:blipFill>
                    <a:blip r:embed="rId68"/>
                    <a:stretch>
                      <a:fillRect/>
                    </a:stretch>
                  </pic:blipFill>
                  <pic:spPr bwMode="auto">
                    <a:xfrm>
                      <a:off x="0" y="0"/>
                      <a:ext cx="5349240" cy="3291840"/>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presence or absence of a</w:t>
      </w:r>
      <w:r>
        <w:t xml:space="preserve"> </w:t>
      </w:r>
      <m:oMath>
        <m:sSup>
          <m:e>
            <m:r>
              <m:t>​</m:t>
            </m:r>
          </m:e>
          <m:sup>
            <m:r>
              <m:t>13</m:t>
            </m:r>
          </m:sup>
        </m:sSup>
      </m:oMath>
      <w:r>
        <w:t xml:space="preserve">C isotope using a similar method to extract the raw</w:t>
      </w:r>
      <w:r>
        <w:t xml:space="preserve"> </w:t>
      </w:r>
      <w:r>
        <w:rPr>
          <w:iCs/>
          <w:i/>
        </w:rPr>
        <w:t xml:space="preserve">m/z</w:t>
      </w:r>
      <w:r>
        <w:t xml:space="preserve">/RT/intensity values within the peak bounding box, then searched the same RT values at an</w:t>
      </w:r>
      <w:r>
        <w:t xml:space="preserve"> </w:t>
      </w:r>
      <w:r>
        <w:rPr>
          <w:iCs/>
          <w:i/>
        </w:rPr>
        <w:t xml:space="preserve">m/z</w:t>
      </w:r>
      <w:r>
        <w:t xml:space="preserve"> </w:t>
      </w:r>
      <w:r>
        <w:t xml:space="preserve">delta of +1.003355 ± 4 PPM.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peak areas 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molecular feature as a whole. Because these isotope metrics typically had highly skewed distributions with most values very close to one, we normalized them by taking the log</w:t>
      </w:r>
      <m:oMath>
        <m:sSub>
          <m:e>
            <m:r>
              <m:t>​</m:t>
            </m:r>
          </m:e>
          <m:sub>
            <m:r>
              <m:t>10</m:t>
            </m:r>
          </m:sub>
        </m:sSub>
      </m:oMath>
      <w:r>
        <w:t xml:space="preserve"> </w:t>
      </w:r>
      <w:r>
        <w:t xml:space="preserve">of one minus the value.</w:t>
      </w:r>
    </w:p>
    <w:p>
      <w:pPr>
        <w:pStyle w:val="BodyText"/>
      </w:pPr>
      <w:r>
        <w:t xml:space="preserve">Distributions were visually inspected using a pairs plot and highly correlated (above a Pearson’s r ~ 0.9) had one of the correlated metrics removed.</w:t>
      </w:r>
    </w:p>
    <w:bookmarkEnd w:id="71"/>
    <w:bookmarkStart w:id="72"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classified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additionally looked at the estimates produced by these two models and compared them with the combined model trained on both datasets combined to assess the model stability directly.</w:t>
      </w:r>
    </w:p>
    <w:p>
      <w:pPr>
        <w:pStyle w:val="BodyText"/>
      </w:pPr>
      <w:r>
        <w:t xml:space="preserve">We also measured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Finally, we tested whether the performance could be improved with regularized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applied rather than regression.</w:t>
      </w:r>
    </w:p>
    <w:bookmarkEnd w:id="72"/>
    <w:bookmarkStart w:id="73"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for the performance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3"/>
    <w:bookmarkStart w:id="75"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 </w:t>
      </w:r>
      <w:r>
        <w:t xml:space="preserve">(Benjamini and Hochberg 1995)</w:t>
      </w:r>
      <w:r>
        <w:t xml:space="preserve">. 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 outputs</w:t>
      </w:r>
      <w:r>
        <w:t xml:space="preserve"> </w:t>
      </w:r>
      <w:r>
        <w:t xml:space="preserve">(Dunn 1964)</w:t>
      </w:r>
      <w:r>
        <w:t xml:space="preserve">. 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 </w:t>
      </w:r>
      <w:r>
        <w:t xml:space="preserve">(Oksanen et al. 2022)</w:t>
      </w:r>
      <w:r>
        <w:t xml:space="preserve">. 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w:t>
      </w:r>
      <w:r>
        <w:t xml:space="preserve"> </w:t>
      </w:r>
      <w:r>
        <w:t xml:space="preserve">(R Core Team 2022)</w:t>
      </w:r>
      <w:r>
        <w:t xml:space="preserve">, version 4.2.2, and code is available on GitHub at</w:t>
      </w:r>
      <w:r>
        <w:t xml:space="preserve"> </w:t>
      </w:r>
      <w:hyperlink r:id="rId74">
        <w:r>
          <w:rPr>
            <w:rStyle w:val="Hyperlink"/>
          </w:rPr>
          <w:t xml:space="preserve">https://github.com/wkumler/MS_metrics</w:t>
        </w:r>
      </w:hyperlink>
      <w:r>
        <w:t xml:space="preserve">.</w:t>
      </w:r>
    </w:p>
    <w:bookmarkEnd w:id="75"/>
    <w:bookmarkEnd w:id="76"/>
    <w:bookmarkStart w:id="77" w:name="abbreviations"/>
    <w:p>
      <w:pPr>
        <w:pStyle w:val="Heading2"/>
      </w:pPr>
      <w:r>
        <w:t xml:space="preserve">Abbreviations</w:t>
      </w:r>
    </w:p>
    <w:p>
      <w:pPr>
        <w:pStyle w:val="FirstParagraph"/>
      </w:pPr>
      <w:r>
        <w:t xml:space="preserve">DCM: Deep Chlorophyll Maximum</w:t>
      </w:r>
    </w:p>
    <w:p>
      <w:pPr>
        <w:pStyle w:val="BodyText"/>
      </w:pPr>
      <w:r>
        <w:t xml:space="preserve">EIC: Extracted Ion Chromatogram</w:t>
      </w:r>
    </w:p>
    <w:p>
      <w:pPr>
        <w:pStyle w:val="BodyText"/>
      </w:pPr>
      <w:r>
        <w:t xml:space="preserve">FDR: False Discovery Rate</w:t>
      </w:r>
    </w:p>
    <w:p>
      <w:pPr>
        <w:pStyle w:val="BodyText"/>
      </w:pPr>
      <w:r>
        <w:t xml:space="preserve">GFF: Good Feature Found</w:t>
      </w:r>
    </w:p>
    <w:p>
      <w:pPr>
        <w:pStyle w:val="BodyText"/>
      </w:pPr>
      <w:r>
        <w:t xml:space="preserve">HILIC: Hydrophilic Interaction Liquid Chromatography</w:t>
      </w:r>
    </w:p>
    <w:p>
      <w:pPr>
        <w:pStyle w:val="BodyText"/>
      </w:pPr>
      <w:r>
        <w:t xml:space="preserve">LC: Liquid Chromatography</w:t>
      </w:r>
    </w:p>
    <w:p>
      <w:pPr>
        <w:pStyle w:val="BodyText"/>
      </w:pPr>
      <w:r>
        <w:t xml:space="preserve">MF: Molecular Feature</w:t>
      </w:r>
    </w:p>
    <w:p>
      <w:pPr>
        <w:pStyle w:val="BodyText"/>
      </w:pPr>
      <w:r>
        <w:t xml:space="preserve">MS: Mass Spectrometry</w:t>
      </w:r>
    </w:p>
    <w:p>
      <w:pPr>
        <w:pStyle w:val="BodyText"/>
      </w:pPr>
      <w:r>
        <w:t xml:space="preserve">PPM: parts-per-million</w:t>
      </w:r>
    </w:p>
    <w:p>
      <w:pPr>
        <w:pStyle w:val="BodyText"/>
      </w:pPr>
      <w:r>
        <w:t xml:space="preserve">RT: Retention time</w:t>
      </w:r>
    </w:p>
    <w:p>
      <w:pPr>
        <w:pStyle w:val="BodyText"/>
      </w:pPr>
      <w:r>
        <w:t xml:space="preserve">SNR: Signal to Noise Ratio</w:t>
      </w:r>
    </w:p>
    <w:bookmarkEnd w:id="77"/>
    <w:bookmarkStart w:id="87" w:name="declarations"/>
    <w:p>
      <w:pPr>
        <w:pStyle w:val="Heading2"/>
      </w:pPr>
      <w:r>
        <w:t xml:space="preserve">Declarations</w:t>
      </w:r>
    </w:p>
    <w:bookmarkStart w:id="78" w:name="Xd182db0490b2de20bd2b4e4cc8698599182035f"/>
    <w:p>
      <w:pPr>
        <w:pStyle w:val="Heading3"/>
      </w:pPr>
      <w:r>
        <w:t xml:space="preserve">Ethics approval and consent to participate</w:t>
      </w:r>
    </w:p>
    <w:p>
      <w:pPr>
        <w:pStyle w:val="FirstParagraph"/>
      </w:pPr>
      <w:r>
        <w:t xml:space="preserve">Not applicable</w:t>
      </w:r>
    </w:p>
    <w:bookmarkEnd w:id="78"/>
    <w:bookmarkStart w:id="79" w:name="consent-for-publication"/>
    <w:p>
      <w:pPr>
        <w:pStyle w:val="Heading3"/>
      </w:pPr>
      <w:r>
        <w:t xml:space="preserve">Consent for publication</w:t>
      </w:r>
    </w:p>
    <w:p>
      <w:pPr>
        <w:pStyle w:val="FirstParagraph"/>
      </w:pPr>
      <w:r>
        <w:t xml:space="preserve">Not applicable</w:t>
      </w:r>
    </w:p>
    <w:bookmarkEnd w:id="79"/>
    <w:bookmarkStart w:id="82" w:name="availability-of-data-and-materials"/>
    <w:p>
      <w:pPr>
        <w:pStyle w:val="Heading3"/>
      </w:pPr>
      <w:r>
        <w:t xml:space="preserve">Availability of data and materials</w:t>
      </w:r>
    </w:p>
    <w:p>
      <w:pPr>
        <w:pStyle w:val="FirstParagraph"/>
      </w:pPr>
      <w:r>
        <w:t xml:space="preserve">The raw mzML files are all available on Metabolomics Workbench. Falkor, MESOSCOPE, and CultureData can be found under Project ID [blah] and accessed directly using the Project ID</w:t>
      </w:r>
      <w:r>
        <w:t xml:space="preserve"> </w:t>
      </w:r>
      <w:hyperlink r:id="rId80">
        <w:r>
          <w:rPr>
            <w:rStyle w:val="Hyperlink"/>
          </w:rPr>
          <w:t xml:space="preserve">http://dx.doi.org/[blah]</w:t>
        </w:r>
      </w:hyperlink>
      <w:r>
        <w:t xml:space="preserve">, while Pttime is located under Project ID PR001317 and can be accessed directly using its Project DOI:</w:t>
      </w:r>
      <w:r>
        <w:t xml:space="preserve"> </w:t>
      </w:r>
      <w:hyperlink r:id="rId81">
        <w:r>
          <w:rPr>
            <w:rStyle w:val="Hyperlink"/>
          </w:rPr>
          <w:t xml:space="preserve">http://dx.doi.org/10.21228/M8GH6P</w:t>
        </w:r>
      </w:hyperlink>
      <w:r>
        <w:t xml:space="preserve">. Code and other raw data is available on the GitHub repository at</w:t>
      </w:r>
      <w:r>
        <w:t xml:space="preserve"> </w:t>
      </w:r>
      <w:hyperlink r:id="rId74">
        <w:r>
          <w:rPr>
            <w:rStyle w:val="Hyperlink"/>
          </w:rPr>
          <w:t xml:space="preserve">https://github.com/wkumler/MS_metrics</w:t>
        </w:r>
      </w:hyperlink>
      <w:r>
        <w:t xml:space="preserve">. The manuscript has been rendered as a single R Markdown document with analyses contained within for reproducibility.</w:t>
      </w:r>
    </w:p>
    <w:bookmarkEnd w:id="82"/>
    <w:bookmarkStart w:id="83" w:name="competing-interests"/>
    <w:p>
      <w:pPr>
        <w:pStyle w:val="Heading3"/>
      </w:pPr>
      <w:r>
        <w:t xml:space="preserve">Competing interests</w:t>
      </w:r>
    </w:p>
    <w:p>
      <w:pPr>
        <w:pStyle w:val="FirstParagraph"/>
      </w:pPr>
      <w:r>
        <w:t xml:space="preserve">The authors declare that they have no competing interests</w:t>
      </w:r>
    </w:p>
    <w:bookmarkEnd w:id="83"/>
    <w:bookmarkStart w:id="84" w:name="funding"/>
    <w:p>
      <w:pPr>
        <w:pStyle w:val="Heading3"/>
      </w:pPr>
      <w:r>
        <w:t xml:space="preserve">Funding</w:t>
      </w:r>
    </w:p>
    <w:p>
      <w:pPr>
        <w:pStyle w:val="FirstParagraph"/>
      </w:pPr>
      <w:r>
        <w:t xml:space="preserve">[TBD, get from Anitra. eScience?]</w:t>
      </w:r>
    </w:p>
    <w:bookmarkEnd w:id="84"/>
    <w:bookmarkStart w:id="85" w:name="authors-contributions"/>
    <w:p>
      <w:pPr>
        <w:pStyle w:val="Heading3"/>
      </w:pPr>
      <w:r>
        <w:t xml:space="preserve">Authors’ contributions</w:t>
      </w:r>
    </w:p>
    <w:bookmarkEnd w:id="85"/>
    <w:bookmarkStart w:id="86" w:name="acknowledgements"/>
    <w:p>
      <w:pPr>
        <w:pStyle w:val="Heading3"/>
      </w:pPr>
      <w:r>
        <w:t xml:space="preserve">Acknowledgements</w:t>
      </w:r>
    </w:p>
    <w:bookmarkEnd w:id="86"/>
    <w:bookmarkEnd w:id="87"/>
    <w:bookmarkStart w:id="149" w:name="references"/>
    <w:p>
      <w:pPr>
        <w:pStyle w:val="Heading2"/>
      </w:pPr>
      <w:r>
        <w:t xml:space="preserve">References</w:t>
      </w:r>
    </w:p>
    <w:bookmarkStart w:id="148" w:name="refs"/>
    <w:bookmarkStart w:id="89"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88">
        <w:r>
          <w:rPr>
            <w:rStyle w:val="Hyperlink"/>
          </w:rPr>
          <w:t xml:space="preserve">https://doi.org/10.1002/9781118445112.stat07841</w:t>
        </w:r>
      </w:hyperlink>
      <w:r>
        <w:t xml:space="preserve">.</w:t>
      </w:r>
    </w:p>
    <w:bookmarkEnd w:id="89"/>
    <w:bookmarkStart w:id="91"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0">
        <w:r>
          <w:rPr>
            <w:rStyle w:val="Hyperlink"/>
          </w:rPr>
          <w:t xml:space="preserve">https://doi.org/10.1016/j.chroma.2006.05.019</w:t>
        </w:r>
      </w:hyperlink>
      <w:r>
        <w:t xml:space="preserve">.</w:t>
      </w:r>
    </w:p>
    <w:bookmarkEnd w:id="91"/>
    <w:bookmarkStart w:id="93"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2">
        <w:r>
          <w:rPr>
            <w:rStyle w:val="Hyperlink"/>
          </w:rPr>
          <w:t xml:space="preserve">https://doi.org/10.1029/2021GB007115</w:t>
        </w:r>
      </w:hyperlink>
      <w:r>
        <w:t xml:space="preserve">.</w:t>
      </w:r>
    </w:p>
    <w:bookmarkEnd w:id="93"/>
    <w:bookmarkStart w:id="95"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4">
        <w:r>
          <w:rPr>
            <w:rStyle w:val="Hyperlink"/>
          </w:rPr>
          <w:t xml:space="preserve">https://doi.org/10.3389/fpubh.2021.653599</w:t>
        </w:r>
      </w:hyperlink>
      <w:r>
        <w:t xml:space="preserve">.</w:t>
      </w:r>
    </w:p>
    <w:bookmarkEnd w:id="95"/>
    <w:bookmarkStart w:id="97"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96">
        <w:r>
          <w:rPr>
            <w:rStyle w:val="Hyperlink"/>
          </w:rPr>
          <w:t xml:space="preserve">https://doi.org/10.1111/j.2517-6161.1995.tb02031.x</w:t>
        </w:r>
      </w:hyperlink>
      <w:r>
        <w:t xml:space="preserve">.</w:t>
      </w:r>
    </w:p>
    <w:bookmarkEnd w:id="97"/>
    <w:bookmarkStart w:id="99"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98">
        <w:r>
          <w:rPr>
            <w:rStyle w:val="Hyperlink"/>
          </w:rPr>
          <w:t xml:space="preserve">https://doi.org/10.1093/bioinformatics/btq441</w:t>
        </w:r>
      </w:hyperlink>
      <w:r>
        <w:t xml:space="preserve">.</w:t>
      </w:r>
    </w:p>
    <w:bookmarkEnd w:id="99"/>
    <w:bookmarkStart w:id="101"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0">
        <w:r>
          <w:rPr>
            <w:rStyle w:val="Hyperlink"/>
          </w:rPr>
          <w:t xml:space="preserve">https://doi.org/10.1128/mSystems.00896-20</w:t>
        </w:r>
      </w:hyperlink>
      <w:r>
        <w:t xml:space="preserve">.</w:t>
      </w:r>
    </w:p>
    <w:bookmarkEnd w:id="101"/>
    <w:bookmarkStart w:id="103"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2">
        <w:r>
          <w:rPr>
            <w:rStyle w:val="Hyperlink"/>
          </w:rPr>
          <w:t xml:space="preserve">https://doi.org/10.1021/acs.analchem.7b04400</w:t>
        </w:r>
      </w:hyperlink>
      <w:r>
        <w:t xml:space="preserve">.</w:t>
      </w:r>
    </w:p>
    <w:bookmarkEnd w:id="103"/>
    <w:bookmarkStart w:id="105"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4">
        <w:r>
          <w:rPr>
            <w:rStyle w:val="Hyperlink"/>
          </w:rPr>
          <w:t xml:space="preserve">https://doi.org/10.1080/00401706.1964.10490181</w:t>
        </w:r>
      </w:hyperlink>
      <w:r>
        <w:t xml:space="preserve">.</w:t>
      </w:r>
    </w:p>
    <w:bookmarkEnd w:id="105"/>
    <w:bookmarkStart w:id="107"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06">
        <w:r>
          <w:rPr>
            <w:rStyle w:val="Hyperlink"/>
          </w:rPr>
          <w:t xml:space="preserve">https://doi.org/10.3389/fmars.2022.864796</w:t>
        </w:r>
      </w:hyperlink>
      <w:r>
        <w:t xml:space="preserve">.</w:t>
      </w:r>
    </w:p>
    <w:bookmarkEnd w:id="107"/>
    <w:bookmarkStart w:id="109"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08">
        <w:r>
          <w:rPr>
            <w:rStyle w:val="Hyperlink"/>
          </w:rPr>
          <w:t xml:space="preserve">https://doi.org/10.1093/bioinformatics/btab231</w:t>
        </w:r>
      </w:hyperlink>
      <w:r>
        <w:t xml:space="preserve">.</w:t>
      </w:r>
    </w:p>
    <w:bookmarkEnd w:id="109"/>
    <w:bookmarkStart w:id="111"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0">
        <w:r>
          <w:rPr>
            <w:rStyle w:val="Hyperlink"/>
          </w:rPr>
          <w:t xml:space="preserve">https://doi.org/10.1016/j.jchromb.2019.04.009</w:t>
        </w:r>
      </w:hyperlink>
      <w:r>
        <w:t xml:space="preserve">.</w:t>
      </w:r>
    </w:p>
    <w:bookmarkEnd w:id="111"/>
    <w:bookmarkStart w:id="113"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2">
        <w:r>
          <w:rPr>
            <w:rStyle w:val="Hyperlink"/>
          </w:rPr>
          <w:t xml:space="preserve">https://doi.org/10.1021/acs.analchem.1c02220</w:t>
        </w:r>
      </w:hyperlink>
      <w:r>
        <w:t xml:space="preserve">.</w:t>
      </w:r>
    </w:p>
    <w:bookmarkEnd w:id="113"/>
    <w:bookmarkStart w:id="115"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4">
        <w:r>
          <w:rPr>
            <w:rStyle w:val="Hyperlink"/>
          </w:rPr>
          <w:t xml:space="preserve">https://doi.org/10.1021/acs.analchem.1c01309</w:t>
        </w:r>
      </w:hyperlink>
      <w:r>
        <w:t xml:space="preserve">.</w:t>
      </w:r>
    </w:p>
    <w:bookmarkEnd w:id="115"/>
    <w:bookmarkStart w:id="117"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16">
        <w:r>
          <w:rPr>
            <w:rStyle w:val="Hyperlink"/>
          </w:rPr>
          <w:t xml:space="preserve">https://doi.org/10.1128/mSystems.01334-20</w:t>
        </w:r>
      </w:hyperlink>
      <w:r>
        <w:t xml:space="preserve">.</w:t>
      </w:r>
    </w:p>
    <w:bookmarkEnd w:id="117"/>
    <w:bookmarkStart w:id="119"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18">
        <w:r>
          <w:rPr>
            <w:rStyle w:val="Hyperlink"/>
          </w:rPr>
          <w:t xml:space="preserve">https://doi.org/10.1021/acs.analchem.2c04088</w:t>
        </w:r>
      </w:hyperlink>
      <w:r>
        <w:t xml:space="preserve">.</w:t>
      </w:r>
    </w:p>
    <w:bookmarkEnd w:id="119"/>
    <w:bookmarkStart w:id="121"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0">
        <w:r>
          <w:rPr>
            <w:rStyle w:val="Hyperlink"/>
          </w:rPr>
          <w:t xml:space="preserve">https://doi.org/10.1021/ac902361f</w:t>
        </w:r>
      </w:hyperlink>
      <w:r>
        <w:t xml:space="preserve">.</w:t>
      </w:r>
    </w:p>
    <w:bookmarkEnd w:id="121"/>
    <w:bookmarkStart w:id="123"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2">
        <w:r>
          <w:rPr>
            <w:rStyle w:val="Hyperlink"/>
          </w:rPr>
          <w:t xml:space="preserve">https://doi.org/10.1021/acs.analchem.9b02983</w:t>
        </w:r>
      </w:hyperlink>
      <w:r>
        <w:t xml:space="preserve">.</w:t>
      </w:r>
    </w:p>
    <w:bookmarkEnd w:id="123"/>
    <w:bookmarkStart w:id="125"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4">
        <w:r>
          <w:rPr>
            <w:rStyle w:val="Hyperlink"/>
          </w:rPr>
          <w:t xml:space="preserve">https://doi.org/10.1016/j.marchem.2015.06.029</w:t>
        </w:r>
      </w:hyperlink>
      <w:r>
        <w:t xml:space="preserve">.</w:t>
      </w:r>
    </w:p>
    <w:bookmarkEnd w:id="125"/>
    <w:bookmarkStart w:id="127"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26">
        <w:r>
          <w:rPr>
            <w:rStyle w:val="Hyperlink"/>
          </w:rPr>
          <w:t xml:space="preserve">https://doi.org/10.1186/s12859-015-0562-8</w:t>
        </w:r>
      </w:hyperlink>
      <w:r>
        <w:t xml:space="preserve">.</w:t>
      </w:r>
    </w:p>
    <w:bookmarkEnd w:id="127"/>
    <w:bookmarkStart w:id="129"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28">
        <w:r>
          <w:rPr>
            <w:rStyle w:val="Hyperlink"/>
          </w:rPr>
          <w:t xml:space="preserve">https://doi.org/10.1021/acs.analchem.9b04811</w:t>
        </w:r>
      </w:hyperlink>
      <w:r>
        <w:t xml:space="preserve">.</w:t>
      </w:r>
    </w:p>
    <w:bookmarkEnd w:id="129"/>
    <w:bookmarkStart w:id="131"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0">
        <w:r>
          <w:rPr>
            <w:rStyle w:val="Hyperlink"/>
          </w:rPr>
          <w:t xml:space="preserve">https://doi.org/10.3390/metabo10040162</w:t>
        </w:r>
      </w:hyperlink>
      <w:r>
        <w:t xml:space="preserve">.</w:t>
      </w:r>
    </w:p>
    <w:bookmarkEnd w:id="131"/>
    <w:bookmarkStart w:id="133"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2">
        <w:r>
          <w:rPr>
            <w:rStyle w:val="Hyperlink"/>
          </w:rPr>
          <w:t xml:space="preserve">https://doi.org/10.1021/acs.analchem.7b01069</w:t>
        </w:r>
      </w:hyperlink>
      <w:r>
        <w:t xml:space="preserve">.</w:t>
      </w:r>
    </w:p>
    <w:bookmarkEnd w:id="133"/>
    <w:bookmarkStart w:id="135"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4">
        <w:r>
          <w:rPr>
            <w:rStyle w:val="Hyperlink"/>
          </w:rPr>
          <w:t xml:space="preserve">https://doi.org/10.1021/acs.analchem.7b00947</w:t>
        </w:r>
      </w:hyperlink>
      <w:r>
        <w:t xml:space="preserve">.</w:t>
      </w:r>
    </w:p>
    <w:bookmarkEnd w:id="135"/>
    <w:bookmarkStart w:id="137"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36">
        <w:r>
          <w:rPr>
            <w:rStyle w:val="Hyperlink"/>
          </w:rPr>
          <w:t xml:space="preserve">https://cran.r-project.org/package=vegan</w:t>
        </w:r>
      </w:hyperlink>
      <w:r>
        <w:t xml:space="preserve">.</w:t>
      </w:r>
    </w:p>
    <w:bookmarkEnd w:id="137"/>
    <w:bookmarkStart w:id="139"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38">
        <w:r>
          <w:rPr>
            <w:rStyle w:val="Hyperlink"/>
          </w:rPr>
          <w:t xml:space="preserve">https://doi.org/10.3390/metabo12020137</w:t>
        </w:r>
      </w:hyperlink>
      <w:r>
        <w:t xml:space="preserve">.</w:t>
      </w:r>
    </w:p>
    <w:bookmarkEnd w:id="139"/>
    <w:bookmarkStart w:id="141"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0">
        <w:r>
          <w:rPr>
            <w:rStyle w:val="Hyperlink"/>
          </w:rPr>
          <w:t xml:space="preserve">https://www.r-project.org/</w:t>
        </w:r>
      </w:hyperlink>
      <w:r>
        <w:t xml:space="preserve">.</w:t>
      </w:r>
    </w:p>
    <w:bookmarkEnd w:id="141"/>
    <w:bookmarkStart w:id="143"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2">
        <w:r>
          <w:rPr>
            <w:rStyle w:val="Hyperlink"/>
          </w:rPr>
          <w:t xml:space="preserve">https://doi.org/10.1021/ac051437y</w:t>
        </w:r>
      </w:hyperlink>
      <w:r>
        <w:t xml:space="preserve">.</w:t>
      </w:r>
    </w:p>
    <w:bookmarkEnd w:id="143"/>
    <w:bookmarkStart w:id="145"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4">
        <w:r>
          <w:rPr>
            <w:rStyle w:val="Hyperlink"/>
          </w:rPr>
          <w:t xml:space="preserve">https://doi.org/10.1186/1471-2105-9-504</w:t>
        </w:r>
      </w:hyperlink>
      <w:r>
        <w:t xml:space="preserve">.</w:t>
      </w:r>
    </w:p>
    <w:bookmarkEnd w:id="145"/>
    <w:bookmarkStart w:id="147"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46">
        <w:r>
          <w:rPr>
            <w:rStyle w:val="Hyperlink"/>
          </w:rPr>
          <w:t xml:space="preserve">https://doi.org/10.3390/metabo6040037</w:t>
        </w:r>
      </w:hyperlink>
      <w:r>
        <w:t xml:space="preserve">.</w:t>
      </w:r>
    </w:p>
    <w:bookmarkEnd w:id="147"/>
    <w:bookmarkEnd w:id="148"/>
    <w:bookmarkEnd w:id="149"/>
    <w:bookmarkStart w:id="159" w:name="supplement"/>
    <w:p>
      <w:pPr>
        <w:pStyle w:val="Heading2"/>
      </w:pPr>
      <w:r>
        <w:t xml:space="preserve">Supplement</w:t>
      </w:r>
    </w:p>
    <w:p>
      <w:pPr>
        <w:pStyle w:val="FirstParagraph"/>
      </w:pPr>
      <w:r>
        <w:rPr>
          <w:iCs/>
          <w:i/>
        </w:rPr>
        <w:t xml:space="preserve">Supplemental figure XX: Distribution and single-parameter logistic curves for each metric extracted for model training, shown separately for the MESOSCOPE and Falkor datasets. Histograms show the distribution of good and bad mass features by color across the span of the data on the x-axis with the number of MFs in each bin shown on the y-axis. Scatterplots show the same x-axis but show the results of a logistic regression on the single parameter, with the line of best fit in black and a ±1 standard error ribbon around it in grey. Vertical jittering has been applied when plotting to reduce the number of overlapping points.</w:t>
      </w:r>
    </w:p>
    <w:p>
      <w:pPr>
        <w:pStyle w:val="CaptionedFigure"/>
      </w:pPr>
      <w:r>
        <w:drawing>
          <wp:inline>
            <wp:extent cx="5349240" cy="7406640"/>
            <wp:effectExtent b="0" l="0" r="0" t="0"/>
            <wp:docPr descr="Supplemental figure XX: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title="" id="151" name="Picture"/>
            <a:graphic>
              <a:graphicData uri="http://schemas.openxmlformats.org/drawingml/2006/picture">
                <pic:pic>
                  <pic:nvPicPr>
                    <pic:cNvPr descr="supplement/suppfig_model_param_estimates.png" id="152" name="Picture"/>
                    <pic:cNvPicPr>
                      <a:picLocks noChangeArrowheads="1" noChangeAspect="1"/>
                    </pic:cNvPicPr>
                  </pic:nvPicPr>
                  <pic:blipFill>
                    <a:blip r:embed="rId150"/>
                    <a:stretch>
                      <a:fillRect/>
                    </a:stretch>
                  </pic:blipFill>
                  <pic:spPr bwMode="auto">
                    <a:xfrm>
                      <a:off x="0" y="0"/>
                      <a:ext cx="5349240" cy="7406640"/>
                    </a:xfrm>
                    <a:prstGeom prst="rect">
                      <a:avLst/>
                    </a:prstGeom>
                    <a:noFill/>
                    <a:ln w="9525">
                      <a:noFill/>
                      <a:headEnd/>
                      <a:tailEnd/>
                    </a:ln>
                  </pic:spPr>
                </pic:pic>
              </a:graphicData>
            </a:graphic>
          </wp:inline>
        </w:drawing>
      </w:r>
    </w:p>
    <w:p>
      <w:pPr>
        <w:pStyle w:val="ImageCaption"/>
      </w:pPr>
      <w:r>
        <w:t xml:space="preserve">Supplemental figure XX: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w:t>
      </w:r>
    </w:p>
    <w:p>
      <w:pPr>
        <w:pStyle w:val="CaptionedFigure"/>
      </w:pPr>
      <w:r>
        <w:drawing>
          <wp:inline>
            <wp:extent cx="5349240" cy="4114800"/>
            <wp:effectExtent b="0" l="0" r="0" t="0"/>
            <wp:docPr descr="Supplemental figure XX: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54" name="Picture"/>
            <a:graphic>
              <a:graphicData uri="http://schemas.openxmlformats.org/drawingml/2006/picture">
                <pic:pic>
                  <pic:nvPicPr>
                    <pic:cNvPr descr="supplement/sampled_model_est.png" id="155" name="Picture"/>
                    <pic:cNvPicPr>
                      <a:picLocks noChangeArrowheads="1" noChangeAspect="1"/>
                    </pic:cNvPicPr>
                  </pic:nvPicPr>
                  <pic:blipFill>
                    <a:blip r:embed="rId153"/>
                    <a:stretch>
                      <a:fillRect/>
                    </a:stretch>
                  </pic:blipFill>
                  <pic:spPr bwMode="auto">
                    <a:xfrm>
                      <a:off x="0" y="0"/>
                      <a:ext cx="5349240" cy="4114800"/>
                    </a:xfrm>
                    <a:prstGeom prst="rect">
                      <a:avLst/>
                    </a:prstGeom>
                    <a:noFill/>
                    <a:ln w="9525">
                      <a:noFill/>
                      <a:headEnd/>
                      <a:tailEnd/>
                    </a:ln>
                  </pic:spPr>
                </pic:pic>
              </a:graphicData>
            </a:graphic>
          </wp:inline>
        </w:drawing>
      </w:r>
    </w:p>
    <w:p>
      <w:pPr>
        <w:pStyle w:val="ImageCaption"/>
      </w:pPr>
      <w:r>
        <w:t xml:space="preserve">Supplemental figure XX: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349240" cy="2468880"/>
            <wp:effectExtent b="0" l="0" r="0" t="0"/>
            <wp:docPr descr="Supplemental figure XX: Performance of regularized regression and random forest models on internally (same train-test) and externally (different train-test) validated datasets." title="" id="157" name="Picture"/>
            <a:graphic>
              <a:graphicData uri="http://schemas.openxmlformats.org/drawingml/2006/picture">
                <pic:pic>
                  <pic:nvPicPr>
                    <pic:cNvPr descr="supplement/regregrf_fdrgff_cross_train.png" id="158" name="Picture"/>
                    <pic:cNvPicPr>
                      <a:picLocks noChangeArrowheads="1" noChangeAspect="1"/>
                    </pic:cNvPicPr>
                  </pic:nvPicPr>
                  <pic:blipFill>
                    <a:blip r:embed="rId156"/>
                    <a:stretch>
                      <a:fillRect/>
                    </a:stretch>
                  </pic:blipFill>
                  <pic:spPr bwMode="auto">
                    <a:xfrm>
                      <a:off x="0" y="0"/>
                      <a:ext cx="5349240" cy="2468880"/>
                    </a:xfrm>
                    <a:prstGeom prst="rect">
                      <a:avLst/>
                    </a:prstGeom>
                    <a:noFill/>
                    <a:ln w="9525">
                      <a:noFill/>
                      <a:headEnd/>
                      <a:tailEnd/>
                    </a:ln>
                  </pic:spPr>
                </pic:pic>
              </a:graphicData>
            </a:graphic>
          </wp:inline>
        </w:drawing>
      </w:r>
    </w:p>
    <w:p>
      <w:pPr>
        <w:pStyle w:val="ImageCaption"/>
      </w:pPr>
      <w:r>
        <w:t xml:space="preserve">Supplemental figure XX: Performance of regularized regression and random forest models on internally (same train-test) and externally (different train-test) validated datasets.</w:t>
      </w:r>
    </w:p>
    <w:bookmarkEnd w:id="159"/>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156" Target="media/rId156.png" /><Relationship Type="http://schemas.openxmlformats.org/officeDocument/2006/relationships/image" Id="rId153" Target="media/rId153.png" /><Relationship Type="http://schemas.openxmlformats.org/officeDocument/2006/relationships/image" Id="rId150" Target="media/rId150.png" /><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Ingalls</dc:creator>
  <cp:keywords/>
  <dcterms:created xsi:type="dcterms:W3CDTF">2023-06-12T21:10:20Z</dcterms:created>
  <dcterms:modified xsi:type="dcterms:W3CDTF">2023-06-12T21:10:20Z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2023-06-12</vt:lpwstr>
  </property>
  <property fmtid="{D5CDD505-2E9C-101B-9397-08002B2CF9AE}" pid="4" name="output">
    <vt:lpwstr/>
  </property>
</Properties>
</file>