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8.png" ContentType="image/png"/>
  <Override PartName="/word/media/rId26.png" ContentType="image/png"/>
  <Override PartName="/word/media/rId64.png" ContentType="image/png"/>
  <Override PartName="/word/media/rId46.png" ContentType="image/png"/>
  <Override PartName="/word/media/rId156.png" ContentType="image/png"/>
  <Override PartName="/word/media/rId153.png" ContentType="image/png"/>
  <Override PartName="/word/media/rId15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r>
        <w:t xml:space="preserve"> </w:t>
      </w:r>
      <w:r>
        <w:t xml:space="preserve">Bryna</w:t>
      </w:r>
      <w:r>
        <w:t xml:space="preserve"> </w:t>
      </w:r>
      <w:r>
        <w:t xml:space="preserve">Hazelton,</w:t>
      </w:r>
      <w:r>
        <w:t xml:space="preserve"> </w:t>
      </w:r>
      <w:r>
        <w:t xml:space="preserve">and</w:t>
      </w:r>
      <w:r>
        <w:t xml:space="preserve"> </w:t>
      </w:r>
      <w:r>
        <w:t xml:space="preserve">Anitra</w:t>
      </w:r>
      <w:r>
        <w:t xml:space="preserve"> </w:t>
      </w:r>
      <w:r>
        <w:t xml:space="preserve">Ingalls</w:t>
      </w:r>
    </w:p>
    <w:p>
      <w:pPr>
        <w:pStyle w:val="Date"/>
      </w:pPr>
      <w:r>
        <w:t xml:space="preserve">2023-06-07</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We used these datasets to construct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70-80% down to 1-5% and showed minimal overfitting when applied to novel datasets. We then explored the implications of this quality thresholding on the conclusions obtained by the downstream analysis and found that while only 10% of the variance in the dataset could be explained by depth in the default output from the peakpicker, approximately 40% of the variance was explained when restricted to high-quality peaks alone.</w:t>
      </w:r>
    </w:p>
    <w:bookmarkEnd w:id="21"/>
    <w:bookmarkStart w:id="22" w:name="conclusions"/>
    <w:p>
      <w:pPr>
        <w:pStyle w:val="Heading3"/>
      </w:pPr>
      <w:r>
        <w:t xml:space="preserve">Conclusions</w:t>
      </w:r>
    </w:p>
    <w:p>
      <w:pPr>
        <w:pStyle w:val="FirstParagraph"/>
      </w:pPr>
      <w:r>
        <w:t xml:space="preserve">We conclude that the poor performance of peakpicking algorithms significantly reduces the power of both univariate and multivariate statistical analyses to detect environmental differences. We demonstrate that simple models built on intuitive metrics and derived from the raw data are more robust and can outperform more complex models when applied to new data. Finally, we show that in properly curated datasets, depth is a major driver of variability in the marine microbial metabolome and identify several interesting metabolite trends for future investigation.</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r>
        <w:t xml:space="preserve">(Bajad et al. 2006; Myers et al. 2017b; Gika et al. 2019)</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tend to favor false positives because downstream analyses can always remove erroneous mass features, but false negatives cannot be later recovered.</w:t>
      </w:r>
      <w:r>
        <w:t xml:space="preserve">(Pirttilä et al. 2022; Gloaguen, Kirwan, and Beule 2022)</w:t>
      </w:r>
      <w:r>
        <w:t xml:space="preserve"> </w:t>
      </w:r>
      <w:r>
        <w:t xml:space="preserve">However, this approach creates two additional downstream problems. First, the abundance of false positives requires more time from the researcher as they manually evaluate a potentially enormous number of molecular features (MFs), a task that scales combinatorially with the number of samples and compounds measured.</w:t>
      </w:r>
      <w:r>
        <w:t xml:space="preserve">(Myers et al. 2017a)</w:t>
      </w:r>
      <w:r>
        <w:t xml:space="preserve"> </w:t>
      </w:r>
      <w:r>
        <w:t xml:space="preserve">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MFs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w:t>
      </w:r>
      <w:r>
        <w:t xml:space="preserve">(Pirttilä et al. 2022)</w:t>
      </w:r>
      <w:r>
        <w:t xml:space="preserve"> </w:t>
      </w:r>
      <w:r>
        <w:t xml:space="preserve">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Despite significant effort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MF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and minimize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MF to compensate for weak performance in one area with strong performance in other metrics, e.g. as implemented in</w:t>
      </w:r>
      <w:r>
        <w:t xml:space="preserve"> </w:t>
      </w:r>
      <w:r>
        <w:t xml:space="preserve">Pirttilä et al. (2022)</w:t>
      </w:r>
      <w:r>
        <w:t xml:space="preserve">.</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w:t>
      </w:r>
      <w:r>
        <w:t xml:space="preserve">(Kido Soule et al. 2015)</w:t>
      </w:r>
      <w:r>
        <w:t xml:space="preserve"> </w:t>
      </w:r>
      <w:r>
        <w:t xml:space="preserve">Low compound and high salt concentrations make this area difficult to study but its vast size and direct effect on the Earth’s biogeochemistry make it critical that we understand its dynamics of energy and nutrients on a molecular scale.</w:t>
      </w:r>
      <w:r>
        <w:t xml:space="preserve">(Boysen et al. 2018)</w:t>
      </w:r>
      <w:r>
        <w:t xml:space="preserve"> </w:t>
      </w:r>
      <w:r>
        <w:t xml:space="preserve">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r>
        <w:t xml:space="preserve">Heal et al. (2021)</w:t>
      </w:r>
    </w:p>
    <w:p>
      <w:pPr>
        <w:pStyle w:val="BodyText"/>
      </w:pPr>
      <w:r>
        <w:t xml:space="preserve">In this paper, we use open ocean marine metabolite LC-MS samples to develop and test a variety of chromatographic peak metrics. Here, we construct and validate multiple predictive models of MF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MFs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 models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MFs also exceeding a 99% chance of being good, while the two-parameter model (consisting of the novel SNR metric and the peak shape correlation metric) had a flatter distribution with fewer high-confidence MF assignments and more intermediate values (Figure 1).</w:t>
      </w:r>
    </w:p>
    <w:p>
      <w:pPr>
        <w:pStyle w:val="CaptionedFigure"/>
      </w:pPr>
      <w:r>
        <w:drawing>
          <wp:inline>
            <wp:extent cx="5943600" cy="3657600"/>
            <wp:effectExtent b="0" l="0" r="0" t="0"/>
            <wp:docPr descr="Figure 1: Histograms showing the estimated likelihood of a given mass feature being categorized as “Good” according to the two-parameter logistic model trained on the combined fully-labeled Falkor and MESOSCOPE environmental datasets. Colors indicate the category in which each feature was manually assigned by an expert, with “Stans only” referring to a good molecular feature that was only visible in the standards run alongside the samples. Culture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1: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environmental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molecular feature that was only visible in the standards run alongside the samples. Culture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using the full dataset, with FDR values in the 5-10% range and 80-90% GFF values implying that a large majority of the good MFs passed the threshold with very little noise included. The XCMS metrics performed slightly worse, with FDR values in the 10-15% range and GFF values closer to 75%. The two-parameter model performed worst when tested internally, with an FDR of about 20% and GFF also around 75% (Figure 2). However, when the models were trained on a different dataset than the one they were used to predict classifications for, all models had similar performance with %FDR around 10-25 and GFF around 60-80. The model trained on MESOSCOPE and tested on Falkor had consistently higher values, indicating that it was favoring more MFs recovered at the cost of a higher FDR, while the reverse was true for the model trained on Falkor and tested on MESOSCOPE (Figure 2).</w:t>
      </w:r>
    </w:p>
    <w:p>
      <w:pPr>
        <w:pStyle w:val="CaptionedFigure"/>
      </w:pPr>
      <w:r>
        <w:drawing>
          <wp:inline>
            <wp:extent cx="5943600" cy="2743199"/>
            <wp:effectExtent b="0" l="0" r="0" t="0"/>
            <wp:docPr descr="Figure 2: False discovery rate (%FDR) and fraction of good features found (%GFF) plotted across different subsets of model parameters. Lower %FDR indicates a smaller fraction of false positives among those molecular features the model categorized as “Good” 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 title="" id="30" name="Picture"/>
            <a:graphic>
              <a:graphicData uri="http://schemas.openxmlformats.org/drawingml/2006/picture">
                <pic:pic>
                  <pic:nvPicPr>
                    <pic:cNvPr descr="figures/fdr_gf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2: False discovery rate (%FDR) and fraction of good features found (%GFF) plotted across different subsets of model parameters. Lower %FDR indicates a smaller fraction of false positives among those molecular features the model categorized as</w:t>
      </w:r>
      <w:r>
        <w:t xml:space="preserve"> </w:t>
      </w:r>
      <w:r>
        <w:t xml:space="preserve">“</w:t>
      </w:r>
      <w:r>
        <w:t xml:space="preserve">Good</w:t>
      </w:r>
      <w:r>
        <w:t xml:space="preserve">”</w:t>
      </w:r>
      <w:r>
        <w:t xml:space="preserve"> </w:t>
      </w:r>
      <w:r>
        <w:t xml:space="preserve">using a threshold of 0.5, and higher %GFF indicates a larger fraction of the total good features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behind the data points, with the steepest slopes found in the full and XCMS-only models indicating excessive overfitting on the training data.</w:t>
      </w:r>
    </w:p>
    <w:bookmarkEnd w:id="32"/>
    <w:bookmarkStart w:id="36" w:name="Xbe1e89d61563500df9d3f62db37cfc5151b4618"/>
    <w:p>
      <w:pPr>
        <w:pStyle w:val="Heading3"/>
      </w:pPr>
      <w:r>
        <w:t xml:space="preserve">Model stability under different training sets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0.799 and 0.863, respectively. When compared in ranked space, we found an intensification of the effect described previously, with a higher</w:t>
      </w:r>
      <w:r>
        <w:t xml:space="preserve"> </w:t>
      </w:r>
      <m:oMath>
        <m:r>
          <m:t>ρ</m:t>
        </m:r>
      </m:oMath>
      <w:r>
        <w:t xml:space="preserve"> </w:t>
      </w:r>
      <w:r>
        <w:t xml:space="preserve">for the two-parameter model of 0.998 but lower</w:t>
      </w:r>
      <w:r>
        <w:t xml:space="preserve"> </w:t>
      </w:r>
      <m:oMath>
        <m:r>
          <m:t>ρ</m:t>
        </m:r>
      </m:oMath>
      <w:r>
        <w:t xml:space="preserve"> </w:t>
      </w:r>
      <w:r>
        <w:t xml:space="preserve">values for the full and XCMS-trained model of 0.725 and 0.804, respectively (Figure 3).</w:t>
      </w:r>
    </w:p>
    <w:p>
      <w:pPr>
        <w:pStyle w:val="CaptionedFigure"/>
      </w:pPr>
      <w:r>
        <w:drawing>
          <wp:inline>
            <wp:extent cx="5943600" cy="4572000"/>
            <wp:effectExtent b="0" l="0" r="0" t="0"/>
            <wp:docPr descr="Figure 3: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3: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MF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GFF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GFF=100%,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balance between the number of MFs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MFs,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values consistently below 5% even on the novel datasets, with values of 1.0%, 0.0% (truly zero false positives), 2.0%, and 4.6% for Falkor, MESOSCOPE, CultureData, and Pttime respectively (Figure 4). Of course, this low error rate required that we miss out on additional potentially valuable features, with only a fraction of the total good MFs making it past this threshold. In both the Falkor and MESOSCOPE datasets, less than half of the good MFs were labeled as such, with actual values of 39.4% and 26.5%, respectively. Since we did not label the complete dataset for CultureData and Pttime, we cannot accurately calculate the %GFF but expect it to be in a similar range (Figure 4).</w:t>
      </w:r>
    </w:p>
    <w:p>
      <w:pPr>
        <w:pStyle w:val="CaptionedFigure"/>
      </w:pPr>
      <w:r>
        <w:drawing>
          <wp:inline>
            <wp:extent cx="2752374" cy="3669832"/>
            <wp:effectExtent b="0" l="0" r="0" t="0"/>
            <wp:docPr descr="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 title="" id="39" name="Picture"/>
            <a:graphic>
              <a:graphicData uri="http://schemas.openxmlformats.org/drawingml/2006/picture">
                <pic:pic>
                  <pic:nvPicPr>
                    <pic:cNvPr descr="figures/fdr_gf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4: False discovery rate and proportion of total good features identified as good by the two-parameter model trained on the combined MESOSCOPE/Falkor dataset and applied to each dataset. A stricter likelihood threshold is used here (0.9) than in Figure 2. FDR is calculated by dividing the number of false positives by the total positives produced by the model and GFF is calculated by dividing the number of true positives by the total number of good features as identified manually (only possible for fully-labeled datasets).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original, non-thresholded MESOSCOPE dataset had no significant trend with depth, with FDR-controlled Kruskal-Wallis p-values exceeding 0.05 (Figure 5).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MFs were removed from this analysis. Good features were most commonly found to have their highest concentrations at the DCM or the surface, rather than being fixed with respect to depth. Of the 182 good MFs,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w:t>
      </w:r>
    </w:p>
    <w:p>
      <w:pPr>
        <w:pStyle w:val="BodyText"/>
      </w:pPr>
      <w:r>
        <w:t xml:space="preserve">Additionally, a large number of features manually identified as bad nonetheless had significant differences with depth. This was surprising because we had assumed that bad MFs corresponded to instrument or chemical noise, which we did not expect to have any biological trend. Further investigation of a few randomly selected bad features with a biological difference revealed the reason behind this: most of those investigated were actually tails of other MFs.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MFs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CaptionedFigure"/>
      </w:pPr>
      <w:r>
        <w:drawing>
          <wp:inline>
            <wp:extent cx="5943600" cy="6400799"/>
            <wp:effectExtent b="0" l="0" r="0" t="0"/>
            <wp:docPr descr="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 “All equal” 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6400799"/>
                    </a:xfrm>
                    <a:prstGeom prst="rect">
                      <a:avLst/>
                    </a:prstGeom>
                    <a:noFill/>
                    <a:ln w="9525">
                      <a:noFill/>
                      <a:headEnd/>
                      <a:tailEnd/>
                    </a:ln>
                  </pic:spPr>
                </pic:pic>
              </a:graphicData>
            </a:graphic>
          </wp:inline>
        </w:drawing>
      </w:r>
    </w:p>
    <w:p>
      <w:pPr>
        <w:pStyle w:val="ImageCaption"/>
      </w:pPr>
      <w:r>
        <w:t xml:space="preserve">Figure 5: Plot of metabolite response to depth and the model classification error distribution. Barplots at the top show the number of MFs (mass features) in each depth response category and are broken down by the classification error types. Compounds were assigned a depth category via Dunn’s post-hoc test for significant differences between the sample depths. Good MF found = true positive, good MF missed = false negative, bad MF found = false positive, and bad MF avoided = true negative according to a 0.5 likelihood threshold. Note that the majority of the features in the bad MF avoided category fell into the</w:t>
      </w:r>
      <w:r>
        <w:t xml:space="preserve"> </w:t>
      </w:r>
      <w:r>
        <w:t xml:space="preserve">“</w:t>
      </w:r>
      <w:r>
        <w:t xml:space="preserve">All equal</w:t>
      </w:r>
      <w:r>
        <w:t xml:space="preserve">”</w:t>
      </w:r>
      <w:r>
        <w:t xml:space="preserve"> </w:t>
      </w:r>
      <w:r>
        <w:t xml:space="preserve">depth class (1365 MFs) but the x-axis has been truncated at 60 for ease of visualization. The boxplots in the bottom illustrate the depth response type for 4 specific categories, with raw peak area plotted on a log scale against the sample depth (DCM = deep chlorophyll maximum, ~110 meters). All MFs are shown in the central bottom plot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DCM; points found at the bottom of the plot are those compounds that increased more or less linearly with depth.</w:t>
      </w:r>
    </w:p>
    <w:p>
      <w:pPr>
        <w:pStyle w:val="BodyText"/>
      </w:pPr>
      <w:r>
        <w:t xml:space="preserve">[Switch the shapes to make empty circles</w:t>
      </w:r>
      <w:r>
        <w:t xml:space="preserve"> </w:t>
      </w:r>
      <w:r>
        <w:t xml:space="preserve">“</w:t>
      </w:r>
      <w:r>
        <w:t xml:space="preserve">good peaks missed</w:t>
      </w:r>
      <w:r>
        <w:t xml:space="preserve">”</w:t>
      </w:r>
      <w:r>
        <w:t xml:space="preserve">]</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never likely to be due entirely to chance. However, the pseudo-F and was much larger with higher thresholds, scaling from around 8.5 when thresholding at a 1% likelihood to 42 when thresholded at a 90% likelihood (Table 1).</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Data subset</w:t>
            </w:r>
          </w:p>
        </w:tc>
        <w:tc>
          <w:tcPr/>
          <w:p>
            <w:pPr>
              <w:pStyle w:val="Compact"/>
              <w:jc w:val="right"/>
            </w:pPr>
            <w:r>
              <w:t xml:space="preserve"># of MFs</w:t>
            </w:r>
          </w:p>
        </w:tc>
        <w:tc>
          <w:tcPr/>
          <w:p>
            <w:pPr>
              <w:pStyle w:val="Compact"/>
              <w:jc w:val="right"/>
            </w:pPr>
            <w:r>
              <w:t xml:space="preserve">% Var Expl.</w:t>
            </w:r>
          </w:p>
        </w:tc>
        <w:tc>
          <w:tcPr/>
          <w:p>
            <w:pPr>
              <w:pStyle w:val="Compact"/>
              <w:jc w:val="right"/>
            </w:pPr>
            <w:r>
              <w:t xml:space="preserve">Pseudo-F</w:t>
            </w:r>
          </w:p>
        </w:tc>
        <w:tc>
          <w:tcPr/>
          <w:p>
            <w:pPr>
              <w:pStyle w:val="Compact"/>
              <w:jc w:val="right"/>
            </w:pPr>
            <w:r>
              <w:t xml:space="preserve">2D NMDS stress</w:t>
            </w:r>
          </w:p>
        </w:tc>
      </w:tr>
      <w:tr>
        <w:tc>
          <w:tcPr/>
          <w:p>
            <w:pPr>
              <w:pStyle w:val="Compact"/>
              <w:jc w:val="left"/>
            </w:pPr>
            <w:r>
              <w:t xml:space="preserve">All MFs</w:t>
            </w:r>
          </w:p>
        </w:tc>
        <w:tc>
          <w:tcPr/>
          <w:p>
            <w:pPr>
              <w:pStyle w:val="Compact"/>
              <w:jc w:val="right"/>
            </w:pPr>
            <w:r>
              <w:t xml:space="preserve">2086</w:t>
            </w:r>
          </w:p>
        </w:tc>
        <w:tc>
          <w:tcPr/>
          <w:p>
            <w:pPr>
              <w:pStyle w:val="Compact"/>
              <w:jc w:val="right"/>
            </w:pPr>
            <w:r>
              <w:t xml:space="preserve">10.4</w:t>
            </w:r>
          </w:p>
        </w:tc>
        <w:tc>
          <w:tcPr/>
          <w:p>
            <w:pPr>
              <w:pStyle w:val="Compact"/>
              <w:jc w:val="right"/>
            </w:pPr>
            <w:r>
              <w:t xml:space="preserve">5.5</w:t>
            </w:r>
          </w:p>
        </w:tc>
        <w:tc>
          <w:tcPr/>
          <w:p>
            <w:pPr>
              <w:pStyle w:val="Compact"/>
              <w:jc w:val="right"/>
            </w:pPr>
            <w:r>
              <w:t xml:space="preserve">0.169</w:t>
            </w:r>
          </w:p>
        </w:tc>
      </w:tr>
      <w:tr>
        <w:tc>
          <w:tcPr/>
          <w:p>
            <w:pPr>
              <w:pStyle w:val="Compact"/>
              <w:jc w:val="left"/>
            </w:pPr>
            <w:r>
              <w:t xml:space="preserve">Threshold 0.01</w:t>
            </w:r>
          </w:p>
        </w:tc>
        <w:tc>
          <w:tcPr/>
          <w:p>
            <w:pPr>
              <w:pStyle w:val="Compact"/>
              <w:jc w:val="right"/>
            </w:pPr>
            <w:r>
              <w:t xml:space="preserve">1129</w:t>
            </w:r>
          </w:p>
        </w:tc>
        <w:tc>
          <w:tcPr/>
          <w:p>
            <w:pPr>
              <w:pStyle w:val="Compact"/>
              <w:jc w:val="right"/>
            </w:pPr>
            <w:r>
              <w:t xml:space="preserve">15.2</w:t>
            </w:r>
          </w:p>
        </w:tc>
        <w:tc>
          <w:tcPr/>
          <w:p>
            <w:pPr>
              <w:pStyle w:val="Compact"/>
              <w:jc w:val="right"/>
            </w:pPr>
            <w:r>
              <w:t xml:space="preserve">8.6</w:t>
            </w:r>
          </w:p>
        </w:tc>
        <w:tc>
          <w:tcPr/>
          <w:p>
            <w:pPr>
              <w:pStyle w:val="Compact"/>
              <w:jc w:val="right"/>
            </w:pPr>
            <w:r>
              <w:t xml:space="preserve">0.191</w:t>
            </w:r>
          </w:p>
        </w:tc>
      </w:tr>
      <w:tr>
        <w:tc>
          <w:tcPr/>
          <w:p>
            <w:pPr>
              <w:pStyle w:val="Compact"/>
              <w:jc w:val="left"/>
            </w:pPr>
            <w:r>
              <w:t xml:space="preserve">Threshold 0.1</w:t>
            </w:r>
          </w:p>
        </w:tc>
        <w:tc>
          <w:tcPr/>
          <w:p>
            <w:pPr>
              <w:pStyle w:val="Compact"/>
              <w:jc w:val="right"/>
            </w:pPr>
            <w:r>
              <w:t xml:space="preserve">516</w:t>
            </w:r>
          </w:p>
        </w:tc>
        <w:tc>
          <w:tcPr/>
          <w:p>
            <w:pPr>
              <w:pStyle w:val="Compact"/>
              <w:jc w:val="right"/>
            </w:pPr>
            <w:r>
              <w:t xml:space="preserve">25.0</w:t>
            </w:r>
          </w:p>
        </w:tc>
        <w:tc>
          <w:tcPr/>
          <w:p>
            <w:pPr>
              <w:pStyle w:val="Compact"/>
              <w:jc w:val="right"/>
            </w:pPr>
            <w:r>
              <w:t xml:space="preserve">16.0</w:t>
            </w:r>
          </w:p>
        </w:tc>
        <w:tc>
          <w:tcPr/>
          <w:p>
            <w:pPr>
              <w:pStyle w:val="Compact"/>
              <w:jc w:val="right"/>
            </w:pPr>
            <w:r>
              <w:t xml:space="preserve">0.200</w:t>
            </w:r>
          </w:p>
        </w:tc>
      </w:tr>
      <w:tr>
        <w:tc>
          <w:tcPr/>
          <w:p>
            <w:pPr>
              <w:pStyle w:val="Compact"/>
              <w:jc w:val="left"/>
            </w:pPr>
            <w:r>
              <w:t xml:space="preserve">Threshold 0.5</w:t>
            </w:r>
          </w:p>
        </w:tc>
        <w:tc>
          <w:tcPr/>
          <w:p>
            <w:pPr>
              <w:pStyle w:val="Compact"/>
              <w:jc w:val="right"/>
            </w:pPr>
            <w:r>
              <w:t xml:space="preserve">287</w:t>
            </w:r>
          </w:p>
        </w:tc>
        <w:tc>
          <w:tcPr/>
          <w:p>
            <w:pPr>
              <w:pStyle w:val="Compact"/>
              <w:jc w:val="right"/>
            </w:pPr>
            <w:r>
              <w:t xml:space="preserve">34.6</w:t>
            </w:r>
          </w:p>
        </w:tc>
        <w:tc>
          <w:tcPr/>
          <w:p>
            <w:pPr>
              <w:pStyle w:val="Compact"/>
              <w:jc w:val="right"/>
            </w:pPr>
            <w:r>
              <w:t xml:space="preserve">25.3</w:t>
            </w:r>
          </w:p>
        </w:tc>
        <w:tc>
          <w:tcPr/>
          <w:p>
            <w:pPr>
              <w:pStyle w:val="Compact"/>
              <w:jc w:val="right"/>
            </w:pPr>
            <w:r>
              <w:t xml:space="preserve">0.180</w:t>
            </w:r>
          </w:p>
        </w:tc>
      </w:tr>
      <w:tr>
        <w:tc>
          <w:tcPr/>
          <w:p>
            <w:pPr>
              <w:pStyle w:val="Compact"/>
              <w:jc w:val="left"/>
            </w:pPr>
            <w:r>
              <w:t xml:space="preserve">Threshold 0.9</w:t>
            </w:r>
          </w:p>
        </w:tc>
        <w:tc>
          <w:tcPr/>
          <w:p>
            <w:pPr>
              <w:pStyle w:val="Compact"/>
              <w:jc w:val="right"/>
            </w:pPr>
            <w:r>
              <w:t xml:space="preserve">75</w:t>
            </w:r>
          </w:p>
        </w:tc>
        <w:tc>
          <w:tcPr/>
          <w:p>
            <w:pPr>
              <w:pStyle w:val="Compact"/>
              <w:jc w:val="right"/>
            </w:pPr>
            <w:r>
              <w:t xml:space="preserve">46.7</w:t>
            </w:r>
          </w:p>
        </w:tc>
        <w:tc>
          <w:tcPr/>
          <w:p>
            <w:pPr>
              <w:pStyle w:val="Compact"/>
              <w:jc w:val="right"/>
            </w:pPr>
            <w:r>
              <w:t xml:space="preserve">42.0</w:t>
            </w:r>
          </w:p>
        </w:tc>
        <w:tc>
          <w:tcPr/>
          <w:p>
            <w:pPr>
              <w:pStyle w:val="Compact"/>
              <w:jc w:val="right"/>
            </w:pPr>
            <w:r>
              <w:t xml:space="preserve">0.097</w:t>
            </w:r>
          </w:p>
        </w:tc>
      </w:tr>
      <w:tr>
        <w:tc>
          <w:tcPr/>
          <w:p>
            <w:pPr>
              <w:pStyle w:val="Compact"/>
              <w:jc w:val="left"/>
            </w:pPr>
            <w:r>
              <w:t xml:space="preserve">Only good MFs</w:t>
            </w:r>
          </w:p>
        </w:tc>
        <w:tc>
          <w:tcPr/>
          <w:p>
            <w:pPr>
              <w:pStyle w:val="Compact"/>
              <w:jc w:val="right"/>
            </w:pPr>
            <w:r>
              <w:t xml:space="preserve">249</w:t>
            </w:r>
          </w:p>
        </w:tc>
        <w:tc>
          <w:tcPr/>
          <w:p>
            <w:pPr>
              <w:pStyle w:val="Compact"/>
              <w:jc w:val="right"/>
            </w:pPr>
            <w:r>
              <w:t xml:space="preserve">44.2</w:t>
            </w:r>
          </w:p>
        </w:tc>
        <w:tc>
          <w:tcPr/>
          <w:p>
            <w:pPr>
              <w:pStyle w:val="Compact"/>
              <w:jc w:val="right"/>
            </w:pPr>
            <w:r>
              <w:t xml:space="preserve">38.1</w:t>
            </w:r>
          </w:p>
        </w:tc>
        <w:tc>
          <w:tcPr/>
          <w:p>
            <w:pPr>
              <w:pStyle w:val="Compact"/>
              <w:jc w:val="right"/>
            </w:pPr>
            <w:r>
              <w:t xml:space="preserve">0.142</w:t>
            </w:r>
          </w:p>
        </w:tc>
      </w:tr>
    </w:tbl>
    <w:p>
      <w:pPr>
        <w:pStyle w:val="BodyText"/>
      </w:pPr>
      <w:r>
        <w:rPr>
          <w:iCs/>
          <w:i/>
        </w:rPr>
        <w:t xml:space="preserve">Table 1: Number of mass features, percent variance explained, pseudo-F statistic, and stress values from performing a permutational MANOVA and 2D non-metric multidimensional scaling (NMDS) on subsets of the full mass feature selection according to variable likelihood thresholds.</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MFs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 (Table 1).</w:t>
      </w:r>
    </w:p>
    <w:p>
      <w:pPr>
        <w:pStyle w:val="BodyText"/>
      </w:pPr>
      <w:r>
        <w:t xml:space="preserve">The relative power of identifying only the very best MFs was also illustrated visually with non-metric multidimensional scaling (NMDS) plots (Figure 6). In these common exploratory plots, the MFs with likelihoods above 50% strongly separated by depth while lower thresholds disguised the true signal and had higher stress values. Performing an NMDS on the manually-identified Good MFs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 “Only good MFs” refers to those features manually labeled as “Good”. NMDS stress values are reported in the upper right corner of each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6: 2D non-metric multidimensional scaling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 MFs</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in the upper right corner of each plot.</w:t>
      </w:r>
    </w:p>
    <w:bookmarkEnd w:id="49"/>
    <w:bookmarkEnd w:id="50"/>
    <w:bookmarkEnd w:id="51"/>
    <w:bookmarkStart w:id="57" w:name="discussion"/>
    <w:p>
      <w:pPr>
        <w:pStyle w:val="Heading2"/>
      </w:pPr>
      <w:r>
        <w:t xml:space="preserve">Discussion</w:t>
      </w:r>
    </w:p>
    <w:p>
      <w:pPr>
        <w:pStyle w:val="FirstParagraph"/>
      </w:pPr>
      <w:r>
        <w:t xml:space="preserve">We used two fully-labeled and two partially-labeled HILIC LC-MS datasets to assess the performance of the XCMS algorithm and construct a robust model of peak quality. To measure performance, we used two measurements of success closely tied to intuitive questions about a dataset: the percentage of total good features found (GFF, also known as recall or sensitivity) and the percentage of bad molecular features (MFs) included, also known as the false discovery rate (FDR). We decided against using the F</w:t>
      </w:r>
      <m:oMath>
        <m:sSub>
          <m:e>
            <m:r>
              <m:t>​</m:t>
            </m:r>
          </m:e>
          <m:sub>
            <m:r>
              <m:t>1</m:t>
            </m:r>
          </m:sub>
        </m:sSub>
      </m:oMath>
      <w:r>
        <w:t xml:space="preserve"> </w:t>
      </w:r>
      <w:r>
        <w:t xml:space="preserve">score as an overall summary statistic because false negatives and false positives have very different implications in this context and should be treated separately.</w:t>
      </w:r>
    </w:p>
    <w:p>
      <w:pPr>
        <w:pStyle w:val="BodyText"/>
      </w:pPr>
      <w:r>
        <w:t xml:space="preserve">One of the major ways in which this manuscript differs from prior work is its focus on summary statistics calculated across multiple files. Most existing peakpicking literature uses the single-file EIC peak as the core bit of training data, but that approach ignores critical information obtained elsewhere in the MS run that can change the judgement made on a single chromatogram.</w:t>
      </w:r>
      <w:r>
        <w:t xml:space="preserve">(Pirttilä et al. 2022; Guo et al. 2021; Müller et al. 2020)</w:t>
      </w:r>
      <w:r>
        <w:t xml:space="preserve"> </w:t>
      </w:r>
      <w:r>
        <w:t xml:space="preserve">Features that are high quality are typically represented in multiple files, especially in quality control pooled samples, and a feature that only has a peak in a single file is typically regarded as highly suspect, if not removed entirely. Classifying an entire feature at once not only has the advantage of reducing the amount of manual labor by a factor equal to the number of files in the run (typically 10s-100s smaller) but is also a better representation of the judgement made by an MS expert. An exemplary implementation of this multi-file approach in prior work is reported in</w:t>
      </w:r>
      <w:r>
        <w:t xml:space="preserve"> </w:t>
      </w:r>
      <w:r>
        <w:t xml:space="preserve">Kantz et al. (2019)</w:t>
      </w:r>
      <w:r>
        <w:t xml:space="preserve">, who compared the multi-file summary statistic model to a deep neural network and came to many similar conclusions.</w:t>
      </w:r>
    </w:p>
    <w:bookmarkStart w:id="55" w:name="X13b592fdb80f0175b3a015601ebe2cd5a748477"/>
    <w:p>
      <w:pPr>
        <w:pStyle w:val="Heading3"/>
      </w:pPr>
      <w:r>
        <w:t xml:space="preserve">Two-parameter logistic regression model with raw data metrics showed the most reliable performance</w:t>
      </w:r>
    </w:p>
    <w:p>
      <w:pPr>
        <w:pStyle w:val="FirstParagraph"/>
      </w:pPr>
      <w:r>
        <w:t xml:space="preserve">We explored several different types of classification models for separating good molecular features (MFs) from bad, with a particular focus on quantifying the likelihood of each class rather than just returning the label. We found that a simple two-parameter logistic regression model trained on two novel metrics of peak quality had reasonably good performance on the training set and was highly robust when applied to novel datasets. The logistic regression in particular was favored over the random forest and regularized regression we tried due to their similar performance and increased interpretability (Supp. figure XX).</w:t>
      </w:r>
    </w:p>
    <w:p>
      <w:pPr>
        <w:pStyle w:val="BodyText"/>
      </w:pPr>
      <w:r>
        <w:t xml:space="preserve">This model outperforms the previously reported logistic regression model in</w:t>
      </w:r>
      <w:r>
        <w:t xml:space="preserve"> </w:t>
      </w:r>
      <w:r>
        <w:t xml:space="preserve">Kantz et al. (2019)</w:t>
      </w:r>
      <w:r>
        <w:t xml:space="preserve"> </w:t>
      </w:r>
      <w:r>
        <w:t xml:space="preserve">and is highly simplified. There, they used a nineteen-parameter multiple logistic regression model and found a maximum performance of 80% GFF and an FDR of 34% on a cross-validated second cohort, similar to our cross-dataset testing. Our final two-parameter model also had an 80% GFF at a 0.5 likelihood threshold, but a significantly lower FDR of ~22.9%. This increased performance is likely due to our use of the metrics recalculated from the raw data, as their metrics were only calculated from the default MzMine2 peak parameters reported: similar to our XCMS-only model.</w:t>
      </w:r>
    </w:p>
    <w:bookmarkStart w:id="52" w:name="X2f793888eda09c9589a1ed2350e879280505c83"/>
    <w:p>
      <w:pPr>
        <w:pStyle w:val="Heading4"/>
      </w:pPr>
      <w:r>
        <w:t xml:space="preserve">Performance relative to recent deep learning methods</w:t>
      </w:r>
    </w:p>
    <w:p>
      <w:pPr>
        <w:pStyle w:val="FirstParagraph"/>
      </w:pPr>
      <w:r>
        <w:t xml:space="preserve">Guo et al. (2021)</w:t>
      </w:r>
      <w:r>
        <w:t xml:space="preserve"> </w:t>
      </w:r>
      <w:r>
        <w:t xml:space="preserve">presented EVA and reported an accuracy of 90-95%, a range inclusive of our accuracy on both the Falkor (92.1%) and MESOSCOPE (94.4%) datasets when using a likelihood threshold of 0.5. However, we note that accuracy alone can be a highly misleading statistic to report when working with unbalanced datasets because very high accuracy can be obtained by simply classifying everything as bad, with a strong incentive to actually</w:t>
      </w:r>
      <w:r>
        <w:t xml:space="preserve"> </w:t>
      </w:r>
      <w:r>
        <w:rPr>
          <w:iCs/>
          <w:i/>
        </w:rPr>
        <w:t xml:space="preserve">increase</w:t>
      </w:r>
      <w:r>
        <w:t xml:space="preserve"> </w:t>
      </w:r>
      <w:r>
        <w:t xml:space="preserve">the number of bad MFs detected while doing so. This strategy, when applied to our data, returned accuracies in the 80-90% range despite being a useless classifier for downstream analysis. This is perhaps a facetious argument, but many of the single-parameter logistic models we tested never exceeded a 50% likelihood and essentially functioned as this type of classifier.</w:t>
      </w:r>
    </w:p>
    <w:p>
      <w:pPr>
        <w:pStyle w:val="BodyText"/>
      </w:pPr>
      <w:r>
        <w:t xml:space="preserve">The class imbalance, with mostly poor quality MFs, is partially why we chose to measure precision and recall instead of total accuracy. However, precision and recall can also be ambiguous when the positive class is not specified and the raw confusion matrices are unavailable, thus our very precise use of the FDR and GFF metrics as well as providing the raw confusion matrices in Supplemental Table XX.</w:t>
      </w:r>
      <w:r>
        <w:t xml:space="preserve"> </w:t>
      </w:r>
      <w:r>
        <w:t xml:space="preserve">Melnikov, Tsentalovich, and Yanshole (2020)</w:t>
      </w:r>
      <w:r>
        <w:t xml:space="preserve"> </w:t>
      </w:r>
      <w:r>
        <w:t xml:space="preserve">reported precision and recall in their presentation of</w:t>
      </w:r>
      <w:r>
        <w:t xml:space="preserve"> </w:t>
      </w:r>
      <w:r>
        <w:rPr>
          <w:rStyle w:val="VerbatimChar"/>
        </w:rPr>
        <w:t xml:space="preserve">peakonly</w:t>
      </w:r>
      <w:r>
        <w:t xml:space="preserve">, relative to which we obtained higher accuracy (they report 89% accuracy) but worse GFF and FDR (89% and 3%, respectively, relative to our 77.1% GFF and 19.6% FDR overall). However, if we report precision and recall with the positive class set to</w:t>
      </w:r>
      <w:r>
        <w:t xml:space="preserve"> </w:t>
      </w:r>
      <w:r>
        <w:t xml:space="preserve">“</w:t>
      </w:r>
      <w:r>
        <w:t xml:space="preserve">Bad</w:t>
      </w:r>
      <w:r>
        <w:t xml:space="preserve">”</w:t>
      </w:r>
      <w:r>
        <w:t xml:space="preserve">, essentially trying to predict poor-quality MFs instead of good ones, our precision becomes 96.5% and our recall 95.7% due to the strong prior information about most MFs being bad.</w:t>
      </w:r>
    </w:p>
    <w:p>
      <w:pPr>
        <w:pStyle w:val="BodyText"/>
      </w:pPr>
      <w:r>
        <w:t xml:space="preserve">Gloaguen, Kirwan, and Beule (2022)</w:t>
      </w:r>
      <w:r>
        <w:t xml:space="preserve"> </w:t>
      </w:r>
      <w:r>
        <w:t xml:space="preserve">later introduced NeatMS, another CNN, and compared it directly to</w:t>
      </w:r>
      <w:r>
        <w:t xml:space="preserve"> </w:t>
      </w:r>
      <w:r>
        <w:rPr>
          <w:rStyle w:val="VerbatimChar"/>
        </w:rPr>
        <w:t xml:space="preserve">peakonly</w:t>
      </w:r>
      <w:r>
        <w:t xml:space="preserve"> </w:t>
      </w:r>
      <w:r>
        <w:t xml:space="preserve">to claim equivalent or superior performance across a range of dilution factors. However, they do not report total precision or recall metrics in a comprehensive untargeted way but instead focus only on assessing the model’s performance on known chemical standards. They report a percentage of standards found for the</w:t>
      </w:r>
      <w:r>
        <w:t xml:space="preserve"> </w:t>
      </w:r>
      <w:r>
        <w:rPr>
          <w:rStyle w:val="VerbatimChar"/>
        </w:rPr>
        <w:t xml:space="preserve">peakonly</w:t>
      </w:r>
      <w:r>
        <w:t xml:space="preserve"> </w:t>
      </w:r>
      <w:r>
        <w:t xml:space="preserve">model applied to their data and find that its performance is significantly lower (79.4%) than the recall reported in</w:t>
      </w:r>
      <w:r>
        <w:t xml:space="preserve"> </w:t>
      </w:r>
      <w:r>
        <w:t xml:space="preserve">Melnikov, Tsentalovich, and Yanshole (2020)</w:t>
      </w:r>
      <w:r>
        <w:t xml:space="preserve">, perhaps indicating that the</w:t>
      </w:r>
      <w:r>
        <w:t xml:space="preserve"> </w:t>
      </w:r>
      <w:r>
        <w:rPr>
          <w:rStyle w:val="VerbatimChar"/>
        </w:rPr>
        <w:t xml:space="preserve">peakonly</w:t>
      </w:r>
      <w:r>
        <w:t xml:space="preserve"> </w:t>
      </w:r>
      <w:r>
        <w:t xml:space="preserve">model is still overfit.</w:t>
      </w:r>
    </w:p>
    <w:p>
      <w:pPr>
        <w:pStyle w:val="BodyText"/>
      </w:pPr>
      <w:r>
        <w:t xml:space="preserve">While the model we present here likely has reduced performance relative to the CNNs, we would argue that its utility is not in maximizing performance but instead in maximizing interpretability, as previously noted by</w:t>
      </w:r>
      <w:r>
        <w:t xml:space="preserve"> </w:t>
      </w:r>
      <w:r>
        <w:t xml:space="preserve">Kantz et al. (2019)</w:t>
      </w:r>
      <w:r>
        <w:t xml:space="preserve">. In particular, the CNNs provide no way to control the tradeoff between false positives and false negatives and no relative ranking of individual MF quality beyond the broad bins into which they are placed or explanation of relative metric strength for later analyses.</w:t>
      </w:r>
    </w:p>
    <w:bookmarkEnd w:id="52"/>
    <w:bookmarkStart w:id="53" w:name="X3bcc02b3b4a646cc63358cff8a149541453727a"/>
    <w:p>
      <w:pPr>
        <w:pStyle w:val="Heading4"/>
      </w:pPr>
      <w:r>
        <w:t xml:space="preserve">Assessing the relative power of individual metrics</w:t>
      </w:r>
    </w:p>
    <w:p>
      <w:pPr>
        <w:pStyle w:val="FirstParagraph"/>
      </w:pPr>
      <w:r>
        <w:t xml:space="preserve">Although the deep learning models show promise for peak quality recalibration, many mass-spectrometrists are reluctant to jump fully to their black-box nature. For this reason, we also reported here the relative power of individual parameters in our full model and use the results to dispel several myths about which parameters are useful in distinguishing signal from noise.</w:t>
      </w:r>
    </w:p>
    <w:p>
      <w:pPr>
        <w:pStyle w:val="BodyText"/>
      </w:pPr>
      <w:r>
        <w:t xml:space="preserve">The two metrics in the final model were rederived from the raw EIC data because they matched our intuition about what makes an MF look good to an MS expert. It is worth noting that these are very simple metrics and therefore fast to calculate, but we expect that more complicated metrics could perform even better. For example, the method of using the data within the peak boundaries for SNR calculation rather than data outside of them is not known to the authors to be implemented elsewhere but could be further improved by more advanced smoothing methods rather than using the residuals directly. Additionally, the calculation of peak shape using a Pearson’s correlation to an idealized curve was not expected to be especially powerful given prior research (e.g.</w:t>
      </w:r>
      <w:r>
        <w:t xml:space="preserve"> </w:t>
      </w:r>
      <w:r>
        <w:t xml:space="preserve">Ipsen et al. (2010)</w:t>
      </w:r>
      <w:r>
        <w:t xml:space="preserve">) and that the centWave algorithm essentially uses this information already during the wavelet fitting, but still proved to be a highly effective parameter. This metric could be improved with more careful summary statistics that account for the differences between samples. Currently, the use of the overall median value does a reasonable job at identifying MFs that appear in many samples but performs poorly when detecting MFs that appear in only a few. Also worth noting is that the calculation of any new metrics such as these that rely on access to the raw data require exact specification of the maximum and minimum</w:t>
      </w:r>
      <w:r>
        <w:t xml:space="preserve"> </w:t>
      </w:r>
      <w:r>
        <w:rPr>
          <w:iCs/>
          <w:i/>
        </w:rPr>
        <w:t xml:space="preserve">m/z</w:t>
      </w:r>
      <w:r>
        <w:t xml:space="preserve"> </w:t>
      </w:r>
      <w:r>
        <w:t xml:space="preserve">and retention time for a peak, values that are not always returned by peakpicking algorithms and must be recalculated, as in</w:t>
      </w:r>
      <w:r>
        <w:t xml:space="preserve"> </w:t>
      </w:r>
      <w:r>
        <w:t xml:space="preserve">Kantz et al. (2019)</w:t>
      </w:r>
      <w:r>
        <w:t xml:space="preserve">.</w:t>
      </w:r>
    </w:p>
    <w:p>
      <w:pPr>
        <w:pStyle w:val="BodyText"/>
      </w:pPr>
      <w:r>
        <w:t xml:space="preserve">We were surprised at the poor performance of several other metrics. The isotope information in particular was expected to be a very strong predictor of MF quality given previous work that uses this metric extensively.</w:t>
      </w:r>
      <w:r>
        <w:t xml:space="preserve">(Libiseller et al. 2015; Treutler and Neumann 2016; El Abiead et al. 2021)</w:t>
      </w:r>
      <w:r>
        <w:t xml:space="preserve"> </w:t>
      </w:r>
      <w:r>
        <w:t xml:space="preserve">We learned that many noise MFs still have reliable isotopes (perhaps unsurprising, given that the noise is in fact often caused by solvents or contaminants that are still chemical in nature) and that many real MFs are simply too low-intensity to have them in this kind of dilute environmental sample.</w:t>
      </w:r>
    </w:p>
    <w:p>
      <w:pPr>
        <w:pStyle w:val="BodyText"/>
      </w:pPr>
      <w:r>
        <w:t xml:space="preserve">The relative standard deviation (RSD), also called the coefficient of variance, among pooled samples is another parameter that performed surprisingly poorly given its general acceptance as a quality scoring metric. In the full model, neither the traditional calculation of RSD (standard deviation divided by the mean) nor the robust implementation (median absolute deviation divided by the median) were significant parameters. This result was also reported by</w:t>
      </w:r>
      <w:r>
        <w:t xml:space="preserve"> </w:t>
      </w:r>
      <w:r>
        <w:t xml:space="preserve">Gloaguen, Kirwan, and Beule (2022)</w:t>
      </w:r>
      <w:r>
        <w:t xml:space="preserve"> </w:t>
      </w:r>
      <w:r>
        <w:t xml:space="preserve">who noted that while the RSD was typically lower for high-quality features there were many noise MFs with low RSDs as well. We also note that though they do not report the statistical significance of the RSD shift across feature quality, it doesn’t appear to be hugely significant without a very large sample size.</w:t>
      </w:r>
    </w:p>
    <w:p>
      <w:pPr>
        <w:pStyle w:val="BodyText"/>
      </w:pPr>
      <w:r>
        <w:t xml:space="preserve">We also showed that the automatically calculated SNR parameter from XCMS is not especially useful in distinguishing signal from noise. After inspecting a selection of MFs that had anomalous values for this metric, we are inclined to agree with</w:t>
      </w:r>
      <w:r>
        <w:t xml:space="preserve"> </w:t>
      </w:r>
      <w:r>
        <w:t xml:space="preserve">Myers et al. (2017a)</w:t>
      </w:r>
      <w:r>
        <w:t xml:space="preserve"> </w:t>
      </w:r>
      <w:r>
        <w:t xml:space="preserve">and conclude that this is often due to insufficient data outside of the peak for a robust calculation of noise level.</w:t>
      </w:r>
    </w:p>
    <w:p>
      <w:pPr>
        <w:pStyle w:val="BodyText"/>
      </w:pPr>
      <w:r>
        <w:t xml:space="preserve">Finally, we were surprised to find essentially no predictive power offered by peak area or intensity, with good MFs distributed almost identically to the bad MFs in this space. This cautions strongly against an arbitrarily-decided intensity threshold for winnowing down the number of MFs, in agreement with previous work.</w:t>
      </w:r>
      <w:r>
        <w:t xml:space="preserve">(Houriet et al. 2022; Barupal et al. 2021)</w:t>
      </w:r>
    </w:p>
    <w:bookmarkEnd w:id="53"/>
    <w:bookmarkStart w:id="54" w:name="model-selection-and-simplification"/>
    <w:p>
      <w:pPr>
        <w:pStyle w:val="Heading4"/>
      </w:pPr>
      <w:r>
        <w:t xml:space="preserve">Model selection and simplification</w:t>
      </w:r>
    </w:p>
    <w:p>
      <w:pPr>
        <w:pStyle w:val="FirstParagraph"/>
      </w:pPr>
      <w:r>
        <w:t xml:space="preserve">We settled on the highly reduced model of just two parameters because we found that additional parameters often improved performance on the training set but did not do so significantly for the novel datasets where the application of such a model is actually useful (Figure 2). One important caveat to note is that for the partially-labelled CultureData and Pttime datasets, there exists an uncontrolled degree of experimenter bias because the MS expert responsible for labeling did know that these MFs were all expected to be good. However, given that we do still see poor-quality MFs in this set indicates that this was not an overwhelming bias. The drastic drop in performance on out-of-sample data was particularly concerning because it creates overconfidence in the true level of noise actually ending up in the final dataset.</w:t>
      </w:r>
    </w:p>
    <w:p>
      <w:pPr>
        <w:pStyle w:val="BodyText"/>
      </w:pPr>
      <w:r>
        <w:t xml:space="preserve">We also found that this reduced two-parameter model was largely independent of the particular training set used, unlike in the more complex models (Figure 3). This was true in both absolute likelihood as well as rank-ordered space, a particularly important distinction when one imagines manually labeling</w:t>
      </w:r>
      <w:r>
        <w:t xml:space="preserve"> </w:t>
      </w:r>
      <w:r>
        <w:t xml:space="preserve">“</w:t>
      </w:r>
      <w:r>
        <w:t xml:space="preserve">down</w:t>
      </w:r>
      <w:r>
        <w:t xml:space="preserve">”</w:t>
      </w:r>
      <w:r>
        <w:t xml:space="preserve"> </w:t>
      </w:r>
      <w:r>
        <w:t xml:space="preserve">the dataset where the researcher desires to start viewing the chromatograms associated with the very best features and eventually reaching a point where enough MFs have been reviewed or bad MFs are consistent enough that they decide to forgo additional labeling.</w:t>
      </w:r>
    </w:p>
    <w:p>
      <w:pPr>
        <w:pStyle w:val="BodyText"/>
      </w:pPr>
      <w:r>
        <w:t xml:space="preserve">A final benefit to the reduced model is the smaller training set required to reach stability (Supp figure XX). This reduced size means that a useful model could be trained using only a fraction of the MFs identified in a sample set and then used to predict the quality for the remainder of the features. This reduction in training set size was not as significant as we expected, however, with several hundred features requiring manual labeling before even the two most stable parameters reached a consensus.</w:t>
      </w:r>
    </w:p>
    <w:bookmarkEnd w:id="54"/>
    <w:bookmarkEnd w:id="55"/>
    <w:bookmarkStart w:id="56" w:name="Xbb1aeb7765d6009dd7726dda9c8d36b8cc0af82"/>
    <w:p>
      <w:pPr>
        <w:pStyle w:val="Heading3"/>
      </w:pPr>
      <w:r>
        <w:t xml:space="preserve">Biological conclusions vary significantly by feature quality</w:t>
      </w:r>
    </w:p>
    <w:p>
      <w:pPr>
        <w:pStyle w:val="FirstParagraph"/>
      </w:pPr>
      <w:r>
        <w:t xml:space="preserve">We found that the conclusions obtained from the metabolomic datasets differed in significant ways depending on the quality threshold used to remove bad MFs from the downstream analysis. In the multivariate case, we ran the same analysis of PERMANOVAs and NMDS plots on various subsets of the original XCMS output and found that the effect size of depth was strongly influenced by by the threshold chosen. This is unsurprising given that most noise MFs should not have a biological signal to begin with, but is troubling for interpreting analyses where the FDR is not reported or the dataset not manually reviewed because the absence of a notable effect could simply be due to the overwhelming degree of noise in the default output.</w:t>
      </w:r>
    </w:p>
    <w:p>
      <w:pPr>
        <w:pStyle w:val="BodyText"/>
      </w:pPr>
      <w:r>
        <w:t xml:space="preserve">In the univariate case, we showed that while noise MFs are predominantly absent of a large biological signal, there are many that still have a significant biological trend. While some of these are inherently due to the likelihood of getting a small p-value with enough attempts despite FDR correction, a larger number of these poor-quality MFs were due to partial integration in which only the tail of a feature was integrated. This essentially duplicates the signal of the original MF in later analyses and should be removed. The real features showed a strong biological trend of high concentration throughout the surface ocean and down through the deep chlorophyll maximum (DCM), with most features equally abundant at 15 meters and this ~110 meter depth feature before dropping off at depth. This pattern tracks well with previous reports of biomass from the same sample site as well as earlier literature.</w:t>
      </w:r>
      <w:r>
        <w:t xml:space="preserve">(Barone et al. 2022; Heal et al. 2021)</w:t>
      </w:r>
      <w:r>
        <w:t xml:space="preserve"> </w:t>
      </w:r>
      <w:r>
        <w:t xml:space="preserve">Critically, this also highlights the danger of noise MFs when additional normalizations are later applied. Scaling metabolomic data to biomass measurements is a common technique, and yet here it would have caused an enormous number of false positives that would have appeared to be intriguingly enriched below the DCM.</w:t>
      </w:r>
    </w:p>
    <w:bookmarkEnd w:id="56"/>
    <w:bookmarkEnd w:id="57"/>
    <w:bookmarkStart w:id="58" w:name="conclusions-1"/>
    <w:p>
      <w:pPr>
        <w:pStyle w:val="Heading2"/>
      </w:pPr>
      <w:r>
        <w:t xml:space="preserve">Conclusions</w:t>
      </w:r>
    </w:p>
    <w:p>
      <w:pPr>
        <w:pStyle w:val="FirstParagraph"/>
      </w:pPr>
      <w:r>
        <w:t xml:space="preserve">The large number of molecular features due to noise present in metabolomics datasets can be controlled using a simple logistic classification model. We trained such a model on two full-labeled open ocean HILIC datasets and found that the best performing parameters in the model for were a custom signal-to-noise metric and a test of similarity to a bell curve. This model showed robustness to overfitting, independence from the training set, and a reduced degree of manual labeling required. With this model, we showed how the distribution of metabolites in the open ocean is strongly affected by depth and categorized molecules according to their depth response. This distribution reproduces measures of bulk biomass but highlights several molecules of interest that diverge from the overall trend.</w:t>
      </w:r>
    </w:p>
    <w:bookmarkEnd w:id="58"/>
    <w:bookmarkStart w:id="76" w:name="methods"/>
    <w:p>
      <w:pPr>
        <w:pStyle w:val="Heading2"/>
      </w:pPr>
      <w:r>
        <w:t xml:space="preserve">Methods</w:t>
      </w:r>
    </w:p>
    <w:bookmarkStart w:id="59"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have been previously described by</w:t>
      </w:r>
      <w:r>
        <w:t xml:space="preserve"> </w:t>
      </w:r>
      <w:r>
        <w:t xml:space="preserve">(Durham et al. 2022)</w:t>
      </w:r>
      <w:r>
        <w:t xml:space="preserve"> </w:t>
      </w:r>
      <w:r>
        <w:t xml:space="preserve">and on Metabolomics Workbench (Project ID PR001317).</w:t>
      </w:r>
    </w:p>
    <w:bookmarkEnd w:id="59"/>
    <w:bookmarkStart w:id="60"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(Boysen et al. 2018)</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(Boysen et al. 2018)</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Metabolomics Workbench where it has been assigned Project ID PR001317.</w:t>
      </w:r>
    </w:p>
    <w:bookmarkEnd w:id="60"/>
    <w:bookmarkStart w:id="61"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Metabolomics Workbench where it has been assigned Project ID PR001317.</w:t>
      </w:r>
    </w:p>
    <w:bookmarkEnd w:id="61"/>
    <w:bookmarkStart w:id="62"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PR001317 and used in their existing mzXML format.</w:t>
      </w:r>
    </w:p>
    <w:bookmarkEnd w:id="62"/>
    <w:bookmarkStart w:id="63"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w:t>
      </w:r>
      <w:r>
        <w:t xml:space="preserve">Tautenhahn, Böttcher, and Neumann (2008)</w:t>
      </w:r>
      <w:r>
        <w:t xml:space="preserve"> </w:t>
      </w:r>
      <w:r>
        <w:t xml:space="preserve">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 et al. 2017a)</w:t>
      </w:r>
      <w:r>
        <w:t xml:space="preserve">, and both verboseColumns and the extendLengthMSW parameter were set to TRUE. For retention time correction, the Obiwarp method was used except for the CultureData dataset, which was visually inspected and determined not to require correction.</w:t>
      </w:r>
      <w:r>
        <w:t xml:space="preserve">(Benton, Want, and Ebbels 2010)</w:t>
      </w:r>
      <w:r>
        <w:t xml:space="preserve"> </w:t>
      </w:r>
      <w:r>
        <w:t xml:space="preserve">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w:t>
      </w:r>
    </w:p>
    <w:bookmarkEnd w:id="63"/>
    <w:bookmarkStart w:id="67"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inspected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labeling and to more accurately represent what MS experts typically do when assessing the quality of a given molecular feature (Figure 7). We also decided to ignore missing values and linearly interpolate between known data points rather than filling with zeroes. These EICs were then shown to an MS expert for classification into one of 4 categories: Good, Bad, Ambiguous, or Stans only if the feature appeared to only show up in the standards. A few randomly-chosen features from the manually-assigned Good and Bad classifications are shown in Figure 7.</w:t>
      </w:r>
    </w:p>
    <w:p>
      <w:pPr>
        <w:pStyle w:val="CaptionedFigure"/>
      </w:pPr>
      <w:r>
        <w:drawing>
          <wp:inline>
            <wp:extent cx="5943600" cy="2743199"/>
            <wp:effectExtent b="0" l="0" r="0" t="0"/>
            <wp:docPr descr="Figure 7: Randomly selected ion chromatograms from both “Good” (top row) and “Bad” (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 “FT” and followed by 4 digits. Two features were annotated using authentic standards run alongside: the 13C isotope of dimethylsulfonioacetate (DMS-Ac) and taurine." title="" id="65" name="Picture"/>
            <a:graphic>
              <a:graphicData uri="http://schemas.openxmlformats.org/drawingml/2006/picture">
                <pic:pic>
                  <pic:nvPicPr>
                    <pic:cNvPr descr="figures/somegood_somebad_depthcolor_chroms.png" id="66" name="Picture"/>
                    <pic:cNvPicPr>
                      <a:picLocks noChangeArrowheads="1" noChangeAspect="1"/>
                    </pic:cNvPicPr>
                  </pic:nvPicPr>
                  <pic:blipFill>
                    <a:blip r:embed="rId64"/>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7: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Plots show retention time along the x-axis in a 1 minute window around the center of the feature and show measured intensity on the y. Features are from the MESOSCOPE dataset and colored by the depth from which the biological sample was taken. DCM = deep chlorophyll maximum, approximately 110 meters. Molecular feature ids are provided as the title of each panel, starting with</w:t>
      </w:r>
      <w:r>
        <w:t xml:space="preserve"> </w:t>
      </w:r>
      <w:r>
        <w:t xml:space="preserve">“</w:t>
      </w:r>
      <w:r>
        <w:t xml:space="preserve">FT</w:t>
      </w:r>
      <w:r>
        <w:t xml:space="preserve">”</w:t>
      </w:r>
      <w:r>
        <w:t xml:space="preserve"> </w:t>
      </w:r>
      <w:r>
        <w:t xml:space="preserve">and followed by 4 digits. Two features were annotated using authentic standards run alongside: the 13C isotope of dimethylsulfonioacetate (DMS-Ac) and taurine.</w:t>
      </w:r>
    </w:p>
    <w:bookmarkEnd w:id="67"/>
    <w:bookmarkStart w:id="71"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0.9)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for a given feature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molecular feature (MF) was found, but could not be calculated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(Figure 8).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(Figure 8).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(Myers et al. 2017b)</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8: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9" name="Picture"/>
            <a:graphic>
              <a:graphicData uri="http://schemas.openxmlformats.org/drawingml/2006/picture">
                <pic:pic>
                  <pic:nvPicPr>
                    <pic:cNvPr descr="figures/peakmetrics_singlechrom.png" id="70" name="Picture"/>
                    <pic:cNvPicPr>
                      <a:picLocks noChangeArrowheads="1" noChangeAspect="1"/>
                    </pic:cNvPicPr>
                  </pic:nvPicPr>
                  <pic:blipFill>
                    <a:blip r:embed="rId68"/>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8: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 for the molecular feature as a whole.</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71"/>
    <w:bookmarkStart w:id="72"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features found (GFF, also known as the recall or sensitivity and defined as the number of true positives divided by the total number of actual positives).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MFs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2"/>
    <w:bookmarkStart w:id="73"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 where it has been assigned Project ID PR001317. The data can be accessed directly via it’s Project DOI: 10.21228/M8GH6P. This project dataset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w:t>
      </w:r>
    </w:p>
    <w:p>
      <w:pPr>
        <w:pStyle w:val="BodyText"/>
      </w:pPr>
      <w:r>
        <w:t xml:space="preserve">Each of these datasets were only fractionally labeled, with those MFs above the 0.9 likelihood threshold according to the two-parameter model reviewed manually and categorized. This stricter threshold was chosen because we felt less comfortable interpreting results based on mass features that were only 50% likely to be real, but did not feel the need to be so strict with this exploratory analysis that we wanted to limit it to 99+% likelihood MFs.</w:t>
      </w:r>
    </w:p>
    <w:bookmarkEnd w:id="73"/>
    <w:bookmarkStart w:id="75"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(Benjamini and Hochberg 1995)</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(Dunn 1964)</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(Anderson 2017)</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(Oksanen et al. 2022)</w:t>
      </w:r>
      <w:r>
        <w:t xml:space="preserve"> </w:t>
      </w:r>
      <w:r>
        <w:t xml:space="preserve">We ran multiple PERMANOVAs with a different subset of mass features included each time, corresponding to using the output from XCMS directly, likelihood thresholds of 0.01, 0.1, 0.5, 0.9, and finally only those MFs manually annotated as good.</w:t>
      </w:r>
    </w:p>
    <w:p>
      <w:pPr>
        <w:pStyle w:val="BodyText"/>
      </w:pPr>
      <w:r>
        <w:t xml:space="preserve">All analyses were run in R, version 4.2.2, and code is available on the Github at</w:t>
      </w:r>
      <w:r>
        <w:t xml:space="preserve"> </w:t>
      </w:r>
      <w:hyperlink r:id="rId74">
        <w:r>
          <w:rPr>
            <w:rStyle w:val="Hyperlink"/>
          </w:rPr>
          <w:t xml:space="preserve">https://github.com/wkumler/MS_metrics</w:t>
        </w:r>
      </w:hyperlink>
      <w:r>
        <w:t xml:space="preserve">.</w:t>
      </w:r>
      <w:r>
        <w:t xml:space="preserve">(R Core Team 2022)</w:t>
      </w:r>
    </w:p>
    <w:bookmarkEnd w:id="75"/>
    <w:bookmarkEnd w:id="76"/>
    <w:bookmarkStart w:id="77" w:name="abbreviations"/>
    <w:p>
      <w:pPr>
        <w:pStyle w:val="Heading2"/>
      </w:pPr>
      <w:r>
        <w:t xml:space="preserve">Abbreviations</w:t>
      </w:r>
    </w:p>
    <w:p>
      <w:pPr>
        <w:pStyle w:val="FirstParagraph"/>
      </w:pPr>
      <w:r>
        <w:t xml:space="preserve">DCM: Deep Chlorophyll Maximum</w:t>
      </w:r>
    </w:p>
    <w:p>
      <w:pPr>
        <w:pStyle w:val="BodyText"/>
      </w:pPr>
      <w:r>
        <w:t xml:space="preserve">SNR: Signal to Noise Ratio</w:t>
      </w:r>
    </w:p>
    <w:p>
      <w:pPr>
        <w:pStyle w:val="BodyText"/>
      </w:pPr>
      <w:r>
        <w:t xml:space="preserve">MF: Molecular Feature</w:t>
      </w:r>
    </w:p>
    <w:p>
      <w:pPr>
        <w:pStyle w:val="BodyText"/>
      </w:pPr>
      <w:r>
        <w:t xml:space="preserve">GFF: Good Feature Found</w:t>
      </w:r>
    </w:p>
    <w:p>
      <w:pPr>
        <w:pStyle w:val="BodyText"/>
      </w:pPr>
      <w:r>
        <w:t xml:space="preserve">FDR: False Discovery Rate</w:t>
      </w:r>
    </w:p>
    <w:p>
      <w:pPr>
        <w:pStyle w:val="BodyText"/>
      </w:pPr>
      <w:r>
        <w:t xml:space="preserve">HILIC: Hydrophilic Interaction Liquid Chromatography</w:t>
      </w:r>
    </w:p>
    <w:p>
      <w:pPr>
        <w:pStyle w:val="BodyText"/>
      </w:pPr>
      <w:r>
        <w:t xml:space="preserve">EIC: Extracted Ion Chromatogram</w:t>
      </w:r>
    </w:p>
    <w:p>
      <w:pPr>
        <w:pStyle w:val="BodyText"/>
      </w:pPr>
      <w:r>
        <w:t xml:space="preserve">LC: Liquid Chromatography</w:t>
      </w:r>
    </w:p>
    <w:p>
      <w:pPr>
        <w:pStyle w:val="BodyText"/>
      </w:pPr>
      <w:r>
        <w:t xml:space="preserve">MS: Mass Spectrometry</w:t>
      </w:r>
    </w:p>
    <w:bookmarkEnd w:id="77"/>
    <w:bookmarkStart w:id="87" w:name="declarations"/>
    <w:p>
      <w:pPr>
        <w:pStyle w:val="Heading2"/>
      </w:pPr>
      <w:r>
        <w:t xml:space="preserve">Declarations</w:t>
      </w:r>
    </w:p>
    <w:bookmarkStart w:id="78" w:name="Xd182db0490b2de20bd2b4e4cc8698599182035f"/>
    <w:p>
      <w:pPr>
        <w:pStyle w:val="Heading3"/>
      </w:pPr>
      <w:r>
        <w:t xml:space="preserve">Ethics approval and consent to participate</w:t>
      </w:r>
    </w:p>
    <w:p>
      <w:pPr>
        <w:pStyle w:val="FirstParagraph"/>
      </w:pPr>
      <w:r>
        <w:t xml:space="preserve">Not applicable</w:t>
      </w:r>
    </w:p>
    <w:bookmarkEnd w:id="78"/>
    <w:bookmarkStart w:id="79" w:name="consent-for-publication"/>
    <w:p>
      <w:pPr>
        <w:pStyle w:val="Heading3"/>
      </w:pPr>
      <w:r>
        <w:t xml:space="preserve">Consent for publication</w:t>
      </w:r>
    </w:p>
    <w:p>
      <w:pPr>
        <w:pStyle w:val="FirstParagraph"/>
      </w:pPr>
      <w:r>
        <w:t xml:space="preserve">Not applicable</w:t>
      </w:r>
    </w:p>
    <w:bookmarkEnd w:id="79"/>
    <w:bookmarkStart w:id="82" w:name="availability-of-data-and-materials"/>
    <w:p>
      <w:pPr>
        <w:pStyle w:val="Heading3"/>
      </w:pPr>
      <w:r>
        <w:t xml:space="preserve">Availability of data and materials</w:t>
      </w:r>
    </w:p>
    <w:p>
      <w:pPr>
        <w:pStyle w:val="FirstParagraph"/>
      </w:pPr>
      <w:r>
        <w:t xml:space="preserve">The raw mzML files are all available on Metabolomics Workbench. Falkor, MESOSCOPE, and CultureData can be found under Project ID [blah] and accessed directly using the Project ID</w:t>
      </w:r>
      <w:r>
        <w:t xml:space="preserve"> </w:t>
      </w:r>
      <w:hyperlink r:id="rId80">
        <w:r>
          <w:rPr>
            <w:rStyle w:val="Hyperlink"/>
          </w:rPr>
          <w:t xml:space="preserve">http://dx.doi.org/[blah]</w:t>
        </w:r>
      </w:hyperlink>
      <w:r>
        <w:t xml:space="preserve">, while Pttime is located under Project ID PR001317 and can be accessed directly using its Project DOI:</w:t>
      </w:r>
      <w:r>
        <w:t xml:space="preserve"> </w:t>
      </w:r>
      <w:hyperlink r:id="rId81">
        <w:r>
          <w:rPr>
            <w:rStyle w:val="Hyperlink"/>
          </w:rPr>
          <w:t xml:space="preserve">http://dx.doi.org/10.21228/M8GH6P</w:t>
        </w:r>
      </w:hyperlink>
      <w:r>
        <w:t xml:space="preserve">. Code and other raw data is available on the GitHub repository at</w:t>
      </w:r>
      <w:r>
        <w:t xml:space="preserve"> </w:t>
      </w:r>
      <w:hyperlink r:id="rId74">
        <w:r>
          <w:rPr>
            <w:rStyle w:val="Hyperlink"/>
          </w:rPr>
          <w:t xml:space="preserve">https://github.com/wkumler/MS_metrics</w:t>
        </w:r>
      </w:hyperlink>
      <w:r>
        <w:t xml:space="preserve">. The manuscript has been rendered as a single R Markdown document with analyses contained within for reproducibility.</w:t>
      </w:r>
    </w:p>
    <w:bookmarkEnd w:id="82"/>
    <w:bookmarkStart w:id="83" w:name="competing-interests"/>
    <w:p>
      <w:pPr>
        <w:pStyle w:val="Heading3"/>
      </w:pPr>
      <w:r>
        <w:t xml:space="preserve">Competing interests</w:t>
      </w:r>
    </w:p>
    <w:p>
      <w:pPr>
        <w:pStyle w:val="FirstParagraph"/>
      </w:pPr>
      <w:r>
        <w:t xml:space="preserve">The authors declare that they have no competing interests</w:t>
      </w:r>
    </w:p>
    <w:bookmarkEnd w:id="83"/>
    <w:bookmarkStart w:id="84" w:name="funding"/>
    <w:p>
      <w:pPr>
        <w:pStyle w:val="Heading3"/>
      </w:pPr>
      <w:r>
        <w:t xml:space="preserve">Funding</w:t>
      </w:r>
    </w:p>
    <w:p>
      <w:pPr>
        <w:pStyle w:val="FirstParagraph"/>
      </w:pPr>
      <w:r>
        <w:t xml:space="preserve">[TBD, get from Anitra. eScience?]</w:t>
      </w:r>
    </w:p>
    <w:bookmarkEnd w:id="84"/>
    <w:bookmarkStart w:id="85" w:name="authors-contributions"/>
    <w:p>
      <w:pPr>
        <w:pStyle w:val="Heading3"/>
      </w:pPr>
      <w:r>
        <w:t xml:space="preserve">Authors’ contributions</w:t>
      </w:r>
    </w:p>
    <w:bookmarkEnd w:id="85"/>
    <w:bookmarkStart w:id="86" w:name="acknowledgements"/>
    <w:p>
      <w:pPr>
        <w:pStyle w:val="Heading3"/>
      </w:pPr>
      <w:r>
        <w:t xml:space="preserve">Acknowledgements</w:t>
      </w:r>
    </w:p>
    <w:bookmarkEnd w:id="86"/>
    <w:bookmarkEnd w:id="87"/>
    <w:bookmarkStart w:id="149" w:name="references"/>
    <w:p>
      <w:pPr>
        <w:pStyle w:val="Heading2"/>
      </w:pPr>
      <w:r>
        <w:t xml:space="preserve">References</w:t>
      </w:r>
    </w:p>
    <w:bookmarkStart w:id="148" w:name="refs"/>
    <w:bookmarkStart w:id="89" w:name="ref-Anderson2014"/>
    <w:p>
      <w:pPr>
        <w:pStyle w:val="Bibliography"/>
      </w:pPr>
      <w:r>
        <w:t xml:space="preserve">Anderson, Marti J. 2017.</w:t>
      </w:r>
      <w:r>
        <w:t xml:space="preserve"> </w:t>
      </w:r>
      <w:r>
        <w:t xml:space="preserve">“</w:t>
      </w:r>
      <w:r>
        <w:t xml:space="preserve">Permutational Multivariate Analysis of Variance (PERMANOVA)</w:t>
      </w:r>
      <w:r>
        <w:t xml:space="preserve">.”</w:t>
      </w:r>
      <w:r>
        <w:t xml:space="preserve"> </w:t>
      </w:r>
      <w:r>
        <w:t xml:space="preserve">In</w:t>
      </w:r>
      <w:r>
        <w:t xml:space="preserve"> </w:t>
      </w:r>
      <w:r>
        <w:rPr>
          <w:iCs/>
          <w:i/>
        </w:rPr>
        <w:t xml:space="preserve">Wiley StatsRef: Statistics Reference Online</w:t>
      </w:r>
      <w:r>
        <w:t xml:space="preserve">, 1–15. Wiley.</w:t>
      </w:r>
      <w:r>
        <w:t xml:space="preserve"> </w:t>
      </w:r>
      <w:hyperlink r:id="rId88">
        <w:r>
          <w:rPr>
            <w:rStyle w:val="Hyperlink"/>
          </w:rPr>
          <w:t xml:space="preserve">https://doi.org/10.1002/9781118445112.stat07841</w:t>
        </w:r>
      </w:hyperlink>
      <w:r>
        <w:t xml:space="preserve">.</w:t>
      </w:r>
    </w:p>
    <w:bookmarkEnd w:id="89"/>
    <w:bookmarkStart w:id="91" w:name="ref-Bajad2006"/>
    <w:p>
      <w:pPr>
        <w:pStyle w:val="Bibliography"/>
      </w:pPr>
      <w:r>
        <w:t xml:space="preserve">Bajad, Sunil U., Wenyun Lu, Elizabeth H. Kimball, Jie Yuan, Celeste Peterson, and Joshua D. Rabinowitz. 2006.</w:t>
      </w:r>
      <w:r>
        <w:t xml:space="preserve"> </w:t>
      </w:r>
      <w:r>
        <w:t xml:space="preserve">“</w:t>
      </w:r>
      <w:r>
        <w:t xml:space="preserve">Separation and quantitation of water soluble cellular metabolites by hydrophilic interaction chromatography-tandem mass spectrometry</w:t>
      </w:r>
      <w:r>
        <w:t xml:space="preserve">.”</w:t>
      </w:r>
      <w:r>
        <w:t xml:space="preserve"> </w:t>
      </w:r>
      <w:r>
        <w:rPr>
          <w:iCs/>
          <w:i/>
        </w:rPr>
        <w:t xml:space="preserve">Journal of Chromatography A</w:t>
      </w:r>
      <w:r>
        <w:t xml:space="preserve"> </w:t>
      </w:r>
      <w:r>
        <w:t xml:space="preserve">1125 (1): 76–88.</w:t>
      </w:r>
      <w:r>
        <w:t xml:space="preserve"> </w:t>
      </w:r>
      <w:hyperlink r:id="rId90">
        <w:r>
          <w:rPr>
            <w:rStyle w:val="Hyperlink"/>
          </w:rPr>
          <w:t xml:space="preserve">https://doi.org/10.1016/j.chroma.2006.05.019</w:t>
        </w:r>
      </w:hyperlink>
      <w:r>
        <w:t xml:space="preserve">.</w:t>
      </w:r>
    </w:p>
    <w:bookmarkEnd w:id="91"/>
    <w:bookmarkStart w:id="93" w:name="ref-Barone2022"/>
    <w:p>
      <w:pPr>
        <w:pStyle w:val="Bibliography"/>
      </w:pPr>
      <w:r>
        <w:t xml:space="preserve">Barone, Benedetto, Matthew J. Church, Mathilde Dugenne, Nicholas J. Hawco, Oliver Jahn, Angelicque E. White, Seth G. John, Michael J. Follows, Edward F. DeLong, and David M. Karl. 2022.</w:t>
      </w:r>
      <w:r>
        <w:t xml:space="preserve"> </w:t>
      </w:r>
      <w:r>
        <w:t xml:space="preserve">“</w:t>
      </w:r>
      <w:r>
        <w:t xml:space="preserve">Biogeochemical Dynamics in Adjacent Mesoscale Eddies of Opposite Polarity</w:t>
      </w:r>
      <w:r>
        <w:t xml:space="preserve">.”</w:t>
      </w:r>
      <w:r>
        <w:t xml:space="preserve"> </w:t>
      </w:r>
      <w:r>
        <w:rPr>
          <w:iCs/>
          <w:i/>
        </w:rPr>
        <w:t xml:space="preserve">Global Biogeochemical Cycles</w:t>
      </w:r>
      <w:r>
        <w:t xml:space="preserve"> </w:t>
      </w:r>
      <w:r>
        <w:t xml:space="preserve">36 (2).</w:t>
      </w:r>
      <w:r>
        <w:t xml:space="preserve"> </w:t>
      </w:r>
      <w:hyperlink r:id="rId92">
        <w:r>
          <w:rPr>
            <w:rStyle w:val="Hyperlink"/>
          </w:rPr>
          <w:t xml:space="preserve">https://doi.org/10.1029/2021GB007115</w:t>
        </w:r>
      </w:hyperlink>
      <w:r>
        <w:t xml:space="preserve">.</w:t>
      </w:r>
    </w:p>
    <w:bookmarkEnd w:id="93"/>
    <w:bookmarkStart w:id="95" w:name="ref-Barupal2021"/>
    <w:p>
      <w:pPr>
        <w:pStyle w:val="Bibliography"/>
      </w:pPr>
      <w:r>
        <w:t xml:space="preserve">Barupal, Dinesh Kumar, Sadjad Fakouri Baygi, Robert O. Wright, and Manish Arora. 2021.</w:t>
      </w:r>
      <w:r>
        <w:t xml:space="preserve"> </w:t>
      </w:r>
      <w:r>
        <w:t xml:space="preserve">“</w:t>
      </w:r>
      <w:r>
        <w:t xml:space="preserve">Data Processing Thresholds for Abundance and Sparsity and Missed Biological Insights in an Untargeted Chemical Analysis of Blood Specimens for Exposomics</w:t>
      </w:r>
      <w:r>
        <w:t xml:space="preserve">.”</w:t>
      </w:r>
      <w:r>
        <w:t xml:space="preserve"> </w:t>
      </w:r>
      <w:r>
        <w:rPr>
          <w:iCs/>
          <w:i/>
        </w:rPr>
        <w:t xml:space="preserve">Frontiers in Public Health</w:t>
      </w:r>
      <w:r>
        <w:t xml:space="preserve"> </w:t>
      </w:r>
      <w:r>
        <w:t xml:space="preserve">9 (June).</w:t>
      </w:r>
      <w:r>
        <w:t xml:space="preserve"> </w:t>
      </w:r>
      <w:hyperlink r:id="rId94">
        <w:r>
          <w:rPr>
            <w:rStyle w:val="Hyperlink"/>
          </w:rPr>
          <w:t xml:space="preserve">https://doi.org/10.3389/fpubh.2021.653599</w:t>
        </w:r>
      </w:hyperlink>
      <w:r>
        <w:t xml:space="preserve">.</w:t>
      </w:r>
    </w:p>
    <w:bookmarkEnd w:id="95"/>
    <w:bookmarkStart w:id="97" w:name="ref-Benjamini1995"/>
    <w:p>
      <w:pPr>
        <w:pStyle w:val="Bibliography"/>
      </w:pPr>
      <w:r>
        <w:t xml:space="preserve">Benjamini, Yoav, and Yosef Hochberg. 1995.</w:t>
      </w:r>
      <w:r>
        <w:t xml:space="preserve"> </w:t>
      </w:r>
      <w:r>
        <w:t xml:space="preserve">“</w:t>
      </w:r>
      <w:r>
        <w:t xml:space="preserve">Controlling the False Discovery Rate: A Practical and Powerful Approach to Multiple Testing</w:t>
      </w:r>
      <w:r>
        <w:t xml:space="preserve">.”</w:t>
      </w:r>
      <w:r>
        <w:t xml:space="preserve"> </w:t>
      </w:r>
      <w:r>
        <w:rPr>
          <w:iCs/>
          <w:i/>
        </w:rPr>
        <w:t xml:space="preserve">Journal of the Royal Statistical Society: Series B (Methodological)</w:t>
      </w:r>
      <w:r>
        <w:t xml:space="preserve"> </w:t>
      </w:r>
      <w:r>
        <w:t xml:space="preserve">57 (1): 289–300.</w:t>
      </w:r>
      <w:r>
        <w:t xml:space="preserve"> </w:t>
      </w:r>
      <w:hyperlink r:id="rId96">
        <w:r>
          <w:rPr>
            <w:rStyle w:val="Hyperlink"/>
          </w:rPr>
          <w:t xml:space="preserve">https://doi.org/10.1111/j.2517-6161.1995.tb02031.x</w:t>
        </w:r>
      </w:hyperlink>
      <w:r>
        <w:t xml:space="preserve">.</w:t>
      </w:r>
    </w:p>
    <w:bookmarkEnd w:id="97"/>
    <w:bookmarkStart w:id="99" w:name="ref-Benton2010"/>
    <w:p>
      <w:pPr>
        <w:pStyle w:val="Bibliography"/>
      </w:pPr>
      <w:r>
        <w:t xml:space="preserve">Benton, H. Paul, Elizabeth J. Want, and Timothy M. D. Ebbels. 2010.</w:t>
      </w:r>
      <w:r>
        <w:t xml:space="preserve"> </w:t>
      </w:r>
      <w:r>
        <w:t xml:space="preserve">“</w:t>
      </w:r>
      <w:r>
        <w:t xml:space="preserve">Correction of mass calibration gaps in liquid chromatography–mass spectrometry metabolomics data</w:t>
      </w:r>
      <w:r>
        <w:t xml:space="preserve">.”</w:t>
      </w:r>
      <w:r>
        <w:t xml:space="preserve"> </w:t>
      </w:r>
      <w:r>
        <w:rPr>
          <w:iCs/>
          <w:i/>
        </w:rPr>
        <w:t xml:space="preserve">Bioinformatics</w:t>
      </w:r>
      <w:r>
        <w:t xml:space="preserve"> </w:t>
      </w:r>
      <w:r>
        <w:t xml:space="preserve">26 (19): 2488–89.</w:t>
      </w:r>
      <w:r>
        <w:t xml:space="preserve"> </w:t>
      </w:r>
      <w:hyperlink r:id="rId98">
        <w:r>
          <w:rPr>
            <w:rStyle w:val="Hyperlink"/>
          </w:rPr>
          <w:t xml:space="preserve">https://doi.org/10.1093/bioinformatics/btq441</w:t>
        </w:r>
      </w:hyperlink>
      <w:r>
        <w:t xml:space="preserve">.</w:t>
      </w:r>
    </w:p>
    <w:bookmarkEnd w:id="99"/>
    <w:bookmarkStart w:id="101" w:name="ref-Boysen2021"/>
    <w:p>
      <w:pPr>
        <w:pStyle w:val="Bibliography"/>
      </w:pPr>
      <w:r>
        <w:t xml:space="preserve">Boysen, Angela K., Laura T. Carlson, Bryndan P. Durham, Ryan D. Groussman, Frank O. Aylward, François Ribalet, Katherine R. Heal, et al. 2021.</w:t>
      </w:r>
      <w:r>
        <w:t xml:space="preserve"> </w:t>
      </w:r>
      <w:r>
        <w:t xml:space="preserve">“</w:t>
      </w:r>
      <w:r>
        <w:t xml:space="preserve">Particulate Metabolites and Transcripts Reflect Diel Oscillations of Microbial Activity in the Surface Ocean</w:t>
      </w:r>
      <w:r>
        <w:t xml:space="preserve">.”</w:t>
      </w:r>
      <w:r>
        <w:t xml:space="preserve"> </w:t>
      </w:r>
      <w:r>
        <w:t xml:space="preserve">Edited by Jeff Bowman.</w:t>
      </w:r>
      <w:r>
        <w:t xml:space="preserve"> </w:t>
      </w:r>
      <w:r>
        <w:rPr>
          <w:iCs/>
          <w:i/>
        </w:rPr>
        <w:t xml:space="preserve">mSystems</w:t>
      </w:r>
      <w:r>
        <w:t xml:space="preserve"> </w:t>
      </w:r>
      <w:r>
        <w:t xml:space="preserve">6 (3).</w:t>
      </w:r>
      <w:r>
        <w:t xml:space="preserve"> </w:t>
      </w:r>
      <w:hyperlink r:id="rId100">
        <w:r>
          <w:rPr>
            <w:rStyle w:val="Hyperlink"/>
          </w:rPr>
          <w:t xml:space="preserve">https://doi.org/10.1128/mSystems.00896-20</w:t>
        </w:r>
      </w:hyperlink>
      <w:r>
        <w:t xml:space="preserve">.</w:t>
      </w:r>
    </w:p>
    <w:bookmarkEnd w:id="101"/>
    <w:bookmarkStart w:id="103" w:name="ref-Boysen2018"/>
    <w:p>
      <w:pPr>
        <w:pStyle w:val="Bibliography"/>
      </w:pPr>
      <w:r>
        <w:t xml:space="preserve">Boysen, Angela K., Katherine R. Heal, Laura T. Carlson, and Anitra E. Ingalls. 2018.</w:t>
      </w:r>
      <w:r>
        <w:t xml:space="preserve"> </w:t>
      </w:r>
      <w:r>
        <w:t xml:space="preserve">“</w:t>
      </w:r>
      <w:r>
        <w:t xml:space="preserve">Best-Matched Internal Standard Normalization in Liquid Chromatography–Mass Spectrometry Metabolomics Applied to Environmental Samples</w:t>
      </w:r>
      <w:r>
        <w:t xml:space="preserve">.”</w:t>
      </w:r>
      <w:r>
        <w:t xml:space="preserve"> </w:t>
      </w:r>
      <w:r>
        <w:rPr>
          <w:iCs/>
          <w:i/>
        </w:rPr>
        <w:t xml:space="preserve">Analytical Chemistry</w:t>
      </w:r>
      <w:r>
        <w:t xml:space="preserve"> </w:t>
      </w:r>
      <w:r>
        <w:t xml:space="preserve">90 (2): 1363–69.</w:t>
      </w:r>
      <w:r>
        <w:t xml:space="preserve"> </w:t>
      </w:r>
      <w:hyperlink r:id="rId102">
        <w:r>
          <w:rPr>
            <w:rStyle w:val="Hyperlink"/>
          </w:rPr>
          <w:t xml:space="preserve">https://doi.org/10.1021/acs.analchem.7b04400</w:t>
        </w:r>
      </w:hyperlink>
      <w:r>
        <w:t xml:space="preserve">.</w:t>
      </w:r>
    </w:p>
    <w:bookmarkEnd w:id="103"/>
    <w:bookmarkStart w:id="105" w:name="ref-Dunn1964"/>
    <w:p>
      <w:pPr>
        <w:pStyle w:val="Bibliography"/>
      </w:pPr>
      <w:r>
        <w:t xml:space="preserve">Dunn, Olive Jean. 1964.</w:t>
      </w:r>
      <w:r>
        <w:t xml:space="preserve"> </w:t>
      </w:r>
      <w:r>
        <w:t xml:space="preserve">“</w:t>
      </w:r>
      <w:r>
        <w:t xml:space="preserve">Multiple Comparisons Using Rank Sums</w:t>
      </w:r>
      <w:r>
        <w:t xml:space="preserve">.”</w:t>
      </w:r>
      <w:r>
        <w:t xml:space="preserve"> </w:t>
      </w:r>
      <w:r>
        <w:rPr>
          <w:iCs/>
          <w:i/>
        </w:rPr>
        <w:t xml:space="preserve">Technometrics</w:t>
      </w:r>
      <w:r>
        <w:t xml:space="preserve"> </w:t>
      </w:r>
      <w:r>
        <w:t xml:space="preserve">6 (3): 241–52.</w:t>
      </w:r>
      <w:r>
        <w:t xml:space="preserve"> </w:t>
      </w:r>
      <w:hyperlink r:id="rId104">
        <w:r>
          <w:rPr>
            <w:rStyle w:val="Hyperlink"/>
          </w:rPr>
          <w:t xml:space="preserve">https://doi.org/10.1080/00401706.1964.10490181</w:t>
        </w:r>
      </w:hyperlink>
      <w:r>
        <w:t xml:space="preserve">.</w:t>
      </w:r>
    </w:p>
    <w:bookmarkEnd w:id="105"/>
    <w:bookmarkStart w:id="107" w:name="ref-Durham2022"/>
    <w:p>
      <w:pPr>
        <w:pStyle w:val="Bibliography"/>
      </w:pPr>
      <w:r>
        <w:t xml:space="preserve">Durham, Bryndan P., Angela K. Boysen, Katherine R. Heal, Laura T. Carlson, Rachel Boccamazzo, Chloe R. Deodato, Wei Qin, Rose Ann Cattolico, E. Virginia Armbrust, and Anitra E. Ingalls. 2022.</w:t>
      </w:r>
      <w:r>
        <w:t xml:space="preserve"> </w:t>
      </w:r>
      <w:r>
        <w:t xml:space="preserve">“</w:t>
      </w:r>
      <w:r>
        <w:t xml:space="preserve">Chemotaxonomic patterns in intracellular metabolites of marine microbial plankton</w:t>
      </w:r>
      <w:r>
        <w:t xml:space="preserve">.”</w:t>
      </w:r>
      <w:r>
        <w:t xml:space="preserve"> </w:t>
      </w:r>
      <w:r>
        <w:rPr>
          <w:iCs/>
          <w:i/>
        </w:rPr>
        <w:t xml:space="preserve">Frontiers in Marine Science</w:t>
      </w:r>
      <w:r>
        <w:t xml:space="preserve"> </w:t>
      </w:r>
      <w:r>
        <w:t xml:space="preserve">9 (September).</w:t>
      </w:r>
      <w:r>
        <w:t xml:space="preserve"> </w:t>
      </w:r>
      <w:hyperlink r:id="rId106">
        <w:r>
          <w:rPr>
            <w:rStyle w:val="Hyperlink"/>
          </w:rPr>
          <w:t xml:space="preserve">https://doi.org/10.3389/fmars.2022.864796</w:t>
        </w:r>
      </w:hyperlink>
      <w:r>
        <w:t xml:space="preserve">.</w:t>
      </w:r>
    </w:p>
    <w:bookmarkEnd w:id="107"/>
    <w:bookmarkStart w:id="109" w:name="ref-ElAbiead2021"/>
    <w:p>
      <w:pPr>
        <w:pStyle w:val="Bibliography"/>
      </w:pPr>
      <w:r>
        <w:t xml:space="preserve">El Abiead, Yasin, Maximilian Milford, Reza M Salek, and Gunda Koellensperger. 2021.</w:t>
      </w:r>
      <w:r>
        <w:t xml:space="preserve"> </w:t>
      </w:r>
      <w:r>
        <w:t xml:space="preserve">“</w:t>
      </w:r>
      <w:r>
        <w:t xml:space="preserve">mzRAPP: a tool for reliability assessment of data pre-processing in non-targeted metabolomics</w:t>
      </w:r>
      <w:r>
        <w:t xml:space="preserve">.”</w:t>
      </w:r>
      <w:r>
        <w:t xml:space="preserve"> </w:t>
      </w:r>
      <w:r>
        <w:t xml:space="preserve">Edited by Pier Luigi Martelli.</w:t>
      </w:r>
      <w:r>
        <w:t xml:space="preserve"> </w:t>
      </w:r>
      <w:r>
        <w:rPr>
          <w:iCs/>
          <w:i/>
        </w:rPr>
        <w:t xml:space="preserve">Bioinformatics</w:t>
      </w:r>
      <w:r>
        <w:t xml:space="preserve"> </w:t>
      </w:r>
      <w:r>
        <w:t xml:space="preserve">37 (20): 3678–80.</w:t>
      </w:r>
      <w:r>
        <w:t xml:space="preserve"> </w:t>
      </w:r>
      <w:hyperlink r:id="rId108">
        <w:r>
          <w:rPr>
            <w:rStyle w:val="Hyperlink"/>
          </w:rPr>
          <w:t xml:space="preserve">https://doi.org/10.1093/bioinformatics/btab231</w:t>
        </w:r>
      </w:hyperlink>
      <w:r>
        <w:t xml:space="preserve">.</w:t>
      </w:r>
    </w:p>
    <w:bookmarkEnd w:id="109"/>
    <w:bookmarkStart w:id="111" w:name="ref-Gika2019"/>
    <w:p>
      <w:pPr>
        <w:pStyle w:val="Bibliography"/>
      </w:pPr>
      <w:r>
        <w:t xml:space="preserve">Gika, Helen, Christina Virgiliou, Georgios Theodoridis, Robert S. Plumb, and Ian D. Wilson. 2019.</w:t>
      </w:r>
      <w:r>
        <w:t xml:space="preserve"> </w:t>
      </w:r>
      <w:r>
        <w:t xml:space="preserve">“</w:t>
      </w:r>
      <w:r>
        <w:t xml:space="preserve">Untargeted LC/MS-based metabolic phenotyping (metabonomics/metabolomics): The state of the art</w:t>
      </w:r>
      <w:r>
        <w:t xml:space="preserve">.”</w:t>
      </w:r>
      <w:r>
        <w:t xml:space="preserve"> </w:t>
      </w:r>
      <w:r>
        <w:rPr>
          <w:iCs/>
          <w:i/>
        </w:rPr>
        <w:t xml:space="preserve">Journal of Chromatography B</w:t>
      </w:r>
      <w:r>
        <w:t xml:space="preserve"> </w:t>
      </w:r>
      <w:r>
        <w:t xml:space="preserve">1117 (June): 136–47.</w:t>
      </w:r>
      <w:r>
        <w:t xml:space="preserve"> </w:t>
      </w:r>
      <w:hyperlink r:id="rId110">
        <w:r>
          <w:rPr>
            <w:rStyle w:val="Hyperlink"/>
          </w:rPr>
          <w:t xml:space="preserve">https://doi.org/10.1016/j.jchromb.2019.04.009</w:t>
        </w:r>
      </w:hyperlink>
      <w:r>
        <w:t xml:space="preserve">.</w:t>
      </w:r>
    </w:p>
    <w:bookmarkEnd w:id="111"/>
    <w:bookmarkStart w:id="113" w:name="ref-Gloaguen2022"/>
    <w:p>
      <w:pPr>
        <w:pStyle w:val="Bibliography"/>
      </w:pPr>
      <w:r>
        <w:t xml:space="preserve">Gloaguen, Yoann, Jennifer A. Kirwan, and Dieter Beule. 2022.</w:t>
      </w:r>
      <w:r>
        <w:t xml:space="preserve"> </w:t>
      </w:r>
      <w:r>
        <w:t xml:space="preserve">“</w:t>
      </w:r>
      <w:r>
        <w:t xml:space="preserve">Deep Learning-Assisted Peak Curation for Large-Scale LC-MS Metabolomics</w:t>
      </w:r>
      <w:r>
        <w:t xml:space="preserve">.”</w:t>
      </w:r>
      <w:r>
        <w:t xml:space="preserve"> </w:t>
      </w:r>
      <w:r>
        <w:rPr>
          <w:iCs/>
          <w:i/>
        </w:rPr>
        <w:t xml:space="preserve">Analytical Chemistry</w:t>
      </w:r>
      <w:r>
        <w:t xml:space="preserve"> </w:t>
      </w:r>
      <w:r>
        <w:t xml:space="preserve">94 (12): 4930–37.</w:t>
      </w:r>
      <w:r>
        <w:t xml:space="preserve"> </w:t>
      </w:r>
      <w:hyperlink r:id="rId112">
        <w:r>
          <w:rPr>
            <w:rStyle w:val="Hyperlink"/>
          </w:rPr>
          <w:t xml:space="preserve">https://doi.org/10.1021/acs.analchem.1c02220</w:t>
        </w:r>
      </w:hyperlink>
      <w:r>
        <w:t xml:space="preserve">.</w:t>
      </w:r>
    </w:p>
    <w:bookmarkEnd w:id="113"/>
    <w:bookmarkStart w:id="115" w:name="ref-Guo2021"/>
    <w:p>
      <w:pPr>
        <w:pStyle w:val="Bibliography"/>
      </w:pPr>
      <w:r>
        <w:t xml:space="preserve">Guo, Jian, Sam Shen, Shipei Xing, Ying Chen, Frank Chen, Elizabeth M. Porter, Huaxu Yu, and Tao Huan. 2021.</w:t>
      </w:r>
      <w:r>
        <w:t xml:space="preserve"> </w:t>
      </w:r>
      <w:r>
        <w:t xml:space="preserve">“</w:t>
      </w:r>
      <w:r>
        <w:t xml:space="preserve">EVA: Evaluation of Metabolic Feature Fidelity Using a Deep Learning Model Trained With Over 25000 Extracted Ion Chromatograms</w:t>
      </w:r>
      <w:r>
        <w:t xml:space="preserve">.”</w:t>
      </w:r>
      <w:r>
        <w:t xml:space="preserve"> </w:t>
      </w:r>
      <w:r>
        <w:rPr>
          <w:iCs/>
          <w:i/>
        </w:rPr>
        <w:t xml:space="preserve">Analytical Chemistry</w:t>
      </w:r>
      <w:r>
        <w:t xml:space="preserve"> </w:t>
      </w:r>
      <w:r>
        <w:t xml:space="preserve">93 (36): 12181–86.</w:t>
      </w:r>
      <w:r>
        <w:t xml:space="preserve"> </w:t>
      </w:r>
      <w:hyperlink r:id="rId114">
        <w:r>
          <w:rPr>
            <w:rStyle w:val="Hyperlink"/>
          </w:rPr>
          <w:t xml:space="preserve">https://doi.org/10.1021/acs.analchem.1c01309</w:t>
        </w:r>
      </w:hyperlink>
      <w:r>
        <w:t xml:space="preserve">.</w:t>
      </w:r>
    </w:p>
    <w:bookmarkEnd w:id="115"/>
    <w:bookmarkStart w:id="117" w:name="ref-Heal2021"/>
    <w:p>
      <w:pPr>
        <w:pStyle w:val="Bibliography"/>
      </w:pPr>
      <w:r>
        <w:t xml:space="preserve">Heal, Katherine R., Bryndan P. Durham, Angela K. Boysen, Laura T. Carlson, Wei Qin, François Ribalet, Angelicque E. White, Randelle M. Bundy, E. Virginia Armbrust, and Anitra E. Ingalls. 2021.</w:t>
      </w:r>
      <w:r>
        <w:t xml:space="preserve"> </w:t>
      </w:r>
      <w:r>
        <w:t xml:space="preserve">“</w:t>
      </w:r>
      <w:r>
        <w:t xml:space="preserve">Marine Community Metabolomes Carry Fingerprints of Phytoplankton Community Composition</w:t>
      </w:r>
      <w:r>
        <w:t xml:space="preserve">.”</w:t>
      </w:r>
      <w:r>
        <w:t xml:space="preserve"> </w:t>
      </w:r>
      <w:r>
        <w:t xml:space="preserve">Edited by Manuel Liebeke.</w:t>
      </w:r>
      <w:r>
        <w:t xml:space="preserve"> </w:t>
      </w:r>
      <w:r>
        <w:rPr>
          <w:iCs/>
          <w:i/>
        </w:rPr>
        <w:t xml:space="preserve">mSystems</w:t>
      </w:r>
      <w:r>
        <w:t xml:space="preserve"> </w:t>
      </w:r>
      <w:r>
        <w:t xml:space="preserve">6 (3).</w:t>
      </w:r>
      <w:r>
        <w:t xml:space="preserve"> </w:t>
      </w:r>
      <w:hyperlink r:id="rId116">
        <w:r>
          <w:rPr>
            <w:rStyle w:val="Hyperlink"/>
          </w:rPr>
          <w:t xml:space="preserve">https://doi.org/10.1128/mSystems.01334-20</w:t>
        </w:r>
      </w:hyperlink>
      <w:r>
        <w:t xml:space="preserve">.</w:t>
      </w:r>
    </w:p>
    <w:bookmarkEnd w:id="117"/>
    <w:bookmarkStart w:id="119" w:name="ref-Houriet2022"/>
    <w:p>
      <w:pPr>
        <w:pStyle w:val="Bibliography"/>
      </w:pPr>
      <w:r>
        <w:t xml:space="preserve">Houriet, Joelle, Warren S. Vidar, Preston K. Manwill, Daniel A. Todd, and Nadja B. Cech. 2022.</w:t>
      </w:r>
      <w:r>
        <w:t xml:space="preserve"> </w:t>
      </w:r>
      <w:r>
        <w:t xml:space="preserve">“</w:t>
      </w:r>
      <w:r>
        <w:t xml:space="preserve">How Low Can You Go? Selecting Intensity Thresholds for Untargeted Metabolomics Data Preprocessing</w:t>
      </w:r>
      <w:r>
        <w:t xml:space="preserve">.”</w:t>
      </w:r>
      <w:r>
        <w:t xml:space="preserve"> </w:t>
      </w:r>
      <w:r>
        <w:rPr>
          <w:iCs/>
          <w:i/>
        </w:rPr>
        <w:t xml:space="preserve">Analytical Chemistry</w:t>
      </w:r>
      <w:r>
        <w:t xml:space="preserve"> </w:t>
      </w:r>
      <w:r>
        <w:t xml:space="preserve">94 (51): 17964–71.</w:t>
      </w:r>
      <w:r>
        <w:t xml:space="preserve"> </w:t>
      </w:r>
      <w:hyperlink r:id="rId118">
        <w:r>
          <w:rPr>
            <w:rStyle w:val="Hyperlink"/>
          </w:rPr>
          <w:t xml:space="preserve">https://doi.org/10.1021/acs.analchem.2c04088</w:t>
        </w:r>
      </w:hyperlink>
      <w:r>
        <w:t xml:space="preserve">.</w:t>
      </w:r>
    </w:p>
    <w:bookmarkEnd w:id="119"/>
    <w:bookmarkStart w:id="121" w:name="ref-Ipsen2010"/>
    <w:p>
      <w:pPr>
        <w:pStyle w:val="Bibliography"/>
      </w:pPr>
      <w:r>
        <w:t xml:space="preserve">Ipsen, Andreas, Elizabeth J. Want, John C. Lindon, and Timothy M. D. Ebbels. 2010.</w:t>
      </w:r>
      <w:r>
        <w:t xml:space="preserve"> </w:t>
      </w:r>
      <w:r>
        <w:t xml:space="preserve">“</w:t>
      </w:r>
      <w:r>
        <w:t xml:space="preserve">A Statistically Rigorous Test for the Identification of Parent−Fragment Pairs in LC-MS Datasets</w:t>
      </w:r>
      <w:r>
        <w:t xml:space="preserve">.”</w:t>
      </w:r>
      <w:r>
        <w:t xml:space="preserve"> </w:t>
      </w:r>
      <w:r>
        <w:rPr>
          <w:iCs/>
          <w:i/>
        </w:rPr>
        <w:t xml:space="preserve">Analytical Chemistry</w:t>
      </w:r>
      <w:r>
        <w:t xml:space="preserve"> </w:t>
      </w:r>
      <w:r>
        <w:t xml:space="preserve">82 (5): 1766–78.</w:t>
      </w:r>
      <w:r>
        <w:t xml:space="preserve"> </w:t>
      </w:r>
      <w:hyperlink r:id="rId120">
        <w:r>
          <w:rPr>
            <w:rStyle w:val="Hyperlink"/>
          </w:rPr>
          <w:t xml:space="preserve">https://doi.org/10.1021/ac902361f</w:t>
        </w:r>
      </w:hyperlink>
      <w:r>
        <w:t xml:space="preserve">.</w:t>
      </w:r>
    </w:p>
    <w:bookmarkEnd w:id="121"/>
    <w:bookmarkStart w:id="123" w:name="ref-Kantz2019"/>
    <w:p>
      <w:pPr>
        <w:pStyle w:val="Bibliography"/>
      </w:pPr>
      <w:r>
        <w:t xml:space="preserve">Kantz, Edward D., Saumya Tiwari, Jeramie D. Watrous, Susan Cheng, and Mohit Jain. 2019.</w:t>
      </w:r>
      <w:r>
        <w:t xml:space="preserve"> </w:t>
      </w:r>
      <w:r>
        <w:t xml:space="preserve">“</w:t>
      </w:r>
      <w:r>
        <w:t xml:space="preserve">Deep Neural Networks for Classification of LC-MS Spectral Peaks</w:t>
      </w:r>
      <w:r>
        <w:t xml:space="preserve">.”</w:t>
      </w:r>
      <w:r>
        <w:t xml:space="preserve"> </w:t>
      </w:r>
      <w:r>
        <w:rPr>
          <w:iCs/>
          <w:i/>
        </w:rPr>
        <w:t xml:space="preserve">Analytical Chemistry</w:t>
      </w:r>
      <w:r>
        <w:t xml:space="preserve"> </w:t>
      </w:r>
      <w:r>
        <w:t xml:space="preserve">91 (19): 12407–13.</w:t>
      </w:r>
      <w:r>
        <w:t xml:space="preserve"> </w:t>
      </w:r>
      <w:hyperlink r:id="rId122">
        <w:r>
          <w:rPr>
            <w:rStyle w:val="Hyperlink"/>
          </w:rPr>
          <w:t xml:space="preserve">https://doi.org/10.1021/acs.analchem.9b02983</w:t>
        </w:r>
      </w:hyperlink>
      <w:r>
        <w:t xml:space="preserve">.</w:t>
      </w:r>
    </w:p>
    <w:bookmarkEnd w:id="123"/>
    <w:bookmarkStart w:id="125" w:name="ref-KidoSoule2015"/>
    <w:p>
      <w:pPr>
        <w:pStyle w:val="Bibliography"/>
      </w:pPr>
      <w:r>
        <w:t xml:space="preserve">Kido Soule, Melissa C., Krista Longnecker, Winifred M. Johnson, and Elizabeth B. Kujawinski. 2015.</w:t>
      </w:r>
      <w:r>
        <w:t xml:space="preserve"> </w:t>
      </w:r>
      <w:r>
        <w:t xml:space="preserve">“</w:t>
      </w:r>
      <w:r>
        <w:t xml:space="preserve">Environmental metabolomics: Analytical strategies</w:t>
      </w:r>
      <w:r>
        <w:t xml:space="preserve">.”</w:t>
      </w:r>
      <w:r>
        <w:t xml:space="preserve"> </w:t>
      </w:r>
      <w:r>
        <w:rPr>
          <w:iCs/>
          <w:i/>
        </w:rPr>
        <w:t xml:space="preserve">Marine Chemistry</w:t>
      </w:r>
      <w:r>
        <w:t xml:space="preserve"> </w:t>
      </w:r>
      <w:r>
        <w:t xml:space="preserve">177 (December): 374–87.</w:t>
      </w:r>
      <w:r>
        <w:t xml:space="preserve"> </w:t>
      </w:r>
      <w:hyperlink r:id="rId124">
        <w:r>
          <w:rPr>
            <w:rStyle w:val="Hyperlink"/>
          </w:rPr>
          <w:t xml:space="preserve">https://doi.org/10.1016/j.marchem.2015.06.029</w:t>
        </w:r>
      </w:hyperlink>
      <w:r>
        <w:t xml:space="preserve">.</w:t>
      </w:r>
    </w:p>
    <w:bookmarkEnd w:id="125"/>
    <w:bookmarkStart w:id="127" w:name="ref-Libiseller2015"/>
    <w:p>
      <w:pPr>
        <w:pStyle w:val="Bibliography"/>
      </w:pPr>
      <w:r>
        <w:t xml:space="preserve">Libiseller, Gunnar, Michaela Dvorzak, Ulrike Kleb, Edgar Gander, Tobias Eisenberg, Frank Madeo, Steffen Neumann, et al. 2015.</w:t>
      </w:r>
      <w:r>
        <w:t xml:space="preserve"> </w:t>
      </w:r>
      <w:r>
        <w:t xml:space="preserve">“</w:t>
      </w:r>
      <w:r>
        <w:t xml:space="preserve">IPO: a tool for automated optimization of XCMS parameters</w:t>
      </w:r>
      <w:r>
        <w:t xml:space="preserve">.”</w:t>
      </w:r>
      <w:r>
        <w:t xml:space="preserve"> </w:t>
      </w:r>
      <w:r>
        <w:rPr>
          <w:iCs/>
          <w:i/>
        </w:rPr>
        <w:t xml:space="preserve">BMC Bioinformatics</w:t>
      </w:r>
      <w:r>
        <w:t xml:space="preserve"> </w:t>
      </w:r>
      <w:r>
        <w:t xml:space="preserve">16 (1): 118.</w:t>
      </w:r>
      <w:r>
        <w:t xml:space="preserve"> </w:t>
      </w:r>
      <w:hyperlink r:id="rId126">
        <w:r>
          <w:rPr>
            <w:rStyle w:val="Hyperlink"/>
          </w:rPr>
          <w:t xml:space="preserve">https://doi.org/10.1186/s12859-015-0562-8</w:t>
        </w:r>
      </w:hyperlink>
      <w:r>
        <w:t xml:space="preserve">.</w:t>
      </w:r>
    </w:p>
    <w:bookmarkEnd w:id="127"/>
    <w:bookmarkStart w:id="129" w:name="ref-Melnikov2020"/>
    <w:p>
      <w:pPr>
        <w:pStyle w:val="Bibliography"/>
      </w:pPr>
      <w:r>
        <w:t xml:space="preserve">Melnikov, Arsenty D., Yuri P. Tsentalovich, and Vadim V. Yanshole. 2020.</w:t>
      </w:r>
      <w:r>
        <w:t xml:space="preserve"> </w:t>
      </w:r>
      <w:r>
        <w:t xml:space="preserve">“</w:t>
      </w:r>
      <w:r>
        <w:t xml:space="preserve">Deep Learning for the Precise Peak Detection in High-Resolution LC–MS Data</w:t>
      </w:r>
      <w:r>
        <w:t xml:space="preserve">.”</w:t>
      </w:r>
      <w:r>
        <w:t xml:space="preserve"> </w:t>
      </w:r>
      <w:r>
        <w:rPr>
          <w:iCs/>
          <w:i/>
        </w:rPr>
        <w:t xml:space="preserve">Analytical Chemistry</w:t>
      </w:r>
      <w:r>
        <w:t xml:space="preserve"> </w:t>
      </w:r>
      <w:r>
        <w:t xml:space="preserve">92 (1): 588–92.</w:t>
      </w:r>
      <w:r>
        <w:t xml:space="preserve"> </w:t>
      </w:r>
      <w:hyperlink r:id="rId128">
        <w:r>
          <w:rPr>
            <w:rStyle w:val="Hyperlink"/>
          </w:rPr>
          <w:t xml:space="preserve">https://doi.org/10.1021/acs.analchem.9b04811</w:t>
        </w:r>
      </w:hyperlink>
      <w:r>
        <w:t xml:space="preserve">.</w:t>
      </w:r>
    </w:p>
    <w:bookmarkEnd w:id="129"/>
    <w:bookmarkStart w:id="131" w:name="ref-Muller2020"/>
    <w:p>
      <w:pPr>
        <w:pStyle w:val="Bibliography"/>
      </w:pPr>
      <w:r>
        <w:t xml:space="preserve">Müller, Erik, Carolin Huber, Liza-Marie Beckers, Werner Brack, Martin Krauss, and Tobias Schulze. 2020.</w:t>
      </w:r>
      <w:r>
        <w:t xml:space="preserve"> </w:t>
      </w:r>
      <w:r>
        <w:t xml:space="preserve">“</w:t>
      </w:r>
      <w:r>
        <w:t xml:space="preserve">A Data Set of 255,000 Randomly Selected and Manually Classified Extracted Ion Chromatograms for Evaluation of Peak Detection Methods</w:t>
      </w:r>
      <w:r>
        <w:t xml:space="preserve">.”</w:t>
      </w:r>
      <w:r>
        <w:t xml:space="preserve"> </w:t>
      </w:r>
      <w:r>
        <w:rPr>
          <w:iCs/>
          <w:i/>
        </w:rPr>
        <w:t xml:space="preserve">Metabolites</w:t>
      </w:r>
      <w:r>
        <w:t xml:space="preserve"> </w:t>
      </w:r>
      <w:r>
        <w:t xml:space="preserve">10 (4): 162.</w:t>
      </w:r>
      <w:r>
        <w:t xml:space="preserve"> </w:t>
      </w:r>
      <w:hyperlink r:id="rId130">
        <w:r>
          <w:rPr>
            <w:rStyle w:val="Hyperlink"/>
          </w:rPr>
          <w:t xml:space="preserve">https://doi.org/10.3390/metabo10040162</w:t>
        </w:r>
      </w:hyperlink>
      <w:r>
        <w:t xml:space="preserve">.</w:t>
      </w:r>
    </w:p>
    <w:bookmarkEnd w:id="131"/>
    <w:bookmarkStart w:id="133" w:name="ref-Myers2017a"/>
    <w:p>
      <w:pPr>
        <w:pStyle w:val="Bibliography"/>
      </w:pPr>
      <w:r>
        <w:t xml:space="preserve">Myers, Owen D., Susan J. Sumner, Shuzhao Li, Stephen Barnes, and Xiuxia Du. 2017a.</w:t>
      </w:r>
      <w:r>
        <w:t xml:space="preserve"> </w:t>
      </w:r>
      <w:r>
        <w:t xml:space="preserve">“</w:t>
      </w:r>
      <w:r>
        <w:t xml:space="preserve">Detailed Investigation and Comparison of the XCMS and MZmine 2 Chromatogram Construction and Chromatographic Peak Detection Methods for Preprocessing Mass Spectrometry Metabolomics Data</w:t>
      </w:r>
      <w:r>
        <w:t xml:space="preserve">.”</w:t>
      </w:r>
      <w:r>
        <w:t xml:space="preserve"> </w:t>
      </w:r>
      <w:r>
        <w:rPr>
          <w:iCs/>
          <w:i/>
        </w:rPr>
        <w:t xml:space="preserve">Analytical Chemistry</w:t>
      </w:r>
      <w:r>
        <w:t xml:space="preserve"> </w:t>
      </w:r>
      <w:r>
        <w:t xml:space="preserve">89 (17): 8689–95.</w:t>
      </w:r>
      <w:r>
        <w:t xml:space="preserve"> </w:t>
      </w:r>
      <w:hyperlink r:id="rId132">
        <w:r>
          <w:rPr>
            <w:rStyle w:val="Hyperlink"/>
          </w:rPr>
          <w:t xml:space="preserve">https://doi.org/10.1021/acs.analchem.7b01069</w:t>
        </w:r>
      </w:hyperlink>
      <w:r>
        <w:t xml:space="preserve">.</w:t>
      </w:r>
    </w:p>
    <w:bookmarkEnd w:id="133"/>
    <w:bookmarkStart w:id="135" w:name="ref-Myers2017b"/>
    <w:p>
      <w:pPr>
        <w:pStyle w:val="Bibliography"/>
      </w:pPr>
      <w:r>
        <w:t xml:space="preserve">———. 2017b.</w:t>
      </w:r>
      <w:r>
        <w:t xml:space="preserve"> </w:t>
      </w:r>
      <w:r>
        <w:t xml:space="preserve">“</w:t>
      </w:r>
      <w:r>
        <w:t xml:space="preserve">One Step Forward for Reducing False Positive and False Negative Compound Identifications from Mass Spectrometry Metabolomics Data: New Algorithms for Constructing Extracted Ion Chromatograms and Detecting Chromatographic Peaks</w:t>
      </w:r>
      <w:r>
        <w:t xml:space="preserve">.”</w:t>
      </w:r>
      <w:r>
        <w:t xml:space="preserve"> </w:t>
      </w:r>
      <w:r>
        <w:rPr>
          <w:iCs/>
          <w:i/>
        </w:rPr>
        <w:t xml:space="preserve">Analytical Chemistry</w:t>
      </w:r>
      <w:r>
        <w:t xml:space="preserve"> </w:t>
      </w:r>
      <w:r>
        <w:t xml:space="preserve">89 (17): 8696–8703.</w:t>
      </w:r>
      <w:r>
        <w:t xml:space="preserve"> </w:t>
      </w:r>
      <w:hyperlink r:id="rId134">
        <w:r>
          <w:rPr>
            <w:rStyle w:val="Hyperlink"/>
          </w:rPr>
          <w:t xml:space="preserve">https://doi.org/10.1021/acs.analchem.7b00947</w:t>
        </w:r>
      </w:hyperlink>
      <w:r>
        <w:t xml:space="preserve">.</w:t>
      </w:r>
    </w:p>
    <w:bookmarkEnd w:id="135"/>
    <w:bookmarkStart w:id="137" w:name="ref-veganpkg"/>
    <w:p>
      <w:pPr>
        <w:pStyle w:val="Bibliography"/>
      </w:pPr>
      <w:r>
        <w:t xml:space="preserve">Oksanen, Jari, Gavin L Simpson, F Guillaume Blanchet, Roeland Kindt, Pierre Legendre, Peter R Minchin, R B O’Hara, et al. 2022.</w:t>
      </w:r>
      <w:r>
        <w:t xml:space="preserve"> </w:t>
      </w:r>
      <w:r>
        <w:rPr>
          <w:iCs/>
          <w:i/>
        </w:rPr>
        <w:t xml:space="preserve">vegan: Community Ecology Package</w:t>
      </w:r>
      <w:r>
        <w:t xml:space="preserve">.</w:t>
      </w:r>
      <w:r>
        <w:t xml:space="preserve"> </w:t>
      </w:r>
      <w:hyperlink r:id="rId136">
        <w:r>
          <w:rPr>
            <w:rStyle w:val="Hyperlink"/>
          </w:rPr>
          <w:t xml:space="preserve">https://cran.r-project.org/package=vegan</w:t>
        </w:r>
      </w:hyperlink>
      <w:r>
        <w:t xml:space="preserve">.</w:t>
      </w:r>
    </w:p>
    <w:bookmarkEnd w:id="137"/>
    <w:bookmarkStart w:id="139" w:name="ref-Pirttila2022"/>
    <w:p>
      <w:pPr>
        <w:pStyle w:val="Bibliography"/>
      </w:pPr>
      <w:r>
        <w:t xml:space="preserve">Pirttilä, Kristian, David Balgoma, Johannes Rainer, Curt Pettersson, Mikael Hedeland, and Carl Brunius. 2022.</w:t>
      </w:r>
      <w:r>
        <w:t xml:space="preserve"> </w:t>
      </w:r>
      <w:r>
        <w:t xml:space="preserve">“</w:t>
      </w:r>
      <w:r>
        <w:t xml:space="preserve">Comprehensive Peak Characterization (CPC) in Untargeted LC–MS Analysis</w:t>
      </w:r>
      <w:r>
        <w:t xml:space="preserve">.”</w:t>
      </w:r>
      <w:r>
        <w:t xml:space="preserve"> </w:t>
      </w:r>
      <w:r>
        <w:rPr>
          <w:iCs/>
          <w:i/>
        </w:rPr>
        <w:t xml:space="preserve">Metabolites</w:t>
      </w:r>
      <w:r>
        <w:t xml:space="preserve"> </w:t>
      </w:r>
      <w:r>
        <w:t xml:space="preserve">12 (2): 137.</w:t>
      </w:r>
      <w:r>
        <w:t xml:space="preserve"> </w:t>
      </w:r>
      <w:hyperlink r:id="rId138">
        <w:r>
          <w:rPr>
            <w:rStyle w:val="Hyperlink"/>
          </w:rPr>
          <w:t xml:space="preserve">https://doi.org/10.3390/metabo12020137</w:t>
        </w:r>
      </w:hyperlink>
      <w:r>
        <w:t xml:space="preserve">.</w:t>
      </w:r>
    </w:p>
    <w:bookmarkEnd w:id="139"/>
    <w:bookmarkStart w:id="141" w:name="ref-R"/>
    <w:p>
      <w:pPr>
        <w:pStyle w:val="Bibliography"/>
      </w:pPr>
      <w:r>
        <w:t xml:space="preserve">R Core Team. 2022.</w:t>
      </w:r>
      <w:r>
        <w:t xml:space="preserve"> </w:t>
      </w:r>
      <w:r>
        <w:rPr>
          <w:iCs/>
          <w:i/>
        </w:rPr>
        <w:t xml:space="preserve">R: A Language and Environment for Statistical Computing</w:t>
      </w:r>
      <w:r>
        <w:t xml:space="preserve">. Vienna, Austria: R Foundation for Statistical Computing.</w:t>
      </w:r>
      <w:r>
        <w:t xml:space="preserve"> </w:t>
      </w:r>
      <w:hyperlink r:id="rId140">
        <w:r>
          <w:rPr>
            <w:rStyle w:val="Hyperlink"/>
          </w:rPr>
          <w:t xml:space="preserve">https://www.r-project.org/</w:t>
        </w:r>
      </w:hyperlink>
      <w:r>
        <w:t xml:space="preserve">.</w:t>
      </w:r>
    </w:p>
    <w:bookmarkEnd w:id="141"/>
    <w:bookmarkStart w:id="143" w:name="ref-Smith2006"/>
    <w:p>
      <w:pPr>
        <w:pStyle w:val="Bibliography"/>
      </w:pPr>
      <w:r>
        <w:t xml:space="preserve">Smith, Colin A., Elizabeth J. Want, Grace O’Maille, Ruben Abagyan, and Gary Siuzdak. 2006.</w:t>
      </w:r>
      <w:r>
        <w:t xml:space="preserve"> </w:t>
      </w:r>
      <w:r>
        <w:t xml:space="preserve">“</w:t>
      </w:r>
      <w:r>
        <w:t xml:space="preserve">XCMS: Processing Mass Spectrometry Data for Metabolite Profiling Using Nonlinear Peak Alignment, Matching, and Identification</w:t>
      </w:r>
      <w:r>
        <w:t xml:space="preserve">.”</w:t>
      </w:r>
      <w:r>
        <w:t xml:space="preserve"> </w:t>
      </w:r>
      <w:r>
        <w:rPr>
          <w:iCs/>
          <w:i/>
        </w:rPr>
        <w:t xml:space="preserve">Analytical Chemistry</w:t>
      </w:r>
      <w:r>
        <w:t xml:space="preserve"> </w:t>
      </w:r>
      <w:r>
        <w:t xml:space="preserve">78 (3): 779–87.</w:t>
      </w:r>
      <w:r>
        <w:t xml:space="preserve"> </w:t>
      </w:r>
      <w:hyperlink r:id="rId142">
        <w:r>
          <w:rPr>
            <w:rStyle w:val="Hyperlink"/>
          </w:rPr>
          <w:t xml:space="preserve">https://doi.org/10.1021/ac051437y</w:t>
        </w:r>
      </w:hyperlink>
      <w:r>
        <w:t xml:space="preserve">.</w:t>
      </w:r>
    </w:p>
    <w:bookmarkEnd w:id="143"/>
    <w:bookmarkStart w:id="145" w:name="ref-Tautenhahn2008"/>
    <w:p>
      <w:pPr>
        <w:pStyle w:val="Bibliography"/>
      </w:pPr>
      <w:r>
        <w:t xml:space="preserve">Tautenhahn, Ralf, Christoph Böttcher, and Steffen Neumann. 2008.</w:t>
      </w:r>
      <w:r>
        <w:t xml:space="preserve"> </w:t>
      </w:r>
      <w:r>
        <w:t xml:space="preserve">“</w:t>
      </w:r>
      <w:r>
        <w:t xml:space="preserve">Highly sensitive feature detection for high resolution LC/MS</w:t>
      </w:r>
      <w:r>
        <w:t xml:space="preserve">.”</w:t>
      </w:r>
      <w:r>
        <w:t xml:space="preserve"> </w:t>
      </w:r>
      <w:r>
        <w:rPr>
          <w:iCs/>
          <w:i/>
        </w:rPr>
        <w:t xml:space="preserve">BMC Bioinformatics</w:t>
      </w:r>
      <w:r>
        <w:t xml:space="preserve"> </w:t>
      </w:r>
      <w:r>
        <w:t xml:space="preserve">9 (1): 504.</w:t>
      </w:r>
      <w:r>
        <w:t xml:space="preserve"> </w:t>
      </w:r>
      <w:hyperlink r:id="rId144">
        <w:r>
          <w:rPr>
            <w:rStyle w:val="Hyperlink"/>
          </w:rPr>
          <w:t xml:space="preserve">https://doi.org/10.1186/1471-2105-9-504</w:t>
        </w:r>
      </w:hyperlink>
      <w:r>
        <w:t xml:space="preserve">.</w:t>
      </w:r>
    </w:p>
    <w:bookmarkEnd w:id="145"/>
    <w:bookmarkStart w:id="147" w:name="ref-Treutler2016"/>
    <w:p>
      <w:pPr>
        <w:pStyle w:val="Bibliography"/>
      </w:pPr>
      <w:r>
        <w:t xml:space="preserve">Treutler, Hendrik, and Steffen Neumann. 2016.</w:t>
      </w:r>
      <w:r>
        <w:t xml:space="preserve"> </w:t>
      </w:r>
      <w:r>
        <w:t xml:space="preserve">“</w:t>
      </w:r>
      <w:r>
        <w:t xml:space="preserve">Prediction, Detection, and Validation of Isotope Clusters in Mass Spectrometry Data</w:t>
      </w:r>
      <w:r>
        <w:t xml:space="preserve">.”</w:t>
      </w:r>
      <w:r>
        <w:t xml:space="preserve"> </w:t>
      </w:r>
      <w:r>
        <w:rPr>
          <w:iCs/>
          <w:i/>
        </w:rPr>
        <w:t xml:space="preserve">Metabolites</w:t>
      </w:r>
      <w:r>
        <w:t xml:space="preserve"> </w:t>
      </w:r>
      <w:r>
        <w:t xml:space="preserve">6 (4): 37.</w:t>
      </w:r>
      <w:r>
        <w:t xml:space="preserve"> </w:t>
      </w:r>
      <w:hyperlink r:id="rId146">
        <w:r>
          <w:rPr>
            <w:rStyle w:val="Hyperlink"/>
          </w:rPr>
          <w:t xml:space="preserve">https://doi.org/10.3390/metabo6040037</w:t>
        </w:r>
      </w:hyperlink>
      <w:r>
        <w:t xml:space="preserve">.</w:t>
      </w:r>
    </w:p>
    <w:bookmarkEnd w:id="147"/>
    <w:bookmarkEnd w:id="148"/>
    <w:bookmarkEnd w:id="149"/>
    <w:bookmarkStart w:id="159"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151" name="Picture"/>
            <a:graphic>
              <a:graphicData uri="http://schemas.openxmlformats.org/drawingml/2006/picture">
                <pic:pic>
                  <pic:nvPicPr>
                    <pic:cNvPr descr="supplement/suppfig_model_param_estimates.png" id="152" name="Picture"/>
                    <pic:cNvPicPr>
                      <a:picLocks noChangeArrowheads="1" noChangeAspect="1"/>
                    </pic:cNvPicPr>
                  </pic:nvPicPr>
                  <pic:blipFill>
                    <a:blip r:embed="rId150"/>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154" name="Picture"/>
            <a:graphic>
              <a:graphicData uri="http://schemas.openxmlformats.org/drawingml/2006/picture">
                <pic:pic>
                  <pic:nvPicPr>
                    <pic:cNvPr descr="supplement/sampled_model_est.png" id="155" name="Picture"/>
                    <pic:cNvPicPr>
                      <a:picLocks noChangeArrowheads="1" noChangeAspect="1"/>
                    </pic:cNvPicPr>
                  </pic:nvPicPr>
                  <pic:blipFill>
                    <a:blip r:embed="rId15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157" name="Picture"/>
            <a:graphic>
              <a:graphicData uri="http://schemas.openxmlformats.org/drawingml/2006/picture">
                <pic:pic>
                  <pic:nvPicPr>
                    <pic:cNvPr descr="supplement/regregrf_fdrgff_cross_train.png" id="158" name="Picture"/>
                    <pic:cNvPicPr>
                      <a:picLocks noChangeArrowheads="1" noChangeAspect="1"/>
                    </pic:cNvPicPr>
                  </pic:nvPicPr>
                  <pic:blipFill>
                    <a:blip r:embed="rId156"/>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159"/>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64" Target="media/rId64.png" /><Relationship Type="http://schemas.openxmlformats.org/officeDocument/2006/relationships/image" Id="rId46" Target="media/rId46.png" /><Relationship Type="http://schemas.openxmlformats.org/officeDocument/2006/relationships/image" Id="rId156" Target="media/rId156.png" /><Relationship Type="http://schemas.openxmlformats.org/officeDocument/2006/relationships/image" Id="rId153" Target="media/rId153.png" /><Relationship Type="http://schemas.openxmlformats.org/officeDocument/2006/relationships/image" Id="rId150" Target="media/rId150.png" /><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80" Target="http://dx.doi.org/%5Bblah%5D" TargetMode="External" /><Relationship Type="http://schemas.openxmlformats.org/officeDocument/2006/relationships/hyperlink" Id="rId81" Target="http://dx.doi.org/10.21228/M8GH6P" TargetMode="External" /><Relationship Type="http://schemas.openxmlformats.org/officeDocument/2006/relationships/hyperlink" Id="rId136" Target="https://cran.r-project.org/package=vegan" TargetMode="External" /><Relationship Type="http://schemas.openxmlformats.org/officeDocument/2006/relationships/hyperlink" Id="rId88" Target="https://doi.org/10.1002/9781118445112.stat07841" TargetMode="External" /><Relationship Type="http://schemas.openxmlformats.org/officeDocument/2006/relationships/hyperlink" Id="rId90" Target="https://doi.org/10.1016/j.chroma.2006.05.019" TargetMode="External" /><Relationship Type="http://schemas.openxmlformats.org/officeDocument/2006/relationships/hyperlink" Id="rId110" Target="https://doi.org/10.1016/j.jchromb.2019.04.009" TargetMode="External" /><Relationship Type="http://schemas.openxmlformats.org/officeDocument/2006/relationships/hyperlink" Id="rId124" Target="https://doi.org/10.1016/j.marchem.2015.06.029" TargetMode="External" /><Relationship Type="http://schemas.openxmlformats.org/officeDocument/2006/relationships/hyperlink" Id="rId142" Target="https://doi.org/10.1021/ac051437y" TargetMode="External" /><Relationship Type="http://schemas.openxmlformats.org/officeDocument/2006/relationships/hyperlink" Id="rId120" Target="https://doi.org/10.1021/ac902361f" TargetMode="External" /><Relationship Type="http://schemas.openxmlformats.org/officeDocument/2006/relationships/hyperlink" Id="rId114" Target="https://doi.org/10.1021/acs.analchem.1c01309" TargetMode="External" /><Relationship Type="http://schemas.openxmlformats.org/officeDocument/2006/relationships/hyperlink" Id="rId112" Target="https://doi.org/10.1021/acs.analchem.1c02220" TargetMode="External" /><Relationship Type="http://schemas.openxmlformats.org/officeDocument/2006/relationships/hyperlink" Id="rId118" Target="https://doi.org/10.1021/acs.analchem.2c04088" TargetMode="External" /><Relationship Type="http://schemas.openxmlformats.org/officeDocument/2006/relationships/hyperlink" Id="rId134" Target="https://doi.org/10.1021/acs.analchem.7b00947" TargetMode="External" /><Relationship Type="http://schemas.openxmlformats.org/officeDocument/2006/relationships/hyperlink" Id="rId132" Target="https://doi.org/10.1021/acs.analchem.7b01069" TargetMode="External" /><Relationship Type="http://schemas.openxmlformats.org/officeDocument/2006/relationships/hyperlink" Id="rId102" Target="https://doi.org/10.1021/acs.analchem.7b04400" TargetMode="External" /><Relationship Type="http://schemas.openxmlformats.org/officeDocument/2006/relationships/hyperlink" Id="rId122" Target="https://doi.org/10.1021/acs.analchem.9b02983" TargetMode="External" /><Relationship Type="http://schemas.openxmlformats.org/officeDocument/2006/relationships/hyperlink" Id="rId128" Target="https://doi.org/10.1021/acs.analchem.9b04811" TargetMode="External" /><Relationship Type="http://schemas.openxmlformats.org/officeDocument/2006/relationships/hyperlink" Id="rId92" Target="https://doi.org/10.1029/2021GB007115" TargetMode="External" /><Relationship Type="http://schemas.openxmlformats.org/officeDocument/2006/relationships/hyperlink" Id="rId104" Target="https://doi.org/10.1080/00401706.1964.10490181" TargetMode="External" /><Relationship Type="http://schemas.openxmlformats.org/officeDocument/2006/relationships/hyperlink" Id="rId108" Target="https://doi.org/10.1093/bioinformatics/btab231" TargetMode="External" /><Relationship Type="http://schemas.openxmlformats.org/officeDocument/2006/relationships/hyperlink" Id="rId98" Target="https://doi.org/10.1093/bioinformatics/btq441" TargetMode="External" /><Relationship Type="http://schemas.openxmlformats.org/officeDocument/2006/relationships/hyperlink" Id="rId96" Target="https://doi.org/10.1111/j.2517-6161.1995.tb02031.x" TargetMode="External" /><Relationship Type="http://schemas.openxmlformats.org/officeDocument/2006/relationships/hyperlink" Id="rId100" Target="https://doi.org/10.1128/mSystems.00896-20" TargetMode="External" /><Relationship Type="http://schemas.openxmlformats.org/officeDocument/2006/relationships/hyperlink" Id="rId116" Target="https://doi.org/10.1128/mSystems.01334-20" TargetMode="External" /><Relationship Type="http://schemas.openxmlformats.org/officeDocument/2006/relationships/hyperlink" Id="rId144" Target="https://doi.org/10.1186/1471-2105-9-504" TargetMode="External" /><Relationship Type="http://schemas.openxmlformats.org/officeDocument/2006/relationships/hyperlink" Id="rId126" Target="https://doi.org/10.1186/s12859-015-0562-8" TargetMode="External" /><Relationship Type="http://schemas.openxmlformats.org/officeDocument/2006/relationships/hyperlink" Id="rId106" Target="https://doi.org/10.3389/fmars.2022.864796" TargetMode="External" /><Relationship Type="http://schemas.openxmlformats.org/officeDocument/2006/relationships/hyperlink" Id="rId94" Target="https://doi.org/10.3389/fpubh.2021.653599" TargetMode="External" /><Relationship Type="http://schemas.openxmlformats.org/officeDocument/2006/relationships/hyperlink" Id="rId130" Target="https://doi.org/10.3390/metabo10040162" TargetMode="External" /><Relationship Type="http://schemas.openxmlformats.org/officeDocument/2006/relationships/hyperlink" Id="rId138" Target="https://doi.org/10.3390/metabo12020137" TargetMode="External" /><Relationship Type="http://schemas.openxmlformats.org/officeDocument/2006/relationships/hyperlink" Id="rId146" Target="https://doi.org/10.3390/metabo6040037" TargetMode="External" /><Relationship Type="http://schemas.openxmlformats.org/officeDocument/2006/relationships/hyperlink" Id="rId74" Target="https://github.com/wkumler/MS_metrics" TargetMode="External" /><Relationship Type="http://schemas.openxmlformats.org/officeDocument/2006/relationships/hyperlink" Id="rId140"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 Bryna Hazelton, and Anitra Ingalls</dc:creator>
  <cp:keywords/>
  <dcterms:created xsi:type="dcterms:W3CDTF">2023-06-08T03:42:31Z</dcterms:created>
  <dcterms:modified xsi:type="dcterms:W3CDTF">2023-06-08T03:42:31Z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date">
    <vt:lpwstr>2023-06-07</vt:lpwstr>
  </property>
  <property fmtid="{D5CDD505-2E9C-101B-9397-08002B2CF9AE}" pid="4" name="output">
    <vt:lpwstr/>
  </property>
</Properties>
</file>