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ng" ContentType="image/png"/>
  <Override PartName="/word/media/rId38.png" ContentType="image/png"/>
  <Override PartName="/word/media/rId42.png" ContentType="image/png"/>
  <Override PartName="/word/media/rId46.png" ContentType="image/png"/>
  <Override PartName="/word/media/rId65.png" ContentType="image/png"/>
  <Override PartName="/word/media/rId6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(Bajad et al. 2006; Myers et al. 2017b; Gika et al. 2019)</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(Pirttilä et al. 2022; Gloaguen, Kirwan, and Beule 2022)</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(Myers et al. 2017a)</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(Pirttilä et al. 2022)</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 </w:t>
      </w:r>
      <w:r>
        <w:t xml:space="preserve">and</w:t>
      </w:r>
      <w:r>
        <w:t xml:space="preserve"> </w:t>
      </w:r>
      <w:r>
        <w:t xml:space="preserve">Kantz et al. (2019)</w:t>
      </w:r>
      <w:r>
        <w:t xml:space="preserve">.</w:t>
      </w:r>
    </w:p>
    <w:p>
      <w:pPr>
        <w:pStyle w:val="BodyText"/>
      </w:pPr>
      <w:r>
        <w:t xml:space="preserve">An area particularly ripe for improved tools for metabolomic data analysis is that of the open ocean</w:t>
      </w:r>
      <w:r>
        <w:t xml:space="preserve"> </w:t>
      </w:r>
      <w:r>
        <w:t xml:space="preserve">(Kido Soule et al. 2015)</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(Boysen et al. 2018)</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(Kido Soule et al. 2015; Boysen et al. 2021; Heal et al. 2021)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349240" cy="3304961"/>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fig_1_pred_prob_class_color_hists.png" id="28" name="Picture"/>
                    <pic:cNvPicPr>
                      <a:picLocks noChangeArrowheads="1" noChangeAspect="1"/>
                    </pic:cNvPicPr>
                  </pic:nvPicPr>
                  <pic:blipFill>
                    <a:blip r:embed="rId2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349240" cy="2454733"/>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0" name="Picture"/>
            <a:graphic>
              <a:graphicData uri="http://schemas.openxmlformats.org/drawingml/2006/picture">
                <pic:pic>
                  <pic:nvPicPr>
                    <pic:cNvPr descr="figures/fig_2_fdr_gff_cross_train.png" id="31" name="Picture"/>
                    <pic:cNvPicPr>
                      <a:picLocks noChangeArrowheads="1" noChangeAspect="1"/>
                    </pic:cNvPicPr>
                  </pic:nvPicPr>
                  <pic:blipFill>
                    <a:blip r:embed="rId29"/>
                    <a:stretch>
                      <a:fillRect/>
                    </a:stretch>
                  </pic:blipFill>
                  <pic:spPr bwMode="auto">
                    <a:xfrm>
                      <a:off x="0" y="0"/>
                      <a:ext cx="5349240" cy="2454733"/>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349240" cy="4123205"/>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fig_3_comb_prob_space.png" id="35" name="Picture"/>
                    <pic:cNvPicPr>
                      <a:picLocks noChangeArrowheads="1" noChangeAspect="1"/>
                    </pic:cNvPicPr>
                  </pic:nvPicPr>
                  <pic:blipFill>
                    <a:blip r:embed="rId33"/>
                    <a:stretch>
                      <a:fillRect/>
                    </a:stretch>
                  </pic:blipFill>
                  <pic:spPr bwMode="auto">
                    <a:xfrm>
                      <a:off x="0" y="0"/>
                      <a:ext cx="5349240" cy="4123205"/>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1783080" cy="2204405"/>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ig_4_fdr_gff_all_datasets.png" id="40" name="Picture"/>
                    <pic:cNvPicPr>
                      <a:picLocks noChangeArrowheads="1" noChangeAspect="1"/>
                    </pic:cNvPicPr>
                  </pic:nvPicPr>
                  <pic:blipFill>
                    <a:blip r:embed="rId38"/>
                    <a:stretch>
                      <a:fillRect/>
                    </a:stretch>
                  </pic:blipFill>
                  <pic:spPr bwMode="auto">
                    <a:xfrm>
                      <a:off x="0" y="0"/>
                      <a:ext cx="1783080" cy="2204405"/>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349240" cy="5759694"/>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fig_5_clockplot_complete.png" id="44" name="Picture"/>
                    <pic:cNvPicPr>
                      <a:picLocks noChangeArrowheads="1" noChangeAspect="1"/>
                    </pic:cNvPicPr>
                  </pic:nvPicPr>
                  <pic:blipFill>
                    <a:blip r:embed="rId42"/>
                    <a:stretch>
                      <a:fillRect/>
                    </a:stretch>
                  </pic:blipFill>
                  <pic:spPr bwMode="auto">
                    <a:xfrm>
                      <a:off x="0" y="0"/>
                      <a:ext cx="5349240" cy="5759694"/>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349240" cy="3304961"/>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fig_6_thresh_NMDS_plots.png" id="48" name="Picture"/>
                    <pic:cNvPicPr>
                      <a:picLocks noChangeArrowheads="1" noChangeAspect="1"/>
                    </pic:cNvPicPr>
                  </pic:nvPicPr>
                  <pic:blipFill>
                    <a:blip r:embed="rId4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8"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(Pirttilä et al. 2022; Guo et al. 2021; Müller et al. 2020)</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6"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(Bai et al. 2022)</w:t>
      </w:r>
      <w:r>
        <w:t xml:space="preserve">. There, the use of a Marr wavelet had GFF values in the 98-100% range but very high FDR values of 82-91%, representing a very lenient threshold much closer to the XCMS or ADAP defaults.</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4"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3">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(Libiseller et al. 2015; Treutler and Neumann 2016; El Abiead et al. 2021)</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(Houriet et al. 2022; Barupal et al. 2021)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4"/>
    <w:bookmarkStart w:id="55"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5"/>
    <w:bookmarkEnd w:id="56"/>
    <w:bookmarkStart w:id="57"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(Barone et al. 2022; Heal et al. 2021)</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7"/>
    <w:bookmarkEnd w:id="58"/>
    <w:bookmarkStart w:id="59"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9"/>
    <w:bookmarkStart w:id="77" w:name="methods"/>
    <w:p>
      <w:pPr>
        <w:pStyle w:val="Heading2"/>
      </w:pPr>
      <w:r>
        <w:t xml:space="preserve">Methods</w:t>
      </w:r>
    </w:p>
    <w:bookmarkStart w:id="60"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60"/>
    <w:bookmarkStart w:id="61"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1"/>
    <w:bookmarkStart w:id="62"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2"/>
    <w:bookmarkStart w:id="63"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3"/>
    <w:bookmarkStart w:id="64"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(Smith et al. 2006; Tautenhahn, Böttcher, and Neumann 2008)</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(Benton, Want, and Ebbels 2010)</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4"/>
    <w:bookmarkStart w:id="68"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4160520" cy="1909237"/>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6" name="Picture"/>
            <a:graphic>
              <a:graphicData uri="http://schemas.openxmlformats.org/drawingml/2006/picture">
                <pic:pic>
                  <pic:nvPicPr>
                    <pic:cNvPr descr="figures/fig_7_somegood_somebad_depthcolor_chroms.png" id="67" name="Picture"/>
                    <pic:cNvPicPr>
                      <a:picLocks noChangeArrowheads="1" noChangeAspect="1"/>
                    </pic:cNvPicPr>
                  </pic:nvPicPr>
                  <pic:blipFill>
                    <a:blip r:embed="rId65"/>
                    <a:stretch>
                      <a:fillRect/>
                    </a:stretch>
                  </pic:blipFill>
                  <pic:spPr bwMode="auto">
                    <a:xfrm>
                      <a:off x="0" y="0"/>
                      <a:ext cx="4160520" cy="1909237"/>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8"/>
    <w:bookmarkStart w:id="72"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(Myers et al. 2017b)</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349240" cy="3304961"/>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0" name="Picture"/>
            <a:graphic>
              <a:graphicData uri="http://schemas.openxmlformats.org/drawingml/2006/picture">
                <pic:pic>
                  <pic:nvPicPr>
                    <pic:cNvPr descr="figures/fig_8_peakmetrics_singlechrom.png" id="71" name="Picture"/>
                    <pic:cNvPicPr>
                      <a:picLocks noChangeArrowheads="1" noChangeAspect="1"/>
                    </pic:cNvPicPr>
                  </pic:nvPicPr>
                  <pic:blipFill>
                    <a:blip r:embed="rId69"/>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2"/>
    <w:bookmarkStart w:id="73"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3"/>
    <w:bookmarkStart w:id="74"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4"/>
    <w:bookmarkStart w:id="76"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(Benjamini and Hochberg 1995)</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(Dunn 1964)</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(Oksanen et al. 2022)</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(R Core Team 2022)</w:t>
      </w:r>
      <w:r>
        <w:t xml:space="preserve">, version 4.2.2, and code is available on GitHub at</w:t>
      </w:r>
      <w:r>
        <w:t xml:space="preserve"> </w:t>
      </w:r>
      <w:hyperlink r:id="rId75">
        <w:r>
          <w:rPr>
            <w:rStyle w:val="Hyperlink"/>
          </w:rPr>
          <w:t xml:space="preserve">https://github.com/wkumler/MS_metrics</w:t>
        </w:r>
      </w:hyperlink>
      <w:r>
        <w:t xml:space="preserve">.</w:t>
      </w:r>
    </w:p>
    <w:bookmarkEnd w:id="76"/>
    <w:bookmarkEnd w:id="77"/>
    <w:bookmarkStart w:id="78"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8"/>
    <w:bookmarkStart w:id="89" w:name="declarations"/>
    <w:p>
      <w:pPr>
        <w:pStyle w:val="Heading2"/>
      </w:pPr>
      <w:r>
        <w:t xml:space="preserve">Declarations</w:t>
      </w:r>
    </w:p>
    <w:bookmarkStart w:id="79" w:name="Xd182db0490b2de20bd2b4e4cc8698599182035f"/>
    <w:p>
      <w:pPr>
        <w:pStyle w:val="Heading3"/>
      </w:pPr>
      <w:r>
        <w:t xml:space="preserve">Ethics approval and consent to participate</w:t>
      </w:r>
    </w:p>
    <w:p>
      <w:pPr>
        <w:pStyle w:val="FirstParagraph"/>
      </w:pPr>
      <w:r>
        <w:t xml:space="preserve">Not applicable</w:t>
      </w:r>
    </w:p>
    <w:bookmarkEnd w:id="79"/>
    <w:bookmarkStart w:id="80" w:name="consent-for-publication"/>
    <w:p>
      <w:pPr>
        <w:pStyle w:val="Heading3"/>
      </w:pPr>
      <w:r>
        <w:t xml:space="preserve">Consent for publication</w:t>
      </w:r>
    </w:p>
    <w:p>
      <w:pPr>
        <w:pStyle w:val="FirstParagraph"/>
      </w:pPr>
      <w:r>
        <w:t xml:space="preserve">Not applicable</w:t>
      </w:r>
    </w:p>
    <w:bookmarkEnd w:id="80"/>
    <w:bookmarkStart w:id="84"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1">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2">
        <w:r>
          <w:rPr>
            <w:rStyle w:val="Hyperlink"/>
          </w:rPr>
          <w:t xml:space="preserve">http://dx.doi.org/10.21228/M8QM5H</w:t>
        </w:r>
      </w:hyperlink>
      <w:r>
        <w:t xml:space="preserve">. Pttime is located under Project ID PR001317 and can also be accessed directly using its Project DOI:</w:t>
      </w:r>
      <w:r>
        <w:t xml:space="preserve"> </w:t>
      </w:r>
      <w:hyperlink r:id="rId83">
        <w:r>
          <w:rPr>
            <w:rStyle w:val="Hyperlink"/>
          </w:rPr>
          <w:t xml:space="preserve">http://dx.doi.org/10.21228/M8GH6P</w:t>
        </w:r>
      </w:hyperlink>
      <w:r>
        <w:t xml:space="preserve">. Code and other raw data is available on the GitHub repository at</w:t>
      </w:r>
      <w:r>
        <w:t xml:space="preserve"> </w:t>
      </w:r>
      <w:hyperlink r:id="rId75">
        <w:r>
          <w:rPr>
            <w:rStyle w:val="Hyperlink"/>
          </w:rPr>
          <w:t xml:space="preserve">https://github.com/wkumler/MS_metrics</w:t>
        </w:r>
      </w:hyperlink>
      <w:r>
        <w:t xml:space="preserve">. The manuscript has been rendered as a single R Markdown document with analyses contained within for reproducibility.</w:t>
      </w:r>
    </w:p>
    <w:bookmarkEnd w:id="84"/>
    <w:bookmarkStart w:id="85" w:name="competing-interests"/>
    <w:p>
      <w:pPr>
        <w:pStyle w:val="Heading3"/>
      </w:pPr>
      <w:r>
        <w:t xml:space="preserve">Competing interests</w:t>
      </w:r>
    </w:p>
    <w:p>
      <w:pPr>
        <w:pStyle w:val="FirstParagraph"/>
      </w:pPr>
      <w:r>
        <w:t xml:space="preserve">The authors declare that they have no competing interests</w:t>
      </w:r>
    </w:p>
    <w:bookmarkEnd w:id="85"/>
    <w:bookmarkStart w:id="86" w:name="funding"/>
    <w:p>
      <w:pPr>
        <w:pStyle w:val="Heading3"/>
      </w:pPr>
      <w:r>
        <w:t xml:space="preserve">Funding</w:t>
      </w:r>
    </w:p>
    <w:p>
      <w:pPr>
        <w:pStyle w:val="FirstParagraph"/>
      </w:pPr>
      <w:r>
        <w:t xml:space="preserve">This work was supported by grants from the Simons Foundation (SCOPE Award ID 329108 to AI, SF Award ID 385428 to AI).</w:t>
      </w:r>
    </w:p>
    <w:bookmarkEnd w:id="86"/>
    <w:bookmarkStart w:id="87" w:name="authors-contributions"/>
    <w:p>
      <w:pPr>
        <w:pStyle w:val="Heading3"/>
      </w:pPr>
      <w:r>
        <w:t xml:space="preserve">Authors’ contributions</w:t>
      </w:r>
    </w:p>
    <w:p>
      <w:pPr>
        <w:pStyle w:val="FirstParagraph"/>
      </w:pPr>
      <w:r>
        <w:t xml:space="preserve">WK extracted the Falkor samples, processed the data, performed the analyses, and wrote the manuscript. BH helped design the metrics and implement the regressions as well as providing support and context for the analysis. AI provided funding and data and helped to interpret the conclusions and edit the manuscript.</w:t>
      </w:r>
    </w:p>
    <w:bookmarkEnd w:id="87"/>
    <w:bookmarkStart w:id="88"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8"/>
    <w:bookmarkEnd w:id="89"/>
    <w:bookmarkStart w:id="153" w:name="references"/>
    <w:p>
      <w:pPr>
        <w:pStyle w:val="Heading2"/>
      </w:pPr>
      <w:r>
        <w:t xml:space="preserve">References</w:t>
      </w:r>
    </w:p>
    <w:bookmarkStart w:id="152" w:name="refs"/>
    <w:bookmarkStart w:id="91"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90">
        <w:r>
          <w:rPr>
            <w:rStyle w:val="Hyperlink"/>
          </w:rPr>
          <w:t xml:space="preserve">https://doi.org/10.1002/9781118445112.stat07841</w:t>
        </w:r>
      </w:hyperlink>
      <w:r>
        <w:t xml:space="preserve">.</w:t>
      </w:r>
    </w:p>
    <w:bookmarkEnd w:id="91"/>
    <w:bookmarkStart w:id="93" w:name="ref-Bai2022"/>
    <w:p>
      <w:pPr>
        <w:pStyle w:val="Bibliography"/>
      </w:pPr>
      <w:r>
        <w:t xml:space="preserve">Bai, Caihong, Suyun Xu, Jingyi Tang, Yuxi Zhang, Jiahui Yang, and Kaifeng Hu. 2022.</w:t>
      </w:r>
      <w:r>
        <w:t xml:space="preserve"> </w:t>
      </w:r>
      <w:r>
        <w:t xml:space="preserve">“A</w:t>
      </w:r>
      <w:r>
        <w:t xml:space="preserve"> </w:t>
      </w:r>
      <w:r>
        <w:t xml:space="preserve">‘Shape-Orientated’</w:t>
      </w:r>
      <w:r>
        <w:t xml:space="preserve"> </w:t>
      </w:r>
      <w:r>
        <w:t xml:space="preserve">Algorithm Employing an Adapted Marr Wavelet and Shape Matching Index Improves the Performance of Continuous Wavelet Transform for Chromatographic Peak Detection and Quantification.”</w:t>
      </w:r>
      <w:r>
        <w:t xml:space="preserve"> </w:t>
      </w:r>
      <w:r>
        <w:rPr>
          <w:iCs/>
          <w:i/>
        </w:rPr>
        <w:t xml:space="preserve">Journal of Chromatography A</w:t>
      </w:r>
      <w:r>
        <w:t xml:space="preserve"> </w:t>
      </w:r>
      <w:r>
        <w:t xml:space="preserve">1673: 463086. https://doi.org/</w:t>
      </w:r>
      <w:hyperlink r:id="rId92">
        <w:r>
          <w:rPr>
            <w:rStyle w:val="Hyperlink"/>
          </w:rPr>
          <w:t xml:space="preserve">https://doi.org/10.1016/j.chroma.2022.463086</w:t>
        </w:r>
      </w:hyperlink>
      <w:r>
        <w:t xml:space="preserve">.</w:t>
      </w:r>
    </w:p>
    <w:bookmarkEnd w:id="93"/>
    <w:bookmarkStart w:id="95"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4">
        <w:r>
          <w:rPr>
            <w:rStyle w:val="Hyperlink"/>
          </w:rPr>
          <w:t xml:space="preserve">https://doi.org/10.1016/j.chroma.2006.05.019</w:t>
        </w:r>
      </w:hyperlink>
      <w:r>
        <w:t xml:space="preserve">.</w:t>
      </w:r>
    </w:p>
    <w:bookmarkEnd w:id="95"/>
    <w:bookmarkStart w:id="97"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6">
        <w:r>
          <w:rPr>
            <w:rStyle w:val="Hyperlink"/>
          </w:rPr>
          <w:t xml:space="preserve">https://doi.org/10.1029/2021GB007115</w:t>
        </w:r>
      </w:hyperlink>
      <w:r>
        <w:t xml:space="preserve">.</w:t>
      </w:r>
    </w:p>
    <w:bookmarkEnd w:id="97"/>
    <w:bookmarkStart w:id="99"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8">
        <w:r>
          <w:rPr>
            <w:rStyle w:val="Hyperlink"/>
          </w:rPr>
          <w:t xml:space="preserve">https://doi.org/10.3389/fpubh.2021.653599</w:t>
        </w:r>
      </w:hyperlink>
      <w:r>
        <w:t xml:space="preserve">.</w:t>
      </w:r>
    </w:p>
    <w:bookmarkEnd w:id="99"/>
    <w:bookmarkStart w:id="101"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102">
        <w:r>
          <w:rPr>
            <w:rStyle w:val="Hyperlink"/>
          </w:rPr>
          <w:t xml:space="preserve">https://doi.org/10.1093/bioinformatics/btq441</w:t>
        </w:r>
      </w:hyperlink>
      <w:r>
        <w:t xml:space="preserve">.</w:t>
      </w:r>
    </w:p>
    <w:bookmarkEnd w:id="103"/>
    <w:bookmarkStart w:id="105"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4">
        <w:r>
          <w:rPr>
            <w:rStyle w:val="Hyperlink"/>
          </w:rPr>
          <w:t xml:space="preserve">https://doi.org/10.1128/mSystems.00896-20</w:t>
        </w:r>
      </w:hyperlink>
      <w:r>
        <w:t xml:space="preserve">.</w:t>
      </w:r>
    </w:p>
    <w:bookmarkEnd w:id="105"/>
    <w:bookmarkStart w:id="107"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6">
        <w:r>
          <w:rPr>
            <w:rStyle w:val="Hyperlink"/>
          </w:rPr>
          <w:t xml:space="preserve">https://doi.org/10.1021/acs.analchem.7b04400</w:t>
        </w:r>
      </w:hyperlink>
      <w:r>
        <w:t xml:space="preserve">.</w:t>
      </w:r>
    </w:p>
    <w:bookmarkEnd w:id="107"/>
    <w:bookmarkStart w:id="109"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8">
        <w:r>
          <w:rPr>
            <w:rStyle w:val="Hyperlink"/>
          </w:rPr>
          <w:t xml:space="preserve">https://doi.org/10.1080/00401706.1964.10490181</w:t>
        </w:r>
      </w:hyperlink>
      <w:r>
        <w:t xml:space="preserve">.</w:t>
      </w:r>
    </w:p>
    <w:bookmarkEnd w:id="109"/>
    <w:bookmarkStart w:id="111"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10">
        <w:r>
          <w:rPr>
            <w:rStyle w:val="Hyperlink"/>
          </w:rPr>
          <w:t xml:space="preserve">https://doi.org/10.3389/fmars.2022.864796</w:t>
        </w:r>
      </w:hyperlink>
      <w:r>
        <w:t xml:space="preserve">.</w:t>
      </w:r>
    </w:p>
    <w:bookmarkEnd w:id="111"/>
    <w:bookmarkStart w:id="113"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12">
        <w:r>
          <w:rPr>
            <w:rStyle w:val="Hyperlink"/>
          </w:rPr>
          <w:t xml:space="preserve">https://doi.org/10.1093/bioinformatics/btab231</w:t>
        </w:r>
      </w:hyperlink>
      <w:r>
        <w:t xml:space="preserve">.</w:t>
      </w:r>
    </w:p>
    <w:bookmarkEnd w:id="113"/>
    <w:bookmarkStart w:id="115"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4">
        <w:r>
          <w:rPr>
            <w:rStyle w:val="Hyperlink"/>
          </w:rPr>
          <w:t xml:space="preserve">https://doi.org/10.1016/j.jchromb.2019.04.009</w:t>
        </w:r>
      </w:hyperlink>
      <w:r>
        <w:t xml:space="preserve">.</w:t>
      </w:r>
    </w:p>
    <w:bookmarkEnd w:id="115"/>
    <w:bookmarkStart w:id="117"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6">
        <w:r>
          <w:rPr>
            <w:rStyle w:val="Hyperlink"/>
          </w:rPr>
          <w:t xml:space="preserve">https://doi.org/10.1021/acs.analchem.1c02220</w:t>
        </w:r>
      </w:hyperlink>
      <w:r>
        <w:t xml:space="preserve">.</w:t>
      </w:r>
    </w:p>
    <w:bookmarkEnd w:id="117"/>
    <w:bookmarkStart w:id="119"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8">
        <w:r>
          <w:rPr>
            <w:rStyle w:val="Hyperlink"/>
          </w:rPr>
          <w:t xml:space="preserve">https://doi.org/10.1021/acs.analchem.1c01309</w:t>
        </w:r>
      </w:hyperlink>
      <w:r>
        <w:t xml:space="preserve">.</w:t>
      </w:r>
    </w:p>
    <w:bookmarkEnd w:id="119"/>
    <w:bookmarkStart w:id="121"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20">
        <w:r>
          <w:rPr>
            <w:rStyle w:val="Hyperlink"/>
          </w:rPr>
          <w:t xml:space="preserve">https://doi.org/10.1128/mSystems.01334-20</w:t>
        </w:r>
      </w:hyperlink>
      <w:r>
        <w:t xml:space="preserve">.</w:t>
      </w:r>
    </w:p>
    <w:bookmarkEnd w:id="121"/>
    <w:bookmarkStart w:id="123"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22">
        <w:r>
          <w:rPr>
            <w:rStyle w:val="Hyperlink"/>
          </w:rPr>
          <w:t xml:space="preserve">https://doi.org/10.1021/acs.analchem.2c04088</w:t>
        </w:r>
      </w:hyperlink>
      <w:r>
        <w:t xml:space="preserve">.</w:t>
      </w:r>
    </w:p>
    <w:bookmarkEnd w:id="123"/>
    <w:bookmarkStart w:id="125"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4">
        <w:r>
          <w:rPr>
            <w:rStyle w:val="Hyperlink"/>
          </w:rPr>
          <w:t xml:space="preserve">https://doi.org/10.1021/ac902361f</w:t>
        </w:r>
      </w:hyperlink>
      <w:r>
        <w:t xml:space="preserve">.</w:t>
      </w:r>
    </w:p>
    <w:bookmarkEnd w:id="125"/>
    <w:bookmarkStart w:id="127"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6">
        <w:r>
          <w:rPr>
            <w:rStyle w:val="Hyperlink"/>
          </w:rPr>
          <w:t xml:space="preserve">https://doi.org/10.1021/acs.analchem.9b02983</w:t>
        </w:r>
      </w:hyperlink>
      <w:r>
        <w:t xml:space="preserve">.</w:t>
      </w:r>
    </w:p>
    <w:bookmarkEnd w:id="127"/>
    <w:bookmarkStart w:id="129"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8">
        <w:r>
          <w:rPr>
            <w:rStyle w:val="Hyperlink"/>
          </w:rPr>
          <w:t xml:space="preserve">https://doi.org/10.1016/j.marchem.2015.06.029</w:t>
        </w:r>
      </w:hyperlink>
      <w:r>
        <w:t xml:space="preserve">.</w:t>
      </w:r>
    </w:p>
    <w:bookmarkEnd w:id="129"/>
    <w:bookmarkStart w:id="131"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30">
        <w:r>
          <w:rPr>
            <w:rStyle w:val="Hyperlink"/>
          </w:rPr>
          <w:t xml:space="preserve">https://doi.org/10.1186/s12859-015-0562-8</w:t>
        </w:r>
      </w:hyperlink>
      <w:r>
        <w:t xml:space="preserve">.</w:t>
      </w:r>
    </w:p>
    <w:bookmarkEnd w:id="131"/>
    <w:bookmarkStart w:id="133"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32">
        <w:r>
          <w:rPr>
            <w:rStyle w:val="Hyperlink"/>
          </w:rPr>
          <w:t xml:space="preserve">https://doi.org/10.1021/acs.analchem.9b04811</w:t>
        </w:r>
      </w:hyperlink>
      <w:r>
        <w:t xml:space="preserve">.</w:t>
      </w:r>
    </w:p>
    <w:bookmarkEnd w:id="133"/>
    <w:bookmarkStart w:id="135"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4">
        <w:r>
          <w:rPr>
            <w:rStyle w:val="Hyperlink"/>
          </w:rPr>
          <w:t xml:space="preserve">https://doi.org/10.3390/metabo10040162</w:t>
        </w:r>
      </w:hyperlink>
      <w:r>
        <w:t xml:space="preserve">.</w:t>
      </w:r>
    </w:p>
    <w:bookmarkEnd w:id="135"/>
    <w:bookmarkStart w:id="137"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6">
        <w:r>
          <w:rPr>
            <w:rStyle w:val="Hyperlink"/>
          </w:rPr>
          <w:t xml:space="preserve">https://doi.org/10.1021/acs.analchem.7b01069</w:t>
        </w:r>
      </w:hyperlink>
      <w:r>
        <w:t xml:space="preserve">.</w:t>
      </w:r>
    </w:p>
    <w:bookmarkEnd w:id="137"/>
    <w:bookmarkStart w:id="139"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8">
        <w:r>
          <w:rPr>
            <w:rStyle w:val="Hyperlink"/>
          </w:rPr>
          <w:t xml:space="preserve">https://doi.org/10.1021/acs.analchem.7b00947</w:t>
        </w:r>
      </w:hyperlink>
      <w:r>
        <w:t xml:space="preserve">.</w:t>
      </w:r>
    </w:p>
    <w:bookmarkEnd w:id="139"/>
    <w:bookmarkStart w:id="141"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40">
        <w:r>
          <w:rPr>
            <w:rStyle w:val="Hyperlink"/>
          </w:rPr>
          <w:t xml:space="preserve">https://cran.r-project.org/package=vegan</w:t>
        </w:r>
      </w:hyperlink>
      <w:r>
        <w:t xml:space="preserve">.</w:t>
      </w:r>
    </w:p>
    <w:bookmarkEnd w:id="141"/>
    <w:bookmarkStart w:id="143"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42">
        <w:r>
          <w:rPr>
            <w:rStyle w:val="Hyperlink"/>
          </w:rPr>
          <w:t xml:space="preserve">https://doi.org/10.3390/metabo12020137</w:t>
        </w:r>
      </w:hyperlink>
      <w:r>
        <w:t xml:space="preserve">.</w:t>
      </w:r>
    </w:p>
    <w:bookmarkEnd w:id="143"/>
    <w:bookmarkStart w:id="145"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4">
        <w:r>
          <w:rPr>
            <w:rStyle w:val="Hyperlink"/>
          </w:rPr>
          <w:t xml:space="preserve">https://www.r-project.org/</w:t>
        </w:r>
      </w:hyperlink>
      <w:r>
        <w:t xml:space="preserve">.</w:t>
      </w:r>
    </w:p>
    <w:bookmarkEnd w:id="145"/>
    <w:bookmarkStart w:id="147"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6">
        <w:r>
          <w:rPr>
            <w:rStyle w:val="Hyperlink"/>
          </w:rPr>
          <w:t xml:space="preserve">https://doi.org/10.1021/ac051437y</w:t>
        </w:r>
      </w:hyperlink>
      <w:r>
        <w:t xml:space="preserve">.</w:t>
      </w:r>
    </w:p>
    <w:bookmarkEnd w:id="147"/>
    <w:bookmarkStart w:id="149"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8">
        <w:r>
          <w:rPr>
            <w:rStyle w:val="Hyperlink"/>
          </w:rPr>
          <w:t xml:space="preserve">https://doi.org/10.1186/1471-2105-9-504</w:t>
        </w:r>
      </w:hyperlink>
      <w:r>
        <w:t xml:space="preserve">.</w:t>
      </w:r>
    </w:p>
    <w:bookmarkEnd w:id="149"/>
    <w:bookmarkStart w:id="151"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50">
        <w:r>
          <w:rPr>
            <w:rStyle w:val="Hyperlink"/>
          </w:rPr>
          <w:t xml:space="preserve">https://doi.org/10.3390/metabo6040037</w:t>
        </w:r>
      </w:hyperlink>
      <w:r>
        <w:t xml:space="preserve">.</w:t>
      </w:r>
    </w:p>
    <w:bookmarkEnd w:id="151"/>
    <w:bookmarkEnd w:id="152"/>
    <w:bookmarkEnd w:id="153"/>
    <w:bookmarkStart w:id="154" w:name="supplement"/>
    <w:p>
      <w:pPr>
        <w:pStyle w:val="Heading2"/>
      </w:pPr>
      <w:r>
        <w:t xml:space="preserve">Supplement</w:t>
      </w:r>
    </w:p>
    <w:p>
      <w:pPr>
        <w:pStyle w:val="FirstParagraph"/>
      </w:pPr>
      <w:r>
        <w:rPr>
          <w:iCs/>
          <w:i/>
        </w:rPr>
        <w:t xml:space="preserve">Supplemental figure 1: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BodyText"/>
      </w:pPr>
      <w:r>
        <w:rPr>
          <w:iCs/>
          <w:i/>
        </w:rPr>
        <w:t xml:space="preserve">Supplemental figure 2: Model parameter estimates for each of the metrics in the full model, additionally broken down by their inclusion in the two-parameter (raw_data) and XCMS-exclusively models. Colors correspond to the dataset used to train the logistic regression model, with</w:t>
      </w:r>
      <w:r>
        <w:rPr>
          <w:iCs/>
          <w:i/>
        </w:rPr>
        <w:t xml:space="preserve"> </w:t>
      </w:r>
      <w:r>
        <w:rPr>
          <w:iCs/>
          <w:i/>
        </w:rPr>
        <w:t xml:space="preserve">“</w:t>
      </w:r>
      <w:r>
        <w:rPr>
          <w:iCs/>
          <w:i/>
        </w:rPr>
        <w:t xml:space="preserve">both</w:t>
      </w:r>
      <w:r>
        <w:rPr>
          <w:iCs/>
          <w:i/>
        </w:rPr>
        <w:t xml:space="preserve">”</w:t>
      </w:r>
      <w:r>
        <w:rPr>
          <w:iCs/>
          <w:i/>
        </w:rPr>
        <w:t xml:space="preserve"> </w:t>
      </w:r>
      <w:r>
        <w:rPr>
          <w:iCs/>
          <w:i/>
        </w:rPr>
        <w:t xml:space="preserve">indicating a combined model using all manually-labeled features across both datasets.</w:t>
      </w:r>
    </w:p>
    <w:p>
      <w:pPr>
        <w:pStyle w:val="BodyText"/>
      </w:pPr>
      <w:r>
        <w:rPr>
          <w:iCs/>
          <w:i/>
        </w:rPr>
        <w:t xml:space="preserve">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BodyText"/>
      </w:pPr>
      <w:r>
        <w:rPr>
          <w:iCs/>
          <w:i/>
        </w:rPr>
        <w:t xml:space="preserve">Supplemental figure 4: Performance of regularized regression and random forest models on internally (same train-test) and externally (different train-test) validated datasets.</w:t>
      </w:r>
    </w:p>
    <w:bookmarkEnd w:id="154"/>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2023-07-22T00:15:27Z</dcterms:created>
  <dcterms:modified xsi:type="dcterms:W3CDTF">2023-07-22T00:15:27Z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output">
    <vt:lpwstr/>
  </property>
</Properties>
</file>