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GPF and an FDR of 34% on a cross-validated second cohort, similar to our cross-dataset testing. Our final two-parameter model also had an 80% GPF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GPF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GPF and FDR (89% and 3%, respectively, relative to our 77.1% GPF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peaks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SourceCode"/>
      </w:pPr>
      <w:r>
        <w:rPr>
          <w:rStyle w:val="VerbatimChar"/>
        </w:rPr>
        <w:t xml:space="preserve">## Warning: glm.fit: fitted probabilities numerically 0 or 1 occurred</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p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2023-06-06T18:24:30Z</dcterms:created>
  <dcterms:modified xsi:type="dcterms:W3CDTF">2023-06-06T18:24:30Z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