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22.png" ContentType="image/png"/>
  <Override PartName="/word/media/rId39.png" ContentType="image/png"/>
  <Override PartName="/word/media/rId31.png" ContentType="image/png"/>
  <Override PartName="/word/media/rId45.png" ContentType="image/png"/>
  <Override PartName="/word/media/rId28.png" ContentType="image/png"/>
  <Override PartName="/word/media/rId52.png" ContentType="image/png"/>
  <Override PartName="/word/media/rId25.png" ContentType="image/png"/>
  <Override PartName="/word/media/rId48.png" ContentType="image/png"/>
  <Override PartName="/word/media/rId179.png" ContentType="image/png"/>
  <Override PartName="/word/media/rId182.pdf" ContentType="application/pdf"/>
  <Override PartName="/word/media/rId185.png" ContentType="image/png"/>
  <Override PartName="/word/media/rId188.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(N) availability limits the growth of many surface ocean microbial communities, particularly in the ocean gyres. Yet, even before growth is limited, some metabolic pathways or specific taxa may experience lower than optimal N flux due to cellular allocation and competition for various forms of N. Here, we present a stable isotope probing metabolomics study that illustrates the metabolic pathways taken by four different forms of nitrogen: ammonia, nitrate, arginine, and guanosine monophosphate. In the morning and evening, we followed isotope labeled substrates through metabolic pathways for either 26 hours (inorganic N additions) or 73 hours (organic N additions) in both surface (25m) and deep (175m) microbial communities in the North Pacific Subtropical Gyre. We found that nearly the entire surface particulate glutamine pool (1-2 nM) is labeled by ammonia in less than an hour and gets incorporated more broadly into the metabolome after 24 hours. Abundant osmolytes like betaines (e.g. glycine betaine, 0.4-0.5 nM) had slow turnover rates (&lt;5% in 24 hours).</w:t>
      </w:r>
      <w:r>
        <w:t xml:space="preserve"> </w:t>
      </w:r>
      <w:commentRangeStart w:id="0"/>
      <w:r>
        <w:t xml:space="preserve"> </w:t>
      </w:r>
      <w:commentRangeEnd w:id="0"/>
      <w:r>
        <w:rPr>
          <w:rStyle w:val="CommentReference"/>
        </w:rPr>
        <w:commentReference w:id="0"/>
      </w:r>
      <w:r>
        <w:t xml:space="preserve"> </w:t>
      </w:r>
      <w:r>
        <w:t xml:space="preserve">Nitrate amendments resulted in the labeling of only a small selection of intracellular molecules such as ultraviolet light absorbing compounds (mycosporine-like amino acids, or MAAs), whose incorporation patterns suggest that this form of nitrogen was only available to a subset of the community, likely eukaryotes. The two labeled organic nitrogen amendments were incorporated into the metabolome more slowly than the inorganic forms of nitrogen and showed similar usage at 25 meters and 175 meters, hinting at the major role that heterotrophic bacteria play in cycling organic matter. The added organic nitrogen substrates were mostly converted into glutamate after 24 hours rather than being used as intact substrates, though labeled arginine was incorporated into protein directly and we were able to trace the carbon backbone from both arginine and GMP into several additional metabolites.</w:t>
      </w:r>
      <w:commentRangeStart w:id="0"/>
      <w:r>
        <w:t xml:space="preserve"> </w:t>
      </w:r>
      <w:commentRangeEnd w:id="0"/>
      <w:r>
        <w:rPr>
          <w:rStyle w:val="CommentReference"/>
        </w:rPr>
        <w:commentReference w:id="0"/>
      </w:r>
      <w:r>
        <w:t xml:space="preserve"> </w:t>
      </w:r>
      <w:r>
        <w:t xml:space="preserve">Nitrogen assimilation and use was also largely the same between morning and evening with the exception of MAAs. These measurements revealed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primary productivity is limited by the availability of nitrogen, an element with a complex and incompletely characterized biogeochemical cycle</w:t>
      </w:r>
      <w:r>
        <w:t xml:space="preserve"> </w:t>
      </w:r>
      <w:r>
        <w:t xml:space="preserve">(Deborah A. Bronk and Steinberg 2008; Moore et al. 2013; Hutchins and Capone 2022)</w:t>
      </w:r>
      <w:r>
        <w:t xml:space="preserve">.</w:t>
      </w:r>
      <w:r>
        <w:t xml:space="preserve"> </w:t>
      </w:r>
      <w:r>
        <w:rPr>
          <w:rStyle w:val="VerbatimChar"/>
        </w:rPr>
        <w:t xml:space="preserve">wc('From Randie: Bronk ref might be bad?')</w:t>
      </w:r>
      <w:r>
        <w:t xml:space="preserve"> </w:t>
      </w:r>
      <w:r>
        <w:t xml:space="preserve">Organic nitrogen in particular is often treated as a black box despite substantial variability in its bioavailability and chemical nature. For example, turnover times for labile organic compounds like urea and amino acids can be orders of magnitude shorter than semi-labile or refractory DOM containing nitrogen</w:t>
      </w:r>
      <w:r>
        <w:t xml:space="preserve"> </w:t>
      </w:r>
      <w:r>
        <w:t xml:space="preserve">(Benner and Amon 2015; Deborah A. Bronk et al. 2024)</w:t>
      </w:r>
      <w:r>
        <w:t xml:space="preserve">. Additionally, the availability of the precious nitrogen atom is determined not only by the form of the organic material it composes but also the environment in which it’s found.</w:t>
      </w:r>
      <w:r>
        <w:t xml:space="preserve"> </w:t>
      </w:r>
      <w:r>
        <w:rPr>
          <w:rStyle w:val="VerbatimChar"/>
        </w:rPr>
        <w:t xml:space="preserve">wc('From Randie: Do you mean because of the types of organisms there and whether or not they can access organic N? Or because of competition for N?')</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in the same way that we have improved our understanding of community composition via genomics and transcriptomics, our ability to more deeply characterize organic matter via has expanded via proteomics and metabolomics. These advancements, paired with the increased availability of pure and isotope-labeled substrates, mean that we can now apply metabolically resolved isotope tracing to resolve how organic nitrogen is transformed in the environment and incorporated into the the marketplace of metabolites that powers the surface ocean</w:t>
      </w:r>
      <w:r>
        <w:t xml:space="preserve"> </w:t>
      </w:r>
      <w:r>
        <w:t xml:space="preserve">(Heal et al. 2021; McParland et al. 2021; Moran et al. 2022)</w:t>
      </w:r>
      <w:r>
        <w:t xml:space="preserve">.</w:t>
      </w:r>
    </w:p>
    <w:p>
      <w:pPr>
        <w:pStyle w:val="BodyText"/>
      </w:pPr>
      <w:r>
        <w:t xml:space="preserve">Nitrogen assimilation is a well-documented cellular process which demonstrates how our understanding of non-marine organisms can be applied to the ocean</w:t>
      </w:r>
      <w:r>
        <w:t xml:space="preserve"> </w:t>
      </w:r>
      <w:r>
        <w:t xml:space="preserve">(Mulholland and Lomas 2008)</w:t>
      </w:r>
      <w:r>
        <w:t xml:space="preserve">. Ammonia is the simplest form of nitrogen that can be assimilated by a cell, and it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 metabolically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that remain in the surface ocean make it clear that this is highly substrate-specific</w:t>
      </w:r>
      <w:r>
        <w:t xml:space="preserve"> </w:t>
      </w:r>
      <w:r>
        <w:t xml:space="preserve">(Antia et al. 1991; D. A. Bronk et al. 2007; Aluwihare and Meador 2008; Zehr and Kudela 2011; Deborah A. Bronk et al. 2024)</w:t>
      </w:r>
      <w:r>
        <w:t xml:space="preserve">. Additionally, many of the transformations possible</w:t>
      </w:r>
      <w:r>
        <w:t xml:space="preserve"> </w:t>
      </w:r>
      <w:r>
        <w:rPr>
          <w:rStyle w:val="VerbatimChar"/>
        </w:rPr>
        <w:t xml:space="preserve">wc('From Randie: Do you mean the enzymes that are used to break down DON? or something else?')</w:t>
      </w:r>
      <w:r>
        <w:t xml:space="preserve"> </w:t>
      </w:r>
      <w:r>
        <w:t xml:space="preserve">are only active in specific microbial communities or times of day</w:t>
      </w:r>
      <w:r>
        <w:t xml:space="preserve"> </w:t>
      </w:r>
      <w:r>
        <w:t xml:space="preserve">(Bender et al. 2012)</w:t>
      </w:r>
      <w:r>
        <w:t xml:space="preserve">. Linking the transformations that nitrogen undergoes to known molecular pathways from other environments or axenic cultures is a particularly promising way to understand how N cycles through microbial communities on a larger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 Gonsior et al. 2022)</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r>
        <w:t xml:space="preserve"> </w:t>
      </w:r>
      <w:r>
        <w:rPr>
          <w:rStyle w:val="VerbatimChar"/>
        </w:rPr>
        <w:t xml:space="preserve">wc('From Randie: These are some general suggestions for this as a paper once you are going to submit it: I think you could be a little more specific in the introduction about both the uptake of different kinds of N and what we know about who does what, and what is missing. THEN you can go into a bit more specifics about the fate of that N once it is in the cell, and what we know and don’t know about this in the marine realm. Your study does both, but it is a little muddled in the intro and lacking many specifics.')</w:t>
      </w:r>
    </w:p>
    <w:bookmarkEnd w:id="21"/>
    <w:bookmarkStart w:id="56"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(Figure 1).</w:t>
      </w:r>
    </w:p>
    <w:p>
      <w:pPr>
        <w:pStyle w:val="BodyText"/>
      </w:pPr>
      <w:r>
        <w:drawing>
          <wp:inline>
            <wp:extent cx="5334000" cy="4103076"/>
            <wp:effectExtent b="0" l="0" r="0" t="0"/>
            <wp:docPr descr="" title="" id="23" name="Picture"/>
            <a:graphic>
              <a:graphicData uri="http://schemas.openxmlformats.org/drawingml/2006/picture">
                <pic:pic>
                  <pic:nvPicPr>
                    <pic:cNvPr descr="figures/cruise_metadata.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1: Biogeochemical and community composition data collected during the PARAGON cruise alongside the incubation sampling plan. The top plot shows the start and end times of each incubation as rectangles aligned with the dates of the cruise in the middle color bar, with each rectangle representing a biological triplicate sacrificed at the given time. Grey shading in the background denotes light levels with grey corresponding to nighttime. The four amendments are shown as different colors. The lower panels show various biogeochemical and flow cytometry measurements colored by the date they were collected during the cruise. Note that Prochlorococcus and heterotrophic bacteria (Het. bacteria) are reported in cells per microliter while Synechococcus and picoeukaryotes are reported per milliliter. The 25 meter and 175 meter sampling depths have been added as dashed lines. C = carbon, N = nitrogen, GMP = guanosine monophosphate.</w:t>
      </w:r>
    </w:p>
    <w:bookmarkStart w:id="34"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in intracellular metabolites resulting from incubations with different forms of nitrogen (Figure 2). The goal of these experiments was to track how assimilated N was incorporated into the metabolome, and at what rates. To do this, we measured how much of the 15N labeled N was found in known N-containing metabolites intracellularly in the microbial community. Ammonia incubations resulted in very rapid labeling of the N-containing metabolite pool within cells,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singly and doubly labeled and had approximately doubled in pool size (initially ~0.3 nM becoming 0.8 nM).</w:t>
      </w:r>
    </w:p>
    <w:p>
      <w:pPr>
        <w:pStyle w:val="BodyText"/>
      </w:pPr>
      <w:r>
        <w:drawing>
          <wp:inline>
            <wp:extent cx="5334000" cy="3692769"/>
            <wp:effectExtent b="0" l="0" r="0" t="0"/>
            <wp:docPr descr="" title="" id="26" name="Picture"/>
            <a:graphic>
              <a:graphicData uri="http://schemas.openxmlformats.org/drawingml/2006/picture">
                <pic:pic>
                  <pic:nvPicPr>
                    <pic:cNvPr descr="figures/xamend_metab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w:t>
      </w:r>
      <w:r>
        <w:t xml:space="preserve"> </w:t>
      </w:r>
      <w:r>
        <w:rPr>
          <w:rStyle w:val="VerbatimChar"/>
        </w:rPr>
        <w:t xml:space="preserve">wc('From Randie: I think it would be really helpful in this chapter to have the biosynthesis pathways of the known metabolites you are looking at, so the reader can follow where one might expect the label to be over time.')</w:t>
      </w:r>
    </w:p>
    <w:p>
      <w:pPr>
        <w:pStyle w:val="BodyText"/>
      </w:pPr>
      <w:r>
        <w:rPr>
          <w:rStyle w:val="VerbatimChar"/>
        </w:rPr>
        <w:t xml:space="preserve">wc('From Randie: You could maybe talk about all of the targeted metabolites first and then the untargeted at the end of this section on ammonia.')</w:t>
      </w:r>
    </w:p>
    <w:p>
      <w:pPr>
        <w:pStyle w:val="BodyText"/>
      </w:pPr>
      <w:r>
        <w:t xml:space="preserve">We also tracked the labeled assimilated</w:t>
      </w:r>
      <w:r>
        <w:t xml:space="preserve"> </w:t>
      </w:r>
      <w:r>
        <w:rPr>
          <w:vertAlign w:val="superscript"/>
        </w:rPr>
        <w:t xml:space="preserve">15</w:t>
      </w:r>
      <w:r>
        <w:t xml:space="preserve">N into other unknown metabolites within the cell. Untargeted detection of other molecular features revealed an additional metabolite that was 30% labeled at the one hour timepoint (</w:t>
      </w:r>
      <w:r>
        <w:rPr>
          <w:i/>
          <w:iCs/>
        </w:rPr>
        <w:t xml:space="preserve">m/z</w:t>
      </w:r>
      <w:r>
        <w:t xml:space="preserve"> </w:t>
      </w:r>
      <w:r>
        <w:t xml:space="preserve">= 175.1077, retention time = 8.2 minutes) putatively identified as theanine (N5-ethyl glutamine) based on</w:t>
      </w:r>
      <w:r>
        <w:t xml:space="preserve"> </w:t>
      </w:r>
      <w:r>
        <w:rPr>
          <w:i/>
          <w:iCs/>
        </w:rPr>
        <w:t xml:space="preserve">m/z</w:t>
      </w:r>
      <w:r>
        <w:t xml:space="preserve"> </w:t>
      </w:r>
      <w:r>
        <w:t xml:space="preserve">match and labeling pattern (Figure 2).</w:t>
      </w:r>
    </w:p>
    <w:p>
      <w:pPr>
        <w:pStyle w:val="BodyText"/>
      </w:pPr>
      <w:r>
        <w:t xml:space="preserve">Other amino acids and nucleobases/nucleosides had trace amounts of labeling after 3 hours and were extensively labeled (&gt;25%) after 24 hours (Figure 2). Cytidine (42.2% labeled) and adenosine (59.9% labeled) were more heavily</w:t>
      </w:r>
      <w:r>
        <w:t xml:space="preserve"> </w:t>
      </w:r>
      <w:r>
        <w:rPr>
          <w:vertAlign w:val="superscript"/>
        </w:rPr>
        <w:t xml:space="preserve">15</w:t>
      </w:r>
      <w:r>
        <w:t xml:space="preserve">N labeled than their nucleobase derivatives at T26 (22.9% for cytidine and 42.1% for adenosine), corresponding to the expected synthesis pathway. Guanine, however, had the inverse trend with guanosine being 44.9% labeled while guanine was only 30% labeled.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(&lt;10%).</w:t>
      </w:r>
    </w:p>
    <w:p>
      <w:pPr>
        <w:pStyle w:val="BodyText"/>
      </w:pPr>
      <w:r>
        <w:rPr>
          <w:rStyle w:val="VerbatimChar"/>
        </w:rPr>
        <w:t xml:space="preserve">wc('From Randie: You could also word this like "Less of the assimilated 15NO3 was incorporated into the community metabolome compared to ammonia, with very few metabolites…"')</w:t>
      </w:r>
      <w:r>
        <w:t xml:space="preserve"> </w:t>
      </w: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Only trace amounts of glutamine were labeled by the added nitrate even after 24 hours. The most heavily labeled compound was guanine, which saw trace amounts of label at the T10 timepoint and was ~40% labeled at T26. Adenine and adenosine were both ~15% labeled, while deoxyadenosine, deoxyguanosine, deoxycytidine, and guanosine were all 5% labeled or less. The only other group of compounds that did see compelling degrees of label incorporation from nitrate were the mycosporine-like amino acids (MAAs), a group of compounds whose primary function is thought to be protection from UV light (see below). These compounds, like guanine, were labeled in excess of the bulk glutamate/amino acid pool from which their nitrogen is sourced.</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2). At least 50 picomoles of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taken up</w:t>
      </w:r>
      <w:r>
        <w:t xml:space="preserve"> </w:t>
      </w:r>
      <w:r>
        <w:rPr>
          <w:rStyle w:val="VerbatimChar"/>
        </w:rPr>
        <w:t xml:space="preserve">wc('From Randie: You mean taken up from the dissolved pool? Or I am not sure what you mean by this')</w:t>
      </w:r>
      <w:r>
        <w:t xml:space="preserve"> </w:t>
      </w:r>
      <w:r>
        <w:t xml:space="preserve">at the T0 timepoint (within 20 minutes, creating an arginine pool 30% labeled), and 80-90% of the pool was fully labeled after 12 hours with a maximum arginine concentration of 0.73 nM. Surprisingly, the fraction of arginine labeled decreased from this point, with the T26 and T73 timepoints dropping to 74% and 48% labeled, respectively, as the total amount of both labeled and unlabeled arginine dropped back to initial concentrations (~0.08 nM). This labeling rapidly propagated into citrulline, likely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probably created and available in the system, though we were unable to measure this directly. Glutamate and glutamine were labeled much more slowly, reaching 10% labeled after 10 hours and a maximum of 66% labeled after 24 hours. Much of this nitrogen was then cycled very quickly among other compounds which also saw an abrupt increase in fraction labeled at 24 hours. This was particularly true for other amino acids and the nucleobases/nucleosides and unlike the inorganic N incubations guanine was not labeled more in excess of the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2).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1)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and end of each incubation (Figure 3). THAAs come from protein (which can be in living biomass or detritus) and include minor contributions from free amino acids as well as metabolites and peptides with hydrolyzable amino acid moieties (e.g. MAAs and glutathione). THAAs were 26% (±6.5%, SD, n=24) of the total surface particulate carbon pool (PC = 2.84 µM in mixed layer) at T0 and 55% (±14.3%, SD, n=24) of the particulate nitrogen (PN = 0.36 µM in mixed layer) at the start of the incubations. Free amino acids composed between 0.2% and 14% of the total hydrolyzable fractions with the highest contributions from free glutamate (Table 1).</w:t>
      </w:r>
    </w:p>
    <w:tbl>
      <w:tblPr>
        <w:tblStyle w:val="Table"/>
        <w:tblW w:type="pct" w:w="5000"/>
        <w:tblLayout w:type="fixed"/>
        <w:tblLook w:firstRow="1" w:lastRow="0" w:firstColumn="0" w:lastColumn="0" w:noHBand="0" w:noVBand="0" w:val="0020"/>
      </w:tblPr>
      <w:tblGrid>
        <w:gridCol w:w="1840"/>
        <w:gridCol w:w="800"/>
        <w:gridCol w:w="800"/>
        <w:gridCol w:w="960"/>
        <w:gridCol w:w="240"/>
        <w:gridCol w:w="1040"/>
        <w:gridCol w:w="1040"/>
        <w:gridCol w:w="1200"/>
      </w:tblGrid>
      <w:tr>
        <w:trPr>
          <w:tblHeader w:val="on"/>
        </w:trPr>
        <w:tc>
          <w:tcPr/>
          <w:p>
            <w:pPr>
              <w:pStyle w:val="Compact"/>
              <w:jc w:val="right"/>
            </w:pPr>
            <w:r>
              <w:t xml:space="preserve">Amino acid</w:t>
            </w:r>
          </w:p>
        </w:tc>
        <w:tc>
          <w:tcPr/>
          <w:p>
            <w:pPr>
              <w:pStyle w:val="Compact"/>
              <w:jc w:val="right"/>
            </w:pPr>
            <w:r>
              <w:t xml:space="preserve">THAA (T0)</w:t>
            </w:r>
          </w:p>
        </w:tc>
        <w:tc>
          <w:tcPr/>
          <w:p>
            <w:pPr>
              <w:pStyle w:val="Compact"/>
              <w:jc w:val="right"/>
            </w:pPr>
            <w:r>
              <w:t xml:space="preserve">Free (T0)</w:t>
            </w:r>
          </w:p>
        </w:tc>
        <w:tc>
          <w:tcPr/>
          <w:p>
            <w:pPr>
              <w:pStyle w:val="Compact"/>
              <w:jc w:val="right"/>
            </w:pPr>
            <w:r>
              <w:t xml:space="preserve">% free (T0)</w:t>
            </w:r>
          </w:p>
        </w:tc>
        <w:tc>
          <w:tcPr/>
          <w:p>
            <w:pPr>
              <w:pStyle w:val="Compact"/>
            </w:pPr>
          </w:p>
        </w:tc>
        <w:tc>
          <w:tcPr/>
          <w:p>
            <w:pPr>
              <w:pStyle w:val="Compact"/>
              <w:jc w:val="right"/>
            </w:pPr>
            <w:r>
              <w:t xml:space="preserve">THAA (final)</w:t>
            </w:r>
          </w:p>
        </w:tc>
        <w:tc>
          <w:tcPr/>
          <w:p>
            <w:pPr>
              <w:pStyle w:val="Compact"/>
              <w:jc w:val="right"/>
            </w:pPr>
            <w:r>
              <w:t xml:space="preserve">Free (final)</w:t>
            </w:r>
          </w:p>
        </w:tc>
        <w:tc>
          <w:tcPr/>
          <w:p>
            <w:pPr>
              <w:pStyle w:val="Compact"/>
              <w:jc w:val="right"/>
            </w:pPr>
            <w:r>
              <w:t xml:space="preserve">% free (final)</w:t>
            </w:r>
          </w:p>
        </w:tc>
      </w:tr>
      <w:tr>
        <w:tc>
          <w:tcPr/>
          <w:p>
            <w:pPr>
              <w:pStyle w:val="Compact"/>
              <w:jc w:val="right"/>
            </w:pPr>
            <w:r>
              <w:t xml:space="preserve">Glutamate + glutamine</w:t>
            </w:r>
          </w:p>
        </w:tc>
        <w:tc>
          <w:tcPr/>
          <w:p>
            <w:pPr>
              <w:pStyle w:val="Compact"/>
              <w:jc w:val="right"/>
            </w:pPr>
            <w:r>
              <w:t xml:space="preserve">19.57</w:t>
            </w:r>
          </w:p>
        </w:tc>
        <w:tc>
          <w:tcPr/>
          <w:p>
            <w:pPr>
              <w:pStyle w:val="Compact"/>
              <w:jc w:val="right"/>
            </w:pPr>
            <w:r>
              <w:t xml:space="preserve">1.66</w:t>
            </w:r>
          </w:p>
        </w:tc>
        <w:tc>
          <w:tcPr/>
          <w:p>
            <w:pPr>
              <w:pStyle w:val="Compact"/>
              <w:jc w:val="right"/>
            </w:pPr>
            <w:r>
              <w:t xml:space="preserve">8.47%</w:t>
            </w:r>
          </w:p>
        </w:tc>
        <w:tc>
          <w:tcPr/>
          <w:p>
            <w:pPr>
              <w:pStyle w:val="Compact"/>
            </w:pPr>
          </w:p>
        </w:tc>
        <w:tc>
          <w:tcPr/>
          <w:p>
            <w:pPr>
              <w:pStyle w:val="Compact"/>
              <w:jc w:val="right"/>
            </w:pPr>
            <w:r>
              <w:t xml:space="preserve">29.41</w:t>
            </w:r>
          </w:p>
        </w:tc>
        <w:tc>
          <w:tcPr/>
          <w:p>
            <w:pPr>
              <w:pStyle w:val="Compact"/>
              <w:jc w:val="right"/>
            </w:pPr>
            <w:r>
              <w:t xml:space="preserve">4.04</w:t>
            </w:r>
          </w:p>
        </w:tc>
        <w:tc>
          <w:tcPr/>
          <w:p>
            <w:pPr>
              <w:pStyle w:val="Compact"/>
              <w:jc w:val="right"/>
            </w:pPr>
            <w:r>
              <w:t xml:space="preserve">13.72%</w:t>
            </w:r>
          </w:p>
        </w:tc>
      </w:tr>
      <w:tr>
        <w:tc>
          <w:tcPr/>
          <w:p>
            <w:pPr>
              <w:pStyle w:val="Compact"/>
              <w:jc w:val="right"/>
            </w:pPr>
            <w:r>
              <w:t xml:space="preserve">Histidine</w:t>
            </w:r>
          </w:p>
        </w:tc>
        <w:tc>
          <w:tcPr/>
          <w:p>
            <w:pPr>
              <w:pStyle w:val="Compact"/>
              <w:jc w:val="right"/>
            </w:pPr>
            <w:r>
              <w:t xml:space="preserve">2.53</w:t>
            </w:r>
          </w:p>
        </w:tc>
        <w:tc>
          <w:tcPr/>
          <w:p>
            <w:pPr>
              <w:pStyle w:val="Compact"/>
              <w:jc w:val="right"/>
            </w:pPr>
            <w:r>
              <w:t xml:space="preserve">0.04</w:t>
            </w:r>
          </w:p>
        </w:tc>
        <w:tc>
          <w:tcPr/>
          <w:p>
            <w:pPr>
              <w:pStyle w:val="Compact"/>
              <w:jc w:val="right"/>
            </w:pPr>
            <w:r>
              <w:t xml:space="preserve">1.59%</w:t>
            </w:r>
          </w:p>
        </w:tc>
        <w:tc>
          <w:tcPr/>
          <w:p>
            <w:pPr>
              <w:pStyle w:val="Compact"/>
            </w:pPr>
          </w:p>
        </w:tc>
        <w:tc>
          <w:tcPr/>
          <w:p>
            <w:pPr>
              <w:pStyle w:val="Compact"/>
              <w:jc w:val="right"/>
            </w:pPr>
            <w:r>
              <w:t xml:space="preserve">2.76</w:t>
            </w:r>
          </w:p>
        </w:tc>
        <w:tc>
          <w:tcPr/>
          <w:p>
            <w:pPr>
              <w:pStyle w:val="Compact"/>
              <w:jc w:val="right"/>
            </w:pPr>
            <w:r>
              <w:t xml:space="preserve">0.07</w:t>
            </w:r>
          </w:p>
        </w:tc>
        <w:tc>
          <w:tcPr/>
          <w:p>
            <w:pPr>
              <w:pStyle w:val="Compact"/>
              <w:jc w:val="right"/>
            </w:pPr>
            <w:r>
              <w:t xml:space="preserve">2.58%</w:t>
            </w:r>
          </w:p>
        </w:tc>
      </w:tr>
      <w:tr>
        <w:tc>
          <w:tcPr/>
          <w:p>
            <w:pPr>
              <w:pStyle w:val="Compact"/>
              <w:jc w:val="right"/>
            </w:pPr>
            <w:r>
              <w:t xml:space="preserve">Arginine</w:t>
            </w:r>
          </w:p>
        </w:tc>
        <w:tc>
          <w:tcPr/>
          <w:p>
            <w:pPr>
              <w:pStyle w:val="Compact"/>
              <w:jc w:val="right"/>
            </w:pPr>
            <w:r>
              <w:t xml:space="preserve">6.87</w:t>
            </w:r>
          </w:p>
        </w:tc>
        <w:tc>
          <w:tcPr/>
          <w:p>
            <w:pPr>
              <w:pStyle w:val="Compact"/>
              <w:jc w:val="right"/>
            </w:pPr>
            <w:r>
              <w:t xml:space="preserve">0.08</w:t>
            </w:r>
          </w:p>
        </w:tc>
        <w:tc>
          <w:tcPr/>
          <w:p>
            <w:pPr>
              <w:pStyle w:val="Compact"/>
              <w:jc w:val="right"/>
            </w:pPr>
            <w:r>
              <w:t xml:space="preserve">1.13%</w:t>
            </w:r>
          </w:p>
        </w:tc>
        <w:tc>
          <w:tcPr/>
          <w:p>
            <w:pPr>
              <w:pStyle w:val="Compact"/>
            </w:pPr>
          </w:p>
        </w:tc>
        <w:tc>
          <w:tcPr/>
          <w:p>
            <w:pPr>
              <w:pStyle w:val="Compact"/>
              <w:jc w:val="right"/>
            </w:pPr>
            <w:r>
              <w:t xml:space="preserve">8.15</w:t>
            </w:r>
          </w:p>
        </w:tc>
        <w:tc>
          <w:tcPr/>
          <w:p>
            <w:pPr>
              <w:pStyle w:val="Compact"/>
              <w:jc w:val="right"/>
            </w:pPr>
            <w:r>
              <w:t xml:space="preserve">0.20</w:t>
            </w:r>
          </w:p>
        </w:tc>
        <w:tc>
          <w:tcPr/>
          <w:p>
            <w:pPr>
              <w:pStyle w:val="Compact"/>
              <w:jc w:val="right"/>
            </w:pPr>
            <w:r>
              <w:t xml:space="preserve">2.51%</w:t>
            </w:r>
          </w:p>
        </w:tc>
      </w:tr>
      <w:tr>
        <w:tc>
          <w:tcPr/>
          <w:p>
            <w:pPr>
              <w:pStyle w:val="Compact"/>
              <w:jc w:val="right"/>
            </w:pPr>
            <w:r>
              <w:t xml:space="preserve">Aspartate + asparagine</w:t>
            </w:r>
          </w:p>
        </w:tc>
        <w:tc>
          <w:tcPr/>
          <w:p>
            <w:pPr>
              <w:pStyle w:val="Compact"/>
              <w:jc w:val="right"/>
            </w:pPr>
            <w:r>
              <w:t xml:space="preserve">14.54</w:t>
            </w:r>
          </w:p>
        </w:tc>
        <w:tc>
          <w:tcPr/>
          <w:p>
            <w:pPr>
              <w:pStyle w:val="Compact"/>
              <w:jc w:val="right"/>
            </w:pPr>
            <w:r>
              <w:t xml:space="preserve">0.33</w:t>
            </w:r>
          </w:p>
        </w:tc>
        <w:tc>
          <w:tcPr/>
          <w:p>
            <w:pPr>
              <w:pStyle w:val="Compact"/>
              <w:jc w:val="right"/>
            </w:pPr>
            <w:r>
              <w:t xml:space="preserve">2.28%</w:t>
            </w:r>
          </w:p>
        </w:tc>
        <w:tc>
          <w:tcPr/>
          <w:p>
            <w:pPr>
              <w:pStyle w:val="Compact"/>
            </w:pPr>
          </w:p>
        </w:tc>
        <w:tc>
          <w:tcPr/>
          <w:p>
            <w:pPr>
              <w:pStyle w:val="Compact"/>
              <w:jc w:val="right"/>
            </w:pPr>
            <w:r>
              <w:t xml:space="preserve">20.93</w:t>
            </w:r>
          </w:p>
        </w:tc>
        <w:tc>
          <w:tcPr/>
          <w:p>
            <w:pPr>
              <w:pStyle w:val="Compact"/>
              <w:jc w:val="right"/>
            </w:pPr>
            <w:r>
              <w:t xml:space="preserve">0.48</w:t>
            </w:r>
          </w:p>
        </w:tc>
        <w:tc>
          <w:tcPr/>
          <w:p>
            <w:pPr>
              <w:pStyle w:val="Compact"/>
              <w:jc w:val="right"/>
            </w:pPr>
            <w:r>
              <w:t xml:space="preserve">2.28%</w:t>
            </w:r>
          </w:p>
        </w:tc>
      </w:tr>
      <w:tr>
        <w:tc>
          <w:tcPr/>
          <w:p>
            <w:pPr>
              <w:pStyle w:val="Compact"/>
              <w:jc w:val="right"/>
            </w:pPr>
            <w:r>
              <w:t xml:space="preserve">Alanine</w:t>
            </w:r>
          </w:p>
        </w:tc>
        <w:tc>
          <w:tcPr/>
          <w:p>
            <w:pPr>
              <w:pStyle w:val="Compact"/>
              <w:jc w:val="right"/>
            </w:pPr>
            <w:r>
              <w:t xml:space="preserve">15.24</w:t>
            </w:r>
          </w:p>
        </w:tc>
        <w:tc>
          <w:tcPr/>
          <w:p>
            <w:pPr>
              <w:pStyle w:val="Compact"/>
              <w:jc w:val="right"/>
            </w:pPr>
            <w:r>
              <w:t xml:space="preserve">0.17</w:t>
            </w:r>
          </w:p>
        </w:tc>
        <w:tc>
          <w:tcPr/>
          <w:p>
            <w:pPr>
              <w:pStyle w:val="Compact"/>
              <w:jc w:val="right"/>
            </w:pPr>
            <w:r>
              <w:t xml:space="preserve">1.09%</w:t>
            </w:r>
          </w:p>
        </w:tc>
        <w:tc>
          <w:tcPr/>
          <w:p>
            <w:pPr>
              <w:pStyle w:val="Compact"/>
            </w:pPr>
          </w:p>
        </w:tc>
        <w:tc>
          <w:tcPr/>
          <w:p>
            <w:pPr>
              <w:pStyle w:val="Compact"/>
              <w:jc w:val="right"/>
            </w:pPr>
            <w:r>
              <w:t xml:space="preserve">20.79</w:t>
            </w:r>
          </w:p>
        </w:tc>
        <w:tc>
          <w:tcPr/>
          <w:p>
            <w:pPr>
              <w:pStyle w:val="Compact"/>
              <w:jc w:val="right"/>
            </w:pPr>
            <w:r>
              <w:t xml:space="preserve">0.46</w:t>
            </w:r>
          </w:p>
        </w:tc>
        <w:tc>
          <w:tcPr/>
          <w:p>
            <w:pPr>
              <w:pStyle w:val="Compact"/>
              <w:jc w:val="right"/>
            </w:pPr>
            <w:r>
              <w:t xml:space="preserve">2.22%</w:t>
            </w:r>
          </w:p>
        </w:tc>
      </w:tr>
      <w:tr>
        <w:tc>
          <w:tcPr/>
          <w:p>
            <w:pPr>
              <w:pStyle w:val="Compact"/>
              <w:jc w:val="right"/>
            </w:pPr>
            <w:r>
              <w:t xml:space="preserve">Proline</w:t>
            </w:r>
          </w:p>
        </w:tc>
        <w:tc>
          <w:tcPr/>
          <w:p>
            <w:pPr>
              <w:pStyle w:val="Compact"/>
              <w:jc w:val="right"/>
            </w:pPr>
            <w:r>
              <w:t xml:space="preserve">7.22</w:t>
            </w:r>
          </w:p>
        </w:tc>
        <w:tc>
          <w:tcPr/>
          <w:p>
            <w:pPr>
              <w:pStyle w:val="Compact"/>
              <w:jc w:val="right"/>
            </w:pPr>
            <w:r>
              <w:t xml:space="preserve">0.04</w:t>
            </w:r>
          </w:p>
        </w:tc>
        <w:tc>
          <w:tcPr/>
          <w:p>
            <w:pPr>
              <w:pStyle w:val="Compact"/>
              <w:jc w:val="right"/>
            </w:pPr>
            <w:r>
              <w:t xml:space="preserve">0.56%</w:t>
            </w:r>
          </w:p>
        </w:tc>
        <w:tc>
          <w:tcPr/>
          <w:p>
            <w:pPr>
              <w:pStyle w:val="Compact"/>
            </w:pPr>
          </w:p>
        </w:tc>
        <w:tc>
          <w:tcPr/>
          <w:p>
            <w:pPr>
              <w:pStyle w:val="Compact"/>
              <w:jc w:val="right"/>
            </w:pPr>
            <w:r>
              <w:t xml:space="preserve">8.47</w:t>
            </w:r>
          </w:p>
        </w:tc>
        <w:tc>
          <w:tcPr/>
          <w:p>
            <w:pPr>
              <w:pStyle w:val="Compact"/>
              <w:jc w:val="right"/>
            </w:pPr>
            <w:r>
              <w:t xml:space="preserve">0.16</w:t>
            </w:r>
          </w:p>
        </w:tc>
        <w:tc>
          <w:tcPr/>
          <w:p>
            <w:pPr>
              <w:pStyle w:val="Compact"/>
              <w:jc w:val="right"/>
            </w:pPr>
            <w:r>
              <w:t xml:space="preserve">1.86%</w:t>
            </w:r>
          </w:p>
        </w:tc>
      </w:tr>
      <w:tr>
        <w:tc>
          <w:tcPr/>
          <w:p>
            <w:pPr>
              <w:pStyle w:val="Compact"/>
              <w:jc w:val="right"/>
            </w:pPr>
            <w:r>
              <w:t xml:space="preserve">Serine</w:t>
            </w:r>
          </w:p>
        </w:tc>
        <w:tc>
          <w:tcPr/>
          <w:p>
            <w:pPr>
              <w:pStyle w:val="Compact"/>
              <w:jc w:val="right"/>
            </w:pPr>
            <w:r>
              <w:t xml:space="preserve">20.26</w:t>
            </w:r>
          </w:p>
        </w:tc>
        <w:tc>
          <w:tcPr/>
          <w:p>
            <w:pPr>
              <w:pStyle w:val="Compact"/>
              <w:jc w:val="right"/>
            </w:pPr>
            <w:r>
              <w:t xml:space="preserve">0.21</w:t>
            </w:r>
          </w:p>
        </w:tc>
        <w:tc>
          <w:tcPr/>
          <w:p>
            <w:pPr>
              <w:pStyle w:val="Compact"/>
              <w:jc w:val="right"/>
            </w:pPr>
            <w:r>
              <w:t xml:space="preserve">1.04%</w:t>
            </w:r>
          </w:p>
        </w:tc>
        <w:tc>
          <w:tcPr/>
          <w:p>
            <w:pPr>
              <w:pStyle w:val="Compact"/>
            </w:pPr>
          </w:p>
        </w:tc>
        <w:tc>
          <w:tcPr/>
          <w:p>
            <w:pPr>
              <w:pStyle w:val="Compact"/>
              <w:jc w:val="right"/>
            </w:pPr>
            <w:r>
              <w:t xml:space="preserve">21.25</w:t>
            </w:r>
          </w:p>
        </w:tc>
        <w:tc>
          <w:tcPr/>
          <w:p>
            <w:pPr>
              <w:pStyle w:val="Compact"/>
              <w:jc w:val="right"/>
            </w:pPr>
            <w:r>
              <w:t xml:space="preserve">0.27</w:t>
            </w:r>
          </w:p>
        </w:tc>
        <w:tc>
          <w:tcPr/>
          <w:p>
            <w:pPr>
              <w:pStyle w:val="Compact"/>
              <w:jc w:val="right"/>
            </w:pPr>
            <w:r>
              <w:t xml:space="preserve">1.27%</w:t>
            </w:r>
          </w:p>
        </w:tc>
      </w:tr>
      <w:tr>
        <w:tc>
          <w:tcPr/>
          <w:p>
            <w:pPr>
              <w:pStyle w:val="Compact"/>
              <w:jc w:val="right"/>
            </w:pPr>
            <w:r>
              <w:t xml:space="preserve">Glycine</w:t>
            </w:r>
          </w:p>
        </w:tc>
        <w:tc>
          <w:tcPr/>
          <w:p>
            <w:pPr>
              <w:pStyle w:val="Compact"/>
              <w:jc w:val="right"/>
            </w:pPr>
            <w:r>
              <w:t xml:space="preserve">29.57</w:t>
            </w:r>
          </w:p>
        </w:tc>
        <w:tc>
          <w:tcPr/>
          <w:p>
            <w:pPr>
              <w:pStyle w:val="Compact"/>
              <w:jc w:val="right"/>
            </w:pPr>
            <w:r>
              <w:t xml:space="preserve">0.17</w:t>
            </w:r>
          </w:p>
        </w:tc>
        <w:tc>
          <w:tcPr/>
          <w:p>
            <w:pPr>
              <w:pStyle w:val="Compact"/>
              <w:jc w:val="right"/>
            </w:pPr>
            <w:r>
              <w:t xml:space="preserve">0.59%</w:t>
            </w:r>
          </w:p>
        </w:tc>
        <w:tc>
          <w:tcPr/>
          <w:p>
            <w:pPr>
              <w:pStyle w:val="Compact"/>
            </w:pPr>
          </w:p>
        </w:tc>
        <w:tc>
          <w:tcPr/>
          <w:p>
            <w:pPr>
              <w:pStyle w:val="Compact"/>
              <w:jc w:val="right"/>
            </w:pPr>
            <w:r>
              <w:t xml:space="preserve">29.28</w:t>
            </w:r>
          </w:p>
        </w:tc>
        <w:tc>
          <w:tcPr/>
          <w:p>
            <w:pPr>
              <w:pStyle w:val="Compact"/>
              <w:jc w:val="right"/>
            </w:pPr>
            <w:r>
              <w:t xml:space="preserve">0.34</w:t>
            </w:r>
          </w:p>
        </w:tc>
        <w:tc>
          <w:tcPr/>
          <w:p>
            <w:pPr>
              <w:pStyle w:val="Compact"/>
              <w:jc w:val="right"/>
            </w:pPr>
            <w:r>
              <w:t xml:space="preserve">1.15%</w:t>
            </w:r>
          </w:p>
        </w:tc>
      </w:tr>
      <w:tr>
        <w:tc>
          <w:tcPr/>
          <w:p>
            <w:pPr>
              <w:pStyle w:val="Compact"/>
              <w:jc w:val="right"/>
            </w:pPr>
            <w:r>
              <w:t xml:space="preserve">Leucine + isoleucine</w:t>
            </w:r>
          </w:p>
        </w:tc>
        <w:tc>
          <w:tcPr/>
          <w:p>
            <w:pPr>
              <w:pStyle w:val="Compact"/>
              <w:jc w:val="right"/>
            </w:pPr>
            <w:r>
              <w:t xml:space="preserve">22.49</w:t>
            </w:r>
          </w:p>
        </w:tc>
        <w:tc>
          <w:tcPr/>
          <w:p>
            <w:pPr>
              <w:pStyle w:val="Compact"/>
              <w:jc w:val="right"/>
            </w:pPr>
            <w:r>
              <w:t xml:space="preserve">0.18</w:t>
            </w:r>
          </w:p>
        </w:tc>
        <w:tc>
          <w:tcPr/>
          <w:p>
            <w:pPr>
              <w:pStyle w:val="Compact"/>
              <w:jc w:val="right"/>
            </w:pPr>
            <w:r>
              <w:t xml:space="preserve">0.78%</w:t>
            </w:r>
          </w:p>
        </w:tc>
        <w:tc>
          <w:tcPr/>
          <w:p>
            <w:pPr>
              <w:pStyle w:val="Compact"/>
            </w:pPr>
          </w:p>
        </w:tc>
        <w:tc>
          <w:tcPr/>
          <w:p>
            <w:pPr>
              <w:pStyle w:val="Compact"/>
              <w:jc w:val="right"/>
            </w:pPr>
            <w:r>
              <w:t xml:space="preserve">26.95</w:t>
            </w:r>
          </w:p>
        </w:tc>
        <w:tc>
          <w:tcPr/>
          <w:p>
            <w:pPr>
              <w:pStyle w:val="Compact"/>
              <w:jc w:val="right"/>
            </w:pPr>
            <w:r>
              <w:t xml:space="preserve">0.30</w:t>
            </w:r>
          </w:p>
        </w:tc>
        <w:tc>
          <w:tcPr/>
          <w:p>
            <w:pPr>
              <w:pStyle w:val="Compact"/>
              <w:jc w:val="right"/>
            </w:pPr>
            <w:r>
              <w:t xml:space="preserve">1.12%</w:t>
            </w:r>
          </w:p>
        </w:tc>
      </w:tr>
      <w:tr>
        <w:tc>
          <w:tcPr/>
          <w:p>
            <w:pPr>
              <w:pStyle w:val="Compact"/>
              <w:jc w:val="right"/>
            </w:pPr>
            <w:r>
              <w:t xml:space="preserve">Threonine</w:t>
            </w:r>
          </w:p>
        </w:tc>
        <w:tc>
          <w:tcPr/>
          <w:p>
            <w:pPr>
              <w:pStyle w:val="Compact"/>
              <w:jc w:val="right"/>
            </w:pPr>
            <w:r>
              <w:t xml:space="preserve">12.06</w:t>
            </w:r>
          </w:p>
        </w:tc>
        <w:tc>
          <w:tcPr/>
          <w:p>
            <w:pPr>
              <w:pStyle w:val="Compact"/>
              <w:jc w:val="right"/>
            </w:pPr>
            <w:r>
              <w:t xml:space="preserve">0.03</w:t>
            </w:r>
          </w:p>
        </w:tc>
        <w:tc>
          <w:tcPr/>
          <w:p>
            <w:pPr>
              <w:pStyle w:val="Compact"/>
              <w:jc w:val="right"/>
            </w:pPr>
            <w:r>
              <w:t xml:space="preserve">0.22%</w:t>
            </w:r>
          </w:p>
        </w:tc>
        <w:tc>
          <w:tcPr/>
          <w:p>
            <w:pPr>
              <w:pStyle w:val="Compact"/>
            </w:pPr>
          </w:p>
        </w:tc>
        <w:tc>
          <w:tcPr/>
          <w:p>
            <w:pPr>
              <w:pStyle w:val="Compact"/>
              <w:jc w:val="right"/>
            </w:pPr>
            <w:r>
              <w:t xml:space="preserve">14.71</w:t>
            </w:r>
          </w:p>
        </w:tc>
        <w:tc>
          <w:tcPr/>
          <w:p>
            <w:pPr>
              <w:pStyle w:val="Compact"/>
              <w:jc w:val="right"/>
            </w:pPr>
            <w:r>
              <w:t xml:space="preserve">0.06</w:t>
            </w:r>
          </w:p>
        </w:tc>
        <w:tc>
          <w:tcPr/>
          <w:p>
            <w:pPr>
              <w:pStyle w:val="Compact"/>
              <w:jc w:val="right"/>
            </w:pPr>
            <w:r>
              <w:t xml:space="preserve">0.38%</w:t>
            </w:r>
          </w:p>
        </w:tc>
      </w:tr>
    </w:tbl>
    <w:p>
      <w:pPr>
        <w:pStyle w:val="BodyText"/>
      </w:pPr>
      <w:r>
        <w:rPr>
          <w:i/>
          <w:iCs/>
        </w:rPr>
        <w:t xml:space="preserve">Table 1: Concentrations of 13 amino acids detected in both the total hydrolyzable (THAA) and dissolved free (DFAA) pools for unlabeled data in the surface averaged across all treatments. Values are reported in nanomoles per liter (nM).</w:t>
      </w:r>
    </w:p>
    <w:p>
      <w:pPr>
        <w:pStyle w:val="BodyText"/>
      </w:pPr>
      <w:r>
        <w:t xml:space="preserve">There were also differences in THAA labeling patterns between the amendments (Figure 3). Despite their shorter incubation time (26 hours vs 73 hours), the inorganic nitrogen amendments had approximately equal fractions of labeled protein. The nitrate amendments in particular were surprisingly heavily labeled given the minimal signal seen in free metabolites.</w:t>
      </w:r>
    </w:p>
    <w:p>
      <w:pPr>
        <w:pStyle w:val="BodyText"/>
      </w:pPr>
      <w:r>
        <w:drawing>
          <wp:inline>
            <wp:extent cx="5334000" cy="4103076"/>
            <wp:effectExtent b="0" l="0" r="0" t="0"/>
            <wp:docPr descr="" title="" id="29" name="Picture"/>
            <a:graphic>
              <a:graphicData uri="http://schemas.openxmlformats.org/drawingml/2006/picture">
                <pic:pic>
                  <pic:nvPicPr>
                    <pic:cNvPr descr="figures/total_thaa_gp.png" id="30" name="Picture"/>
                    <pic:cNvPicPr>
                      <a:picLocks noChangeArrowheads="1" noChangeAspect="1"/>
                    </pic:cNvPicPr>
                  </pic:nvPicPr>
                  <pic:blipFill>
                    <a:blip r:embed="rId2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3: Stacked bar plots showing the fraction of various total hydrolyzable amino acids (THAAs) labeled at the end of the surface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In the THAAs we were able to see the carbon backbone from the organics propagate into other compounds, resulting in</w:t>
      </w:r>
      <w:r>
        <w:t xml:space="preserve"> </w:t>
      </w:r>
      <w:r>
        <w:rPr>
          <w:vertAlign w:val="superscript"/>
        </w:rPr>
        <w:t xml:space="preserve">13</w:t>
      </w:r>
      <w:r>
        <w:t xml:space="preserve">C labeling in excess of natural abundance.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with the</w:t>
      </w:r>
      <w:r>
        <w:t xml:space="preserve"> </w:t>
      </w:r>
      <w:r>
        <w:rPr>
          <w:vertAlign w:val="superscript"/>
        </w:rPr>
        <w:t xml:space="preserve">15</w:t>
      </w:r>
      <w:r>
        <w:t xml:space="preserve">N</w:t>
      </w:r>
      <w:r>
        <w:rPr>
          <w:vertAlign w:val="subscript"/>
        </w:rPr>
        <w:t xml:space="preserve">3</w:t>
      </w:r>
      <w:r>
        <w:t xml:space="preserve"> </w:t>
      </w:r>
      <w:r>
        <w:t xml:space="preserve">pattern indicating that glutamate, glutamine, and adenine were also heavily</w:t>
      </w:r>
      <w:r>
        <w:t xml:space="preserve"> </w:t>
      </w:r>
      <w:r>
        <w:rPr>
          <w:vertAlign w:val="superscript"/>
        </w:rPr>
        <w:t xml:space="preserve">15</w:t>
      </w:r>
      <w:r>
        <w:t xml:space="preserve">N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in the GMP amendments (Figure 3, Supplemental Figure 2).</w:t>
      </w:r>
    </w:p>
    <w:p>
      <w:pPr>
        <w:pStyle w:val="BodyText"/>
      </w:pPr>
      <w:r>
        <w:t xml:space="preserve">However, this increase in THAA abundance was not reflected in the the osmolytes (Figure 4). Instead, osmolytes showed small amounts of labeling as a whole and did not increase in concentration over the course of the experiment with the exception of proline and glycine, which were ~50% labeled after 24 hours in the ammonia, arginine, and GMP additions. Ectoine also saw extensive labeling at T26 in all amendments.</w:t>
      </w:r>
    </w:p>
    <w:p>
      <w:pPr>
        <w:pStyle w:val="CaptionedFigure"/>
      </w:pPr>
      <w:r>
        <w:drawing>
          <wp:inline>
            <wp:extent cx="5334000" cy="5334000"/>
            <wp:effectExtent b="0" l="0" r="0" t="0"/>
            <wp:docPr descr="Figure 4: Concentration of common osmolytes plotted against the fraction labeled. Time increases in panels from top to bottom while the four different amendments are shown as columns. Colors denote individual metabolites and both the 25 meter, 175 meters, 6AM, and 6PM samples are shown together in each facet. GBT = glycine betaine, TMAO = trimethylamine N-oxide." title="" id="32" name="Picture"/>
            <a:graphic>
              <a:graphicData uri="http://schemas.openxmlformats.org/drawingml/2006/picture">
                <pic:pic>
                  <pic:nvPicPr>
                    <pic:cNvPr descr="figures/osmo_conc_vs_label.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Concentration of common osmolytes plotted against the fraction labeled. Time increases in panels from top to bottom while the four different amendments are shown as columns. Colors denote individual metabolites and both the 25 meter, 175 meters, 6AM, and 6PM samples are shown together in each facet. GBT = glycine betaine, TMAO = trimethylamine N-oxide.</w:t>
      </w:r>
    </w:p>
    <w:bookmarkEnd w:id="34"/>
    <w:bookmarkStart w:id="38"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detectable difference between the 6AM start time and the 6PM start time with the exception being the mycosporine-like amino acids (MAAs, Figure 5).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6" name="Picture"/>
            <a:graphic>
              <a:graphicData uri="http://schemas.openxmlformats.org/drawingml/2006/picture">
                <pic:pic>
                  <pic:nvPicPr>
                    <pic:cNvPr descr="figures/MAA_curves.png" id="37" name="Picture"/>
                    <pic:cNvPicPr>
                      <a:picLocks noChangeArrowheads="1" noChangeAspect="1"/>
                    </pic:cNvPicPr>
                  </pic:nvPicPr>
                  <pic:blipFill>
                    <a:blip r:embed="rId35"/>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5: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 (Supplemental Figure 3).</w:t>
      </w:r>
    </w:p>
    <w:bookmarkEnd w:id="38"/>
    <w:bookmarkStart w:id="51" w:name="Xf8cfc5d50d613d7c6f6f8fcdc1a03d0bfc75491"/>
    <w:p>
      <w:pPr>
        <w:pStyle w:val="Heading2"/>
      </w:pPr>
      <w:r>
        <w:t xml:space="preserve">Ammonia more bioavailable at surface, organics equally bioavailable at 25m and 175m</w:t>
      </w:r>
    </w:p>
    <w:p>
      <w:pPr>
        <w:pStyle w:val="FirstParagraph"/>
      </w:pPr>
      <w:r>
        <w:rPr>
          <w:rStyle w:val="VerbatimChar"/>
        </w:rPr>
        <w:t xml:space="preserve">wc('From Randie: Some of this deeper data in in figure 6.4, so maybe remove that and move it to this section?')</w:t>
      </w:r>
      <w:r>
        <w:t xml:space="preserve"> </w:t>
      </w: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6).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40" name="Picture"/>
            <a:graphic>
              <a:graphicData uri="http://schemas.openxmlformats.org/drawingml/2006/picture">
                <pic:pic>
                  <pic:nvPicPr>
                    <pic:cNvPr descr="figures/deep_vs_surf_label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6: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6).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was the osmolyte ectoine, an aspartate derivative that nonetheless was synthesized with nitrogen from ammonia at depth with the fraction labeled equal to or exceeding that of the surface in an equal amount of time.</w:t>
      </w:r>
      <w:r>
        <w:t xml:space="preserve"> </w:t>
      </w:r>
      <w:r>
        <w:rPr>
          <w:rStyle w:val="VerbatimChar"/>
        </w:rPr>
        <w:t xml:space="preserve">wc('From Randie: Were the 175m incubations kept at the same temperature as the surface ones when they were incubated?')</w:t>
      </w:r>
    </w:p>
    <w:p>
      <w:pPr>
        <w:pStyle w:val="BodyText"/>
      </w:pPr>
      <w:r>
        <w:t xml:space="preserve">We were unfortunately unable to present the data collected from the 175 meter labeled nitrate incubations here due to our inability to confidently connect data to the correct timepoint for those samples but the raw numbers are provided in the supplement (Supplemental Figure 1, Supplemental Figure 5).</w:t>
      </w:r>
    </w:p>
    <w:p>
      <w:pPr>
        <w:pStyle w:val="BodyText"/>
      </w:pPr>
      <w:r>
        <w:rPr>
          <w:vertAlign w:val="superscript"/>
        </w:rPr>
        <w:t xml:space="preserve">15</w:t>
      </w:r>
      <w:r>
        <w:t xml:space="preserve">N use from the organic nitrogen substrates was similar between the 25 meter and 175 meter samples aside from the direct products added to incubations. In both cases, uptake and use of the labeled substrate was equal or slightly higher at depth for a majority of the metabolites measured. Exceptions to this were theanine, which contained 20-30 percent more labeled N in the surface incubations at the final timepoint, and ectoine, which was present in higher concentrations at depth even relative to the ammonia treatments, containing 50 percent more labeled N at 175 meters than it did at 25 meters.</w:t>
      </w:r>
    </w:p>
    <w:p>
      <w:pPr>
        <w:pStyle w:val="BodyText"/>
      </w:pPr>
      <w:r>
        <w:t xml:space="preserve">At 175 meters, the difference between organic and inorganic amendments was also apparent (Figure 7). Organic compounds resulted in increases in absolute metabolite concentration and fraction labeled while the inorganic substrates were essentially unused. This is in direct contrast to the surface data, where ammonia also resulted in an increased metabolite load likely corresponding to overall growth. Much of the labeling at 175 meters appeared to be in the less-abundant compounds. Glutamine (~1 nM) was almost entirely labeled after 24 hours and half the glutamate pool (3-5 nM) had been synthesized from the</w:t>
      </w:r>
      <w:r>
        <w:t xml:space="preserve"> </w:t>
      </w:r>
      <w:r>
        <w:rPr>
          <w:vertAlign w:val="superscript"/>
        </w:rPr>
        <w:t xml:space="preserve">15</w:t>
      </w:r>
      <w:r>
        <w:t xml:space="preserve">N in arginine and GMP, while the other 7 most abundant compounds were not nearly as heavily labeled. The less-abundant compounds, however, were also on average 50% labeled, representing an additional 1-2 nanomoles of</w:t>
      </w:r>
      <w:r>
        <w:t xml:space="preserve"> </w:t>
      </w:r>
      <w:r>
        <w:rPr>
          <w:vertAlign w:val="superscript"/>
        </w:rPr>
        <w:t xml:space="preserve">15</w:t>
      </w:r>
      <w:r>
        <w:t xml:space="preserve">N label incorporation per liter (Supplemental Figure 4).</w:t>
      </w:r>
    </w:p>
    <w:p>
      <w:pPr>
        <w:pStyle w:val="BodyText"/>
      </w:pPr>
      <w:r>
        <w:drawing>
          <wp:inline>
            <wp:extent cx="5334000" cy="4103076"/>
            <wp:effectExtent b="0" l="0" r="0" t="0"/>
            <wp:docPr descr="" title="" id="43" name="Picture"/>
            <a:graphic>
              <a:graphicData uri="http://schemas.openxmlformats.org/drawingml/2006/picture">
                <pic:pic>
                  <pic:nvPicPr>
                    <pic:cNvPr descr="figures/abs_metab_concs.png" id="44" name="Picture"/>
                    <pic:cNvPicPr>
                      <a:picLocks noChangeArrowheads="1" noChangeAspect="1"/>
                    </pic:cNvPicPr>
                  </pic:nvPicPr>
                  <pic:blipFill>
                    <a:blip r:embed="rId4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7: Quantified metabolite concentrations in nanomolar throughout the incubations for the 9 most abundant metabolites as distinguished by color. Concentrations have been broken down by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Compounds other than the top 9 have been averaged and are shown in grey. Totals for all four amendments are shown here in the order they were done during the cruise, with separate panels for the 25 meter samples and the 175 meter samples. Biological triplicates from both 6AM and 6PM have been averaged here to produce the single value with an n of 6 except for the 25 meter arginine incubations where the morning T3 timepoint was filtered after 18 hours instead for an n of 3 at T3 and T18.</w:t>
      </w:r>
    </w:p>
    <w:p>
      <w:pPr>
        <w:pStyle w:val="BodyText"/>
      </w:pPr>
      <w:r>
        <w:t xml:space="preserve">We explored this further by investigating the total amount of nitrogen contained within the metabolites and THAAs in the experiments. We saw that the absolute amount of</w:t>
      </w:r>
      <w:r>
        <w:t xml:space="preserve"> </w:t>
      </w:r>
      <w:r>
        <w:rPr>
          <w:vertAlign w:val="superscript"/>
        </w:rPr>
        <w:t xml:space="preserve">14</w:t>
      </w:r>
      <w:r>
        <w:t xml:space="preserve">N remained relatively constant around 10 nM at the surface and 5 nM at 175 meters, while the absolute amount of</w:t>
      </w:r>
      <w:r>
        <w:t xml:space="preserve"> </w:t>
      </w:r>
      <w:r>
        <w:rPr>
          <w:vertAlign w:val="superscript"/>
        </w:rPr>
        <w:t xml:space="preserve">15</w:t>
      </w:r>
      <w:r>
        <w:t xml:space="preserve">N increased smoothly. The same pattern was observed in the THAAs, where</w:t>
      </w:r>
      <w:r>
        <w:t xml:space="preserve"> </w:t>
      </w:r>
      <w:r>
        <w:rPr>
          <w:vertAlign w:val="superscript"/>
        </w:rPr>
        <w:t xml:space="preserve">14</w:t>
      </w:r>
      <w:r>
        <w:t xml:space="preserve">N concentrations hovered around 150-200 nM at the surface and ~100 nM at 175 meters while the</w:t>
      </w:r>
      <w:r>
        <w:t xml:space="preserve"> </w:t>
      </w:r>
      <w:r>
        <w:rPr>
          <w:vertAlign w:val="superscript"/>
        </w:rPr>
        <w:t xml:space="preserve">15</w:t>
      </w:r>
      <w:r>
        <w:t xml:space="preserve">N concentrations jumped up between the initial and final timepoints for arginine and GMP after the three day incubation while the increase was only observed for ammonia at the surface.</w:t>
      </w:r>
    </w:p>
    <w:p>
      <w:pPr>
        <w:pStyle w:val="BodyText"/>
      </w:pPr>
      <w:r>
        <w:drawing>
          <wp:inline>
            <wp:extent cx="5334000" cy="3200399"/>
            <wp:effectExtent b="0" l="0" r="0" t="0"/>
            <wp:docPr descr="" title="" id="46" name="Picture"/>
            <a:graphic>
              <a:graphicData uri="http://schemas.openxmlformats.org/drawingml/2006/picture">
                <pic:pic>
                  <pic:nvPicPr>
                    <pic:cNvPr descr="figures/thaa_metab_lab_concs.png" id="47" name="Picture"/>
                    <pic:cNvPicPr>
                      <a:picLocks noChangeArrowheads="1" noChangeAspect="1"/>
                    </pic:cNvPicPr>
                  </pic:nvPicPr>
                  <pic:blipFill>
                    <a:blip r:embed="rId45"/>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i/>
          <w:iCs/>
        </w:rPr>
        <w:t xml:space="preserve">Figure 8: Quantified metabolite concentrations in nanomolar throughout the incubations for both metabolites and THAAs. Colors denote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Totals for all four amendments are shown here in the order they were done during the cruise.</w:t>
      </w:r>
    </w:p>
    <w:p>
      <w:pPr>
        <w:pStyle w:val="BodyText"/>
      </w:pPr>
      <w:r>
        <w:t xml:space="preserve">Finally, to investigate what fraction of this labeling was due to net synthesis or metabolite turnover for the metabolome as a whole, we plotted the relative concentration change between the initial timepoint and T26 against the fraction of the metabolite labeled (Figure 9). While most metabolites increased their labeling in sync with their total increase in abundance, two metabolites stood out in particular. The amino acid methionine experienced large amounts of synthesis</w:t>
      </w:r>
      <w:r>
        <w:t xml:space="preserve"> </w:t>
      </w:r>
      <w:r>
        <w:rPr>
          <w:rStyle w:val="VerbatimChar"/>
        </w:rPr>
        <w:t xml:space="preserve">wc('From Randie: ? Do you mean the concentrations were high?')</w:t>
      </w:r>
      <w:r>
        <w:t xml:space="preserve"> </w:t>
      </w:r>
      <w:r>
        <w:t xml:space="preserve">and jumped from below the limit of detection at T0 (a few pM) to hundreds of picomolar. This did not occur in the 175 meter ammonia or nitrate incubations, and the 25 meter nitrate incubation’s methionine concentration actually decreased between T0 and T26. Unlike methionine and most other compounds, adenosine also stood out for its high levels of turnover without much increase in abundance (Figure 9). Adenosine concentrations consistently decreased after 24 hours despite accumulating large amounts of label (40-80%), indicating high turnover and use of this metabolite even in the GMP incubation where a similar nucleoside was abundant in the environment. This pattern was especially unique because the nucleobase adenine did not follow this pattern and instead mapped onto most other metabolites with simultaneous synthesis and labeling, as did the other nucleosides guanosine and cytidine.</w:t>
      </w:r>
    </w:p>
    <w:p>
      <w:pPr>
        <w:pStyle w:val="BodyText"/>
      </w:pPr>
      <w:r>
        <w:drawing>
          <wp:inline>
            <wp:extent cx="5334000" cy="4103076"/>
            <wp:effectExtent b="0" l="0" r="0" t="0"/>
            <wp:docPr descr="" title="" id="49" name="Picture"/>
            <a:graphic>
              <a:graphicData uri="http://schemas.openxmlformats.org/drawingml/2006/picture">
                <pic:pic>
                  <pic:nvPicPr>
                    <pic:cNvPr descr="figures/zimm_mimic.png" id="50" name="Picture"/>
                    <pic:cNvPicPr>
                      <a:picLocks noChangeArrowheads="1" noChangeAspect="1"/>
                    </pic:cNvPicPr>
                  </pic:nvPicPr>
                  <pic:blipFill>
                    <a:blip r:embed="rId4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9: Turnover vs new synthesis of metabolites after ~24 hours. Points correspond to individual metabolites with the x-coordinate indicating the log</w:t>
      </w:r>
      <w:r>
        <w:rPr>
          <w:i/>
          <w:iCs/>
        </w:rPr>
        <w:t xml:space="preserve">2</w:t>
      </w:r>
      <w:r>
        <w:rPr>
          <w:i/>
          <w:iCs/>
        </w:rPr>
        <w:t xml:space="preserve">-fold change difference between the compound’s initial concentration and its final amount and the y-coordinate indicating the fraction of the metabolite labeled at T26. Points near zero on the x-axis but with large y-axis values underwent significant turnover without much synthesis, while values sloping up to the right are the result of net growth. Grey fills denote the start time (either 6AM or 6PM) and the shape denotes the depth from which the incubation community was taken. The three consistently outermost metabolites have been manually labeled, though zero methionine signal was detected at T0 for the 175 meter samples in the 6AM nitrate and ammonia incubations as well as the 6PM ammonia incubation, so no points can be annotated.</w:t>
      </w:r>
    </w:p>
    <w:bookmarkEnd w:id="51"/>
    <w:bookmarkStart w:id="55"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that the putatively identified compounds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either eluted within the first two minutes or were likely adducts of bisulfate (eluting between 14 and 14.5 minutes) and were removed from downstream analysis as well.</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between the unlabeled and labeled data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consisting of fragments from proline (70.0658), glutamic acid/glutamate (84.0449, 102.0550, and 130.0499), and the loss of ribose from nucleosides). Five compounds were putatively identified using isotope labeling patterns and literature searches, four additional compounds could not be putatively identified but had plausible molecular formulae, and one feature we were unable to annotate at all (Supplemental Table 3)</w:t>
      </w:r>
      <w:r>
        <w:t xml:space="preserve"> </w:t>
      </w:r>
      <w:r>
        <w:rPr>
          <w:rStyle w:val="VerbatimChar"/>
        </w:rPr>
        <w:t xml:space="preserve">wc('From Randie: Most of this above could be included in the methods')</w:t>
      </w:r>
      <w:r>
        <w:t xml:space="preserve">.</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10). Cluster 1, the largest with 64 molecular features, contained many of the unlabeled compounds including those without any nitrogen and all of the betaines. Cluster 2 contained most of the amino acids and beta-alanine. Cluster 3 contained the nucleobases other than cytosine and the ribose nucleosides as well as asparagine and proline, while cluster 5 contained the deoxyribose nucleosides and cytosine which did not get labeled as rapidly in the ammonia treatment. Cluster 4 contained 27 rapidly-labeled compounds including glutamine, glutamic acid, and aspartic acid. The sole known compound in cluster 6 was guanosine, with heavy labeling in the GMP incubations and mild labeling elsewhere. Cluster 7 consisted exclusively of the MAAs and their isotopes. Finally, cluster 8 contained arginine, citrulline, ectoine, theanine, and N-acetyllysine, all of which had significant labeling in the arginine amendment. None of the 7 compounds in clusters 9 or 10 had known metabolites and these appear to be largely noise signals</w:t>
      </w:r>
      <w:r>
        <w:t xml:space="preserve"> </w:t>
      </w:r>
      <w:r>
        <w:rPr>
          <w:rStyle w:val="VerbatimChar"/>
        </w:rPr>
        <w:t xml:space="preserve">wc('From Randie: I am not sure what this means')</w:t>
      </w:r>
      <w:r>
        <w:t xml:space="preserve"> </w:t>
      </w:r>
      <w:r>
        <w:t xml:space="preserve">with 50% or more labeled at T0 (Figure 10, Supplemental Figure 5).</w:t>
      </w:r>
    </w:p>
    <w:p>
      <w:pPr>
        <w:pStyle w:val="BodyText"/>
      </w:pPr>
      <w:r>
        <w:drawing>
          <wp:inline>
            <wp:extent cx="5334000" cy="3282461"/>
            <wp:effectExtent b="0" l="0" r="0" t="0"/>
            <wp:docPr descr="" title="" id="53" name="Picture"/>
            <a:graphic>
              <a:graphicData uri="http://schemas.openxmlformats.org/drawingml/2006/picture">
                <pic:pic>
                  <pic:nvPicPr>
                    <pic:cNvPr descr="figures/untarg_heatmap.png" id="54" name="Picture"/>
                    <pic:cNvPicPr>
                      <a:picLocks noChangeArrowheads="1" noChangeAspect="1"/>
                    </pic:cNvPicPr>
                  </pic:nvPicPr>
                  <pic:blipFill>
                    <a:blip r:embed="rId52"/>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10: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55"/>
    <w:bookmarkEnd w:id="56"/>
    <w:bookmarkStart w:id="59" w:name="discussion"/>
    <w:p>
      <w:pPr>
        <w:pStyle w:val="Heading1"/>
      </w:pPr>
      <w:r>
        <w:t xml:space="preserve">Discussion</w:t>
      </w:r>
    </w:p>
    <w:bookmarkStart w:id="57" w:name="Xb9a26c1076fa4e51103e51b4f63e95a0226860d"/>
    <w:p>
      <w:pPr>
        <w:pStyle w:val="Heading2"/>
      </w:pPr>
      <w:r>
        <w:t xml:space="preserve">Contrasting the metabolic pathways taken by four forms of nitrogen</w:t>
      </w:r>
    </w:p>
    <w:p>
      <w:pPr>
        <w:pStyle w:val="FirstParagraph"/>
      </w:pPr>
      <w:r>
        <w:t xml:space="preserve">Ammonia was taken up immediately and resulted in extensive labeling of glutamine even within the first 20 minutes of the incubation at both 25 and 175 meters. This indicates that ammonia transporters and glutamine synthetase were present, despite low in-situ concentrations of ammonia. This</w:t>
      </w:r>
      <w:r>
        <w:t xml:space="preserve"> </w:t>
      </w:r>
      <w:r>
        <w:rPr>
          <w:vertAlign w:val="superscript"/>
        </w:rPr>
        <w:t xml:space="preserve">15</w:t>
      </w:r>
      <w:r>
        <w:t xml:space="preserve">N signal rapidly propagated to the expected amino acids via well-established pathways, though much more slowly at depth. One surprise was the extensive labeling of citrulline, a central urea cycle metabolite, without the associated propagation to arginine and ornithine. This indicates that the ammonia was likely being processed into carbamoyl phosphate via the CPS (carbamoyl phosphate synthetase) enzyme instead of ornithine via the Arg* synthesis pathway, potentially as a detoxification mechanism to prevent the accumulation of ammonia to dangerous levels</w:t>
      </w:r>
      <w:r>
        <w:t xml:space="preserve"> </w:t>
      </w:r>
      <w:r>
        <w:t xml:space="preserve">(Armbrust et al. 2004; Armbrust 2009)</w:t>
      </w:r>
      <w:r>
        <w:t xml:space="preserve">. Also surprising was the rate at which nucleobases were labeled, most commonly with all nitrogens as</w:t>
      </w:r>
      <w:r>
        <w:t xml:space="preserve"> </w:t>
      </w:r>
      <w:r>
        <w:rPr>
          <w:vertAlign w:val="superscript"/>
        </w:rPr>
        <w:t xml:space="preserve">15</w:t>
      </w:r>
      <w:r>
        <w:t xml:space="preserve">N. This indicates that either nucleobase synthesis was already highly active or was triggered by the addition of ammonia. Notably, the deoxyribose forms of the nucleosides were labeled more slowly than the ribose forms, hinting at a slower turnover of DNA components than RNA.</w:t>
      </w:r>
    </w:p>
    <w:p>
      <w:pPr>
        <w:pStyle w:val="BodyText"/>
      </w:pPr>
      <w:r>
        <w:t xml:space="preserve">In contrast, nitrate was available to only a subset of the community and did not result in widespread labeling either at the surface or at depth. Not all organisms are able to use nitrate, most notably absent in a majority of clades in the abundant cyanobacteria</w:t>
      </w:r>
      <w:r>
        <w:t xml:space="preserve"> </w:t>
      </w:r>
      <w:r>
        <w:rPr>
          <w:i/>
          <w:iCs/>
        </w:rPr>
        <w:t xml:space="preserve">Prochlorococcus</w:t>
      </w:r>
      <w:r>
        <w:t xml:space="preserve"> </w:t>
      </w:r>
      <w:r>
        <w:t xml:space="preserve">(Berube et al. 2015; Partensky and Garczarek 2010; Martiny et al. 2009)</w:t>
      </w:r>
      <w:r>
        <w:t xml:space="preserve">. Typically, nitrate amendments result in the growth of diatoms, with smaller contributions from haptophytes or pelagophytes</w:t>
      </w:r>
      <w:r>
        <w:t xml:space="preserve"> </w:t>
      </w:r>
      <w:r>
        <w:t xml:space="preserve">(Alexander et al. 2015; Rii et al. 2018; Seelen et al. 2024)</w:t>
      </w:r>
      <w:r>
        <w:t xml:space="preserve">. Diatoms are capable of nitrate reduction and we suspect that they are the primary source of the</w:t>
      </w:r>
      <w:r>
        <w:t xml:space="preserve"> </w:t>
      </w:r>
      <w:r>
        <w:rPr>
          <w:vertAlign w:val="superscript"/>
        </w:rPr>
        <w:t xml:space="preserve">15</w:t>
      </w:r>
      <w:r>
        <w:t xml:space="preserve">N assimilation and subsequent incorporation into metabolites seen in the nitrate incubations. We see clear patterns of a community subset in the labeling patterns of guanine, MAAs, and the THAAs, all of which had a fraction labeled greater than the bulk glutamine/glutamate pool and is thus not possible with a homogeneously mixed pool. The extensive labeling of the THAAs in particular relative to the metabolite pool indicates that a majority of the protein synthesis was done by a subset of the community able to assimilate nitrate. Additionally, the MAAs are synthesized by adding amino acids to the 4-deoxygadusol core</w:t>
      </w:r>
      <w:r>
        <w:t xml:space="preserve"> </w:t>
      </w:r>
      <w:r>
        <w:t xml:space="preserve">(Wada et al. 2015)</w:t>
      </w:r>
      <w:r>
        <w:t xml:space="preserve">, requiring that the glycine, serine, and threonine pools also be at least as heavily labeled as the MAAs they compose.</w:t>
      </w:r>
    </w:p>
    <w:p>
      <w:pPr>
        <w:pStyle w:val="BodyText"/>
      </w:pPr>
      <w:r>
        <w:t xml:space="preserve">Importantly, the amount of nitrate added was massively in excess of the quantity normally available at the surface which likely resulted in a lag as nitrate-sensitive genes were turned on so it is possible that a longer incubation time would have resulted in additional labeling if translation time was a major limiting factor. However, we see similar results in</w:t>
      </w:r>
      <w:r>
        <w:t xml:space="preserve"> </w:t>
      </w:r>
      <w:r>
        <w:t xml:space="preserve">Zimmerman et al. (2023)</w:t>
      </w:r>
      <w:r>
        <w:t xml:space="preserve"> </w:t>
      </w:r>
      <w:r>
        <w:t xml:space="preserve">who also observed significantly more labeling from ammonia than nitrate. The clear upward vertical propagation of increasingly reduced forms of nitrogen (ammonia max &lt; nitrite max &lt; nitrate max) also hints at the role the more oxidized forms may play as electron sinks in the surface ocean where light is abundant.</w:t>
      </w:r>
    </w:p>
    <w:p>
      <w:pPr>
        <w:pStyle w:val="BodyText"/>
      </w:pPr>
      <w:r>
        <w:t xml:space="preserve">The two forms of organic nitrogen were used almost identically at both the surface and below the DCM as well as at 6AM and 6PM. In all eight circumstances, the first 10 hours showed essentially no labeling aside from the amended molecule and its direct products (e.g. citrulline &amp; guanosine), then the fraction labeled spiked up at T26. This similarity leads us to believe that the heterotrophic community was responsible for most of the labeling that occurred in these incubations, in agreement with the general philosophy that heterotrophic bacteria are the primary sinks of DON</w:t>
      </w:r>
      <w:r>
        <w:t xml:space="preserve"> </w:t>
      </w:r>
      <w:r>
        <w:t xml:space="preserve">(Berthelot et al. 2021; Bradley et al. 2010)</w:t>
      </w:r>
      <w:r>
        <w:t xml:space="preserve"> </w:t>
      </w:r>
      <w:r>
        <w:t xml:space="preserve">despite clear evidence that autotrophs are capable of taking up and using organic substrates</w:t>
      </w:r>
      <w:r>
        <w:t xml:space="preserve"> </w:t>
      </w:r>
      <w:r>
        <w:t xml:space="preserve">(Muñoz-Marín et al. 2020; Antia et al. 1991; Deborah A. Bronk et al. 2024)</w:t>
      </w:r>
      <w:r>
        <w:t xml:space="preserve">. The especially heavy labeling (&gt;75% across the board) of the nucleobases and nucleosides from organic substrates indicate that their synthesis was a priority for the community. This, combined with the large amount of THAA synthesis indicates net synthesis of biomass, as seen in the majority of the metabolite concentrations also increasing over the experiment duration.</w:t>
      </w:r>
    </w:p>
    <w:p>
      <w:pPr>
        <w:pStyle w:val="BodyText"/>
      </w:pPr>
      <w:r>
        <w:t xml:space="preserve">Organic nitrogen additions may have relieved N limitation at the surface and C limitation at depth, allowing similar degrees of growth in both locations. This is supported by the reuse of the carbon backbone in the THAAs, with proline and glutamate both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and histidine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that the ribose pool must have been swamped with fully</w:t>
      </w:r>
      <w:r>
        <w:t xml:space="preserve"> </w:t>
      </w:r>
      <w:r>
        <w:rPr>
          <w:vertAlign w:val="superscript"/>
        </w:rPr>
        <w:t xml:space="preserve">13</w:t>
      </w:r>
      <w:r>
        <w:t xml:space="preserve">C labeled ribose cleaved from guanosine in order to enter the phosphoribosyl pyrophosphate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communities, glutamate, glutamine, and adenine were also &gt;50%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p>
      <w:pPr>
        <w:pStyle w:val="BodyText"/>
      </w:pPr>
      <w:r>
        <w:t xml:space="preserve">In contrast, the lack of corresponding osmolyte synthesis would indicate that total biomass did not increase enough to demand the synthesis of additional salinity-balancing metabolites. The concentration of major osmolytes in the cell is thought to be a function of cell volume and moderated by salinity</w:t>
      </w:r>
      <w:r>
        <w:t xml:space="preserve"> </w:t>
      </w:r>
      <w:r>
        <w:t xml:space="preserve">(Yancey 2005)</w:t>
      </w:r>
      <w:r>
        <w:t xml:space="preserve">, but we did not see significant labeling or net increases in most concentrations. The lack of correlation between the metabolite pool size and the fraction of it labeled indicates that cells are carefully allocating intracellular nitrogen. The exceptions to this were proline and glycine, which have many roles in the cell as amino acids, and ectoine, which is a metabolite thought to be produced almost exclusively by heterotrophic bacteria</w:t>
      </w:r>
      <w:r>
        <w:t xml:space="preserve"> </w:t>
      </w:r>
      <w:r>
        <w:t xml:space="preserve">(McParland et al. 2021)</w:t>
      </w:r>
      <w:r>
        <w:t xml:space="preserve">. Ectoine also showed unique labeling patterns with nearly equal amounts of labeling observed at the surface and 175 meters, reinforcing the idea that it’s largely synthesized by heterotrophic bacteria to whom organic nitrogen is readily available.</w:t>
      </w:r>
    </w:p>
    <w:p>
      <w:pPr>
        <w:pStyle w:val="BodyText"/>
      </w:pPr>
      <w:r>
        <w:t xml:space="preserve">The general patterns shown in the known metabolites were generally reflected in the unknown metabolome as well. Our list of standards covered a majority of the signals that were high quality, had a</w:t>
      </w:r>
      <w:r>
        <w:t xml:space="preserve"> </w:t>
      </w:r>
      <w:r>
        <w:rPr>
          <w:vertAlign w:val="superscript"/>
        </w:rPr>
        <w:t xml:space="preserve">15</w:t>
      </w:r>
      <w:r>
        <w:t xml:space="preserve">N isotope, and increased in peak area over the course of the incubation according to fairly strict cutoffs. Of the novel molecules with putative identifications, the deoxyribonucleic acids were interesting for their smaller fraction labeled relative to the ribonucleic acids, implying that significantly more</w:t>
      </w:r>
      <w:r>
        <w:t xml:space="preserve"> </w:t>
      </w:r>
      <w:r>
        <w:rPr>
          <w:vertAlign w:val="superscript"/>
        </w:rPr>
        <w:t xml:space="preserve">15</w:t>
      </w:r>
      <w:r>
        <w:t xml:space="preserve">N was allocated to RNA synthesis than DNA in good agreement with our general understanding of the relative DNA vs RNA turnover times. The deoxyribose forms did still show a large amount (~20%) labeling after 24 hours, however, so DNA synthesis was occurring and likely therefore DNA replication and cell division. Another interesting metabolite discovered by untargeted methods was theanine (N5-ethyl glutamine), best known for its role in tea flavoring</w:t>
      </w:r>
      <w:r>
        <w:t xml:space="preserve"> </w:t>
      </w:r>
      <w:r>
        <w:t xml:space="preserve">(Vuong et al. 2011)</w:t>
      </w:r>
      <w:r>
        <w:t xml:space="preserve"> </w:t>
      </w:r>
      <w:r>
        <w:t xml:space="preserve">that has since been found in fungi and can be produced from bacterial enzymes</w:t>
      </w:r>
      <w:r>
        <w:t xml:space="preserve"> </w:t>
      </w:r>
      <w:r>
        <w:t xml:space="preserve">(Mu et al. 2015)</w:t>
      </w:r>
      <w:r>
        <w:t xml:space="preserve">. This metabolite was almost exclusively singly-labeled, indicating that the ethylamine pool was not heavily labeled as it is predominately synthesized from glutamate and ethylamine. Its labeling pattern also tracked closely with that of glutamate, however, hinting at active synthesis of this compound in the marine environment for unknown reasons. Finally, the labeling of nicotinamide could be a result of vitamin B3 synthesis or the broader synthesis of nicotinamide adenine dinucleotide (NAD+), the latter of which would also explain why adenosine turns over rapidly but does not increase in concentration throughout the incubations. However, we must note that the identification of these compounds remain putative and are based exclusively on MS</w:t>
      </w:r>
      <w:r>
        <w:rPr>
          <w:vertAlign w:val="superscript"/>
        </w:rPr>
        <w:t xml:space="preserve">1</w:t>
      </w:r>
      <w:r>
        <w:t xml:space="preserve"> </w:t>
      </w:r>
      <w:r>
        <w:t xml:space="preserve">data via</w:t>
      </w:r>
      <w:r>
        <w:t xml:space="preserve"> </w:t>
      </w:r>
      <w:r>
        <w:rPr>
          <w:i/>
          <w:iCs/>
        </w:rPr>
        <w:t xml:space="preserve">m/z</w:t>
      </w:r>
      <w:r>
        <w:t xml:space="preserve"> </w:t>
      </w:r>
      <w:r>
        <w:t xml:space="preserve">match and isotope incorporation patterns.</w:t>
      </w:r>
    </w:p>
    <w:bookmarkEnd w:id="57"/>
    <w:bookmarkStart w:id="58" w:name="environmental-context-of-the-incubations"/>
    <w:p>
      <w:pPr>
        <w:pStyle w:val="Heading2"/>
      </w:pPr>
      <w:r>
        <w:t xml:space="preserve">Environmental context of the incubations</w:t>
      </w:r>
    </w:p>
    <w:p>
      <w:pPr>
        <w:pStyle w:val="FirstParagraph"/>
      </w:pPr>
      <w:r>
        <w:t xml:space="preserve">We collected water for the incubations from an anticyclonic eddy near Station ALOHA that was experiencing the decay of a surface diatom bloom, specifically</w:t>
      </w:r>
      <w:r>
        <w:t xml:space="preserve"> </w:t>
      </w:r>
      <w:r>
        <w:rPr>
          <w:i/>
          <w:iCs/>
        </w:rPr>
        <w:t xml:space="preserve">Hemiaulus</w:t>
      </w:r>
      <w:r>
        <w:t xml:space="preserve">.</w:t>
      </w:r>
      <w:r>
        <w:t xml:space="preserve"> </w:t>
      </w:r>
      <w:r>
        <w:rPr>
          <w:i/>
          <w:iCs/>
        </w:rPr>
        <w:t xml:space="preserve">Hemiaulus</w:t>
      </w:r>
      <w:r>
        <w:t xml:space="preserve"> </w:t>
      </w:r>
      <w:r>
        <w:t xml:space="preserve">is known to be associated with the diazotroph</w:t>
      </w:r>
      <w:r>
        <w:t xml:space="preserve"> </w:t>
      </w:r>
      <w:r>
        <w:rPr>
          <w:i/>
          <w:iCs/>
        </w:rPr>
        <w:t xml:space="preserve">Richelia</w:t>
      </w:r>
      <w:r>
        <w:t xml:space="preserve"> </w:t>
      </w:r>
      <w:r>
        <w:t xml:space="preserve">and has been observed in blooms worldwide</w:t>
      </w:r>
      <w:r>
        <w:t xml:space="preserve"> </w:t>
      </w:r>
      <w:r>
        <w:t xml:space="preserve">(Carpenter et al. 1999; Villareal 1994; White et al. 2018; Castillo Cieza et al. 2024)</w:t>
      </w:r>
      <w:r>
        <w:t xml:space="preserve">. Over the course of the incubations, we saw a return to typical Station ALOHA conditions with a well-defined deep chlorophyll maximum (DCM) and an ingrowth of</w:t>
      </w:r>
      <w:r>
        <w:t xml:space="preserve"> </w:t>
      </w:r>
      <w:r>
        <w:rPr>
          <w:i/>
          <w:iCs/>
        </w:rPr>
        <w:t xml:space="preserve">Synechococcus</w:t>
      </w:r>
      <w:r>
        <w:t xml:space="preserve"> </w:t>
      </w:r>
      <w:r>
        <w:t xml:space="preserve">and</w:t>
      </w:r>
      <w:r>
        <w:t xml:space="preserve"> </w:t>
      </w:r>
      <w:r>
        <w:rPr>
          <w:i/>
          <w:iCs/>
        </w:rPr>
        <w:t xml:space="preserve">Prochlorococcus</w:t>
      </w:r>
      <w:r>
        <w:t xml:space="preserve"> </w:t>
      </w:r>
      <w:r>
        <w:t xml:space="preserve">while the amount of heterotrophic bacteria decreased. Data from 175 meters was significantly more sparse, with only a few CTD casts that indicated relatively stable conditions below the DCM.</w:t>
      </w:r>
    </w:p>
    <w:p>
      <w:pPr>
        <w:pStyle w:val="BodyText"/>
      </w:pPr>
      <w:r>
        <w:t xml:space="preserve">The incubations were amended with nitrate and ammonia in excess of environmental concentrations to ensure extensive labeling relative to the total pool and to ensure a detectable signal. The final 3 µM concentration is comparable to other recent incubations with nitrate and ammonia</w:t>
      </w:r>
      <w:r>
        <w:t xml:space="preserve"> </w:t>
      </w:r>
      <w:r>
        <w:t xml:space="preserve">(Rii et al. 2018; Zimmerman et al. 2023; Shilova et al. 2017)</w:t>
      </w:r>
      <w:r>
        <w:t xml:space="preserve"> </w:t>
      </w:r>
      <w:r>
        <w:t xml:space="preserve">and for a comparable length of time. Fewer incubations have been done with organic nitrogen, particularly with a whole seawater community, but we estimate that the arginine and guanosine monophosphate (GMP) that we added (50 nM) was at least a hundred times the normal environmental concentration of these compounds and likely saturating transporters</w:t>
      </w:r>
      <w:r>
        <w:t xml:space="preserve"> </w:t>
      </w:r>
      <w:r>
        <w:t xml:space="preserve">(Boysen et al. 2022)</w:t>
      </w:r>
      <w:r>
        <w:t xml:space="preserve">. However, the 4-5 µM concentration of dissolved organic nitrogen (DON) was another hundred times the concentrations we used, so while we almost certainly swamped the arginine and GMP pools (and likely the labile organic pool as a whole) we did not exceed the total organic nitrogen available in the system. Additionally, our use of GMP instead of guanosine means that organisms may have taken up GMP for the phosphate, especially at the surface where environmental concentrations were &lt;0.05 uM, though this part of the molecule was unlabeled and we were unable to trace it.</w:t>
      </w:r>
    </w:p>
    <w:p>
      <w:pPr>
        <w:pStyle w:val="BodyText"/>
      </w:pPr>
      <w:r>
        <w:t xml:space="preserve">We also did not measure the final concentrations of the amended molecules remaining in the dissolved phase at the end of the experiments. However,</w:t>
      </w:r>
      <w:r>
        <w:t xml:space="preserve"> </w:t>
      </w:r>
      <w:r>
        <w:t xml:space="preserve">Rii et al. (2018)</w:t>
      </w:r>
      <w:r>
        <w:t xml:space="preserve"> </w:t>
      </w:r>
      <w:r>
        <w:t xml:space="preserve">reports nitrate and ammonia uptake rates in the hundreds of nanomolar per day indicating the excess DIN was likely available after the 26 hour incubations. We did see a sizable fraction of the organics used, however, with up to 25 nM</w:t>
      </w:r>
      <w:r>
        <w:t xml:space="preserve"> </w:t>
      </w:r>
      <w:r>
        <w:rPr>
          <w:vertAlign w:val="superscript"/>
        </w:rPr>
        <w:t xml:space="preserve">15</w:t>
      </w:r>
      <w:r>
        <w:t xml:space="preserve">N labeling in metabolites and nearly 100 nM concentrations of labeled THAAs at both depths. The fact that the summed quantity of label in the THAAs exceeds the initial concentration is a result of the amended molecule providing more than 1 mole of</w:t>
      </w:r>
      <w:r>
        <w:t xml:space="preserve"> </w:t>
      </w:r>
      <w:r>
        <w:rPr>
          <w:vertAlign w:val="superscript"/>
        </w:rPr>
        <w:t xml:space="preserve">15</w:t>
      </w:r>
      <w:r>
        <w:t xml:space="preserve">N per mole of substrate, with arginine containing 4 nitrogens and GMP containing 5 nitrogens for a final</w:t>
      </w:r>
      <w:r>
        <w:t xml:space="preserve"> </w:t>
      </w:r>
      <w:r>
        <w:rPr>
          <w:vertAlign w:val="superscript"/>
        </w:rPr>
        <w:t xml:space="preserve">15</w:t>
      </w:r>
      <w:r>
        <w:t xml:space="preserve">N concentration of 200 nM N and 250 nM N, respectively.</w:t>
      </w:r>
    </w:p>
    <w:p>
      <w:pPr>
        <w:pStyle w:val="BodyText"/>
      </w:pPr>
      <w:r>
        <w:t xml:space="preserve">An important question when assessing the applicability of this study to in situ processes is the likelihood of a community shift during the incubation. While these incubations were relatively short (1 day for the inorganics and 3 days for the organics), prior studies have shown that a significant amount of diatoms, haptophytes, and pelagophytes are capable of growing in within a few days</w:t>
      </w:r>
      <w:r>
        <w:t xml:space="preserve"> </w:t>
      </w:r>
      <w:r>
        <w:t xml:space="preserve">(Rii et al. 2018; Alexander et al. 2015; McAndrew et al. 2007)</w:t>
      </w:r>
      <w:r>
        <w:t xml:space="preserve">. The heterotrophic bacteria appear to respond even more quickly, with</w:t>
      </w:r>
      <w:r>
        <w:t xml:space="preserve"> </w:t>
      </w:r>
      <w:r>
        <w:t xml:space="preserve">Shilova et al. (2017)</w:t>
      </w:r>
      <w:r>
        <w:t xml:space="preserve"> </w:t>
      </w:r>
      <w:r>
        <w:t xml:space="preserve">observing a growth of Alteromonadaceae and picoeukaryotes and</w:t>
      </w:r>
      <w:r>
        <w:t xml:space="preserve"> </w:t>
      </w:r>
      <w:r>
        <w:t xml:space="preserve">Goldberg et al. (2017)</w:t>
      </w:r>
      <w:r>
        <w:t xml:space="preserve"> </w:t>
      </w:r>
      <w:r>
        <w:t xml:space="preserve">detecting an extensive cascade of heterotrophic organisms during a one-week incubation. In contrast,</w:t>
      </w:r>
      <w:r>
        <w:t xml:space="preserve"> </w:t>
      </w:r>
      <w:r>
        <w:t xml:space="preserve">Zimmerman et al. (2023)</w:t>
      </w:r>
      <w:r>
        <w:t xml:space="preserve"> </w:t>
      </w:r>
      <w:r>
        <w:t xml:space="preserve">found very few changes in community structure during their 11-hour incubations. Thus, the first few timepoints of our study likely reflected Station ALOHA conditions quite well, while the 1 day and 3 day incubations probably resulted in a community shift towards larger eukaryotes.</w:t>
      </w:r>
    </w:p>
    <w:bookmarkEnd w:id="58"/>
    <w:bookmarkEnd w:id="59"/>
    <w:bookmarkStart w:id="60" w:name="conclusion"/>
    <w:p>
      <w:pPr>
        <w:pStyle w:val="Heading1"/>
      </w:pPr>
      <w:r>
        <w:t xml:space="preserve">Conclusion</w:t>
      </w:r>
    </w:p>
    <w:p>
      <w:pPr>
        <w:pStyle w:val="FirstParagraph"/>
      </w:pPr>
      <w:r>
        <w:t xml:space="preserve">Together, these results highlight the diverse strategies employed by marine microbial communities to obtain nitrogen under oligotrophic conditions. Ammonia was rapidly and broadly utilized, underscoring its high bioavailability and central role in nitrogen metabolism across depths. In contrast, nitrate uptake was limited to a smaller subset of the community, likely eukaryotic phytoplankton, and occurred more slowly. Organic nitrogen substrates, though used more slowly initially, were ultimately incorporated into a wide range of metabolites with striking similarity across depths and diel cycles, pointing to the central role of heterotrophic bacteria in dissolved organic nitrogen assimilation. These findings reinforce the view of the ocean’s nitrogen pool as a dynamic and structured marketplace, shaped not only by elemental availability but the form it is in and by the biochemical capabilities and ecological roles of distinct microbial players.</w:t>
      </w:r>
    </w:p>
    <w:bookmarkEnd w:id="60"/>
    <w:bookmarkStart w:id="74" w:name="methods"/>
    <w:p>
      <w:pPr>
        <w:pStyle w:val="Heading1"/>
      </w:pPr>
      <w:r>
        <w:t xml:space="preserve">Methods</w:t>
      </w:r>
    </w:p>
    <w:bookmarkStart w:id="61" w:name="cruise-information"/>
    <w:p>
      <w:pPr>
        <w:pStyle w:val="Heading2"/>
      </w:pPr>
      <w:r>
        <w:t xml:space="preserve">Cruise information</w:t>
      </w:r>
    </w:p>
    <w:p>
      <w:pPr>
        <w:pStyle w:val="FirstParagraph"/>
      </w:pPr>
      <w:r>
        <w:t xml:space="preserve">The PARAGON cruise (KM2112) departed Honolulu, HI on July 22nd, 2021 and returned on August 5th. Satellite chlorophyll and altimetry were used to target an anticyclonic eddy with a large bloom signal. Samples were collected during the CTD upcast between 21.4 °N, 155.1 °W and 25.5 °N, 156.6 °W.</w:t>
      </w:r>
    </w:p>
    <w:bookmarkEnd w:id="61"/>
    <w:bookmarkStart w:id="63" w:name="biogeochemical-data"/>
    <w:p>
      <w:pPr>
        <w:pStyle w:val="Heading2"/>
      </w:pPr>
      <w:r>
        <w:t xml:space="preserve">Biogeochemical data</w:t>
      </w:r>
    </w:p>
    <w:p>
      <w:pPr>
        <w:pStyle w:val="FirstParagraph"/>
      </w:pPr>
      <w:r>
        <w:t xml:space="preserve">Biogeochemical measurements were collected following protocols used by the HOT program (</w:t>
      </w:r>
      <w:hyperlink r:id="rId62">
        <w:r>
          <w:rPr>
            <w:rStyle w:val="Hyperlink"/>
          </w:rPr>
          <w:t xml:space="preserve">http://hahana.soest.hawaii.edu/hot/methods/results.html</w:t>
        </w:r>
      </w:hyperlink>
      <w:r>
        <w:t xml:space="preserve">). Particulate carbon and particulate nitrogen were measured using an elemental analyzer. Nitrate + nitrite (N+N) was measured on an autoanalyzer. Soluble reactive phosphorus (phosphate, PO</w:t>
      </w:r>
      <m:oMath>
        <m:sSubSup>
          <m:e>
            <m:r>
              <m:t>​</m:t>
            </m:r>
          </m:e>
          <m:sub>
            <m:r>
              <m:t>4</m:t>
            </m:r>
          </m:sub>
          <m:sup>
            <m:r>
              <m:t>3</m:t>
            </m:r>
            <m:r>
              <m:rPr>
                <m:sty m:val="p"/>
              </m:rPr>
              <m:t>−</m:t>
            </m:r>
          </m:sup>
        </m:sSubSup>
      </m:oMath>
      <w:r>
        <w:t xml:space="preserve">) was measured on an autoanalyzer or following the magnesium induced coprecipitation method.</w:t>
      </w:r>
    </w:p>
    <w:bookmarkEnd w:id="63"/>
    <w:bookmarkStart w:id="64" w:name="community-composition-data"/>
    <w:p>
      <w:pPr>
        <w:pStyle w:val="Heading2"/>
      </w:pPr>
      <w:r>
        <w:t xml:space="preserve">Community composition data</w:t>
      </w:r>
    </w:p>
    <w:p>
      <w:pPr>
        <w:pStyle w:val="FirstParagraph"/>
      </w:pPr>
      <w:r>
        <w:t xml:space="preserve">Water column community composition was estimated for the initial community via flow cytometry (FCM), imaging flowcytobot (IFCB), and amplicon sequence variants (ASVs). FCM was done via XXX three times during the cruise on July 25th, July 29th, and August 2nd at six depths from 5 to 125 meters. Depth profiles from the IFCB were collected twice via XXX. The first IFCB profile took place on July 27th at nine depths from 5 to 300 meters and the second on August 5th at four depths from 5 to 125 meters. Annotation of the selected particles was done via a convolutional neural net. One ASV depth profile was collected during the PARAGON cruise on July 30th, also at nine depths from 5 meters down to 500 meters and processed according to the methods detailed in</w:t>
      </w:r>
      <w:r>
        <w:t xml:space="preserve"> </w:t>
      </w:r>
      <w:r>
        <w:t xml:space="preserve">Li et al. (2023)</w:t>
      </w:r>
      <w:r>
        <w:t xml:space="preserve">.</w:t>
      </w:r>
    </w:p>
    <w:bookmarkEnd w:id="64"/>
    <w:bookmarkStart w:id="65" w:name="n-incubations"/>
    <w:p>
      <w:pPr>
        <w:pStyle w:val="Heading2"/>
      </w:pPr>
      <w:r>
        <w:rPr>
          <w:vertAlign w:val="superscript"/>
        </w:rPr>
        <w:t xml:space="preserve">15</w:t>
      </w:r>
      <w:r>
        <w:t xml:space="preserve">N incubations</w:t>
      </w:r>
    </w:p>
    <w:p>
      <w:pPr>
        <w:pStyle w:val="FirstParagraph"/>
      </w:pPr>
      <w:r>
        <w:t xml:space="preserve">Morning CTD casts were returned to the surface between 6:40 and 7:15AM, with amendments happening ~20 minutes after the CTD surfaced. Evening casts were sometimes delayed, with most incubations beginning between 7:15 and 7:45PM but the nitrate 175m cast amended at 9:30PM, the arginine 175m cast amended at 8:30PM, and the guanosine monophosphate 25m cast amended at 8:25PM. ~30 liters of water from multiple CTD bottles were distributed into 15 prewashed (3x DI, 3x with sampled seawater) polycarbonate 2L bottles (3x biological triplicates at each of 5 timepoints) for metabolites and 6 250 mL bottles for THAAs (3x triplicates of initial and final conditions). Clean 53 µm mesh was used when transferring from CTD to incubations bottles to exclude zooplankton and large aggregates from the incubations.</w:t>
      </w:r>
    </w:p>
    <w:p>
      <w:pPr>
        <w:pStyle w:val="BodyText"/>
      </w:pPr>
      <w:r>
        <w:t xml:space="preserve">2L samples were given a 1 mL spike with 6 mM Na</w:t>
      </w:r>
      <w:r>
        <w:rPr>
          <w:vertAlign w:val="superscript"/>
        </w:rPr>
        <w:t xml:space="preserve">15</w:t>
      </w:r>
      <w:r>
        <w:t xml:space="preserve">NO</w:t>
      </w:r>
      <w:r>
        <w:rPr>
          <w:vertAlign w:val="subscript"/>
        </w:rPr>
        <w:t xml:space="preserve">3</w:t>
      </w:r>
      <w:r>
        <w:t xml:space="preserve">, 6 mM</w:t>
      </w:r>
      <w:r>
        <w:t xml:space="preserve"> </w:t>
      </w:r>
      <w:r>
        <w:rPr>
          <w:vertAlign w:val="superscript"/>
        </w:rPr>
        <w:t xml:space="preserve">15</w:t>
      </w:r>
      <w:r>
        <w:t xml:space="preserve">NH</w:t>
      </w:r>
      <w:r>
        <w:rPr>
          <w:vertAlign w:val="subscript"/>
        </w:rPr>
        <w:t xml:space="preserve">4</w:t>
      </w:r>
      <w:r>
        <w:t xml:space="preserve">Cl, 0.1 mM</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4</w:t>
      </w:r>
      <w:r>
        <w:t xml:space="preserve"> </w:t>
      </w:r>
      <w:r>
        <w:t xml:space="preserve">arginine, or</w:t>
      </w:r>
      <w:r>
        <w:t xml:space="preserve"> </w:t>
      </w:r>
      <w:r>
        <w:rPr>
          <w:vertAlign w:val="superscript"/>
        </w:rPr>
        <w:t xml:space="preserve">13</w:t>
      </w:r>
      <w:r>
        <w:t xml:space="preserve">C</w:t>
      </w:r>
      <w:r>
        <w:rPr>
          <w:vertAlign w:val="subscript"/>
        </w:rPr>
        <w:t xml:space="preserve">10</w:t>
      </w:r>
      <w:r>
        <w:t xml:space="preserve"> </w:t>
      </w:r>
      <w:r>
        <w:rPr>
          <w:vertAlign w:val="superscript"/>
        </w:rPr>
        <w:t xml:space="preserve">15</w:t>
      </w:r>
      <w:r>
        <w:t xml:space="preserve">N</w:t>
      </w:r>
      <w:r>
        <w:rPr>
          <w:vertAlign w:val="subscript"/>
        </w:rPr>
        <w:t xml:space="preserve">5</w:t>
      </w:r>
      <w:r>
        <w:t xml:space="preserve"> </w:t>
      </w:r>
      <w:r>
        <w:t xml:space="preserve">guanosine monophosphate to obtain a 3 µM final concentration of the inorganics and a 50 nM final concentration of the organics. 250 mL samples were given a 125 µL spike to the same final concentrations. T0 samples were then immediately filtered using a peristaltic pump and Masterflex tubing onto 47 mm 0.2 µm Omnipore (PTFE) filters held by polycarbonate holders. We tried to filter the entire sample in less than 20 minutes (flow rate ~6 L/hour) but some samples took up to an hour. All 250 mL THAA samples finished within 5 minutes and were filtered onto Durapore (PVDF) instead. Filters were then removed using ethanol-washed tweezers and placed into pre-combusted foil packets before flash-freezing in liquid nitrogen and then stored at -80 °C until processing.</w:t>
      </w:r>
    </w:p>
    <w:p>
      <w:pPr>
        <w:pStyle w:val="BodyText"/>
      </w:pPr>
      <w:r>
        <w:t xml:space="preserve">Later timepoints followed the same process but were stored in flow-through incubators with blue shading to match mixed layer light and temperature conditions. Inorganic amendments were sampled after 1, 3, 10, and 26 hours to avoid sampling overlap with the next set. The organic amendments were sampled at 3, 10, 26, and 73 hours except for the arginine 25 meter 6AM samples, where the T3 timepoint was missed and sampled after 18 hours instead. 175 meter samples were stored in black trash bags to minimize light exposure during the incubations as well.</w:t>
      </w:r>
    </w:p>
    <w:bookmarkEnd w:id="65"/>
    <w:bookmarkStart w:id="69" w:name="incubation-sample-processing"/>
    <w:p>
      <w:pPr>
        <w:pStyle w:val="Heading2"/>
      </w:pPr>
      <w:r>
        <w:t xml:space="preserve">Incubation sample processing</w:t>
      </w:r>
    </w:p>
    <w:bookmarkStart w:id="66" w:name="metabolite-extractions"/>
    <w:p>
      <w:pPr>
        <w:pStyle w:val="Heading3"/>
      </w:pPr>
      <w:r>
        <w:t xml:space="preserve">Metabolite extractions</w:t>
      </w:r>
    </w:p>
    <w:p>
      <w:pPr>
        <w:pStyle w:val="FirstParagraph"/>
      </w:pPr>
      <w:r>
        <w:t xml:space="preserve">A modified Bligh &amp; Dyer dichloromethane:water/methanol extraction was used as detailed in</w:t>
      </w:r>
      <w:r>
        <w:t xml:space="preserve"> </w:t>
      </w:r>
      <w:r>
        <w:t xml:space="preserve">Boysen et al. (2018)</w:t>
      </w:r>
      <w:r>
        <w:t xml:space="preserve">. Sample filters were removed from the freezer and randomly assigned to PTFE centrifuge tubes with a 1:1 mix of 100 µm and 400 µm silica beads, approximately 2 mL -20 °C Optima-grade dichloromethane, and approximately 3 mL -20 °C 1:1 methanol/water solution (both also Optima-grade). Samples were then run through a bead-beater and had the aqueous layer removed and replaced three times. The aqueous fraction was then warmed and dried under clean nitrogen gas before reconstitution into 300 µL of Optima-grade water.</w:t>
      </w:r>
    </w:p>
    <w:p>
      <w:pPr>
        <w:pStyle w:val="BodyText"/>
      </w:pPr>
      <w:r>
        <w:t xml:space="preserve">At this point the samples were split into two 30 µL aliquot for analysis both with and without a full suite of isotope-labeled internal standards. Samples that received the internal standards were used for quantification of the unlabeled metabolite while those that did not were used to estimate the isotope distributions though they still received an internal standard mix of</w:t>
      </w:r>
      <w:r>
        <w:t xml:space="preserve"> </w:t>
      </w:r>
      <w:r>
        <w:rPr>
          <w:vertAlign w:val="superscript"/>
        </w:rPr>
        <w:t xml:space="preserve">2</w:t>
      </w:r>
      <w:r>
        <w:t xml:space="preserve">H</w:t>
      </w:r>
      <w:r>
        <w:rPr>
          <w:vertAlign w:val="subscript"/>
        </w:rPr>
        <w:t xml:space="preserve">8</w:t>
      </w:r>
      <w:r>
        <w:t xml:space="preserve"> </w:t>
      </w:r>
      <w:r>
        <w:t xml:space="preserve">phenylalanine and</w:t>
      </w:r>
      <w:r>
        <w:t xml:space="preserve"> </w:t>
      </w:r>
      <w:r>
        <w:rPr>
          <w:vertAlign w:val="superscript"/>
        </w:rPr>
        <w:t xml:space="preserve">2</w:t>
      </w:r>
      <w:r>
        <w:t xml:space="preserve">H</w:t>
      </w:r>
      <w:r>
        <w:rPr>
          <w:vertAlign w:val="subscript"/>
        </w:rPr>
        <w:t xml:space="preserve">4</w:t>
      </w:r>
      <w:r>
        <w:t xml:space="preserve"> </w:t>
      </w:r>
      <w:r>
        <w:t xml:space="preserve">taurine to ensure all samples were successfully injected. The full list of internal standards can be found in the Supplemental Table 2.</w:t>
      </w:r>
    </w:p>
    <w:p>
      <w:pPr>
        <w:pStyle w:val="BodyText"/>
      </w:pPr>
      <w:r>
        <w:t xml:space="preserve">A pooled sample was created from 5-10 µL of each sample for a total volume of 300-600 µL that was used to assess matrix suppression and obscuring variation. We also ran samples of pure, unlabeled compounds split into two mixes in the pooled sample used to estimate the response factor of the instrument for quantification</w:t>
      </w:r>
      <w:r>
        <w:t xml:space="preserve"> </w:t>
      </w:r>
      <w:r>
        <w:t xml:space="preserve">(Boysen et al. 2018)</w:t>
      </w:r>
      <w:r>
        <w:t xml:space="preserve">. Samples were then placed directly into the autosampler for injection.</w:t>
      </w:r>
    </w:p>
    <w:bookmarkEnd w:id="66"/>
    <w:bookmarkStart w:id="67" w:name="X19409b37c327afd3b5165e60e12a5af23e5c7cc"/>
    <w:p>
      <w:pPr>
        <w:pStyle w:val="Heading3"/>
      </w:pPr>
      <w:r>
        <w:t xml:space="preserve">Total hydrolyzable amino acid extractions</w:t>
      </w:r>
    </w:p>
    <w:p>
      <w:pPr>
        <w:pStyle w:val="FirstParagraph"/>
      </w:pPr>
      <w:r>
        <w:t xml:space="preserve">Amino acids were hydrolyzed as in</w:t>
      </w:r>
      <w:r>
        <w:t xml:space="preserve"> </w:t>
      </w:r>
      <w:r>
        <w:t xml:space="preserve">Fountoulakis and Lahm (1998)</w:t>
      </w:r>
      <w:r>
        <w:t xml:space="preserve"> </w:t>
      </w:r>
      <w:r>
        <w:t xml:space="preserve">with minor modifications. Samples were heated at 120 °C for 20 hours instead of 110 °C for 20-24 hours. Initial recovery tests with bovine serum albumin (BSA) resulted in better recovery of the amino acids at 120 °C as compared to 110 °C. A shorter hydrolysis with BSA at 150 °C was also tried but recovery of amino acids was highest at 120 °C.</w:t>
      </w:r>
    </w:p>
    <w:p>
      <w:pPr>
        <w:pStyle w:val="BodyText"/>
      </w:pPr>
      <w:r>
        <w:t xml:space="preserve">Filters were transferred into combusted 4 mL glass vials with enough 6N hydrochloric acid to cover the filter. Each sample was purged under nitrogen gas for 30 seconds before immediately sealing with a solvent rinsed cap. The samples were then heated at 120 °C for 20 hours. The acid was then transferred to a clean, combusted glass vial. The original glass vial and filter were rinsed with approximately 500 µL of Optima grade water and transferred to the new glass vial. A rinsing step was repeated with an equal volume of Optima grade methanol. The acid mixture was concentrated to dryness under nitrogen gas and medium heat. Once dried, approximately 500 µL of water was used to rinse each vial and samples were returned to the nitrogen gas. Dried samples were re-dissolved in 400 µL of Optima grade water and syringe filtered into LCMS vials.</w:t>
      </w:r>
    </w:p>
    <w:p>
      <w:pPr>
        <w:pStyle w:val="BodyText"/>
      </w:pPr>
      <w:r>
        <w:t xml:space="preserve">Amino acids were derivatized as in</w:t>
      </w:r>
      <w:r>
        <w:t xml:space="preserve"> </w:t>
      </w:r>
      <w:r>
        <w:t xml:space="preserve">Gray et al. (2017)</w:t>
      </w:r>
      <w:r>
        <w:t xml:space="preserve"> </w:t>
      </w:r>
      <w:r>
        <w:t xml:space="preserve">using the AccQ Tag Ultra derivatization kit from Waters. 10 µL of each sample was transferred into a new glass LCMS vial and 70 µL of borate buffer was added to each vial. After vortexing, 20 µL of AccQ Tag Ultra derivatizing agent was added to each sample and the vials were heated at 55 °C for 10 minutes before being cooled and transferred to the autosampler for injection.</w:t>
      </w:r>
    </w:p>
    <w:bookmarkEnd w:id="67"/>
    <w:bookmarkStart w:id="68" w:name="hplc-ms-methods"/>
    <w:p>
      <w:pPr>
        <w:pStyle w:val="Heading3"/>
      </w:pPr>
      <w:r>
        <w:t xml:space="preserve">HPLC-MS methods</w:t>
      </w:r>
    </w:p>
    <w:p>
      <w:pPr>
        <w:pStyle w:val="FirstParagraph"/>
      </w:pPr>
      <w:r>
        <w:t xml:space="preserve">Separate LC-MS runs were used for each amendment experiment. Nitrate samples were run in August 2021, ammonia samples were run in September, and the organics were run in July 2022. Each run was treated as a single batch and injected in sequence while maintaining the randomization that had occurred during extraction to minimize chromatographic shifts from solvent or column switching.</w:t>
      </w:r>
    </w:p>
    <w:p>
      <w:pPr>
        <w:pStyle w:val="BodyText"/>
      </w:pPr>
      <w:r>
        <w:t xml:space="preserve">For each run, a Waters Acquity I-Class UPLC with a SeQuant ZIC-pHILIC column (5 µm particle size, 2.1 mm x 150 mm, from Millipore) was used with 10 mM ammonium carbonate in 85:15 acetonitrile to water (Solvent A) and 10 mM ammonium carbonate in 85:15 water to acetonitrile (Solvent B) at a flow rate of 0.15 mL/min. The column was held at 100% A for 2 minutes, ramped to 64% B over 18 minutes, ramped to 100% B over 1 minute, held at 100% B for 5 minutes, and equilibrated at 100% A for 25 minutes (50 minutes total). The column was maintained at 30 °C. The injection volume was 2 µL for samples and standard mixes. When starting a batch, the column was equilibrated at the starting conditions for at least 30 minutes. To improve the performance of the HILIC column, we maintained the same injection volume, kept the instrument running water blanks between samples as necessary, and injected standards in a representative matrix (the pooled sample) in addition to standards in water. After each batch, the column was flushed with 10 mM ammonium carbonate in 85:15 water to acetonitrile for 20 to 30 minutes.</w:t>
      </w:r>
    </w:p>
    <w:p>
      <w:pPr>
        <w:pStyle w:val="BodyText"/>
      </w:pPr>
      <w:r>
        <w:t xml:space="preserve">The Waters Acquity UPLC was coupled to a Thermo Q Exactive HF hybrid Orbitrap high resolution mass spectrometer equipped with a heated electrospray ionization source (H-ESI). Each metabolite sample was run on a full scan method three times: once from the vial with internal standards with polarity switching at a resolution of 60,000, once from the vial without internal standards at a resolution of 240,000 in positive mode, and once again from the vial without internal standards at a resolution of 240,000 in negative mode. During all injections we set a scan range of 60 to 900</w:t>
      </w:r>
      <w:r>
        <w:t xml:space="preserve"> </w:t>
      </w:r>
      <w:r>
        <w:rPr>
          <w:i/>
          <w:iCs/>
        </w:rPr>
        <w:t xml:space="preserve">m/z</w:t>
      </w:r>
      <w:r>
        <w:t xml:space="preserve"> </w:t>
      </w:r>
      <w:r>
        <w:t xml:space="preserve">and with an AGC target of 1 million and a max injection time of 200 ms. The capillary temperature was set to 320 °C, the H-ESI spray voltage to 3.5 kV, and the auxiliary gas heater temperature to 90 °C. The S-lens RF level was 65. Sheath gas, auxiliary gas, and sweep gas flow rates were maintained at 16, 3, and 1, respectively. For the quality control pooled samples, both high-resolution MS scans and data dependent MS/MS scans were collected and separate injections were done for positive and negative ion modes (30,000 resolution and a dynamic exclusion time of 20 seconds for MS/MS data, top five most abundant ions in each cycle were fragmented, collision energies of 20, 35, and 50 eV). The MS/MS AGC target was set to 50,000 and the maximum injection time was 100 ms. The mass spectrometer was calibrated weekly in positive and negative mode using solutions provided by the manufacturer.</w:t>
      </w:r>
    </w:p>
    <w:p>
      <w:pPr>
        <w:pStyle w:val="BodyText"/>
      </w:pPr>
      <w:r>
        <w:t xml:space="preserve">For analysis of derivatized amino acids, a Waters Acquity UPLC HSS T3 column (1.8 µm particle size, 2.1 mm x 150 mm) was used with 0.1% formic acid in water (Solvent A) and 0.1% formic acid in acetonitrile (Solvent B) at a flow rate of 0.6 mL/min. The column was held at 4% B for 0.5 minutes, ramped to 10% B over 2 minutes, ramped 28% B over 2.5 minutes, ramped to 95% B over 0.5 minutes, held at 95% B for 1 minute, and equilibrated back to 4% B for 2.5 minutes (total run time is 9 minutes). The column temperature was maintained at 45°C. A full scan method in positive ion mode was used with a scan range of 100 to 600</w:t>
      </w:r>
      <w:r>
        <w:t xml:space="preserve"> </w:t>
      </w:r>
      <w:r>
        <w:rPr>
          <w:i/>
          <w:iCs/>
        </w:rPr>
        <w:t xml:space="preserve">m/z</w:t>
      </w:r>
      <w:r>
        <w:t xml:space="preserve"> </w:t>
      </w:r>
      <w:r>
        <w:t xml:space="preserve">and a resolution of 60,000 on a Thermo Scientific Q Exactive HF Orbitrap. The capillary temperature was 320 °C, the H-ESI spray voltage was 3.8 kV, and the auxiliary gas heater temperature was 90 °C. The S-lens RF level was 65. Sheath gas, auxiliary gas, and sweep gas flow rates were maintained at 50, 15, and 1, respectively.</w:t>
      </w:r>
    </w:p>
    <w:bookmarkEnd w:id="68"/>
    <w:bookmarkEnd w:id="69"/>
    <w:bookmarkStart w:id="72" w:name="data-analysis"/>
    <w:p>
      <w:pPr>
        <w:pStyle w:val="Heading2"/>
      </w:pPr>
      <w:r>
        <w:t xml:space="preserve">Data analysis</w:t>
      </w:r>
    </w:p>
    <w:p>
      <w:pPr>
        <w:pStyle w:val="FirstParagraph"/>
      </w:pPr>
      <w:r>
        <w:t xml:space="preserve">Raw files were converted to mzML format via Proteowizard’s MSConvert command line tool (version 3.0.25009,</w:t>
      </w:r>
      <w:r>
        <w:t xml:space="preserve"> </w:t>
      </w:r>
      <w:r>
        <w:t xml:space="preserve">Chambers et al. (2012)</w:t>
      </w:r>
      <w:r>
        <w:t xml:space="preserve">) with vendor centroiding and separated into positive and negative mode files.</w:t>
      </w:r>
    </w:p>
    <w:bookmarkStart w:id="70" w:name="targeted-analysis"/>
    <w:p>
      <w:pPr>
        <w:pStyle w:val="Heading3"/>
      </w:pPr>
      <w:r>
        <w:t xml:space="preserve">Targeted analysis</w:t>
      </w:r>
    </w:p>
    <w:p>
      <w:pPr>
        <w:pStyle w:val="FirstParagraph"/>
      </w:pPr>
      <w:r>
        <w:t xml:space="preserve">We used the RaMS R package (version 1.4.3,</w:t>
      </w:r>
      <w:r>
        <w:t xml:space="preserve"> </w:t>
      </w:r>
      <w:r>
        <w:t xml:space="preserve">Kumler and Ingalls (2022)</w:t>
      </w:r>
      <w:r>
        <w:t xml:space="preserve">) to extract ion chromatograms from the samples without internal standards for each of the ~200 compounds for which we had a pure standard available. Each chromatogram was then visualized and the start and end retention times manually entered for each compound and MS run that had a high-quality mass feature that matched the pure standard in retention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 xml:space="preserve">trapz</w:t>
      </w:r>
      <w:r>
        <w:t xml:space="preserve"> </w:t>
      </w:r>
      <w:r>
        <w:t xml:space="preserve">function in the RaMS package) if the unlabeled and labeled chromatograms shared more than 5 scans and had a correlation between the</w:t>
      </w:r>
      <w:r>
        <w:t xml:space="preserve"> </w:t>
      </w:r>
      <w:r>
        <w:rPr>
          <w:vertAlign w:val="superscript"/>
        </w:rPr>
        <w:t xml:space="preserve">14</w:t>
      </w:r>
      <w:r>
        <w:t xml:space="preserve">N and</w:t>
      </w:r>
      <w:r>
        <w:t xml:space="preserve"> </w:t>
      </w:r>
      <w:r>
        <w:rPr>
          <w:vertAlign w:val="superscript"/>
        </w:rPr>
        <w:t xml:space="preserve">15</w:t>
      </w:r>
      <w:r>
        <w:t xml:space="preserve">N peak intensities with a p-value below 0.01 to remove interfering ions. Samples which accidentally received isotope-labeled internal standards had the peak areas for that specific isotopologue set to zero. After the untargeted analysis we repeated this process for any compounds for which we were confident of an annotation (e.g. theanine and the MAAs).</w:t>
      </w:r>
    </w:p>
    <w:p>
      <w:pPr>
        <w:pStyle w:val="BodyText"/>
      </w:pPr>
      <w:r>
        <w:t xml:space="preserve">The same process was used for the samples with internal standards except that the isotopes were not considered. These peak areas were then normalized to their best-matched internal standard</w:t>
      </w:r>
      <w:r>
        <w:t xml:space="preserve"> </w:t>
      </w:r>
      <w:r>
        <w:t xml:space="preserve">(Boysen et al. 2018)</w:t>
      </w:r>
      <w:r>
        <w:t xml:space="preserve"> </w:t>
      </w:r>
      <w:r>
        <w:t xml:space="preserve">and quantified using the response factors estimated from the standards in the pooled sample. Samples that accidentally did not receive isotope-labeled internal standards had their peak areas interpolated as the average value of the samples immediately preceding and following.</w:t>
      </w:r>
    </w:p>
    <w:bookmarkEnd w:id="70"/>
    <w:bookmarkStart w:id="71" w:name="untargeted-analysis"/>
    <w:p>
      <w:pPr>
        <w:pStyle w:val="Heading3"/>
      </w:pPr>
      <w:r>
        <w:t xml:space="preserve">Untargeted analysis</w:t>
      </w:r>
    </w:p>
    <w:p>
      <w:pPr>
        <w:pStyle w:val="FirstParagraph"/>
      </w:pPr>
      <w:r>
        <w:t xml:space="preserve">We used the R package xcms (version 4.6.0,</w:t>
      </w:r>
      <w:r>
        <w:t xml:space="preserve"> </w:t>
      </w:r>
      <w:r>
        <w:t xml:space="preserve">Smith et al. (2006)</w:t>
      </w:r>
      <w:r>
        <w:t xml:space="preserve">) to perform an untargeted analysis on the positive-mode pooled and environmental samples without internal standards across all four MS runs simultaneously (282 files). We used the CentWave algorithm</w:t>
      </w:r>
      <w:r>
        <w:t xml:space="preserve"> </w:t>
      </w:r>
      <w:r>
        <w:t xml:space="preserve">(Tautenhahn et al. 2008)</w:t>
      </w:r>
      <w:r>
        <w:t xml:space="preserve"> </w:t>
      </w:r>
      <w:r>
        <w:t xml:space="preserve">with default settings except for</w:t>
      </w:r>
      <w:r>
        <w:t xml:space="preserve"> </w:t>
      </w:r>
      <w:r>
        <w:rPr>
          <w:rStyle w:val="VerbatimChar"/>
        </w:rPr>
        <w:t xml:space="preserve">ppm</w:t>
      </w:r>
      <w:r>
        <w:t xml:space="preserve"> </w:t>
      </w:r>
      <w:r>
        <w:t xml:space="preserve">which was set to 5,</w:t>
      </w:r>
      <w:r>
        <w:t xml:space="preserve"> </w:t>
      </w:r>
      <w:r>
        <w:rPr>
          <w:rStyle w:val="VerbatimChar"/>
        </w:rPr>
        <w:t xml:space="preserve">peakwidth</w:t>
      </w:r>
      <w:r>
        <w:t xml:space="preserve"> </w:t>
      </w:r>
      <w:r>
        <w:t xml:space="preserve">which was set to between 20 and 80,</w:t>
      </w:r>
      <w:r>
        <w:t xml:space="preserve"> </w:t>
      </w:r>
      <w:r>
        <w:rPr>
          <w:rStyle w:val="VerbatimChar"/>
        </w:rPr>
        <w:t xml:space="preserve">prefilter</w:t>
      </w:r>
      <w:r>
        <w:t xml:space="preserve"> </w:t>
      </w:r>
      <w:r>
        <w:t xml:space="preserve">which was set to 5 scans above 10,000,</w:t>
      </w:r>
      <w:r>
        <w:t xml:space="preserve"> </w:t>
      </w:r>
      <w:r>
        <w:rPr>
          <w:rStyle w:val="VerbatimChar"/>
        </w:rPr>
        <w:t xml:space="preserve">snthresh</w:t>
      </w:r>
      <w:r>
        <w:t xml:space="preserve"> </w:t>
      </w:r>
      <w:r>
        <w:t xml:space="preserve">which we set to 5, and</w:t>
      </w:r>
      <w:r>
        <w:t xml:space="preserve"> </w:t>
      </w:r>
      <w:r>
        <w:rPr>
          <w:rStyle w:val="VerbatimChar"/>
        </w:rPr>
        <w:t xml:space="preserve">integrate</w:t>
      </w:r>
      <w:r>
        <w:t xml:space="preserve"> </w:t>
      </w:r>
      <w:r>
        <w:t xml:space="preserve">which we set to 2. We also enabled</w:t>
      </w:r>
      <w:r>
        <w:t xml:space="preserve"> </w:t>
      </w:r>
      <w:r>
        <w:rPr>
          <w:rStyle w:val="VerbatimChar"/>
        </w:rPr>
        <w:t xml:space="preserve">verboseColumns</w:t>
      </w:r>
      <w:r>
        <w:t xml:space="preserve"> </w:t>
      </w:r>
      <w:r>
        <w:t xml:space="preserve">and</w:t>
      </w:r>
      <w:r>
        <w:t xml:space="preserve"> </w:t>
      </w:r>
      <w:r>
        <w:rPr>
          <w:rStyle w:val="VerbatimChar"/>
        </w:rPr>
        <w:t xml:space="preserve">extendLengthMSW</w:t>
      </w:r>
      <w:r>
        <w:t xml:space="preserve">. We did not perform retention time correction since manual inspection of the TIC and a few selected compounds did not reveal significant retention time drift. We then performed correspondence via peak density with each set of replicates counting as a sample group, the</w:t>
      </w:r>
      <w:r>
        <w:t xml:space="preserve"> </w:t>
      </w:r>
      <w:r>
        <w:rPr>
          <w:rStyle w:val="VerbatimChar"/>
        </w:rPr>
        <w:t xml:space="preserve">bandwidth</w:t>
      </w:r>
      <w:r>
        <w:t xml:space="preserve"> </w:t>
      </w:r>
      <w:r>
        <w:t xml:space="preserve">set to 12,</w:t>
      </w:r>
      <w:r>
        <w:t xml:space="preserve"> </w:t>
      </w:r>
      <w:r>
        <w:rPr>
          <w:rStyle w:val="VerbatimChar"/>
        </w:rPr>
        <w:t xml:space="preserve">minFraction</w:t>
      </w:r>
      <w:r>
        <w:t xml:space="preserve"> </w:t>
      </w:r>
      <w:r>
        <w:t xml:space="preserve">set to 1,</w:t>
      </w:r>
      <w:r>
        <w:t xml:space="preserve"> </w:t>
      </w:r>
      <w:r>
        <w:rPr>
          <w:rStyle w:val="VerbatimChar"/>
        </w:rPr>
        <w:t xml:space="preserve">binSize</w:t>
      </w:r>
      <w:r>
        <w:t xml:space="preserve"> </w:t>
      </w:r>
      <w:r>
        <w:t xml:space="preserve">set to 0.001, and all other settings kept at their defaults. Finally, we filled peaks using the original</w:t>
      </w:r>
      <w:r>
        <w:t xml:space="preserve"> </w:t>
      </w:r>
      <w:r>
        <w:rPr>
          <w:rStyle w:val="VerbatimChar"/>
        </w:rPr>
        <w:t xml:space="preserve">xcms</w:t>
      </w:r>
      <w:r>
        <w:t xml:space="preserve"> </w:t>
      </w:r>
      <w:r>
        <w:t xml:space="preserve">algorithm and default settings.</w:t>
      </w:r>
    </w:p>
    <w:p>
      <w:pPr>
        <w:pStyle w:val="BodyText"/>
      </w:pPr>
      <w:r>
        <w:t xml:space="preserve">Once features were identified, we then re-integrated the individual peaks and used the same retention time bounds to integrate any data at a mass difference of -0.997035, in essence assuming that the peak detected by xcms was a</w:t>
      </w:r>
      <w:r>
        <w:t xml:space="preserve"> </w:t>
      </w:r>
      <w:r>
        <w:rPr>
          <w:vertAlign w:val="superscript"/>
        </w:rPr>
        <w:t xml:space="preserve">15</w:t>
      </w:r>
      <w:r>
        <w:t xml:space="preserve">N peak for which a</w:t>
      </w:r>
      <w:r>
        <w:t xml:space="preserve"> </w:t>
      </w:r>
      <w:r>
        <w:rPr>
          <w:vertAlign w:val="superscript"/>
        </w:rPr>
        <w:t xml:space="preserve">14</w:t>
      </w:r>
      <w:r>
        <w:t xml:space="preserve">N peak should exist to get high-quality isotope ratios. High quality features were those with a retention time above 2 minutes and a median</w:t>
      </w:r>
      <w:r>
        <w:t xml:space="preserve"> </w:t>
      </w:r>
      <w:r>
        <w:rPr>
          <w:rStyle w:val="VerbatimChar"/>
        </w:rPr>
        <w:t xml:space="preserve">beta_snr</w:t>
      </w:r>
      <w:r>
        <w:t xml:space="preserve"> </w:t>
      </w:r>
      <w:r>
        <w:t xml:space="preserve">value larger than the median</w:t>
      </w:r>
      <w:r>
        <w:t xml:space="preserve"> </w:t>
      </w:r>
      <w:r>
        <w:rPr>
          <w:rStyle w:val="VerbatimChar"/>
        </w:rPr>
        <w:t xml:space="preserve">beta_snr</w:t>
      </w:r>
      <w:r>
        <w:t xml:space="preserve"> </w:t>
      </w:r>
      <w:r>
        <w:t xml:space="preserve">value times -50 plus 50, thus drawing a diagonal line through the</w:t>
      </w:r>
      <w:r>
        <w:t xml:space="preserve"> </w:t>
      </w:r>
      <w:r>
        <w:rPr>
          <w:rStyle w:val="VerbatimChar"/>
        </w:rPr>
        <w:t xml:space="preserve">med_snr</w:t>
      </w:r>
      <w:r>
        <w:t xml:space="preserve">:</w:t>
      </w:r>
      <w:r>
        <w:rPr>
          <w:rStyle w:val="VerbatimChar"/>
        </w:rPr>
        <w:t xml:space="preserve">med_cor</w:t>
      </w:r>
      <w:r>
        <w:t xml:space="preserve"> </w:t>
      </w:r>
      <w:r>
        <w:t xml:space="preserve">space above which high quality features are more likely to be found</w:t>
      </w:r>
      <w:r>
        <w:t xml:space="preserve"> </w:t>
      </w:r>
      <w:r>
        <w:t xml:space="preserve">(Kumler et al. 2023)</w:t>
      </w:r>
      <w:r>
        <w:t xml:space="preserve">. Additionally, high-quality features were only considered to be isotopes if the correlation between the intensity values of the</w:t>
      </w:r>
      <w:r>
        <w:t xml:space="preserve"> </w:t>
      </w:r>
      <w:r>
        <w:rPr>
          <w:vertAlign w:val="superscript"/>
        </w:rPr>
        <w:t xml:space="preserve">14</w:t>
      </w:r>
      <w:r>
        <w:t xml:space="preserve">N and</w:t>
      </w:r>
      <w:r>
        <w:t xml:space="preserve"> </w:t>
      </w:r>
      <w:r>
        <w:rPr>
          <w:vertAlign w:val="superscript"/>
        </w:rPr>
        <w:t xml:space="preserve">15</w:t>
      </w:r>
      <w:r>
        <w:t xml:space="preserve">N peaks was above 0.8. We also removed peaks that eluted between 14 and 14.5 minutes because many of them appeared to be adducts or in-source transformations of bisulfate.</w:t>
      </w:r>
    </w:p>
    <w:bookmarkEnd w:id="71"/>
    <w:bookmarkEnd w:id="72"/>
    <w:bookmarkStart w:id="73" w:name="statistics"/>
    <w:p>
      <w:pPr>
        <w:pStyle w:val="Heading2"/>
      </w:pPr>
      <w:r>
        <w:t xml:space="preserve">Statistics</w:t>
      </w:r>
    </w:p>
    <w:p>
      <w:pPr>
        <w:pStyle w:val="FirstParagraph"/>
      </w:pPr>
      <w:r>
        <w:t xml:space="preserve">Statistics were run in R version 4.5.0</w:t>
      </w:r>
      <w:r>
        <w:t xml:space="preserve"> </w:t>
      </w:r>
      <w:r>
        <w:t xml:space="preserve">(R Core Team 2025)</w:t>
      </w:r>
      <w:r>
        <w:t xml:space="preserve">. We fit logistic regression curves to the fraction of the metabolite peak area labeled using R’s</w:t>
      </w:r>
      <w:r>
        <w:t xml:space="preserve"> </w:t>
      </w:r>
      <w:r>
        <w:rPr>
          <w:rStyle w:val="VerbatimChar"/>
        </w:rPr>
        <w:t xml:space="preserve">glm</w:t>
      </w:r>
      <w:r>
        <w:t xml:space="preserve"> </w:t>
      </w:r>
      <w:r>
        <w:t xml:space="preserve">function to model labeling fractions and error distributions except where only the final timepoint had signal,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 xml:space="preserve">lm</w:t>
      </w:r>
      <w:r>
        <w:t xml:space="preserve"> </w:t>
      </w:r>
      <w:r>
        <w:t xml:space="preserve">in R) with a false-discovery rate correction (</w:t>
      </w:r>
      <w:r>
        <w:rPr>
          <w:rStyle w:val="VerbatimChar"/>
        </w:rPr>
        <w:t xml:space="preserve">p.adjust</w:t>
      </w:r>
      <w:r>
        <w:t xml:space="preserve">,</w:t>
      </w:r>
      <w:r>
        <w:t xml:space="preserve"> </w:t>
      </w:r>
      <w:r>
        <w:t xml:space="preserve">Benjamini and Hochberg (1995)</w:t>
      </w:r>
      <w:r>
        <w:t xml:space="preserve">) and log-scaled time and peak area. Analyses were performed on triplicate data points across the 5 timepoints for a sample size of 15 with the exception of the 175 meter 6PM nitrate incubations for which T10 was removed due to anomalous labeling patterns and unclear sampling timing (resulting in n=12) and replicate B in the 25 meter 6AM guanosine monophosphate amendments at T26 which was lost during sample processing (n=14). k-means clustering was performed via</w:t>
      </w:r>
      <w:r>
        <w:t xml:space="preserve"> </w:t>
      </w:r>
      <w:r>
        <w:rPr>
          <w:rStyle w:val="VerbatimChar"/>
        </w:rPr>
        <w:t xml:space="preserve">kmeans</w:t>
      </w:r>
      <w:r>
        <w:t xml:space="preserve"> </w:t>
      </w:r>
      <w:r>
        <w:t xml:space="preserve">from the</w:t>
      </w:r>
      <w:r>
        <w:t xml:space="preserve"> </w:t>
      </w:r>
      <w:r>
        <w:rPr>
          <w:rStyle w:val="VerbatimChar"/>
        </w:rPr>
        <w:t xml:space="preserve">stats</w:t>
      </w:r>
      <w:r>
        <w:t xml:space="preserve"> </w:t>
      </w:r>
      <w:r>
        <w:t xml:space="preserve">package with 10 clusters after no clear jump in variance explained was observed with other cluster numbers, indicating the labeling patterns likely exist as a gradient instead of discrete groups.</w:t>
      </w:r>
    </w:p>
    <w:bookmarkEnd w:id="73"/>
    <w:bookmarkEnd w:id="74"/>
    <w:bookmarkStart w:id="75" w:name="acknowledgements"/>
    <w:p>
      <w:pPr>
        <w:pStyle w:val="Heading1"/>
      </w:pPr>
      <w:r>
        <w:t xml:space="preserve">Acknowledgements</w:t>
      </w:r>
    </w:p>
    <w:p>
      <w:pPr>
        <w:pStyle w:val="FirstParagraph"/>
      </w:pPr>
      <w:r>
        <w:t xml:space="preserve">We would like to acknowledge the captain and crew of the R/V</w:t>
      </w:r>
      <w:r>
        <w:t xml:space="preserve"> </w:t>
      </w:r>
      <w:r>
        <w:rPr>
          <w:i/>
          <w:iCs/>
        </w:rPr>
        <w:t xml:space="preserve">Kilo Moana</w:t>
      </w:r>
      <w:r>
        <w:t xml:space="preserve"> </w:t>
      </w:r>
      <w:r>
        <w:t xml:space="preserve">for making this science possible. We would also like to thank the other members of the Ingalls, White, and BEACH labs who provided assistance in sample processing, integration, and analysis. This work was supported by grants from the Simons Foundation (SCOPE Award ID 329108 to AI, SF Award ID 385428 to AI, and SCOPE Award ID 721264 to David Karl which supported BB).</w:t>
      </w:r>
    </w:p>
    <w:p>
      <w:pPr>
        <w:pStyle w:val="BodyText"/>
      </w:pPr>
      <w:r>
        <w:t xml:space="preserve">The authors have no conflicts of interest to declare.</w:t>
      </w:r>
    </w:p>
    <w:bookmarkEnd w:id="75"/>
    <w:bookmarkStart w:id="76" w:name="data-availability"/>
    <w:p>
      <w:pPr>
        <w:pStyle w:val="Heading1"/>
      </w:pPr>
      <w:r>
        <w:t xml:space="preserve">Data availability</w:t>
      </w:r>
    </w:p>
    <w:bookmarkEnd w:id="76"/>
    <w:bookmarkStart w:id="178" w:name="references"/>
    <w:p>
      <w:pPr>
        <w:pStyle w:val="Heading1"/>
      </w:pPr>
      <w:r>
        <w:t xml:space="preserve">References</w:t>
      </w:r>
    </w:p>
    <w:bookmarkStart w:id="177" w:name="refs"/>
    <w:bookmarkStart w:id="78"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 doi:</w:t>
      </w:r>
      <w:hyperlink r:id="rId77">
        <w:r>
          <w:rPr>
            <w:rStyle w:val="Hyperlink"/>
          </w:rPr>
          <w:t xml:space="preserve">10.1073/pnas.1518165112</w:t>
        </w:r>
      </w:hyperlink>
      <w:r>
        <w:t xml:space="preserve">.</w:t>
      </w:r>
    </w:p>
    <w:bookmarkEnd w:id="78"/>
    <w:bookmarkStart w:id="79"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79"/>
    <w:bookmarkStart w:id="81"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 doi:</w:t>
      </w:r>
      <w:hyperlink r:id="rId80">
        <w:r>
          <w:rPr>
            <w:rStyle w:val="Hyperlink"/>
          </w:rPr>
          <w:t xml:space="preserve">10.2216/i0031-8884-30-1-1.1</w:t>
        </w:r>
      </w:hyperlink>
      <w:r>
        <w:t xml:space="preserve">.</w:t>
      </w:r>
    </w:p>
    <w:bookmarkEnd w:id="81"/>
    <w:bookmarkStart w:id="83" w:name="ref-Armbrust2009"/>
    <w:p>
      <w:pPr>
        <w:pStyle w:val="Bibliography"/>
      </w:pPr>
      <w:r>
        <w:t xml:space="preserve">Armbrust, E. Virginia. 2009.</w:t>
      </w:r>
      <w:r>
        <w:t xml:space="preserve"> </w:t>
      </w:r>
      <w:r>
        <w:t xml:space="preserve">“The Life of Diatoms in the World’s Oceans.”</w:t>
      </w:r>
      <w:r>
        <w:t xml:space="preserve"> </w:t>
      </w:r>
      <w:r>
        <w:rPr>
          <w:i/>
          <w:iCs/>
        </w:rPr>
        <w:t xml:space="preserve">Nature</w:t>
      </w:r>
      <w:r>
        <w:t xml:space="preserve"> </w:t>
      </w:r>
      <w:r>
        <w:t xml:space="preserve">459 (7244): 185–92. doi:</w:t>
      </w:r>
      <w:hyperlink r:id="rId82">
        <w:r>
          <w:rPr>
            <w:rStyle w:val="Hyperlink"/>
          </w:rPr>
          <w:t xml:space="preserve">10.1038/nature08057</w:t>
        </w:r>
      </w:hyperlink>
      <w:r>
        <w:t xml:space="preserve">.</w:t>
      </w:r>
    </w:p>
    <w:bookmarkEnd w:id="83"/>
    <w:bookmarkStart w:id="85" w:name="ref-Armbrust2004"/>
    <w:p>
      <w:pPr>
        <w:pStyle w:val="Bibliography"/>
      </w:pPr>
      <w:r>
        <w:t xml:space="preserve">Armbrust, E. Virginia, John A. Berges, Chris Bowler, Beverley R. Green, Diego Martinez, Nicholas H. Putnam, Shiguo Zhou, et al. 2004.</w:t>
      </w:r>
      <w:r>
        <w:t xml:space="preserve"> </w:t>
      </w:r>
      <w:r>
        <w:t xml:space="preserve">“The</w:t>
      </w:r>
      <w:r>
        <w:t xml:space="preserve"> </w:t>
      </w:r>
      <w:r>
        <w:t xml:space="preserve">Genome</w:t>
      </w:r>
      <w:r>
        <w:t xml:space="preserve"> </w:t>
      </w:r>
      <w:r>
        <w:t xml:space="preserve">of the</w:t>
      </w:r>
      <w:r>
        <w:t xml:space="preserve"> </w:t>
      </w:r>
      <w:r>
        <w:t xml:space="preserve">Diatom</w:t>
      </w:r>
      <w:r>
        <w:t xml:space="preserve"> </w:t>
      </w:r>
      <w:r>
        <w:rPr>
          <w:i/>
          <w:iCs/>
        </w:rPr>
        <w:t xml:space="preserve">Thalassiosira Pseudonana</w:t>
      </w:r>
      <w:r>
        <w:t xml:space="preserve"> </w:t>
      </w:r>
      <w:r>
        <w:t xml:space="preserve">:</w:t>
      </w:r>
      <w:r>
        <w:t xml:space="preserve"> </w:t>
      </w:r>
      <w:r>
        <w:t xml:space="preserve">Ecology</w:t>
      </w:r>
      <w:r>
        <w:t xml:space="preserve">,</w:t>
      </w:r>
      <w:r>
        <w:t xml:space="preserve"> </w:t>
      </w:r>
      <w:r>
        <w:t xml:space="preserve">Evolution</w:t>
      </w:r>
      <w:r>
        <w:t xml:space="preserve">, and</w:t>
      </w:r>
      <w:r>
        <w:t xml:space="preserve"> </w:t>
      </w:r>
      <w:r>
        <w:t xml:space="preserve">Metabolism</w:t>
      </w:r>
      <w:r>
        <w:t xml:space="preserve">.”</w:t>
      </w:r>
      <w:r>
        <w:t xml:space="preserve"> </w:t>
      </w:r>
      <w:r>
        <w:rPr>
          <w:i/>
          <w:iCs/>
        </w:rPr>
        <w:t xml:space="preserve">Science</w:t>
      </w:r>
      <w:r>
        <w:t xml:space="preserve"> </w:t>
      </w:r>
      <w:r>
        <w:t xml:space="preserve">306 (5693): 79–86. doi:</w:t>
      </w:r>
      <w:hyperlink r:id="rId84">
        <w:r>
          <w:rPr>
            <w:rStyle w:val="Hyperlink"/>
          </w:rPr>
          <w:t xml:space="preserve">10.1126/science.1101156</w:t>
        </w:r>
      </w:hyperlink>
      <w:r>
        <w:t xml:space="preserve">.</w:t>
      </w:r>
    </w:p>
    <w:bookmarkEnd w:id="85"/>
    <w:bookmarkStart w:id="87"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 doi:</w:t>
      </w:r>
      <w:hyperlink r:id="rId86">
        <w:r>
          <w:rPr>
            <w:rStyle w:val="Hyperlink"/>
          </w:rPr>
          <w:t xml:space="preserve">10.1016/j.protis.2011.07.008</w:t>
        </w:r>
      </w:hyperlink>
      <w:r>
        <w:t xml:space="preserve">.</w:t>
      </w:r>
    </w:p>
    <w:bookmarkEnd w:id="87"/>
    <w:bookmarkStart w:id="89" w:name="ref-Benjamini1995"/>
    <w:p>
      <w:pPr>
        <w:pStyle w:val="Bibliography"/>
      </w:pPr>
      <w:r>
        <w:t xml:space="preserve">Benjamini, Yoav, and Yosef Hochberg. 1995.</w:t>
      </w:r>
      <w:r>
        <w:t xml:space="preserve"> </w:t>
      </w:r>
      <w:r>
        <w:t xml:space="preserve">“Controlling the</w:t>
      </w:r>
      <w:r>
        <w:t xml:space="preserve"> </w:t>
      </w:r>
      <w:r>
        <w:t xml:space="preserve">False Discovery Rate</w:t>
      </w:r>
      <w:r>
        <w:t xml:space="preserve">:</w:t>
      </w:r>
      <w:r>
        <w:t xml:space="preserve"> </w:t>
      </w:r>
      <w:r>
        <w:t xml:space="preserve">A Practical</w:t>
      </w:r>
      <w:r>
        <w:t xml:space="preserve"> </w:t>
      </w:r>
      <w:r>
        <w:t xml:space="preserve">and</w:t>
      </w:r>
      <w:r>
        <w:t xml:space="preserve"> </w:t>
      </w:r>
      <w:r>
        <w:t xml:space="preserve">Powerful Approach</w:t>
      </w:r>
      <w:r>
        <w:t xml:space="preserve"> </w:t>
      </w:r>
      <w:r>
        <w:t xml:space="preserve">to</w:t>
      </w:r>
      <w:r>
        <w:t xml:space="preserve"> </w:t>
      </w:r>
      <w:r>
        <w:t xml:space="preserve">Multiple Testing</w:t>
      </w:r>
      <w:r>
        <w:t xml:space="preserve">.”</w:t>
      </w:r>
      <w:r>
        <w:t xml:space="preserve"> </w:t>
      </w:r>
      <w:r>
        <w:rPr>
          <w:i/>
          <w:iCs/>
        </w:rPr>
        <w:t xml:space="preserve">Journal of the Royal Statistical Society: Series B (Methodological)</w:t>
      </w:r>
      <w:r>
        <w:t xml:space="preserve"> </w:t>
      </w:r>
      <w:r>
        <w:t xml:space="preserve">57 (1): 289–300. doi:</w:t>
      </w:r>
      <w:hyperlink r:id="rId88">
        <w:r>
          <w:rPr>
            <w:rStyle w:val="Hyperlink"/>
          </w:rPr>
          <w:t xml:space="preserve">10.1111/j.2517-6161.1995.tb02031.x</w:t>
        </w:r>
      </w:hyperlink>
      <w:r>
        <w:t xml:space="preserve">.</w:t>
      </w:r>
    </w:p>
    <w:bookmarkEnd w:id="89"/>
    <w:bookmarkStart w:id="91" w:name="ref-Benner2015"/>
    <w:p>
      <w:pPr>
        <w:pStyle w:val="Bibliography"/>
      </w:pPr>
      <w:r>
        <w:t xml:space="preserve">Benner, Ronald, and Rainer M. W. Amon. 2015.</w:t>
      </w:r>
      <w:r>
        <w:t xml:space="preserve"> </w:t>
      </w:r>
      <w:r>
        <w:t xml:space="preserve">“The</w:t>
      </w:r>
      <w:r>
        <w:t xml:space="preserve"> </w:t>
      </w:r>
      <w:r>
        <w:t xml:space="preserve">Size-Reactivity Continuum</w:t>
      </w:r>
      <w:r>
        <w:t xml:space="preserve"> </w:t>
      </w:r>
      <w:r>
        <w:t xml:space="preserve">of</w:t>
      </w:r>
      <w:r>
        <w:t xml:space="preserve"> </w:t>
      </w:r>
      <w:r>
        <w:t xml:space="preserve">Major Bioelements</w:t>
      </w:r>
      <w:r>
        <w:t xml:space="preserve"> </w:t>
      </w:r>
      <w:r>
        <w:t xml:space="preserve">in the</w:t>
      </w:r>
      <w:r>
        <w:t xml:space="preserve"> </w:t>
      </w:r>
      <w:r>
        <w:t xml:space="preserve">Ocean</w:t>
      </w:r>
      <w:r>
        <w:t xml:space="preserve">.”</w:t>
      </w:r>
      <w:r>
        <w:t xml:space="preserve"> </w:t>
      </w:r>
      <w:r>
        <w:rPr>
          <w:i/>
          <w:iCs/>
        </w:rPr>
        <w:t xml:space="preserve">Annual Review of Marine Science</w:t>
      </w:r>
      <w:r>
        <w:t xml:space="preserve"> </w:t>
      </w:r>
      <w:r>
        <w:t xml:space="preserve">7 (1): 185–205. doi:</w:t>
      </w:r>
      <w:hyperlink r:id="rId90">
        <w:r>
          <w:rPr>
            <w:rStyle w:val="Hyperlink"/>
          </w:rPr>
          <w:t xml:space="preserve">10.1146/annurev-marine-010213-135126</w:t>
        </w:r>
      </w:hyperlink>
      <w:r>
        <w:t xml:space="preserve">.</w:t>
      </w:r>
    </w:p>
    <w:bookmarkEnd w:id="91"/>
    <w:bookmarkStart w:id="93" w:name="ref-Berthelot2021"/>
    <w:p>
      <w:pPr>
        <w:pStyle w:val="Bibliography"/>
      </w:pPr>
      <w:r>
        <w:t xml:space="preserve">Berthelot, Hugo, Solange Duhamel, Stéphane L’Helguen, Jean-François Maguer, and Nicolas Cassar. 2021.</w:t>
      </w:r>
      <w:r>
        <w:t xml:space="preserve"> </w:t>
      </w:r>
      <w:r>
        <w:t xml:space="preserve">“Inorganic and Organic Carbon and Nitrogen Uptake Strategies of Picoplankton Groups in the Northwestern</w:t>
      </w:r>
      <w:r>
        <w:t xml:space="preserve"> </w:t>
      </w:r>
      <w:r>
        <w:t xml:space="preserve">Atlantic Ocean</w:t>
      </w:r>
      <w:r>
        <w:t xml:space="preserve">.”</w:t>
      </w:r>
      <w:r>
        <w:t xml:space="preserve"> </w:t>
      </w:r>
      <w:r>
        <w:rPr>
          <w:i/>
          <w:iCs/>
        </w:rPr>
        <w:t xml:space="preserve">Limnology and Oceanography</w:t>
      </w:r>
      <w:r>
        <w:t xml:space="preserve"> </w:t>
      </w:r>
      <w:r>
        <w:t xml:space="preserve">66 (10): 3682–96. doi:</w:t>
      </w:r>
      <w:hyperlink r:id="rId92">
        <w:r>
          <w:rPr>
            <w:rStyle w:val="Hyperlink"/>
          </w:rPr>
          <w:t xml:space="preserve">10.1002/lno.11909</w:t>
        </w:r>
      </w:hyperlink>
      <w:r>
        <w:t xml:space="preserve">.</w:t>
      </w:r>
    </w:p>
    <w:bookmarkEnd w:id="93"/>
    <w:bookmarkStart w:id="95" w:name="ref-Berube2015"/>
    <w:p>
      <w:pPr>
        <w:pStyle w:val="Bibliography"/>
      </w:pPr>
      <w:r>
        <w:t xml:space="preserve">Berube, Paul M, Steven J Biller, Alyssa G Kent, Jessie W Berta-Thompson, Sara E Roggensack, Kathryn H Roache-Johnson, Marcia Ackerman, et al. 2015.</w:t>
      </w:r>
      <w:r>
        <w:t xml:space="preserve"> </w:t>
      </w:r>
      <w:r>
        <w:t xml:space="preserve">“Physiology and Evolution of Nitrate Acquisition in</w:t>
      </w:r>
      <w:r>
        <w:t xml:space="preserve"> </w:t>
      </w:r>
      <w:r>
        <w:rPr>
          <w:i/>
          <w:iCs/>
        </w:rPr>
        <w:t xml:space="preserve">Prochlorococcus</w:t>
      </w:r>
      <w:r>
        <w:t xml:space="preserve">.”</w:t>
      </w:r>
      <w:r>
        <w:t xml:space="preserve"> </w:t>
      </w:r>
      <w:r>
        <w:rPr>
          <w:i/>
          <w:iCs/>
        </w:rPr>
        <w:t xml:space="preserve">The ISME Journal</w:t>
      </w:r>
      <w:r>
        <w:t xml:space="preserve"> </w:t>
      </w:r>
      <w:r>
        <w:t xml:space="preserve">9 (5): 1195–1207. doi:</w:t>
      </w:r>
      <w:hyperlink r:id="rId94">
        <w:r>
          <w:rPr>
            <w:rStyle w:val="Hyperlink"/>
          </w:rPr>
          <w:t xml:space="preserve">10.1038/ismej.2014.211</w:t>
        </w:r>
      </w:hyperlink>
      <w:r>
        <w:t xml:space="preserve">.</w:t>
      </w:r>
    </w:p>
    <w:bookmarkEnd w:id="95"/>
    <w:bookmarkStart w:id="97" w:name="ref-Boysen2022"/>
    <w:p>
      <w:pPr>
        <w:pStyle w:val="Bibliography"/>
      </w:pPr>
      <w:r>
        <w:t xml:space="preserve">Boysen, Angela K., Bryndan P. Durham, William Kumler, Rebecca S. Key, Katherine R. Heal, Laura T. Carlson, Ryan D. Groussman, E. Virginia Armbrust, and Anitra E. Ingalls. 2022.</w:t>
      </w:r>
      <w:r>
        <w:t xml:space="preserve"> </w:t>
      </w:r>
      <w:r>
        <w:t xml:space="preserve">“Glycine Betaine Uptake and Metabolism in Marine Microbial Communities.”</w:t>
      </w:r>
      <w:r>
        <w:t xml:space="preserve"> </w:t>
      </w:r>
      <w:r>
        <w:rPr>
          <w:i/>
          <w:iCs/>
        </w:rPr>
        <w:t xml:space="preserve">Environmental Microbiology</w:t>
      </w:r>
      <w:r>
        <w:t xml:space="preserve"> </w:t>
      </w:r>
      <w:r>
        <w:t xml:space="preserve">24 (5): 2380–2403. doi:</w:t>
      </w:r>
      <w:hyperlink r:id="rId96">
        <w:r>
          <w:rPr>
            <w:rStyle w:val="Hyperlink"/>
          </w:rPr>
          <w:t xml:space="preserve">10.1111/1462-2920.16020</w:t>
        </w:r>
      </w:hyperlink>
      <w:r>
        <w:t xml:space="preserve">.</w:t>
      </w:r>
    </w:p>
    <w:bookmarkEnd w:id="97"/>
    <w:bookmarkStart w:id="99"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 doi:</w:t>
      </w:r>
      <w:hyperlink r:id="rId98">
        <w:r>
          <w:rPr>
            <w:rStyle w:val="Hyperlink"/>
          </w:rPr>
          <w:t xml:space="preserve">10.1021/acs.analchem.7b04400</w:t>
        </w:r>
      </w:hyperlink>
      <w:r>
        <w:t xml:space="preserve">.</w:t>
      </w:r>
    </w:p>
    <w:bookmarkEnd w:id="99"/>
    <w:bookmarkStart w:id="101"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 doi:</w:t>
      </w:r>
      <w:hyperlink r:id="rId100">
        <w:r>
          <w:rPr>
            <w:rStyle w:val="Hyperlink"/>
          </w:rPr>
          <w:t xml:space="preserve">10.1016/j.ecss.2010.02.001</w:t>
        </w:r>
      </w:hyperlink>
      <w:r>
        <w:t xml:space="preserve">.</w:t>
      </w:r>
    </w:p>
    <w:bookmarkEnd w:id="101"/>
    <w:bookmarkStart w:id="103"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 doi:</w:t>
      </w:r>
      <w:hyperlink r:id="rId102">
        <w:r>
          <w:rPr>
            <w:rStyle w:val="Hyperlink"/>
          </w:rPr>
          <w:t xml:space="preserve">10.5194/bg-4-283-2007</w:t>
        </w:r>
      </w:hyperlink>
      <w:r>
        <w:t xml:space="preserve">.</w:t>
      </w:r>
    </w:p>
    <w:bookmarkEnd w:id="103"/>
    <w:bookmarkStart w:id="105"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 doi:</w:t>
      </w:r>
      <w:hyperlink r:id="rId104">
        <w:r>
          <w:rPr>
            <w:rStyle w:val="Hyperlink"/>
          </w:rPr>
          <w:t xml:space="preserve">10.1016/B978-0-443-13858-4.00016-2</w:t>
        </w:r>
      </w:hyperlink>
      <w:r>
        <w:t xml:space="preserve">.</w:t>
      </w:r>
    </w:p>
    <w:bookmarkEnd w:id="105"/>
    <w:bookmarkStart w:id="106"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106"/>
    <w:bookmarkStart w:id="108" w:name="ref-Carpenter1999"/>
    <w:p>
      <w:pPr>
        <w:pStyle w:val="Bibliography"/>
      </w:pPr>
      <w:r>
        <w:t xml:space="preserve">Carpenter, Ej, Jp Montoya, J Burns, Mr Mulholland, A Subramaniam, and Dg Capone. 1999.</w:t>
      </w:r>
      <w:r>
        <w:t xml:space="preserve"> </w:t>
      </w:r>
      <w:r>
        <w:t xml:space="preserve">“Extensive Bloom of a</w:t>
      </w:r>
      <w:r>
        <w:t xml:space="preserve"> </w:t>
      </w:r>
      <w:r>
        <w:t xml:space="preserve">N2-fixing</w:t>
      </w:r>
      <w:r>
        <w:t xml:space="preserve"> </w:t>
      </w:r>
      <w:r>
        <w:t xml:space="preserve">Diatom/Cyanobacterial Association in the Tropical</w:t>
      </w:r>
      <w:r>
        <w:t xml:space="preserve"> </w:t>
      </w:r>
      <w:r>
        <w:t xml:space="preserve">Atlantic Ocean</w:t>
      </w:r>
      <w:r>
        <w:t xml:space="preserve">.”</w:t>
      </w:r>
      <w:r>
        <w:t xml:space="preserve"> </w:t>
      </w:r>
      <w:r>
        <w:rPr>
          <w:i/>
          <w:iCs/>
        </w:rPr>
        <w:t xml:space="preserve">Marine Ecology Progress Series</w:t>
      </w:r>
      <w:r>
        <w:t xml:space="preserve"> </w:t>
      </w:r>
      <w:r>
        <w:t xml:space="preserve">185: 273–83. doi:</w:t>
      </w:r>
      <w:hyperlink r:id="rId107">
        <w:r>
          <w:rPr>
            <w:rStyle w:val="Hyperlink"/>
          </w:rPr>
          <w:t xml:space="preserve">10.3354/meps185273</w:t>
        </w:r>
      </w:hyperlink>
      <w:r>
        <w:t xml:space="preserve">.</w:t>
      </w:r>
    </w:p>
    <w:bookmarkEnd w:id="108"/>
    <w:bookmarkStart w:id="110" w:name="ref-CastilloCieza2024"/>
    <w:p>
      <w:pPr>
        <w:pStyle w:val="Bibliography"/>
      </w:pPr>
      <w:r>
        <w:t xml:space="preserve">Castillo Cieza, S. Alejandra, Rachel H. R. Stanley, Pierre Marrec, Diana N. Fontaine, E. Taylor Crockford, Dennis J. McGillicuddy Jr., Arshia Mehta, et al. 2024.</w:t>
      </w:r>
      <w:r>
        <w:t xml:space="preserve"> </w:t>
      </w:r>
      <w:r>
        <w:t xml:space="preserve">“Unusual</w:t>
      </w:r>
      <w:r>
        <w:t xml:space="preserve"> </w:t>
      </w:r>
      <w:r>
        <w:rPr>
          <w:i/>
          <w:iCs/>
        </w:rPr>
        <w:t xml:space="preserve">Hemiaulus</w:t>
      </w:r>
      <w:r>
        <w:t xml:space="preserve"> </w:t>
      </w:r>
      <w:r>
        <w:t xml:space="preserve">Bloom Influences Ocean Productivity in</w:t>
      </w:r>
      <w:r>
        <w:t xml:space="preserve"> </w:t>
      </w:r>
      <w:r>
        <w:t xml:space="preserve">Northeastern US Shelf</w:t>
      </w:r>
      <w:r>
        <w:t xml:space="preserve"> </w:t>
      </w:r>
      <w:r>
        <w:t xml:space="preserve">Waters.”</w:t>
      </w:r>
      <w:r>
        <w:t xml:space="preserve"> </w:t>
      </w:r>
      <w:r>
        <w:rPr>
          <w:i/>
          <w:iCs/>
        </w:rPr>
        <w:t xml:space="preserve">Biogeosciences</w:t>
      </w:r>
      <w:r>
        <w:t xml:space="preserve"> </w:t>
      </w:r>
      <w:r>
        <w:t xml:space="preserve">21 (5): 1235–57. doi:</w:t>
      </w:r>
      <w:hyperlink r:id="rId109">
        <w:r>
          <w:rPr>
            <w:rStyle w:val="Hyperlink"/>
          </w:rPr>
          <w:t xml:space="preserve">10.5194/bg-21-1235-2024</w:t>
        </w:r>
      </w:hyperlink>
      <w:r>
        <w:t xml:space="preserve">.</w:t>
      </w:r>
    </w:p>
    <w:bookmarkEnd w:id="110"/>
    <w:bookmarkStart w:id="112" w:name="ref-Chambers2012"/>
    <w:p>
      <w:pPr>
        <w:pStyle w:val="Bibliography"/>
      </w:pPr>
      <w:r>
        <w:t xml:space="preserve">Chambers, Matthew C, Brendan Maclean, Robert Burke, Dario Amodei, Daniel L Ruderman, Steffen Neumann, Laurent Gatto, et al. 2012.</w:t>
      </w:r>
      <w:r>
        <w:t xml:space="preserve"> </w:t>
      </w:r>
      <w:r>
        <w:t xml:space="preserve">“A Cross-Platform Toolkit for Mass Spectrometry and Proteomics.”</w:t>
      </w:r>
      <w:r>
        <w:t xml:space="preserve"> </w:t>
      </w:r>
      <w:r>
        <w:rPr>
          <w:i/>
          <w:iCs/>
        </w:rPr>
        <w:t xml:space="preserve">Nature Biotechnology</w:t>
      </w:r>
      <w:r>
        <w:t xml:space="preserve"> </w:t>
      </w:r>
      <w:r>
        <w:t xml:space="preserve">30 (10): 918–20. doi:</w:t>
      </w:r>
      <w:hyperlink r:id="rId111">
        <w:r>
          <w:rPr>
            <w:rStyle w:val="Hyperlink"/>
          </w:rPr>
          <w:t xml:space="preserve">10.1038/nbt.2377</w:t>
        </w:r>
      </w:hyperlink>
      <w:r>
        <w:t xml:space="preserve">.</w:t>
      </w:r>
    </w:p>
    <w:bookmarkEnd w:id="112"/>
    <w:bookmarkStart w:id="114" w:name="ref-Fountoulakis1998"/>
    <w:p>
      <w:pPr>
        <w:pStyle w:val="Bibliography"/>
      </w:pPr>
      <w:r>
        <w:t xml:space="preserve">Fountoulakis, Michael, and Hans-Werner Lahm. 1998.</w:t>
      </w:r>
      <w:r>
        <w:t xml:space="preserve"> </w:t>
      </w:r>
      <w:r>
        <w:t xml:space="preserve">“Hydrolysis and Amino Acid Composition Analysis of Proteins.”</w:t>
      </w:r>
      <w:r>
        <w:t xml:space="preserve"> </w:t>
      </w:r>
      <w:r>
        <w:rPr>
          <w:i/>
          <w:iCs/>
        </w:rPr>
        <w:t xml:space="preserve">Journal of Chromatography A</w:t>
      </w:r>
      <w:r>
        <w:t xml:space="preserve"> </w:t>
      </w:r>
      <w:r>
        <w:t xml:space="preserve">826 (2): 109–34. doi:</w:t>
      </w:r>
      <w:hyperlink r:id="rId113">
        <w:r>
          <w:rPr>
            <w:rStyle w:val="Hyperlink"/>
          </w:rPr>
          <w:t xml:space="preserve">10.1016/S0021-9673(98)00721-3</w:t>
        </w:r>
      </w:hyperlink>
      <w:r>
        <w:t xml:space="preserve">.</w:t>
      </w:r>
    </w:p>
    <w:bookmarkEnd w:id="114"/>
    <w:bookmarkStart w:id="116" w:name="ref-Goldberg2017"/>
    <w:p>
      <w:pPr>
        <w:pStyle w:val="Bibliography"/>
      </w:pPr>
      <w:r>
        <w:t xml:space="preserve">Goldberg, S. J., C. E. Nelson, D. A. Viviani, C. N. Shulse, and M. J. Church. 2017.</w:t>
      </w:r>
      <w:r>
        <w:t xml:space="preserve"> </w:t>
      </w:r>
      <w:r>
        <w:t xml:space="preserve">“Cascading Influence of Inorganic Nitrogen Sources on</w:t>
      </w:r>
      <w:r>
        <w:t xml:space="preserve"> </w:t>
      </w:r>
      <w:r>
        <w:t xml:space="preserve">DOM</w:t>
      </w:r>
      <w:r>
        <w:t xml:space="preserve"> </w:t>
      </w:r>
      <w:r>
        <w:t xml:space="preserve">Production, Composition, Lability and Microbial Community Structure in the Open Ocean.”</w:t>
      </w:r>
      <w:r>
        <w:t xml:space="preserve"> </w:t>
      </w:r>
      <w:r>
        <w:rPr>
          <w:i/>
          <w:iCs/>
        </w:rPr>
        <w:t xml:space="preserve">Environmental Microbiology</w:t>
      </w:r>
      <w:r>
        <w:t xml:space="preserve"> </w:t>
      </w:r>
      <w:r>
        <w:t xml:space="preserve">19 (9): 3450–64. doi:</w:t>
      </w:r>
      <w:hyperlink r:id="rId115">
        <w:r>
          <w:rPr>
            <w:rStyle w:val="Hyperlink"/>
          </w:rPr>
          <w:t xml:space="preserve">10.1111/1462-2920.13825</w:t>
        </w:r>
      </w:hyperlink>
      <w:r>
        <w:t xml:space="preserve">.</w:t>
      </w:r>
    </w:p>
    <w:bookmarkEnd w:id="116"/>
    <w:bookmarkStart w:id="118" w:name="ref-Gonsior2022"/>
    <w:p>
      <w:pPr>
        <w:pStyle w:val="Bibliography"/>
      </w:pPr>
      <w:r>
        <w:t xml:space="preserve">Gonsior, Michael, Leanne Powers, Madeline Lahm, and Shannon Leigh McCallister. 2022.</w:t>
      </w:r>
      <w:r>
        <w:t xml:space="preserve"> </w:t>
      </w:r>
      <w:r>
        <w:t xml:space="preserve">“New</w:t>
      </w:r>
      <w:r>
        <w:t xml:space="preserve"> </w:t>
      </w:r>
      <w:r>
        <w:t xml:space="preserve">Perspectives</w:t>
      </w:r>
      <w:r>
        <w:t xml:space="preserve"> </w:t>
      </w:r>
      <w:r>
        <w:t xml:space="preserve">on the</w:t>
      </w:r>
      <w:r>
        <w:t xml:space="preserve"> </w:t>
      </w:r>
      <w:r>
        <w:t xml:space="preserve">Marine Carbon Cycle</w:t>
      </w:r>
      <w:r>
        <w:t xml:space="preserve">–</w:t>
      </w:r>
      <w:r>
        <w:t xml:space="preserve">The Marine Dissolved Organic Matter Reactivity Continuum</w:t>
      </w:r>
      <w:r>
        <w:t xml:space="preserve">.”</w:t>
      </w:r>
      <w:r>
        <w:t xml:space="preserve"> </w:t>
      </w:r>
      <w:r>
        <w:rPr>
          <w:i/>
          <w:iCs/>
        </w:rPr>
        <w:t xml:space="preserve">Environmental Science &amp; Technology</w:t>
      </w:r>
      <w:r>
        <w:t xml:space="preserve"> </w:t>
      </w:r>
      <w:r>
        <w:t xml:space="preserve">56 (9): 5371–80. doi:</w:t>
      </w:r>
      <w:hyperlink r:id="rId117">
        <w:r>
          <w:rPr>
            <w:rStyle w:val="Hyperlink"/>
          </w:rPr>
          <w:t xml:space="preserve">10.1021/acs.est.1c08871</w:t>
        </w:r>
      </w:hyperlink>
      <w:r>
        <w:t xml:space="preserve">.</w:t>
      </w:r>
    </w:p>
    <w:bookmarkEnd w:id="118"/>
    <w:bookmarkStart w:id="120" w:name="ref-Gray2017"/>
    <w:p>
      <w:pPr>
        <w:pStyle w:val="Bibliography"/>
      </w:pPr>
      <w:r>
        <w:t xml:space="preserve">Gray, Nicola, Rabiya Zia, Adam King, Vishal C. Patel, Julia Wendon, Mark J. W. McPhail, Muireann Coen, Robert S. Plumb, Ian D. Wilson, and Jeremy K. Nicholson. 2017.</w:t>
      </w:r>
      <w:r>
        <w:t xml:space="preserve"> </w:t>
      </w:r>
      <w:r>
        <w:t xml:space="preserve">“High-</w:t>
      </w:r>
      <w:r>
        <w:t xml:space="preserve">Speed Quantitative UPLC-MS Analysis</w:t>
      </w:r>
      <w:r>
        <w:t xml:space="preserve"> </w:t>
      </w:r>
      <w:r>
        <w:t xml:space="preserve">of</w:t>
      </w:r>
      <w:r>
        <w:t xml:space="preserve"> </w:t>
      </w:r>
      <w:r>
        <w:t xml:space="preserve">Multiple Amines</w:t>
      </w:r>
      <w:r>
        <w:t xml:space="preserve"> </w:t>
      </w:r>
      <w:r>
        <w:t xml:space="preserve">in</w:t>
      </w:r>
      <w:r>
        <w:t xml:space="preserve"> </w:t>
      </w:r>
      <w:r>
        <w:t xml:space="preserve">Human Plasma</w:t>
      </w:r>
      <w:r>
        <w:t xml:space="preserve"> </w:t>
      </w:r>
      <w:r>
        <w:t xml:space="preserve">and</w:t>
      </w:r>
      <w:r>
        <w:t xml:space="preserve"> </w:t>
      </w:r>
      <w:r>
        <w:t xml:space="preserve">Serum</w:t>
      </w:r>
      <w:r>
        <w:t xml:space="preserve"> </w:t>
      </w:r>
      <w:r>
        <w:t xml:space="preserve">via</w:t>
      </w:r>
      <w:r>
        <w:t xml:space="preserve"> </w:t>
      </w:r>
      <w:r>
        <w:t xml:space="preserve">Precolumn Derivatization</w:t>
      </w:r>
      <w:r>
        <w:t xml:space="preserve"> </w:t>
      </w:r>
      <w:r>
        <w:t xml:space="preserve">with 6-</w:t>
      </w:r>
      <w:r>
        <w:t xml:space="preserve">Aminoquinolyl-</w:t>
      </w:r>
      <w:r>
        <w:t xml:space="preserve"> </w:t>
      </w:r>
      <w:r>
        <w:rPr>
          <w:i/>
          <w:iCs/>
        </w:rPr>
        <w:t xml:space="preserve">N</w:t>
      </w:r>
      <w:r>
        <w:t xml:space="preserve"> </w:t>
      </w:r>
      <w:r>
        <w:t xml:space="preserve">-Hydroxysuccinimidyl</w:t>
      </w:r>
      <w:r>
        <w:t xml:space="preserve"> </w:t>
      </w:r>
      <w:r>
        <w:t xml:space="preserve">Carbamate</w:t>
      </w:r>
      <w:r>
        <w:t xml:space="preserve">:</w:t>
      </w:r>
      <w:r>
        <w:t xml:space="preserve"> </w:t>
      </w:r>
      <w:r>
        <w:t xml:space="preserve">Application</w:t>
      </w:r>
      <w:r>
        <w:t xml:space="preserve"> </w:t>
      </w:r>
      <w:r>
        <w:t xml:space="preserve">to</w:t>
      </w:r>
      <w:r>
        <w:t xml:space="preserve"> </w:t>
      </w:r>
      <w:r>
        <w:t xml:space="preserve">Acetaminophen-Induced Liver Failure</w:t>
      </w:r>
      <w:r>
        <w:t xml:space="preserve">.”</w:t>
      </w:r>
      <w:r>
        <w:t xml:space="preserve"> </w:t>
      </w:r>
      <w:r>
        <w:rPr>
          <w:i/>
          <w:iCs/>
        </w:rPr>
        <w:t xml:space="preserve">Analytical Chemistry</w:t>
      </w:r>
      <w:r>
        <w:t xml:space="preserve"> </w:t>
      </w:r>
      <w:r>
        <w:t xml:space="preserve">89 (4): 2478–87. doi:</w:t>
      </w:r>
      <w:hyperlink r:id="rId119">
        <w:r>
          <w:rPr>
            <w:rStyle w:val="Hyperlink"/>
          </w:rPr>
          <w:t xml:space="preserve">10.1021/acs.analchem.6b04623</w:t>
        </w:r>
      </w:hyperlink>
      <w:r>
        <w:t xml:space="preserve">.</w:t>
      </w:r>
    </w:p>
    <w:bookmarkEnd w:id="120"/>
    <w:bookmarkStart w:id="122"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 doi:</w:t>
      </w:r>
      <w:hyperlink r:id="rId121">
        <w:r>
          <w:rPr>
            <w:rStyle w:val="Hyperlink"/>
          </w:rPr>
          <w:t xml:space="preserve">10.1128/mSystems.01334-20</w:t>
        </w:r>
      </w:hyperlink>
      <w:r>
        <w:t xml:space="preserve">.</w:t>
      </w:r>
    </w:p>
    <w:bookmarkEnd w:id="122"/>
    <w:bookmarkStart w:id="124"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 doi:</w:t>
      </w:r>
      <w:hyperlink r:id="rId123">
        <w:r>
          <w:rPr>
            <w:rStyle w:val="Hyperlink"/>
          </w:rPr>
          <w:t xml:space="preserve">10.1038/s41579-022-00687-z</w:t>
        </w:r>
      </w:hyperlink>
      <w:r>
        <w:t xml:space="preserve">.</w:t>
      </w:r>
    </w:p>
    <w:bookmarkEnd w:id="124"/>
    <w:bookmarkStart w:id="126"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 doi:</w:t>
      </w:r>
      <w:hyperlink r:id="rId125">
        <w:r>
          <w:rPr>
            <w:rStyle w:val="Hyperlink"/>
          </w:rPr>
          <w:t xml:space="preserve">10.3389/fevo.2024.1505025</w:t>
        </w:r>
      </w:hyperlink>
      <w:r>
        <w:t xml:space="preserve">.</w:t>
      </w:r>
    </w:p>
    <w:bookmarkEnd w:id="126"/>
    <w:bookmarkStart w:id="128" w:name="ref-Kumler2023"/>
    <w:p>
      <w:pPr>
        <w:pStyle w:val="Bibliography"/>
      </w:pPr>
      <w:r>
        <w:t xml:space="preserve">Kumler, William, Bryna J. Hazelton, and Anitra E. Ingalls. 2023.</w:t>
      </w:r>
      <w:r>
        <w:t xml:space="preserve"> </w:t>
      </w:r>
      <w:r>
        <w:t xml:space="preserve">“Picky with Peakpicking: Assessing Chromatographic Peak Quality with Simple Metrics in Metabolomics.”</w:t>
      </w:r>
      <w:r>
        <w:t xml:space="preserve"> </w:t>
      </w:r>
      <w:r>
        <w:rPr>
          <w:i/>
          <w:iCs/>
        </w:rPr>
        <w:t xml:space="preserve">BMC Bioinformatics</w:t>
      </w:r>
      <w:r>
        <w:t xml:space="preserve"> </w:t>
      </w:r>
      <w:r>
        <w:t xml:space="preserve">24 (1): 404. doi:</w:t>
      </w:r>
      <w:hyperlink r:id="rId127">
        <w:r>
          <w:rPr>
            <w:rStyle w:val="Hyperlink"/>
          </w:rPr>
          <w:t xml:space="preserve">10.1186/s12859-023-05533-4</w:t>
        </w:r>
      </w:hyperlink>
      <w:r>
        <w:t xml:space="preserve">.</w:t>
      </w:r>
    </w:p>
    <w:bookmarkEnd w:id="128"/>
    <w:bookmarkStart w:id="130" w:name="ref-Kumler2022"/>
    <w:p>
      <w:pPr>
        <w:pStyle w:val="Bibliography"/>
      </w:pPr>
      <w:r>
        <w:t xml:space="preserve">Kumler, William, and Anitra Ingalls. 2022.</w:t>
      </w:r>
      <w:r>
        <w:t xml:space="preserve"> </w:t>
      </w:r>
      <w:r>
        <w:t xml:space="preserve">“Tidy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t xml:space="preserve">14 (3): 193–202. doi:</w:t>
      </w:r>
      <w:hyperlink r:id="rId129">
        <w:r>
          <w:rPr>
            <w:rStyle w:val="Hyperlink"/>
          </w:rPr>
          <w:t xml:space="preserve">10.32614/RJ-2022-050</w:t>
        </w:r>
      </w:hyperlink>
      <w:r>
        <w:t xml:space="preserve">.</w:t>
      </w:r>
    </w:p>
    <w:bookmarkEnd w:id="130"/>
    <w:bookmarkStart w:id="132" w:name="ref-Li2023"/>
    <w:p>
      <w:pPr>
        <w:pStyle w:val="Bibliography"/>
      </w:pPr>
      <w:r>
        <w:t xml:space="preserve">Li, Fuyan, Andrew Burger, John M. Eppley, Kirsten E. Poff, David M. Karl, and Edward F. DeLong. 2023.</w:t>
      </w:r>
      <w:r>
        <w:t xml:space="preserve"> </w:t>
      </w:r>
      <w:r>
        <w:t xml:space="preserve">“Planktonic Microbial Signatures of Sinking Particle Export in the Open Ocean’s Interior.”</w:t>
      </w:r>
      <w:r>
        <w:t xml:space="preserve"> </w:t>
      </w:r>
      <w:r>
        <w:rPr>
          <w:i/>
          <w:iCs/>
        </w:rPr>
        <w:t xml:space="preserve">Nature Communications</w:t>
      </w:r>
      <w:r>
        <w:t xml:space="preserve"> </w:t>
      </w:r>
      <w:r>
        <w:t xml:space="preserve">14 (1): 7177. doi:</w:t>
      </w:r>
      <w:hyperlink r:id="rId131">
        <w:r>
          <w:rPr>
            <w:rStyle w:val="Hyperlink"/>
          </w:rPr>
          <w:t xml:space="preserve">10.1038/s41467-023-42909-9</w:t>
        </w:r>
      </w:hyperlink>
      <w:r>
        <w:t xml:space="preserve">.</w:t>
      </w:r>
    </w:p>
    <w:bookmarkEnd w:id="132"/>
    <w:bookmarkStart w:id="134" w:name="ref-Martiny2009"/>
    <w:p>
      <w:pPr>
        <w:pStyle w:val="Bibliography"/>
      </w:pPr>
      <w:r>
        <w:t xml:space="preserve">Martiny, Adam C., Satish Kathuria, and Paul M. Berube. 2009.</w:t>
      </w:r>
      <w:r>
        <w:t xml:space="preserve"> </w:t>
      </w:r>
      <w:r>
        <w:t xml:space="preserve">“Widespread Metabolic Potential for Nitrite and Nitrate Assimilation Among</w:t>
      </w:r>
      <w:r>
        <w:t xml:space="preserve"> </w:t>
      </w:r>
      <w:r>
        <w:rPr>
          <w:i/>
          <w:iCs/>
        </w:rPr>
        <w:t xml:space="preserve">Prochlorococcus</w:t>
      </w:r>
      <w:r>
        <w:t xml:space="preserve"> </w:t>
      </w:r>
      <w:r>
        <w:t xml:space="preserve">Ecotypes.”</w:t>
      </w:r>
      <w:r>
        <w:t xml:space="preserve"> </w:t>
      </w:r>
      <w:r>
        <w:rPr>
          <w:i/>
          <w:iCs/>
        </w:rPr>
        <w:t xml:space="preserve">Proceedings of the National Academy of Sciences</w:t>
      </w:r>
      <w:r>
        <w:t xml:space="preserve"> </w:t>
      </w:r>
      <w:r>
        <w:t xml:space="preserve">106 (26): 10787–92. doi:</w:t>
      </w:r>
      <w:hyperlink r:id="rId133">
        <w:r>
          <w:rPr>
            <w:rStyle w:val="Hyperlink"/>
          </w:rPr>
          <w:t xml:space="preserve">10.1073/pnas.0902532106</w:t>
        </w:r>
      </w:hyperlink>
      <w:r>
        <w:t xml:space="preserve">.</w:t>
      </w:r>
    </w:p>
    <w:bookmarkEnd w:id="134"/>
    <w:bookmarkStart w:id="136" w:name="ref-McAndrew2007"/>
    <w:p>
      <w:pPr>
        <w:pStyle w:val="Bibliography"/>
      </w:pPr>
      <w:r>
        <w:t xml:space="preserve">McAndrew, Pm, Km Björkman, Mj Church, Pj Morris, N Jachowski, leB Williams Pj, and Dm Karl. 2007.</w:t>
      </w:r>
      <w:r>
        <w:t xml:space="preserve"> </w:t>
      </w:r>
      <w:r>
        <w:t xml:space="preserve">“Metabolic Response of Oligotrophic Plankton Communities to Deep Water Nutrient Enrichment.”</w:t>
      </w:r>
      <w:r>
        <w:t xml:space="preserve"> </w:t>
      </w:r>
      <w:r>
        <w:rPr>
          <w:i/>
          <w:iCs/>
        </w:rPr>
        <w:t xml:space="preserve">Marine Ecology Progress Series</w:t>
      </w:r>
      <w:r>
        <w:t xml:space="preserve"> </w:t>
      </w:r>
      <w:r>
        <w:t xml:space="preserve">332 (March): 63–75. doi:</w:t>
      </w:r>
      <w:hyperlink r:id="rId135">
        <w:r>
          <w:rPr>
            <w:rStyle w:val="Hyperlink"/>
          </w:rPr>
          <w:t xml:space="preserve">10.3354/meps332063</w:t>
        </w:r>
      </w:hyperlink>
      <w:r>
        <w:t xml:space="preserve">.</w:t>
      </w:r>
    </w:p>
    <w:bookmarkEnd w:id="136"/>
    <w:bookmarkStart w:id="138"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 doi:</w:t>
      </w:r>
      <w:hyperlink r:id="rId137">
        <w:r>
          <w:rPr>
            <w:rStyle w:val="Hyperlink"/>
          </w:rPr>
          <w:t xml:space="preserve">10.3389/fmars.2021.689306</w:t>
        </w:r>
      </w:hyperlink>
      <w:r>
        <w:t xml:space="preserve">.</w:t>
      </w:r>
    </w:p>
    <w:bookmarkEnd w:id="138"/>
    <w:bookmarkStart w:id="140"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 doi:</w:t>
      </w:r>
      <w:hyperlink r:id="rId139">
        <w:r>
          <w:rPr>
            <w:rStyle w:val="Hyperlink"/>
          </w:rPr>
          <w:t xml:space="preserve">10.1038/ngeo1765</w:t>
        </w:r>
      </w:hyperlink>
      <w:r>
        <w:t xml:space="preserve">.</w:t>
      </w:r>
    </w:p>
    <w:bookmarkEnd w:id="140"/>
    <w:bookmarkStart w:id="142"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 doi:</w:t>
      </w:r>
      <w:hyperlink r:id="rId141">
        <w:r>
          <w:rPr>
            <w:rStyle w:val="Hyperlink"/>
          </w:rPr>
          <w:t xml:space="preserve">10.1038/s41564-022-01090-3</w:t>
        </w:r>
      </w:hyperlink>
      <w:r>
        <w:t xml:space="preserve">.</w:t>
      </w:r>
    </w:p>
    <w:bookmarkEnd w:id="142"/>
    <w:bookmarkStart w:id="144" w:name="ref-Mu2015"/>
    <w:p>
      <w:pPr>
        <w:pStyle w:val="Bibliography"/>
      </w:pPr>
      <w:r>
        <w:t xml:space="preserve">Mu, Wanmeng, Tao Zhang, and Bo Jiang. 2015.</w:t>
      </w:r>
      <w:r>
        <w:t xml:space="preserve"> </w:t>
      </w:r>
      <w:r>
        <w:t xml:space="preserve">“An Overview of Biological Production of</w:t>
      </w:r>
      <w:r>
        <w:t xml:space="preserve"> </w:t>
      </w:r>
      <w:r>
        <w:t xml:space="preserve">L-theanine</w:t>
      </w:r>
      <w:r>
        <w:t xml:space="preserve">.”</w:t>
      </w:r>
      <w:r>
        <w:t xml:space="preserve"> </w:t>
      </w:r>
      <w:r>
        <w:rPr>
          <w:i/>
          <w:iCs/>
        </w:rPr>
        <w:t xml:space="preserve">Biotechnology Advances</w:t>
      </w:r>
      <w:r>
        <w:t xml:space="preserve"> </w:t>
      </w:r>
      <w:r>
        <w:t xml:space="preserve">33 (3-4): 335–42. doi:</w:t>
      </w:r>
      <w:hyperlink r:id="rId143">
        <w:r>
          <w:rPr>
            <w:rStyle w:val="Hyperlink"/>
          </w:rPr>
          <w:t xml:space="preserve">10.1016/j.biotechadv.2015.04.004</w:t>
        </w:r>
      </w:hyperlink>
      <w:r>
        <w:t xml:space="preserve">.</w:t>
      </w:r>
    </w:p>
    <w:bookmarkEnd w:id="144"/>
    <w:bookmarkStart w:id="146"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 doi:</w:t>
      </w:r>
      <w:hyperlink r:id="rId145">
        <w:r>
          <w:rPr>
            <w:rStyle w:val="Hyperlink"/>
          </w:rPr>
          <w:t xml:space="preserve">10.1016/B978-0-12-372522-6.00007-4</w:t>
        </w:r>
      </w:hyperlink>
      <w:r>
        <w:t xml:space="preserve">.</w:t>
      </w:r>
    </w:p>
    <w:bookmarkEnd w:id="146"/>
    <w:bookmarkStart w:id="148" w:name="ref-Munoz-Marin2020"/>
    <w:p>
      <w:pPr>
        <w:pStyle w:val="Bibliography"/>
      </w:pPr>
      <w:r>
        <w:t xml:space="preserve">Muñoz-Marín, M C, G Gómez-Baena, A López-Lozano, J A Moreno-Cabezuelo, J Díez, and J M García-Fernández. 2020.</w:t>
      </w:r>
      <w:r>
        <w:t xml:space="preserve"> </w:t>
      </w:r>
      <w:r>
        <w:t xml:space="preserve">“Mixotrophy in Marine Picocyanobacteria: Use of Organic Compounds by</w:t>
      </w:r>
      <w:r>
        <w:t xml:space="preserve"> </w:t>
      </w:r>
      <w:r>
        <w:rPr>
          <w:i/>
          <w:iCs/>
        </w:rPr>
        <w:t xml:space="preserve">Prochlorococcus</w:t>
      </w:r>
      <w:r>
        <w:t xml:space="preserve"> </w:t>
      </w:r>
      <w:r>
        <w:t xml:space="preserve">and</w:t>
      </w:r>
      <w:r>
        <w:t xml:space="preserve"> </w:t>
      </w:r>
      <w:r>
        <w:rPr>
          <w:i/>
          <w:iCs/>
        </w:rPr>
        <w:t xml:space="preserve">Synechococcus</w:t>
      </w:r>
      <w:r>
        <w:t xml:space="preserve">.”</w:t>
      </w:r>
      <w:r>
        <w:t xml:space="preserve"> </w:t>
      </w:r>
      <w:r>
        <w:rPr>
          <w:i/>
          <w:iCs/>
        </w:rPr>
        <w:t xml:space="preserve">The ISME Journal</w:t>
      </w:r>
      <w:r>
        <w:t xml:space="preserve"> </w:t>
      </w:r>
      <w:r>
        <w:t xml:space="preserve">14 (5): 1065–73. doi:</w:t>
      </w:r>
      <w:hyperlink r:id="rId147">
        <w:r>
          <w:rPr>
            <w:rStyle w:val="Hyperlink"/>
          </w:rPr>
          <w:t xml:space="preserve">10.1038/s41396-020-0603-9</w:t>
        </w:r>
      </w:hyperlink>
      <w:r>
        <w:t xml:space="preserve">.</w:t>
      </w:r>
    </w:p>
    <w:bookmarkEnd w:id="148"/>
    <w:bookmarkStart w:id="150"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Annual Reviews: 305–31. doi:</w:t>
      </w:r>
      <w:hyperlink r:id="rId149">
        <w:r>
          <w:rPr>
            <w:rStyle w:val="Hyperlink"/>
          </w:rPr>
          <w:t xml:space="preserve">10.1146/annurev-marine-120308-081034</w:t>
        </w:r>
      </w:hyperlink>
      <w:r>
        <w:t xml:space="preserve">.</w:t>
      </w:r>
    </w:p>
    <w:bookmarkEnd w:id="150"/>
    <w:bookmarkStart w:id="151" w:name="ref-RCoreTeam2025"/>
    <w:p>
      <w:pPr>
        <w:pStyle w:val="Bibliography"/>
      </w:pPr>
      <w:r>
        <w:t xml:space="preserve">R Core Team. 2025.</w:t>
      </w:r>
      <w:r>
        <w:t xml:space="preserve"> </w:t>
      </w:r>
      <w:r>
        <w:t xml:space="preserve">“R: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r>
        <w:t xml:space="preserve"> </w:t>
      </w:r>
      <w:r>
        <w:t xml:space="preserve">Vienna, Austria: R Foundation for Statistical Computing.</w:t>
      </w:r>
    </w:p>
    <w:bookmarkEnd w:id="151"/>
    <w:bookmarkStart w:id="153"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 doi:</w:t>
      </w:r>
      <w:hyperlink r:id="rId152">
        <w:r>
          <w:rPr>
            <w:rStyle w:val="Hyperlink"/>
          </w:rPr>
          <w:t xml:space="preserve">10.3389/fmars.2018.00092</w:t>
        </w:r>
      </w:hyperlink>
      <w:r>
        <w:t xml:space="preserve">.</w:t>
      </w:r>
    </w:p>
    <w:bookmarkEnd w:id="153"/>
    <w:bookmarkStart w:id="155" w:name="ref-Seelen2024"/>
    <w:p>
      <w:pPr>
        <w:pStyle w:val="Bibliography"/>
      </w:pPr>
      <w:r>
        <w:t xml:space="preserve">Seelen, Emily, Samantha Gleich, William Kumler, Hanna Anderson, Xiaopeng Bian, Karin Björkman, David Caron, et al. 2024.</w:t>
      </w:r>
      <w:r>
        <w:t xml:space="preserve"> </w:t>
      </w:r>
      <w:r>
        <w:t xml:space="preserve">“A Tale of Two Nutrients: How Nitrogen and Phosphorus Differentially Control Marine Biomass Production and Stoichiometry.”</w:t>
      </w:r>
      <w:r>
        <w:t xml:space="preserve"> </w:t>
      </w:r>
      <w:r>
        <w:t xml:space="preserve">In Review. doi:</w:t>
      </w:r>
      <w:hyperlink r:id="rId154">
        <w:r>
          <w:rPr>
            <w:rStyle w:val="Hyperlink"/>
          </w:rPr>
          <w:t xml:space="preserve">10.21203/rs.3.rs-4203527/v1</w:t>
        </w:r>
      </w:hyperlink>
      <w:r>
        <w:t xml:space="preserve">.</w:t>
      </w:r>
    </w:p>
    <w:bookmarkEnd w:id="155"/>
    <w:bookmarkStart w:id="157"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 doi:</w:t>
      </w:r>
      <w:hyperlink r:id="rId156">
        <w:r>
          <w:rPr>
            <w:rStyle w:val="Hyperlink"/>
          </w:rPr>
          <w:t xml:space="preserve">10.1002/lno.10590</w:t>
        </w:r>
      </w:hyperlink>
      <w:r>
        <w:t xml:space="preserve">.</w:t>
      </w:r>
    </w:p>
    <w:bookmarkEnd w:id="157"/>
    <w:bookmarkStart w:id="159" w:name="ref-Smith2006"/>
    <w:p>
      <w:pPr>
        <w:pStyle w:val="Bibliography"/>
      </w:pPr>
      <w:r>
        <w:t xml:space="preserve">Smith, Colin A., Elizabeth J. Want, Grace O’Maille, Ruben Abagyan, and Gary Siuzdak. 2006.</w:t>
      </w:r>
      <w:r>
        <w:t xml:space="preserve"> </w:t>
      </w:r>
      <w:r>
        <w:t xml:space="preserve">“</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t xml:space="preserve">78 (3): 779–87. doi:</w:t>
      </w:r>
      <w:hyperlink r:id="rId158">
        <w:r>
          <w:rPr>
            <w:rStyle w:val="Hyperlink"/>
          </w:rPr>
          <w:t xml:space="preserve">10.1021/ac051437y</w:t>
        </w:r>
      </w:hyperlink>
      <w:r>
        <w:t xml:space="preserve">.</w:t>
      </w:r>
    </w:p>
    <w:bookmarkEnd w:id="159"/>
    <w:bookmarkStart w:id="161" w:name="ref-Tautenhahn2008"/>
    <w:p>
      <w:pPr>
        <w:pStyle w:val="Bibliography"/>
      </w:pPr>
      <w:r>
        <w:t xml:space="preserve">Tautenhahn, Ralf, Christoph Böttcher, and Steffen Neumann. 2008.</w:t>
      </w:r>
      <w:r>
        <w:t xml:space="preserve"> </w:t>
      </w:r>
      <w:r>
        <w:t xml:space="preserve">“Highly Sensitive Feature Detection for High Resolution</w:t>
      </w:r>
      <w:r>
        <w:t xml:space="preserve"> </w:t>
      </w:r>
      <w:r>
        <w:t xml:space="preserve">LC</w:t>
      </w:r>
      <w:r>
        <w:t xml:space="preserve">/</w:t>
      </w:r>
      <w:r>
        <w:t xml:space="preserve">MS</w:t>
      </w:r>
      <w:r>
        <w:t xml:space="preserve">.”</w:t>
      </w:r>
      <w:r>
        <w:t xml:space="preserve"> </w:t>
      </w:r>
      <w:r>
        <w:rPr>
          <w:i/>
          <w:iCs/>
        </w:rPr>
        <w:t xml:space="preserve">BMC Bioinformatics</w:t>
      </w:r>
      <w:r>
        <w:t xml:space="preserve"> </w:t>
      </w:r>
      <w:r>
        <w:t xml:space="preserve">9 (1): 504. doi:</w:t>
      </w:r>
      <w:hyperlink r:id="rId160">
        <w:r>
          <w:rPr>
            <w:rStyle w:val="Hyperlink"/>
          </w:rPr>
          <w:t xml:space="preserve">10.1186/1471-2105-9-504</w:t>
        </w:r>
      </w:hyperlink>
      <w:r>
        <w:t xml:space="preserve">.</w:t>
      </w:r>
    </w:p>
    <w:bookmarkEnd w:id="161"/>
    <w:bookmarkStart w:id="162" w:name="ref-Villareal1994"/>
    <w:p>
      <w:pPr>
        <w:pStyle w:val="Bibliography"/>
      </w:pPr>
      <w:r>
        <w:t xml:space="preserve">Villareal, TA. 1994.</w:t>
      </w:r>
      <w:r>
        <w:t xml:space="preserve"> </w:t>
      </w:r>
      <w:r>
        <w:t xml:space="preserve">“Widespread</w:t>
      </w:r>
      <w:r>
        <w:t xml:space="preserve"> </w:t>
      </w:r>
      <w:r>
        <w:t xml:space="preserve">Occurrence Of The Hemiaulus-Cyanobacterial Symbiosis In The Southwest North-Atlantic Ocean Widespread Occurrence Of The Hemiaulus-Cyanobacterial Symbiosis In The Southwest North-Atlantic Ocean Check Uw Holdings Widespread Occurrence Of The Hemiaulus-Cyanobacterial Symbiosis In The Southwest North-Atlantic Ocean</w:t>
      </w:r>
      <w:r>
        <w:t xml:space="preserve">.”</w:t>
      </w:r>
      <w:r>
        <w:t xml:space="preserve"> </w:t>
      </w:r>
      <w:r>
        <w:rPr>
          <w:i/>
          <w:iCs/>
        </w:rPr>
        <w:t xml:space="preserve">Bulletin of Marine Science</w:t>
      </w:r>
      <w:r>
        <w:t xml:space="preserve"> </w:t>
      </w:r>
      <w:r>
        <w:t xml:space="preserve">54 (1): 1–7.</w:t>
      </w:r>
    </w:p>
    <w:bookmarkEnd w:id="162"/>
    <w:bookmarkStart w:id="164" w:name="ref-Vuong2011"/>
    <w:p>
      <w:pPr>
        <w:pStyle w:val="Bibliography"/>
      </w:pPr>
      <w:r>
        <w:t xml:space="preserve">Vuong, Quan V, Michael C Bowyer, and Paul D Roach. 2011.</w:t>
      </w:r>
      <w:r>
        <w:t xml:space="preserve"> </w:t>
      </w:r>
      <w:r>
        <w:t xml:space="preserve">“L-</w:t>
      </w:r>
      <w:r>
        <w:t xml:space="preserve">Theanine</w:t>
      </w:r>
      <w:r>
        <w:t xml:space="preserve">: Properties, Synthesis and Isolation from Tea:</w:t>
      </w:r>
      <w:r>
        <w:t xml:space="preserve"> </w:t>
      </w:r>
      <w:r>
        <w:rPr>
          <w:smallCaps/>
        </w:rPr>
        <w:t xml:space="preserve">L</w:t>
      </w:r>
      <w:r>
        <w:t xml:space="preserve"> </w:t>
      </w:r>
      <w:r>
        <w:t xml:space="preserve">-</w:t>
      </w:r>
      <w:r>
        <w:t xml:space="preserve">Theanine</w:t>
      </w:r>
      <w:r>
        <w:t xml:space="preserve"> </w:t>
      </w:r>
      <w:r>
        <w:t xml:space="preserve">from Tea.”</w:t>
      </w:r>
      <w:r>
        <w:t xml:space="preserve"> </w:t>
      </w:r>
      <w:r>
        <w:rPr>
          <w:i/>
          <w:iCs/>
        </w:rPr>
        <w:t xml:space="preserve">Journal of the Science of Food and Agriculture</w:t>
      </w:r>
      <w:r>
        <w:t xml:space="preserve"> </w:t>
      </w:r>
      <w:r>
        <w:t xml:space="preserve">91 (11): 1931–39. doi:</w:t>
      </w:r>
      <w:hyperlink r:id="rId163">
        <w:r>
          <w:rPr>
            <w:rStyle w:val="Hyperlink"/>
          </w:rPr>
          <w:t xml:space="preserve">10.1002/jsfa.4373</w:t>
        </w:r>
      </w:hyperlink>
      <w:r>
        <w:t xml:space="preserve">.</w:t>
      </w:r>
    </w:p>
    <w:bookmarkEnd w:id="164"/>
    <w:bookmarkStart w:id="166" w:name="ref-Wada2015"/>
    <w:p>
      <w:pPr>
        <w:pStyle w:val="Bibliography"/>
      </w:pPr>
      <w:r>
        <w:t xml:space="preserve">Wada, Naoki, Toshio Sakamoto, and Seiichi Matsugo. 2015.</w:t>
      </w:r>
      <w:r>
        <w:t xml:space="preserve"> </w:t>
      </w:r>
      <w:r>
        <w:t xml:space="preserve">“Mycosporine-</w:t>
      </w:r>
      <w:r>
        <w:t xml:space="preserve">Like Amino Acids</w:t>
      </w:r>
      <w:r>
        <w:t xml:space="preserve"> </w:t>
      </w:r>
      <w:r>
        <w:t xml:space="preserve">and</w:t>
      </w:r>
      <w:r>
        <w:t xml:space="preserve"> </w:t>
      </w:r>
      <w:r>
        <w:t xml:space="preserve">Their Derivatives</w:t>
      </w:r>
      <w:r>
        <w:t xml:space="preserve"> </w:t>
      </w:r>
      <w:r>
        <w:t xml:space="preserve">as</w:t>
      </w:r>
      <w:r>
        <w:t xml:space="preserve"> </w:t>
      </w:r>
      <w:r>
        <w:t xml:space="preserve">Natural Antioxidants</w:t>
      </w:r>
      <w:r>
        <w:t xml:space="preserve">.”</w:t>
      </w:r>
      <w:r>
        <w:t xml:space="preserve"> </w:t>
      </w:r>
      <w:r>
        <w:rPr>
          <w:i/>
          <w:iCs/>
        </w:rPr>
        <w:t xml:space="preserve">Antioxidants</w:t>
      </w:r>
      <w:r>
        <w:t xml:space="preserve"> </w:t>
      </w:r>
      <w:r>
        <w:t xml:space="preserve">4 (3): 603–46. doi:</w:t>
      </w:r>
      <w:hyperlink r:id="rId165">
        <w:r>
          <w:rPr>
            <w:rStyle w:val="Hyperlink"/>
          </w:rPr>
          <w:t xml:space="preserve">10.3390/antiox4030603</w:t>
        </w:r>
      </w:hyperlink>
      <w:r>
        <w:t xml:space="preserve">.</w:t>
      </w:r>
    </w:p>
    <w:bookmarkEnd w:id="166"/>
    <w:bookmarkStart w:id="168"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 doi:</w:t>
      </w:r>
      <w:hyperlink r:id="rId167">
        <w:r>
          <w:rPr>
            <w:rStyle w:val="Hyperlink"/>
          </w:rPr>
          <w:t xml:space="preserve">10.1007/s10295-015-1665-y</w:t>
        </w:r>
      </w:hyperlink>
      <w:r>
        <w:t xml:space="preserve">.</w:t>
      </w:r>
    </w:p>
    <w:bookmarkEnd w:id="168"/>
    <w:bookmarkStart w:id="170" w:name="ref-White2018"/>
    <w:p>
      <w:pPr>
        <w:pStyle w:val="Bibliography"/>
      </w:pPr>
      <w:r>
        <w:t xml:space="preserve">White, Angelicque E., Katie S. Watkins-Brandt, and Matthew J. Church. 2018.</w:t>
      </w:r>
      <w:r>
        <w:t xml:space="preserve"> </w:t>
      </w:r>
      <w:r>
        <w:t xml:space="preserve">“Temporal</w:t>
      </w:r>
      <w:r>
        <w:t xml:space="preserve"> </w:t>
      </w:r>
      <w:r>
        <w:t xml:space="preserve">Variability</w:t>
      </w:r>
      <w:r>
        <w:t xml:space="preserve"> </w:t>
      </w:r>
      <w:r>
        <w:t xml:space="preserve">of</w:t>
      </w:r>
      <w:r>
        <w:t xml:space="preserve"> </w:t>
      </w:r>
      <w:r>
        <w:t xml:space="preserve">Trichodesmium</w:t>
      </w:r>
      <w:r>
        <w:t xml:space="preserve"> </w:t>
      </w:r>
      <w:r>
        <w:t xml:space="preserve">Spp. And</w:t>
      </w:r>
      <w:r>
        <w:t xml:space="preserve"> </w:t>
      </w:r>
      <w:r>
        <w:t xml:space="preserve">Diatom-Diazotroph Assemblages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(February): 27. doi:</w:t>
      </w:r>
      <w:hyperlink r:id="rId169">
        <w:r>
          <w:rPr>
            <w:rStyle w:val="Hyperlink"/>
          </w:rPr>
          <w:t xml:space="preserve">10.3389/fmars.2018.00027</w:t>
        </w:r>
      </w:hyperlink>
      <w:r>
        <w:t xml:space="preserve">.</w:t>
      </w:r>
    </w:p>
    <w:bookmarkEnd w:id="170"/>
    <w:bookmarkStart w:id="172" w:name="ref-Yancey2005"/>
    <w:p>
      <w:pPr>
        <w:pStyle w:val="Bibliography"/>
      </w:pPr>
      <w:r>
        <w:t xml:space="preserve">Yancey, Paul H. 2005.</w:t>
      </w:r>
      <w:r>
        <w:t xml:space="preserve"> </w:t>
      </w:r>
      <w:r>
        <w:t xml:space="preserve">“Organic Osmolytes as Compatible, Metabolic and Counteracting Cytoprotectants in High Osmolarity and Other Stresses.”</w:t>
      </w:r>
      <w:r>
        <w:t xml:space="preserve"> </w:t>
      </w:r>
      <w:r>
        <w:rPr>
          <w:i/>
          <w:iCs/>
        </w:rPr>
        <w:t xml:space="preserve">Journal of Experimental Biology</w:t>
      </w:r>
      <w:r>
        <w:t xml:space="preserve"> </w:t>
      </w:r>
      <w:r>
        <w:t xml:space="preserve">208 (15): 2819–30. doi:</w:t>
      </w:r>
      <w:hyperlink r:id="rId171">
        <w:r>
          <w:rPr>
            <w:rStyle w:val="Hyperlink"/>
          </w:rPr>
          <w:t xml:space="preserve">10.1242/jeb.01730</w:t>
        </w:r>
      </w:hyperlink>
      <w:r>
        <w:t xml:space="preserve">.</w:t>
      </w:r>
    </w:p>
    <w:bookmarkEnd w:id="172"/>
    <w:bookmarkStart w:id="174"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 doi:</w:t>
      </w:r>
      <w:hyperlink r:id="rId173">
        <w:r>
          <w:rPr>
            <w:rStyle w:val="Hyperlink"/>
          </w:rPr>
          <w:t xml:space="preserve">10.1146/annurev-marine-120709-142819</w:t>
        </w:r>
      </w:hyperlink>
      <w:r>
        <w:t xml:space="preserve">.</w:t>
      </w:r>
    </w:p>
    <w:bookmarkEnd w:id="174"/>
    <w:bookmarkStart w:id="176"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 doi:</w:t>
      </w:r>
      <w:hyperlink r:id="rId175">
        <w:r>
          <w:rPr>
            <w:rStyle w:val="Hyperlink"/>
          </w:rPr>
          <w:t xml:space="preserve">10.1038/s41564-022-01303-9</w:t>
        </w:r>
      </w:hyperlink>
      <w:r>
        <w:t xml:space="preserve">.</w:t>
      </w:r>
    </w:p>
    <w:bookmarkEnd w:id="176"/>
    <w:bookmarkEnd w:id="177"/>
    <w:bookmarkEnd w:id="178"/>
    <w:bookmarkStart w:id="194" w:name="supplemental-figures"/>
    <w:p>
      <w:pPr>
        <w:pStyle w:val="Heading1"/>
      </w:pPr>
      <w:r>
        <w:t xml:space="preserve">Supplemental Figures</w:t>
      </w:r>
    </w:p>
    <w:p>
      <w:pPr>
        <w:pStyle w:val="CaptionedFigure"/>
      </w:pPr>
      <w:r>
        <w:drawing>
          <wp:inline>
            <wp:extent cx="5334000" cy="6400799"/>
            <wp:effectExtent b="0" l="0" r="0" t="0"/>
            <wp:docPr descr="Supplemental Figure 1: Fraction of each metabolite containing at least one 15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GMP = guanosine monophosphate." title="" id="180" name="Picture"/>
            <a:graphic>
              <a:graphicData uri="http://schemas.openxmlformats.org/drawingml/2006/picture">
                <pic:pic>
                  <pic:nvPicPr>
                    <pic:cNvPr descr="supplement/supp_1_para_heatmap.png" id="181" name="Picture"/>
                    <pic:cNvPicPr>
                      <a:picLocks noChangeArrowheads="1" noChangeAspect="1"/>
                    </pic:cNvPicPr>
                  </pic:nvPicPr>
                  <pic:blipFill>
                    <a:blip r:embed="rId179"/>
                    <a:stretch>
                      <a:fillRect/>
                    </a:stretch>
                  </pic:blipFill>
                  <pic:spPr bwMode="auto">
                    <a:xfrm>
                      <a:off x="0" y="0"/>
                      <a:ext cx="5334000" cy="6400799"/>
                    </a:xfrm>
                    <a:prstGeom prst="rect">
                      <a:avLst/>
                    </a:prstGeom>
                    <a:noFill/>
                    <a:ln w="9525">
                      <a:noFill/>
                      <a:headEnd/>
                      <a:tailEnd/>
                    </a:ln>
                  </pic:spPr>
                </pic:pic>
              </a:graphicData>
            </a:graphic>
          </wp:inline>
        </w:drawing>
      </w:r>
    </w:p>
    <w:p>
      <w:pPr>
        <w:pStyle w:val="ImageCaption"/>
      </w:pPr>
      <w:r>
        <w:t xml:space="preserve">Supplemental Figure 1: Fraction of each metabolite containing at least one</w:t>
      </w:r>
      <w:r>
        <w:t xml:space="preserve"> </w:t>
      </w:r>
      <w:r>
        <w:rPr>
          <w:vertAlign w:val="superscript"/>
        </w:rPr>
        <w:t xml:space="preserve">15</w:t>
      </w:r>
      <w: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GMP = guanosine monophosphate.</w:t>
      </w:r>
    </w:p>
    <w:p>
      <w:pPr>
        <w:pStyle w:val="CaptionedFigure"/>
      </w:pPr>
      <w:r>
        <w:drawing>
          <wp:inline>
            <wp:extent cx="5334000" cy="2963333"/>
            <wp:effectExtent b="0" l="0" r="0" t="0"/>
            <wp:docPr descr="Supplemental Figure 2: Stacked bar plots showing the fraction of various total hydrolyzable amino acids (THAAs) labeled at the end of th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 title="" id="183" name="Picture"/>
            <a:graphic>
              <a:graphicData uri="http://schemas.openxmlformats.org/drawingml/2006/picture">
                <pic:pic>
                  <pic:nvPicPr>
                    <pic:cNvPr descr="supplement/supp_2_THAA_labeling.pdf" id="184" name="Picture"/>
                    <pic:cNvPicPr>
                      <a:picLocks noChangeArrowheads="1" noChangeAspect="1"/>
                    </pic:cNvPicPr>
                  </pic:nvPicPr>
                  <pic:blipFill>
                    <a:blip r:embed="rId18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Supplemental Figure 2: Stacked bar plots showing the fraction of various total hydrolyzable amino acids (THAAs) labeled at the end of the incubations (26 hours for nitrate and ammonia, 73 hours for guanosine monophosphate (GMP) and arginine) across the four amendments. Total µM nitrogen (N) in the protein pool is shown in the top plot while the fraction of individual amino acids labeled is shown in the rows below. Colors denote specific labeling patterns detected in the THAAs.</w:t>
      </w:r>
    </w:p>
    <w:p>
      <w:pPr>
        <w:pStyle w:val="CaptionedFigure"/>
      </w:pPr>
      <w:r>
        <w:drawing>
          <wp:inline>
            <wp:extent cx="5334000" cy="7385538"/>
            <wp:effectExtent b="0" l="0" r="0" t="0"/>
            <wp:docPr descr="Supplemental Figure 3: Fraction of UV-absorbing mycosporine-like amino acids (MAAs) containing at least one 15N label over one day during the treatments amended with 15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 GMP = guanosine monophosphate." title="" id="186" name="Picture"/>
            <a:graphic>
              <a:graphicData uri="http://schemas.openxmlformats.org/drawingml/2006/picture">
                <pic:pic>
                  <pic:nvPicPr>
                    <pic:cNvPr descr="supplement/supp_3_MAA_curves.png" id="187" name="Picture"/>
                    <pic:cNvPicPr>
                      <a:picLocks noChangeArrowheads="1" noChangeAspect="1"/>
                    </pic:cNvPicPr>
                  </pic:nvPicPr>
                  <pic:blipFill>
                    <a:blip r:embed="rId185"/>
                    <a:stretch>
                      <a:fillRect/>
                    </a:stretch>
                  </pic:blipFill>
                  <pic:spPr bwMode="auto">
                    <a:xfrm>
                      <a:off x="0" y="0"/>
                      <a:ext cx="5334000" cy="7385538"/>
                    </a:xfrm>
                    <a:prstGeom prst="rect">
                      <a:avLst/>
                    </a:prstGeom>
                    <a:noFill/>
                    <a:ln w="9525">
                      <a:noFill/>
                      <a:headEnd/>
                      <a:tailEnd/>
                    </a:ln>
                  </pic:spPr>
                </pic:pic>
              </a:graphicData>
            </a:graphic>
          </wp:inline>
        </w:drawing>
      </w:r>
    </w:p>
    <w:p>
      <w:pPr>
        <w:pStyle w:val="ImageCaption"/>
      </w:pPr>
      <w:r>
        <w:t xml:space="preserve">Supplemental Figure 3: Fraction of UV-absorbing mycosporine-like amino acids (MAAs) containing at least one</w:t>
      </w:r>
      <w:r>
        <w:t xml:space="preserve"> </w:t>
      </w:r>
      <w:r>
        <w:rPr>
          <w:vertAlign w:val="superscript"/>
        </w:rPr>
        <w:t xml:space="preserve">15</w:t>
      </w:r>
      <w:r>
        <w:t xml:space="preserve">N label over one day during the treatments amended with</w:t>
      </w:r>
      <w:r>
        <w:t xml:space="preserve"> </w:t>
      </w:r>
      <w:r>
        <w:rPr>
          <w:vertAlign w:val="superscript"/>
        </w:rPr>
        <w:t xml:space="preserve">15</w:t>
      </w:r>
      <w: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 GMP = guanosine monophosphate.</w:t>
      </w:r>
    </w:p>
    <w:p>
      <w:pPr>
        <w:pStyle w:val="CaptionedFigure"/>
      </w:pPr>
      <w:r>
        <w:drawing>
          <wp:inline>
            <wp:extent cx="5334000" cy="3810000"/>
            <wp:effectExtent b="0" l="0" r="0" t="0"/>
            <wp:docPr descr="Supplemental Figure 4: Quantified metabolite concentrations in nanomolar throughout the incubations for the 14 most abundant metabolites as distinguished by color. Concentrations have been broken down by whether they are fully unlabeled or contain any amount of 15N (or 13C in the case of the arginine and GMP amendments). Compounds other than the top 14 have been averaged and are shown in grey. Totals for all four amendments are shown here in the order they were done during the cruise, with separate panels for the 25 meter samples and the 175 meter samples as well as those started at 6AM vs 6PM. Lighter colors denote the isotopically labeled version of the compound." title="" id="189" name="Picture"/>
            <a:graphic>
              <a:graphicData uri="http://schemas.openxmlformats.org/drawingml/2006/picture">
                <pic:pic>
                  <pic:nvPicPr>
                    <pic:cNvPr descr="supplement/supp_4_top_cmpd_stackplot.png" id="190" name="Picture"/>
                    <pic:cNvPicPr>
                      <a:picLocks noChangeArrowheads="1" noChangeAspect="1"/>
                    </pic:cNvPicPr>
                  </pic:nvPicPr>
                  <pic:blipFill>
                    <a:blip r:embed="rId18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Supplemental Figure 4: Quantified metabolite concentrations in nanomolar throughout the incubations for the 14 most abundant metabolites as distinguished by color. Concentrations have been broken down by whether they are fully unlabeled or contain any amount of</w:t>
      </w:r>
      <w:r>
        <w:t xml:space="preserve"> </w:t>
      </w:r>
      <w:r>
        <w:rPr>
          <w:vertAlign w:val="superscript"/>
        </w:rPr>
        <w:t xml:space="preserve">15</w:t>
      </w:r>
      <w:r>
        <w:t xml:space="preserve">N (or</w:t>
      </w:r>
      <w:r>
        <w:t xml:space="preserve"> </w:t>
      </w:r>
      <w:r>
        <w:rPr>
          <w:vertAlign w:val="superscript"/>
        </w:rPr>
        <w:t xml:space="preserve">13</w:t>
      </w:r>
      <w:r>
        <w:t xml:space="preserve">C in the case of the arginine and GMP amendments). Compounds other than the top 14 have been averaged and are shown in grey. Totals for all four amendments are shown here in the order they were done during the cruise, with separate panels for the 25 meter samples and the 175 meter samples as well as those started at 6AM vs 6PM. Lighter colors denote the isotopically labeled version of the compound.</w:t>
      </w:r>
    </w:p>
    <w:p>
      <w:pPr>
        <w:pStyle w:val="CaptionedFigure"/>
      </w:pPr>
      <w:r>
        <w:drawing>
          <wp:inline>
            <wp:extent cx="5334000" cy="19202400"/>
            <wp:effectExtent b="0" l="0" r="0" t="0"/>
            <wp:docPr descr="Supplemental Figure 5: Individual untargeted metabolites containing at least one 15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 title="" id="192" name="Picture"/>
            <a:graphic>
              <a:graphicData uri="http://schemas.openxmlformats.org/drawingml/2006/picture">
                <pic:pic>
                  <pic:nvPicPr>
                    <pic:cNvPr descr="supplement/supp_5_untarg_heatmap.png" id="193" name="Picture"/>
                    <pic:cNvPicPr>
                      <a:picLocks noChangeArrowheads="1" noChangeAspect="1"/>
                    </pic:cNvPicPr>
                  </pic:nvPicPr>
                  <pic:blipFill>
                    <a:blip r:embed="rId191"/>
                    <a:stretch>
                      <a:fillRect/>
                    </a:stretch>
                  </pic:blipFill>
                  <pic:spPr bwMode="auto">
                    <a:xfrm>
                      <a:off x="0" y="0"/>
                      <a:ext cx="5334000" cy="19202400"/>
                    </a:xfrm>
                    <a:prstGeom prst="rect">
                      <a:avLst/>
                    </a:prstGeom>
                    <a:noFill/>
                    <a:ln w="9525">
                      <a:noFill/>
                      <a:headEnd/>
                      <a:tailEnd/>
                    </a:ln>
                  </pic:spPr>
                </pic:pic>
              </a:graphicData>
            </a:graphic>
          </wp:inline>
        </w:drawing>
      </w:r>
    </w:p>
    <w:p>
      <w:pPr>
        <w:pStyle w:val="ImageCaption"/>
      </w:pPr>
      <w:r>
        <w:t xml:space="preserve">Supplemental Figure 5: Individual untargeted metabolites containing at least one</w:t>
      </w:r>
      <w:r>
        <w:t xml:space="preserve"> </w:t>
      </w:r>
      <w:r>
        <w:rPr>
          <w:vertAlign w:val="superscript"/>
        </w:rPr>
        <w:t xml:space="preserve">15</w:t>
      </w:r>
      <w: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194"/>
    <w:bookmarkStart w:id="195" w:name="supplemental-tables"/>
    <w:p>
      <w:pPr>
        <w:pStyle w:val="Heading1"/>
      </w:pPr>
      <w:r>
        <w:t xml:space="preserve">Supplemental Tables</w:t>
      </w:r>
    </w:p>
    <w:p>
      <w:pPr>
        <w:pStyle w:val="FirstParagraph"/>
      </w:pPr>
      <w:r>
        <w:t xml:space="preserve">Available as an Extended Data file. Captions reproduced here for clarity.</w:t>
      </w:r>
    </w:p>
    <w:p>
      <w:pPr>
        <w:pStyle w:val="BodyText"/>
      </w:pPr>
      <w:r>
        <w:t xml:space="preserve">Table: Supplemental Table 1: Sample metadata</w:t>
      </w:r>
    </w:p>
    <w:p>
      <w:pPr>
        <w:pStyle w:val="BodyText"/>
      </w:pPr>
      <w:r>
        <w:t xml:space="preserve">Table: Supplemental Table 2: Authentic and internal standards</w:t>
      </w:r>
    </w:p>
    <w:p>
      <w:pPr>
        <w:pStyle w:val="BodyText"/>
      </w:pPr>
      <w:r>
        <w:t xml:space="preserve">Table: Supplemental Table 3: Untargeted feature identifications</w:t>
      </w:r>
    </w:p>
    <w:bookmarkEnd w:id="1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Will" w:date="2026-03-20 10:47:22.939538">
    <w:p>
      <w:pPr>
        <w:pStyle w:val="CommentText"/>
      </w:pPr>
      <w:r>
        <w:rPr>
          <w:rStyle w:val="CommentReference"/>
        </w:rPr>
        <w:annotationRef/>
      </w:r>
      <w:r>
        <w:t xml:space="preserve">From Randie: Meaning we’re slower to get labeled with ammonia? Try to keep it as simple as possible in the abstract cause it is hard to unpack what this means without reading the rest of the paper already.</w:t>
      </w:r>
    </w:p>
  </w:comment>
  <w:comment w:id="0" w:author="Will" w:date="2026-03-20 10:47:22.957967">
    <w:p>
      <w:pPr>
        <w:pStyle w:val="CommentText"/>
      </w:pPr>
      <w:r>
        <w:rPr>
          <w:rStyle w:val="CommentReference"/>
        </w:rPr>
        <w:annotationRef/>
      </w:r>
      <w:r>
        <w:t xml:space="preserve">From Randie: Shorten this to just</w:t>
      </w:r>
      <w:r>
        <w:t xml:space="preserve"> </w:t>
      </w:r>
      <w:r>
        <w:t xml:space="preserve">“with the exception of arginine.”</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8" Target="media/rId48.png" /><Relationship Type="http://schemas.openxmlformats.org/officeDocument/2006/relationships/image" Id="rId179" Target="media/rId179.png" /><Relationship Type="http://schemas.openxmlformats.org/officeDocument/2006/relationships/image" Id="rId182" Target="media/rId182.pdf"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hyperlink" Id="rId62" Target="http://hahana.soest.hawaii.edu/hot/methods/results.html" TargetMode="External" /><Relationship Type="http://schemas.openxmlformats.org/officeDocument/2006/relationships/hyperlink" Id="rId163" Target="https://doi.org/10.1002/jsfa.4373" TargetMode="External" /><Relationship Type="http://schemas.openxmlformats.org/officeDocument/2006/relationships/hyperlink" Id="rId156" Target="https://doi.org/10.1002/lno.10590" TargetMode="External" /><Relationship Type="http://schemas.openxmlformats.org/officeDocument/2006/relationships/hyperlink" Id="rId92" Target="https://doi.org/10.1002/lno.11909" TargetMode="External" /><Relationship Type="http://schemas.openxmlformats.org/officeDocument/2006/relationships/hyperlink" Id="rId167" Target="https://doi.org/10.1007/s10295-015-1665-y" TargetMode="External" /><Relationship Type="http://schemas.openxmlformats.org/officeDocument/2006/relationships/hyperlink" Id="rId145" Target="https://doi.org/10.1016/B978-0-12-372522-6.00007-4" TargetMode="External" /><Relationship Type="http://schemas.openxmlformats.org/officeDocument/2006/relationships/hyperlink" Id="rId104" Target="https://doi.org/10.1016/B978-0-443-13858-4.00016-2" TargetMode="External" /><Relationship Type="http://schemas.openxmlformats.org/officeDocument/2006/relationships/hyperlink" Id="rId113" Target="https://doi.org/10.1016/S0021-9673(98)00721-3" TargetMode="External" /><Relationship Type="http://schemas.openxmlformats.org/officeDocument/2006/relationships/hyperlink" Id="rId143" Target="https://doi.org/10.1016/j.biotechadv.2015.04.004" TargetMode="External" /><Relationship Type="http://schemas.openxmlformats.org/officeDocument/2006/relationships/hyperlink" Id="rId100" Target="https://doi.org/10.1016/j.ecss.2010.02.001" TargetMode="External" /><Relationship Type="http://schemas.openxmlformats.org/officeDocument/2006/relationships/hyperlink" Id="rId86" Target="https://doi.org/10.1016/j.protis.2011.07.008" TargetMode="External" /><Relationship Type="http://schemas.openxmlformats.org/officeDocument/2006/relationships/hyperlink" Id="rId158" Target="https://doi.org/10.1021/ac051437y" TargetMode="External" /><Relationship Type="http://schemas.openxmlformats.org/officeDocument/2006/relationships/hyperlink" Id="rId119" Target="https://doi.org/10.1021/acs.analchem.6b04623" TargetMode="External" /><Relationship Type="http://schemas.openxmlformats.org/officeDocument/2006/relationships/hyperlink" Id="rId98" Target="https://doi.org/10.1021/acs.analchem.7b04400" TargetMode="External" /><Relationship Type="http://schemas.openxmlformats.org/officeDocument/2006/relationships/hyperlink" Id="rId117" Target="https://doi.org/10.1021/acs.est.1c08871" TargetMode="External" /><Relationship Type="http://schemas.openxmlformats.org/officeDocument/2006/relationships/hyperlink" Id="rId94" Target="https://doi.org/10.1038/ismej.2014.211" TargetMode="External" /><Relationship Type="http://schemas.openxmlformats.org/officeDocument/2006/relationships/hyperlink" Id="rId82" Target="https://doi.org/10.1038/nature08057" TargetMode="External" /><Relationship Type="http://schemas.openxmlformats.org/officeDocument/2006/relationships/hyperlink" Id="rId111" Target="https://doi.org/10.1038/nbt.2377" TargetMode="External" /><Relationship Type="http://schemas.openxmlformats.org/officeDocument/2006/relationships/hyperlink" Id="rId139" Target="https://doi.org/10.1038/ngeo1765" TargetMode="External" /><Relationship Type="http://schemas.openxmlformats.org/officeDocument/2006/relationships/hyperlink" Id="rId147" Target="https://doi.org/10.1038/s41396-020-0603-9" TargetMode="External" /><Relationship Type="http://schemas.openxmlformats.org/officeDocument/2006/relationships/hyperlink" Id="rId131" Target="https://doi.org/10.1038/s41467-023-42909-9" TargetMode="External" /><Relationship Type="http://schemas.openxmlformats.org/officeDocument/2006/relationships/hyperlink" Id="rId141" Target="https://doi.org/10.1038/s41564-022-01090-3" TargetMode="External" /><Relationship Type="http://schemas.openxmlformats.org/officeDocument/2006/relationships/hyperlink" Id="rId175" Target="https://doi.org/10.1038/s41564-022-01303-9" TargetMode="External" /><Relationship Type="http://schemas.openxmlformats.org/officeDocument/2006/relationships/hyperlink" Id="rId123" Target="https://doi.org/10.1038/s41579-022-00687-z" TargetMode="External" /><Relationship Type="http://schemas.openxmlformats.org/officeDocument/2006/relationships/hyperlink" Id="rId133" Target="https://doi.org/10.1073/pnas.0902532106" TargetMode="External" /><Relationship Type="http://schemas.openxmlformats.org/officeDocument/2006/relationships/hyperlink" Id="rId77" Target="https://doi.org/10.1073/pnas.1518165112" TargetMode="External" /><Relationship Type="http://schemas.openxmlformats.org/officeDocument/2006/relationships/hyperlink" Id="rId115" Target="https://doi.org/10.1111/1462-2920.13825" TargetMode="External" /><Relationship Type="http://schemas.openxmlformats.org/officeDocument/2006/relationships/hyperlink" Id="rId96" Target="https://doi.org/10.1111/1462-2920.16020" TargetMode="External" /><Relationship Type="http://schemas.openxmlformats.org/officeDocument/2006/relationships/hyperlink" Id="rId88" Target="https://doi.org/10.1111/j.2517-6161.1995.tb02031.x" TargetMode="External" /><Relationship Type="http://schemas.openxmlformats.org/officeDocument/2006/relationships/hyperlink" Id="rId84" Target="https://doi.org/10.1126/science.1101156" TargetMode="External" /><Relationship Type="http://schemas.openxmlformats.org/officeDocument/2006/relationships/hyperlink" Id="rId121" Target="https://doi.org/10.1128/mSystems.01334-20" TargetMode="External" /><Relationship Type="http://schemas.openxmlformats.org/officeDocument/2006/relationships/hyperlink" Id="rId90" Target="https://doi.org/10.1146/annurev-marine-010213-135126" TargetMode="External" /><Relationship Type="http://schemas.openxmlformats.org/officeDocument/2006/relationships/hyperlink" Id="rId149" Target="https://doi.org/10.1146/annurev-marine-120308-081034" TargetMode="External" /><Relationship Type="http://schemas.openxmlformats.org/officeDocument/2006/relationships/hyperlink" Id="rId173" Target="https://doi.org/10.1146/annurev-marine-120709-142819" TargetMode="External" /><Relationship Type="http://schemas.openxmlformats.org/officeDocument/2006/relationships/hyperlink" Id="rId160" Target="https://doi.org/10.1186/1471-2105-9-504" TargetMode="External" /><Relationship Type="http://schemas.openxmlformats.org/officeDocument/2006/relationships/hyperlink" Id="rId127" Target="https://doi.org/10.1186/s12859-023-05533-4" TargetMode="External" /><Relationship Type="http://schemas.openxmlformats.org/officeDocument/2006/relationships/hyperlink" Id="rId171" Target="https://doi.org/10.1242/jeb.01730" TargetMode="External" /><Relationship Type="http://schemas.openxmlformats.org/officeDocument/2006/relationships/hyperlink" Id="rId154" Target="https://doi.org/10.21203/rs.3.rs-4203527/v1" TargetMode="External" /><Relationship Type="http://schemas.openxmlformats.org/officeDocument/2006/relationships/hyperlink" Id="rId80" Target="https://doi.org/10.2216/i0031-8884-30-1-1.1" TargetMode="External" /><Relationship Type="http://schemas.openxmlformats.org/officeDocument/2006/relationships/hyperlink" Id="rId129" Target="https://doi.org/10.32614/RJ-2022-050" TargetMode="External" /><Relationship Type="http://schemas.openxmlformats.org/officeDocument/2006/relationships/hyperlink" Id="rId107" Target="https://doi.org/10.3354/meps185273" TargetMode="External" /><Relationship Type="http://schemas.openxmlformats.org/officeDocument/2006/relationships/hyperlink" Id="rId135" Target="https://doi.org/10.3354/meps332063" TargetMode="External" /><Relationship Type="http://schemas.openxmlformats.org/officeDocument/2006/relationships/hyperlink" Id="rId125" Target="https://doi.org/10.3389/fevo.2024.1505025" TargetMode="External" /><Relationship Type="http://schemas.openxmlformats.org/officeDocument/2006/relationships/hyperlink" Id="rId169" Target="https://doi.org/10.3389/fmars.2018.00027" TargetMode="External" /><Relationship Type="http://schemas.openxmlformats.org/officeDocument/2006/relationships/hyperlink" Id="rId152" Target="https://doi.org/10.3389/fmars.2018.00092" TargetMode="External" /><Relationship Type="http://schemas.openxmlformats.org/officeDocument/2006/relationships/hyperlink" Id="rId137" Target="https://doi.org/10.3389/fmars.2021.689306" TargetMode="External" /><Relationship Type="http://schemas.openxmlformats.org/officeDocument/2006/relationships/hyperlink" Id="rId165" Target="https://doi.org/10.3390/antiox4030603" TargetMode="External" /><Relationship Type="http://schemas.openxmlformats.org/officeDocument/2006/relationships/hyperlink" Id="rId109" Target="https://doi.org/10.5194/bg-21-1235-2024" TargetMode="External" /><Relationship Type="http://schemas.openxmlformats.org/officeDocument/2006/relationships/hyperlink" Id="rId102"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62" Target="http://hahana.soest.hawaii.edu/hot/methods/results.html" TargetMode="External" /><Relationship Type="http://schemas.openxmlformats.org/officeDocument/2006/relationships/hyperlink" Id="rId163" Target="https://doi.org/10.1002/jsfa.4373" TargetMode="External" /><Relationship Type="http://schemas.openxmlformats.org/officeDocument/2006/relationships/hyperlink" Id="rId156" Target="https://doi.org/10.1002/lno.10590" TargetMode="External" /><Relationship Type="http://schemas.openxmlformats.org/officeDocument/2006/relationships/hyperlink" Id="rId92" Target="https://doi.org/10.1002/lno.11909" TargetMode="External" /><Relationship Type="http://schemas.openxmlformats.org/officeDocument/2006/relationships/hyperlink" Id="rId167" Target="https://doi.org/10.1007/s10295-015-1665-y" TargetMode="External" /><Relationship Type="http://schemas.openxmlformats.org/officeDocument/2006/relationships/hyperlink" Id="rId145" Target="https://doi.org/10.1016/B978-0-12-372522-6.00007-4" TargetMode="External" /><Relationship Type="http://schemas.openxmlformats.org/officeDocument/2006/relationships/hyperlink" Id="rId104" Target="https://doi.org/10.1016/B978-0-443-13858-4.00016-2" TargetMode="External" /><Relationship Type="http://schemas.openxmlformats.org/officeDocument/2006/relationships/hyperlink" Id="rId113" Target="https://doi.org/10.1016/S0021-9673(98)00721-3" TargetMode="External" /><Relationship Type="http://schemas.openxmlformats.org/officeDocument/2006/relationships/hyperlink" Id="rId143" Target="https://doi.org/10.1016/j.biotechadv.2015.04.004" TargetMode="External" /><Relationship Type="http://schemas.openxmlformats.org/officeDocument/2006/relationships/hyperlink" Id="rId100" Target="https://doi.org/10.1016/j.ecss.2010.02.001" TargetMode="External" /><Relationship Type="http://schemas.openxmlformats.org/officeDocument/2006/relationships/hyperlink" Id="rId86" Target="https://doi.org/10.1016/j.protis.2011.07.008" TargetMode="External" /><Relationship Type="http://schemas.openxmlformats.org/officeDocument/2006/relationships/hyperlink" Id="rId158" Target="https://doi.org/10.1021/ac051437y" TargetMode="External" /><Relationship Type="http://schemas.openxmlformats.org/officeDocument/2006/relationships/hyperlink" Id="rId119" Target="https://doi.org/10.1021/acs.analchem.6b04623" TargetMode="External" /><Relationship Type="http://schemas.openxmlformats.org/officeDocument/2006/relationships/hyperlink" Id="rId98" Target="https://doi.org/10.1021/acs.analchem.7b04400" TargetMode="External" /><Relationship Type="http://schemas.openxmlformats.org/officeDocument/2006/relationships/hyperlink" Id="rId117" Target="https://doi.org/10.1021/acs.est.1c08871" TargetMode="External" /><Relationship Type="http://schemas.openxmlformats.org/officeDocument/2006/relationships/hyperlink" Id="rId94" Target="https://doi.org/10.1038/ismej.2014.211" TargetMode="External" /><Relationship Type="http://schemas.openxmlformats.org/officeDocument/2006/relationships/hyperlink" Id="rId82" Target="https://doi.org/10.1038/nature08057" TargetMode="External" /><Relationship Type="http://schemas.openxmlformats.org/officeDocument/2006/relationships/hyperlink" Id="rId111" Target="https://doi.org/10.1038/nbt.2377" TargetMode="External" /><Relationship Type="http://schemas.openxmlformats.org/officeDocument/2006/relationships/hyperlink" Id="rId139" Target="https://doi.org/10.1038/ngeo1765" TargetMode="External" /><Relationship Type="http://schemas.openxmlformats.org/officeDocument/2006/relationships/hyperlink" Id="rId147" Target="https://doi.org/10.1038/s41396-020-0603-9" TargetMode="External" /><Relationship Type="http://schemas.openxmlformats.org/officeDocument/2006/relationships/hyperlink" Id="rId131" Target="https://doi.org/10.1038/s41467-023-42909-9" TargetMode="External" /><Relationship Type="http://schemas.openxmlformats.org/officeDocument/2006/relationships/hyperlink" Id="rId141" Target="https://doi.org/10.1038/s41564-022-01090-3" TargetMode="External" /><Relationship Type="http://schemas.openxmlformats.org/officeDocument/2006/relationships/hyperlink" Id="rId175" Target="https://doi.org/10.1038/s41564-022-01303-9" TargetMode="External" /><Relationship Type="http://schemas.openxmlformats.org/officeDocument/2006/relationships/hyperlink" Id="rId123" Target="https://doi.org/10.1038/s41579-022-00687-z" TargetMode="External" /><Relationship Type="http://schemas.openxmlformats.org/officeDocument/2006/relationships/hyperlink" Id="rId133" Target="https://doi.org/10.1073/pnas.0902532106" TargetMode="External" /><Relationship Type="http://schemas.openxmlformats.org/officeDocument/2006/relationships/hyperlink" Id="rId77" Target="https://doi.org/10.1073/pnas.1518165112" TargetMode="External" /><Relationship Type="http://schemas.openxmlformats.org/officeDocument/2006/relationships/hyperlink" Id="rId115" Target="https://doi.org/10.1111/1462-2920.13825" TargetMode="External" /><Relationship Type="http://schemas.openxmlformats.org/officeDocument/2006/relationships/hyperlink" Id="rId96" Target="https://doi.org/10.1111/1462-2920.16020" TargetMode="External" /><Relationship Type="http://schemas.openxmlformats.org/officeDocument/2006/relationships/hyperlink" Id="rId88" Target="https://doi.org/10.1111/j.2517-6161.1995.tb02031.x" TargetMode="External" /><Relationship Type="http://schemas.openxmlformats.org/officeDocument/2006/relationships/hyperlink" Id="rId84" Target="https://doi.org/10.1126/science.1101156" TargetMode="External" /><Relationship Type="http://schemas.openxmlformats.org/officeDocument/2006/relationships/hyperlink" Id="rId121" Target="https://doi.org/10.1128/mSystems.01334-20" TargetMode="External" /><Relationship Type="http://schemas.openxmlformats.org/officeDocument/2006/relationships/hyperlink" Id="rId90" Target="https://doi.org/10.1146/annurev-marine-010213-135126" TargetMode="External" /><Relationship Type="http://schemas.openxmlformats.org/officeDocument/2006/relationships/hyperlink" Id="rId149" Target="https://doi.org/10.1146/annurev-marine-120308-081034" TargetMode="External" /><Relationship Type="http://schemas.openxmlformats.org/officeDocument/2006/relationships/hyperlink" Id="rId173" Target="https://doi.org/10.1146/annurev-marine-120709-142819" TargetMode="External" /><Relationship Type="http://schemas.openxmlformats.org/officeDocument/2006/relationships/hyperlink" Id="rId160" Target="https://doi.org/10.1186/1471-2105-9-504" TargetMode="External" /><Relationship Type="http://schemas.openxmlformats.org/officeDocument/2006/relationships/hyperlink" Id="rId127" Target="https://doi.org/10.1186/s12859-023-05533-4" TargetMode="External" /><Relationship Type="http://schemas.openxmlformats.org/officeDocument/2006/relationships/hyperlink" Id="rId171" Target="https://doi.org/10.1242/jeb.01730" TargetMode="External" /><Relationship Type="http://schemas.openxmlformats.org/officeDocument/2006/relationships/hyperlink" Id="rId154" Target="https://doi.org/10.21203/rs.3.rs-4203527/v1" TargetMode="External" /><Relationship Type="http://schemas.openxmlformats.org/officeDocument/2006/relationships/hyperlink" Id="rId80" Target="https://doi.org/10.2216/i0031-8884-30-1-1.1" TargetMode="External" /><Relationship Type="http://schemas.openxmlformats.org/officeDocument/2006/relationships/hyperlink" Id="rId129" Target="https://doi.org/10.32614/RJ-2022-050" TargetMode="External" /><Relationship Type="http://schemas.openxmlformats.org/officeDocument/2006/relationships/hyperlink" Id="rId107" Target="https://doi.org/10.3354/meps185273" TargetMode="External" /><Relationship Type="http://schemas.openxmlformats.org/officeDocument/2006/relationships/hyperlink" Id="rId135" Target="https://doi.org/10.3354/meps332063" TargetMode="External" /><Relationship Type="http://schemas.openxmlformats.org/officeDocument/2006/relationships/hyperlink" Id="rId125" Target="https://doi.org/10.3389/fevo.2024.1505025" TargetMode="External" /><Relationship Type="http://schemas.openxmlformats.org/officeDocument/2006/relationships/hyperlink" Id="rId169" Target="https://doi.org/10.3389/fmars.2018.00027" TargetMode="External" /><Relationship Type="http://schemas.openxmlformats.org/officeDocument/2006/relationships/hyperlink" Id="rId152" Target="https://doi.org/10.3389/fmars.2018.00092" TargetMode="External" /><Relationship Type="http://schemas.openxmlformats.org/officeDocument/2006/relationships/hyperlink" Id="rId137" Target="https://doi.org/10.3389/fmars.2021.689306" TargetMode="External" /><Relationship Type="http://schemas.openxmlformats.org/officeDocument/2006/relationships/hyperlink" Id="rId165" Target="https://doi.org/10.3390/antiox4030603" TargetMode="External" /><Relationship Type="http://schemas.openxmlformats.org/officeDocument/2006/relationships/hyperlink" Id="rId109" Target="https://doi.org/10.5194/bg-21-1235-2024" TargetMode="External" /><Relationship Type="http://schemas.openxmlformats.org/officeDocument/2006/relationships/hyperlink" Id="rId102"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2026-03-20T17:47:25Z</dcterms:created>
  <dcterms:modified xsi:type="dcterms:W3CDTF">2026-03-20T17:47:25Z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csl">
    <vt:lpwstr>chicago-author-date-16th-edition.csl</vt:lpwstr>
  </property>
  <property fmtid="{D5CDD505-2E9C-101B-9397-08002B2CF9AE}" pid="4" name="output">
    <vt:lpwstr>word_document</vt:lpwstr>
  </property>
</Properties>
</file>