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25.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availability controls productivity in much of the surface ocean and the form of this nitrogen controls which organisms it is available to and how it is used. Here, we explored how four different forms of nitrogen (ammonia, nitrate, arginine, and guanosine monophosphate) were taken up and transformed in the North Pacific Subtropical Gyre using stable isotope labeling metabolomics. We repeated these experiments both at the surface and at the base of the euphotic zone as well as in the morning and evening. We found that ammonia is converted into glutamate in less than 20 minutes and results in labeling throughout the metabolome after 24 hours, though osmolytes like betaines had slow turnover rates. Nitrate amendments resulted in the labeling of only a small selection of molecules such as mycosporine-like amino acids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UV-sensitive compounds such as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the flux of carbon is controlled by the availability of nitrogen, an element with a complex and incompletely characterized biogeochemical cycle</w:t>
      </w:r>
      <w:r>
        <w:t xml:space="preserve"> </w:t>
      </w:r>
      <w:r>
        <w:t xml:space="preserve">(Deborah A. Bronk and Steinberg 2008; Moore et al. 2013; Hutchins and Capone 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high molecular weight DON</w:t>
      </w:r>
      <w:r>
        <w:t xml:space="preserve"> </w:t>
      </w:r>
      <w:r>
        <w:t xml:space="preserve">(Aluwihare et al. 2005; Deborah A. Bronk et al. 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powers the surface ocean</w:t>
      </w:r>
      <w:r>
        <w:t xml:space="preserve"> </w:t>
      </w:r>
      <w:r>
        <w:t xml:space="preserve">(Heal et al. 2021; McParland, Alexander, and Johnson 2021; Moran et al. 2022)</w:t>
      </w:r>
      <w:r>
        <w:t xml:space="preserve">.</w:t>
      </w:r>
    </w:p>
    <w:p>
      <w:pPr>
        <w:pStyle w:val="BodyText"/>
      </w:pPr>
      <w:r>
        <w:t xml:space="preserve">Nitrogen assimilation is a well-documented process in the ocean after decades of research and demonstrates how biochemistry derived from non-marine organisms can be applied to the ocean</w:t>
      </w:r>
      <w:r>
        <w:t xml:space="preserve"> </w:t>
      </w:r>
      <w:r>
        <w:t xml:space="preserve">(Mulholland and Lomas 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an energetically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 Harrison, and Oliveira 1991; D. A. Bronk et al. 2007; Aluwihare and Meador 2008; Zehr and Kudela 2011; Deborah A. Bronk et al. 2024)</w:t>
      </w:r>
      <w:r>
        <w:t xml:space="preserve">. Additionally, many of the transformations possible are only active in specific communities or times of day</w:t>
      </w:r>
      <w:r>
        <w:t xml:space="preserve"> </w:t>
      </w:r>
      <w:r>
        <w:t xml:space="preserve">(Bender, Parker, and Armbrust 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41"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(Supplemental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(Supplemental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(Supplemental figure 1).</w:t>
      </w:r>
    </w:p>
    <w:bookmarkStart w:id="28"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between the different treatment incubations (Figure 1).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labeled and had approximately doubled in pool size (initially ~0.3 nM becoming 0.8 nM).</w:t>
      </w:r>
    </w:p>
    <w:p>
      <w:pPr>
        <w:pStyle w:val="BodyText"/>
      </w:pPr>
      <w:r>
        <w:drawing>
          <wp:inline>
            <wp:extent cx="5334000" cy="3692769"/>
            <wp:effectExtent b="0" l="0" r="0" t="0"/>
            <wp:docPr descr="" title="" id="23" name="Picture"/>
            <a:graphic>
              <a:graphicData uri="http://schemas.openxmlformats.org/drawingml/2006/picture">
                <pic:pic>
                  <pic:nvPicPr>
                    <pic:cNvPr descr="figures/xamend_metab_gp.png" id="24" name="Picture"/>
                    <pic:cNvPicPr>
                      <a:picLocks noChangeArrowheads="1" noChangeAspect="1"/>
                    </pic:cNvPicPr>
                  </pic:nvPicPr>
                  <pic:blipFill>
                    <a:blip r:embed="rId22"/>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1: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 (Figure 1).</w:t>
      </w:r>
    </w:p>
    <w:p>
      <w:pPr>
        <w:pStyle w:val="BodyText"/>
      </w:pPr>
      <w:r>
        <w:t xml:space="preserve">Other amino acids and nucleobases/nucleosides had trace amounts of labeling after 3 hours and were extensively labeled (&gt;25%) after 24 hours (Figure 1). Cytidine (42.2% labeled) and adenosine (59.9%) were more heavily</w:t>
      </w:r>
      <w:r>
        <w:t xml:space="preserve"> </w:t>
      </w:r>
      <w:r>
        <w:rPr>
          <w:vertAlign w:val="superscript"/>
        </w:rPr>
        <w:t xml:space="preserve">15</w:t>
      </w:r>
      <w:r>
        <w:t xml:space="preserve">N labeled than their nucleobase derivatives at T26 (22.9% and 42.1%, respectively), corresponding to the expected synthesis pathway. Guanine, however, had the inverse trend with guanosine being 44.9% labeled while guanine was only 30% (Supplemental figure XX). The deoxyribose forms were in all cases less completely labeled than their ribose counterparts (deoxycytidine = 18.9%, deoxyadenosine = 20.3%, and deoxyguanosine = 17.2%).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 Other compounds, including betaines (here restricted to quaternary amines with a carboxylic acid group) and choline derivatives showed very little labeling at all.</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Glutamine and glutamate, which were labeled within 20 minutes from ammonia and are the main way in which inorganic nitrogen becomes organic, here saw only trace amounts of production from the added nitrate even after 24 hours. The most heavily labeled compound was guanine, which saw trace amounts of labeling at the T10 timepoint and reached ~40% labeling at T26. This labeling was not seen in the other nucleobases. The only group of compounds that did see compelling degrees of label incorporation were the mycosporine-like amino acids (MAAs), a group of compounds whose primary function is thought to be protection from UV light (see below). These compounds, like guanine, were labeled in excess of the bulk glutamate/amino acid pool from which their nitrogen is sourced. This is only possible if the nitrate is assimilated by a subset of the community whose glutamate is a small, isolated fraction of the total glutamate pool. Metabolites specific to those organisms can then be made from the small pool of heavily-labeled organic material with only a small influence on the fraction of glutamate or glutamine labeled in bulk.</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1).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visibly taken up at the T0 timepoint (within 20 minutes) and 80-90% of the pool was fully labeled after 12 hours. Surprisingly, the fraction of arginine labeled decreased from this point, with the T26 and T73 timepoints dropping to 73% and 46% labeled, respectively. This labeling rapidly propagated into citrulline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created and available in the system as well though we were unable to measure this directly. Glutamate and glutamine were labeled much more slowly, reaching 10% labeled after 10 hours and a maximum of 66% labeled after 24 hours. Much of this nitrogen was then cycled very quickly among other compounds which also saw a jump in labeling at 24 hours. This was particularly true for other amino acids and the nucleobases/nucleosides and here, guanine was not labeled more than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1). While we were unable to measure GMP directly 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XX)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2).</w:t>
      </w:r>
    </w:p>
    <w:p>
      <w:pPr>
        <w:pStyle w:val="BodyText"/>
      </w:pPr>
      <w:r>
        <w:t xml:space="preserve">Proteins were a 33-65% of total particulate carbon pool (2.84 µM at 25 meters and 1.36 µM at 175 meters) and a large part of the total particulate nitrogen (PN, 0.36 µM at 25 meters and 0.15 µM at 175 meters), with total estimated nitrogen in the THAAs sometimes exceeding the total PN measurements. Free amino acids composed between 0.15% and 17% of the total THAA pool with the highest contributions from glutamate. There were also differences in THAA labeling patterns between the amendments (Figure 2). Despite their shorter incubation time (26 hours vs 73 hours), the inorganic nitrogen amendments generally had higher fractions of labeled protein. The nitrate amendments in particular were surprisingly heavily labeled given the minimal signal seen in the free metabolites, with a degree of labeling exceeding the ammonia incubation. This indicates that most of the assimilation was done by the small subset of organisms able to reduce nitrate and use it for growth and that these organisms did not share the reduced nitrogen with the rest of the community.</w:t>
      </w:r>
    </w:p>
    <w:p>
      <w:pPr>
        <w:pStyle w:val="BodyText"/>
      </w:pPr>
      <w:r>
        <w:drawing>
          <wp:inline>
            <wp:extent cx="5334000" cy="4103076"/>
            <wp:effectExtent b="0" l="0" r="0" t="0"/>
            <wp:docPr descr="" title="" id="26" name="Picture"/>
            <a:graphic>
              <a:graphicData uri="http://schemas.openxmlformats.org/drawingml/2006/picture">
                <pic:pic>
                  <pic:nvPicPr>
                    <pic:cNvPr descr="figures/total_thaa_gp.png" id="27" name="Picture"/>
                    <pic:cNvPicPr>
                      <a:picLocks noChangeArrowheads="1" noChangeAspect="1"/>
                    </pic:cNvPicPr>
                  </pic:nvPicPr>
                  <pic:blipFill>
                    <a:blip r:embed="rId25"/>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2: Stacked bar plots showing the fraction of various total hydrolyzable amino acids (THAAs) labeled at the end of the incubations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We believe the organic nitrogen amendments largely resulted in metabolite labeling via remineralization to ammonia or glutamate based on the absence of a labeled carbon backbone in most of the labeled metabolites, but in the THAAs we were able to see some transformations that used the carbon backbone as-is.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again that the ribose pool must have been swamped with fully</w:t>
      </w:r>
      <w:r>
        <w:t xml:space="preserve"> </w:t>
      </w:r>
      <w:r>
        <w:rPr>
          <w:vertAlign w:val="superscript"/>
        </w:rPr>
        <w:t xml:space="preserve">13</w:t>
      </w:r>
      <w:r>
        <w:t xml:space="preserve">C labeled ribose cleaved from guanosine in order to enter the PRPP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organisms, glutamate, glutamine, and adenine were also heavily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bookmarkEnd w:id="28"/>
    <w:bookmarkStart w:id="32"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significant difference between the 6AM start time and the 6PM start time with the exception being the mycosporine-like amino acids (MAAs, Figure 3).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0" name="Picture"/>
            <a:graphic>
              <a:graphicData uri="http://schemas.openxmlformats.org/drawingml/2006/picture">
                <pic:pic>
                  <pic:nvPicPr>
                    <pic:cNvPr descr="figures/MAA_curves.png" id="31" name="Picture"/>
                    <pic:cNvPicPr>
                      <a:picLocks noChangeArrowheads="1" noChangeAspect="1"/>
                    </pic:cNvPicPr>
                  </pic:nvPicPr>
                  <pic:blipFill>
                    <a:blip r:embed="rId29"/>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3: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w:t>
      </w:r>
    </w:p>
    <w:bookmarkEnd w:id="32"/>
    <w:bookmarkStart w:id="36"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4).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p>
    <w:p>
      <w:pPr>
        <w:pStyle w:val="BodyText"/>
      </w:pPr>
      <w:r>
        <w:drawing>
          <wp:inline>
            <wp:extent cx="5334000" cy="5334000"/>
            <wp:effectExtent b="0" l="0" r="0" t="0"/>
            <wp:docPr descr="" title="" id="34" name="Picture"/>
            <a:graphic>
              <a:graphicData uri="http://schemas.openxmlformats.org/drawingml/2006/picture">
                <pic:pic>
                  <pic:nvPicPr>
                    <pic:cNvPr descr="figures/deep_vs_surf_label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4: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4).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with the fraction labeled equal to or exceeding that of the surface in an equal amount of time.</w:t>
      </w:r>
    </w:p>
    <w:p>
      <w:pPr>
        <w:pStyle w:val="BodyText"/>
      </w:pPr>
      <w:r>
        <w:t xml:space="preserve">We were unfortunately unable to present the data collected from the 175 meter labeled nitrate incubations here due to missed timepoints and our inability to confidently connect data to the correct timepoint for those samples but the raw numbers are provided in the supplement (Supplemental Figure XX).</w:t>
      </w:r>
    </w:p>
    <w:p>
      <w:pPr>
        <w:pStyle w:val="BodyText"/>
      </w:pPr>
      <w:r>
        <w:rPr>
          <w:vertAlign w:val="superscript"/>
        </w:rPr>
        <w:t xml:space="preserve">15</w:t>
      </w:r>
      <w:r>
        <w:t xml:space="preserve">N use from the organic nitrogen substrates was again strikingly similar between the 25 meter and 175 meter samples aside from the direct products of the amended compounds.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25m.</w:t>
      </w:r>
    </w:p>
    <w:bookmarkEnd w:id="36"/>
    <w:bookmarkStart w:id="40"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the putatively identified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were determined to be likely solvent artifacts due to their elution in less than two minutes or</w:t>
      </w:r>
      <w:r>
        <w:t xml:space="preserve"> </w:t>
      </w:r>
      <w:commentRangeStart w:id="0"/>
      <w:r>
        <w:t xml:space="preserve"> </w:t>
      </w:r>
      <w:commentRangeEnd w:id="0"/>
      <w:r>
        <w:rPr>
          <w:rStyle w:val="CommentReference"/>
        </w:rPr>
        <w:commentReference w:id="0"/>
      </w:r>
      <w:r>
        <w:t xml:space="preserve"> </w:t>
      </w:r>
      <w:r>
        <w:t xml:space="preserve">and were removed from downstream analysis.</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with fragments from proline (70.0658), glutamic acid/glutamate (84.0449, 102.0550, and 130.0499), and the loss of ribose from nucleosides). Five compounds were putatively identified using isotope labeling patterns and literature searches: FT1362 with an</w:t>
      </w:r>
      <w:r>
        <w:t xml:space="preserve"> </w:t>
      </w:r>
      <w:r>
        <w:rPr>
          <w:i/>
          <w:iCs/>
        </w:rPr>
        <w:t xml:space="preserve">m/z</w:t>
      </w:r>
      <w:r>
        <w:t xml:space="preserve"> </w:t>
      </w:r>
      <w:r>
        <w:t xml:space="preserve">of 121.07798 and a retention time (RT) of 4.5 minutes we flagged as indoline, FT1564 with an</w:t>
      </w:r>
      <w:r>
        <w:t xml:space="preserve"> </w:t>
      </w:r>
      <w:r>
        <w:rPr>
          <w:i/>
          <w:iCs/>
        </w:rPr>
        <w:t xml:space="preserve">m/z</w:t>
      </w:r>
      <w:r>
        <w:t xml:space="preserve"> </w:t>
      </w:r>
      <w:r>
        <w:t xml:space="preserve">of 124.0524 and a 2.7 minute RT we flagged as the</w:t>
      </w:r>
      <w:r>
        <w:t xml:space="preserve"> </w:t>
      </w:r>
      <w:r>
        <w:rPr>
          <w:vertAlign w:val="superscript"/>
        </w:rPr>
        <w:t xml:space="preserve">15</w:t>
      </w:r>
      <w:r>
        <w:t xml:space="preserve">N isotope of nicotinamide, FT4529 with an</w:t>
      </w:r>
      <w:r>
        <w:t xml:space="preserve"> </w:t>
      </w:r>
      <w:r>
        <w:rPr>
          <w:i/>
          <w:iCs/>
        </w:rPr>
        <w:t xml:space="preserve">m/z</w:t>
      </w:r>
      <w:r>
        <w:t xml:space="preserve"> </w:t>
      </w:r>
      <w:r>
        <w:t xml:space="preserve">of 228.0979 and a 6.7 minute RT we flagged as deoxycytidine, FT5860 with an</w:t>
      </w:r>
      <w:r>
        <w:t xml:space="preserve"> </w:t>
      </w:r>
      <w:r>
        <w:rPr>
          <w:i/>
          <w:iCs/>
        </w:rPr>
        <w:t xml:space="preserve">m/z</w:t>
      </w:r>
      <w:r>
        <w:t xml:space="preserve"> </w:t>
      </w:r>
      <w:r>
        <w:t xml:space="preserve">of 282.1182 and an 11.1 minute RT we flagged as pangamic acid, and FT6622 with an</w:t>
      </w:r>
      <w:r>
        <w:t xml:space="preserve"> </w:t>
      </w:r>
      <w:r>
        <w:rPr>
          <w:i/>
          <w:iCs/>
        </w:rPr>
        <w:t xml:space="preserve">m/z</w:t>
      </w:r>
      <w:r>
        <w:t xml:space="preserve"> </w:t>
      </w:r>
      <w:r>
        <w:t xml:space="preserve">of 333.1292 and an 11.2 minute RT we flagged as shinorine. Four additional compounds could not be putatively identified but had plausible molecular formulae: FT3699 with an</w:t>
      </w:r>
      <w:r>
        <w:t xml:space="preserve"> </w:t>
      </w:r>
      <w:r>
        <w:rPr>
          <w:i/>
          <w:iCs/>
        </w:rPr>
        <w:t xml:space="preserve">m/z</w:t>
      </w:r>
      <w:r>
        <w:t xml:space="preserve"> </w:t>
      </w:r>
      <w:r>
        <w:t xml:space="preserve">of 192.0866 and 10.3 RT we assigned C</w:t>
      </w:r>
      <w:r>
        <w:rPr>
          <w:vertAlign w:val="subscript"/>
        </w:rPr>
        <w:t xml:space="preserve">7</w:t>
      </w:r>
      <w:r>
        <w:t xml:space="preserve">H</w:t>
      </w:r>
      <w:r>
        <w:rPr>
          <w:vertAlign w:val="subscript"/>
        </w:rPr>
        <w:t xml:space="preserve">14</w:t>
      </w:r>
      <w:r>
        <w:t xml:space="preserve">NO</w:t>
      </w:r>
      <w:r>
        <w:rPr>
          <w:vertAlign w:val="subscript"/>
        </w:rPr>
        <w:t xml:space="preserve">5</w:t>
      </w:r>
      <w:r>
        <w:t xml:space="preserve">, FT4598 with an</w:t>
      </w:r>
      <w:r>
        <w:t xml:space="preserve"> </w:t>
      </w:r>
      <w:r>
        <w:rPr>
          <w:i/>
          <w:iCs/>
        </w:rPr>
        <w:t xml:space="preserve">m/z</w:t>
      </w:r>
      <w:r>
        <w:t xml:space="preserve"> </w:t>
      </w:r>
      <w:r>
        <w:t xml:space="preserve">of 231.1703 and 1.9 RT we assigned C</w:t>
      </w:r>
      <w:r>
        <w:rPr>
          <w:vertAlign w:val="subscript"/>
        </w:rPr>
        <w:t xml:space="preserve">11</w:t>
      </w:r>
      <w:r>
        <w:t xml:space="preserve">H</w:t>
      </w:r>
      <w:r>
        <w:rPr>
          <w:vertAlign w:val="subscript"/>
        </w:rPr>
        <w:t xml:space="preserve">23</w:t>
      </w:r>
      <w:r>
        <w:t xml:space="preserve">N</w:t>
      </w:r>
      <w:r>
        <w:rPr>
          <w:vertAlign w:val="subscript"/>
        </w:rPr>
        <w:t xml:space="preserve">2</w:t>
      </w:r>
      <w:r>
        <w:t xml:space="preserve">O</w:t>
      </w:r>
      <w:r>
        <w:rPr>
          <w:vertAlign w:val="subscript"/>
        </w:rPr>
        <w:t xml:space="preserve">3</w:t>
      </w:r>
      <w:r>
        <w:t xml:space="preserve">, FT4733 with an</w:t>
      </w:r>
      <w:r>
        <w:t xml:space="preserve"> </w:t>
      </w:r>
      <w:r>
        <w:rPr>
          <w:i/>
          <w:iCs/>
        </w:rPr>
        <w:t xml:space="preserve">m/z</w:t>
      </w:r>
      <w:r>
        <w:t xml:space="preserve"> </w:t>
      </w:r>
      <w:r>
        <w:t xml:space="preserve">of 236.1492 and 10.0 RT we assigned C</w:t>
      </w:r>
      <w:r>
        <w:rPr>
          <w:vertAlign w:val="subscript"/>
        </w:rPr>
        <w:t xml:space="preserve">10</w:t>
      </w:r>
      <w:r>
        <w:t xml:space="preserve">H</w:t>
      </w:r>
      <w:r>
        <w:rPr>
          <w:vertAlign w:val="subscript"/>
        </w:rPr>
        <w:t xml:space="preserve">22</w:t>
      </w:r>
      <w:r>
        <w:t xml:space="preserve">NO</w:t>
      </w:r>
      <w:r>
        <w:rPr>
          <w:vertAlign w:val="subscript"/>
        </w:rPr>
        <w:t xml:space="preserve">5</w:t>
      </w:r>
      <w:r>
        <w:t xml:space="preserve">, and FT5185 with an</w:t>
      </w:r>
      <w:r>
        <w:t xml:space="preserve"> </w:t>
      </w:r>
      <w:r>
        <w:rPr>
          <w:i/>
          <w:iCs/>
        </w:rPr>
        <w:t xml:space="preserve">m/z</w:t>
      </w:r>
      <w:r>
        <w:t xml:space="preserve"> </w:t>
      </w:r>
      <w:r>
        <w:t xml:space="preserve">of 252.1441 and 10.7 RT we assigned C</w:t>
      </w:r>
      <w:r>
        <w:rPr>
          <w:vertAlign w:val="subscript"/>
        </w:rPr>
        <w:t xml:space="preserve">10</w:t>
      </w:r>
      <w:r>
        <w:t xml:space="preserve">H</w:t>
      </w:r>
      <w:r>
        <w:rPr>
          <w:vertAlign w:val="subscript"/>
        </w:rPr>
        <w:t xml:space="preserve">22</w:t>
      </w:r>
      <w:r>
        <w:t xml:space="preserve">NO</w:t>
      </w:r>
      <w:r>
        <w:rPr>
          <w:vertAlign w:val="subscript"/>
        </w:rPr>
        <w:t xml:space="preserve">6</w:t>
      </w:r>
      <w:r>
        <w:t xml:space="preserve">. One feature we were unable to annotate at all (FT5076,</w:t>
      </w:r>
      <w:r>
        <w:t xml:space="preserve"> </w:t>
      </w:r>
      <w:r>
        <w:rPr>
          <w:i/>
          <w:iCs/>
        </w:rPr>
        <w:t xml:space="preserve">m/z</w:t>
      </w:r>
      <w:r>
        <w:t xml:space="preserve"> </w:t>
      </w:r>
      <w:r>
        <w:t xml:space="preserve">248.1258 and RT 12.0).</w:t>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5). Cluster 1, the largest with 64 molecular features, contained many of the unlabeled compounds including those without any nitrogen and all of the betaines. Cluster 2 contained most of the amino acids, the nucleobases cytosine and guanine, and the deoxynucleosides as well as ectoine and citrulline. Cluster 3 contained homarine, beta-alanine, and O-acetylcarnitine as well as the remaining amino acids aside from aspartate, glutamate, and glutamine which fell into cluster 4. Known compounds in cluster 5 consisted of adenine, adenosine, cytidine, and hypoxanthine while guanosine fell alone into cluster 6. The MAAs were distributed across clusters 8 and 9, while clusters 7 and 10 had no known compounds.</w:t>
      </w:r>
    </w:p>
    <w:p>
      <w:pPr>
        <w:pStyle w:val="BodyText"/>
      </w:pPr>
      <w:r>
        <w:drawing>
          <wp:inline>
            <wp:extent cx="5334000" cy="3282461"/>
            <wp:effectExtent b="0" l="0" r="0" t="0"/>
            <wp:docPr descr="" title="" id="38" name="Picture"/>
            <a:graphic>
              <a:graphicData uri="http://schemas.openxmlformats.org/drawingml/2006/picture">
                <pic:pic>
                  <pic:nvPicPr>
                    <pic:cNvPr descr="figures/untarg_heatmap.png" id="39" name="Picture"/>
                    <pic:cNvPicPr>
                      <a:picLocks noChangeArrowheads="1" noChangeAspect="1"/>
                    </pic:cNvPicPr>
                  </pic:nvPicPr>
                  <pic:blipFill>
                    <a:blip r:embed="rId37"/>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5: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40"/>
    <w:bookmarkEnd w:id="41"/>
    <w:bookmarkStart w:id="42" w:name="discussion"/>
    <w:p>
      <w:pPr>
        <w:pStyle w:val="Heading1"/>
      </w:pPr>
      <w:r>
        <w:t xml:space="preserve">Discussion</w:t>
      </w:r>
    </w:p>
    <w:p>
      <w:pPr>
        <w:pStyle w:val="FirstParagraph"/>
      </w:pPr>
      <w:r>
        <w:t xml:space="preserve">The chronic nitrogen limitation of the North Pacific Subtropical Gyre (NPSG) creates fierce competition for this element, yet clearly not all nitrogen is equally available. Instead, a grand marketplace of metabolites exists in which organisms attempt to match high-affinity uptake transporters and catabolic enzymes to the available dissolved nitrogen while minimizing energy costs</w:t>
      </w:r>
      <w:r>
        <w:t xml:space="preserve"> </w:t>
      </w:r>
      <w:r>
        <w:t xml:space="preserve">(Moran et al. 2016)</w:t>
      </w:r>
      <w:r>
        <w:t xml:space="preserve">. Here, we directly measured the uptake and use of four forms of nitrogen using stable isotope metabolomics.</w:t>
      </w:r>
    </w:p>
    <w:p>
      <w:pPr>
        <w:pStyle w:val="Compact"/>
        <w:numPr>
          <w:ilvl w:val="0"/>
          <w:numId w:val="1001"/>
        </w:numPr>
      </w:pPr>
      <w:r>
        <w:t xml:space="preserve">We sampled from a decaying DDA bloom</w:t>
      </w:r>
    </w:p>
    <w:p>
      <w:pPr>
        <w:pStyle w:val="Compact"/>
        <w:numPr>
          <w:ilvl w:val="1"/>
          <w:numId w:val="1002"/>
        </w:numPr>
      </w:pPr>
      <w:r>
        <w:t xml:space="preserve">Biogeochemically looked super similar to ALOHA</w:t>
      </w:r>
    </w:p>
    <w:p>
      <w:pPr>
        <w:pStyle w:val="Compact"/>
        <w:numPr>
          <w:ilvl w:val="1"/>
          <w:numId w:val="1002"/>
        </w:numPr>
      </w:pPr>
      <w:r>
        <w:t xml:space="preserve">Enriched in Hemiaulus at the surface at the beginning and pretty typical ALOHA conditions at the end</w:t>
      </w:r>
    </w:p>
    <w:p>
      <w:pPr>
        <w:pStyle w:val="Compact"/>
        <w:numPr>
          <w:ilvl w:val="2"/>
          <w:numId w:val="1003"/>
        </w:numPr>
      </w:pPr>
      <w:r>
        <w:t xml:space="preserve">Elevated pro and het. bact at the end</w:t>
      </w:r>
    </w:p>
    <w:p>
      <w:pPr>
        <w:pStyle w:val="Compact"/>
        <w:numPr>
          <w:ilvl w:val="2"/>
          <w:numId w:val="1003"/>
        </w:numPr>
      </w:pPr>
      <w:r>
        <w:t xml:space="preserve">Does Hemiaulus respond to nitrate amendments? or is it another diatom that usually grows in?</w:t>
      </w:r>
    </w:p>
    <w:p>
      <w:pPr>
        <w:pStyle w:val="Compact"/>
        <w:numPr>
          <w:ilvl w:val="3"/>
          <w:numId w:val="1004"/>
        </w:numPr>
      </w:pPr>
      <w:r>
        <w:t xml:space="preserve">Hemiaulus has diazotrophs, do they get all their nitrogen from fixation or any from environment?</w:t>
      </w:r>
    </w:p>
    <w:p>
      <w:pPr>
        <w:pStyle w:val="Compact"/>
        <w:numPr>
          <w:ilvl w:val="1"/>
          <w:numId w:val="1002"/>
        </w:numPr>
      </w:pPr>
      <w:r>
        <w:t xml:space="preserve">Typical ALOHA at 175 meters throughout</w:t>
      </w:r>
    </w:p>
    <w:p>
      <w:pPr>
        <w:pStyle w:val="Compact"/>
        <w:numPr>
          <w:ilvl w:val="2"/>
          <w:numId w:val="1005"/>
        </w:numPr>
      </w:pPr>
      <w:r>
        <w:t xml:space="preserve">Big question mark on this one since we’re extrapolating from a single depth profile in both cases</w:t>
      </w:r>
    </w:p>
    <w:p>
      <w:pPr>
        <w:pStyle w:val="Compact"/>
        <w:numPr>
          <w:ilvl w:val="0"/>
          <w:numId w:val="1001"/>
        </w:numPr>
      </w:pPr>
      <w:r>
        <w:t xml:space="preserve">All N added in excess of normal ALOHA</w:t>
      </w:r>
    </w:p>
    <w:p>
      <w:pPr>
        <w:pStyle w:val="Compact"/>
        <w:numPr>
          <w:ilvl w:val="1"/>
          <w:numId w:val="1006"/>
        </w:numPr>
      </w:pPr>
      <w:r>
        <w:t xml:space="preserve">1mL 6mM nitrate/ammonia into 2L bottles = 3uM (on par with other experiments</w:t>
      </w:r>
      <w:r>
        <w:t xml:space="preserve"> </w:t>
      </w:r>
      <w:r>
        <w:t xml:space="preserve">Rii, Bidigare, and Church (2018)</w:t>
      </w:r>
      <w:r>
        <w:t xml:space="preserve"> </w:t>
      </w:r>
      <w:r>
        <w:t xml:space="preserve">Zimmerman et al. (2023)</w:t>
      </w:r>
      <w:r>
        <w:t xml:space="preserve"> </w:t>
      </w:r>
      <w:r>
        <w:t xml:space="preserve">Shilova et al. (2017)</w:t>
      </w:r>
      <w:r>
        <w:t xml:space="preserve">)</w:t>
      </w:r>
    </w:p>
    <w:p>
      <w:pPr>
        <w:pStyle w:val="Compact"/>
        <w:numPr>
          <w:ilvl w:val="2"/>
          <w:numId w:val="1007"/>
        </w:numPr>
      </w:pPr>
      <w:r>
        <w:t xml:space="preserve">Nitrate background @ surface &lt; 0.01 uM? (Typical ALOHA is 0-5nM</w:t>
      </w:r>
      <w:r>
        <w:t xml:space="preserve"> </w:t>
      </w:r>
      <w:r>
        <w:t xml:space="preserve">Rii, Bidigare, and Church (2018)</w:t>
      </w:r>
      <w:r>
        <w:t xml:space="preserve">)</w:t>
      </w:r>
    </w:p>
    <w:p>
      <w:pPr>
        <w:pStyle w:val="Compact"/>
        <w:numPr>
          <w:ilvl w:val="2"/>
          <w:numId w:val="1007"/>
        </w:numPr>
      </w:pPr>
      <w:r>
        <w:t xml:space="preserve">Nitrate background @ 175m = 0.46-0.57 uM</w:t>
      </w:r>
    </w:p>
    <w:p>
      <w:pPr>
        <w:pStyle w:val="Compact"/>
        <w:numPr>
          <w:ilvl w:val="2"/>
          <w:numId w:val="1007"/>
        </w:numPr>
      </w:pPr>
      <w:r>
        <w:t xml:space="preserve">Ammonia background @ surface ~ 0.01 (58nM in</w:t>
      </w:r>
      <w:r>
        <w:t xml:space="preserve"> </w:t>
      </w:r>
      <w:r>
        <w:t xml:space="preserve">Shilova et al. (2017)</w:t>
      </w:r>
      <w:r>
        <w:t xml:space="preserve">)</w:t>
      </w:r>
    </w:p>
    <w:p>
      <w:pPr>
        <w:pStyle w:val="Compact"/>
        <w:numPr>
          <w:ilvl w:val="2"/>
          <w:numId w:val="1007"/>
        </w:numPr>
      </w:pPr>
      <w:r>
        <w:t xml:space="preserve">Ammonia background @ 175m ~ 0.01</w:t>
      </w:r>
    </w:p>
    <w:p>
      <w:pPr>
        <w:pStyle w:val="Compact"/>
        <w:numPr>
          <w:ilvl w:val="3"/>
          <w:numId w:val="1008"/>
        </w:numPr>
      </w:pPr>
      <w:r>
        <w:t xml:space="preserve">Excessive ammonia add means that there was probably less competition, everyone got what they wanted</w:t>
      </w:r>
    </w:p>
    <w:p>
      <w:pPr>
        <w:pStyle w:val="Compact"/>
        <w:numPr>
          <w:ilvl w:val="1"/>
          <w:numId w:val="1006"/>
        </w:numPr>
      </w:pPr>
      <w:r>
        <w:t xml:space="preserve">1mL 0.1mM arginine/GMP into 2L bottles = 50nM</w:t>
      </w:r>
    </w:p>
    <w:p>
      <w:pPr>
        <w:pStyle w:val="Compact"/>
        <w:numPr>
          <w:ilvl w:val="2"/>
          <w:numId w:val="1009"/>
        </w:numPr>
      </w:pPr>
      <w:r>
        <w:t xml:space="preserve">DON @ surface ~ 4.7 uM, @ depth = 4.2 uM</w:t>
      </w:r>
    </w:p>
    <w:p>
      <w:pPr>
        <w:pStyle w:val="Compact"/>
        <w:numPr>
          <w:ilvl w:val="2"/>
          <w:numId w:val="1009"/>
        </w:numPr>
      </w:pPr>
      <w:r>
        <w:t xml:space="preserve">Arginine concentration @ ALOHA ~ at most nanomolar, lower @ depth</w:t>
      </w:r>
    </w:p>
    <w:p>
      <w:pPr>
        <w:pStyle w:val="Compact"/>
        <w:numPr>
          <w:ilvl w:val="2"/>
          <w:numId w:val="1009"/>
        </w:numPr>
      </w:pPr>
      <w:r>
        <w:t xml:space="preserve">GMP concentration @ ALOHA ~ unknown, lower @ depth</w:t>
      </w:r>
    </w:p>
    <w:p>
      <w:pPr>
        <w:pStyle w:val="Compact"/>
        <w:numPr>
          <w:ilvl w:val="3"/>
          <w:numId w:val="1010"/>
        </w:numPr>
      </w:pPr>
      <w:r>
        <w:t xml:space="preserve">GMP potentially used for phosphate and created guanosine (SRP = 0.16uM @ 175m, &lt;0.05uM @ surface?)</w:t>
      </w:r>
    </w:p>
    <w:p>
      <w:pPr>
        <w:pStyle w:val="Compact"/>
        <w:numPr>
          <w:ilvl w:val="3"/>
          <w:numId w:val="1010"/>
        </w:numPr>
      </w:pPr>
      <w:r>
        <w:t xml:space="preserve">E. hux can clearly grow well on purines though this requires nickel (?) and urease (</w:t>
      </w:r>
      <w:r>
        <w:t xml:space="preserve">Palenik and Henson (1997)</w:t>
      </w:r>
      <w:r>
        <w:t xml:space="preserve">)</w:t>
      </w:r>
    </w:p>
    <w:p>
      <w:pPr>
        <w:pStyle w:val="Compact"/>
        <w:numPr>
          <w:ilvl w:val="1"/>
          <w:numId w:val="1006"/>
        </w:numPr>
      </w:pPr>
      <w:r>
        <w:t xml:space="preserve">Unclear how much of this was USED, Rii2018 measured 100-500nM NO3/NH4 uptake per day</w:t>
      </w:r>
    </w:p>
    <w:p>
      <w:pPr>
        <w:pStyle w:val="Compact"/>
        <w:numPr>
          <w:ilvl w:val="2"/>
          <w:numId w:val="1011"/>
        </w:numPr>
      </w:pPr>
      <w:r>
        <w:t xml:space="preserve">Implies mine was probably not drawn all the way down</w:t>
      </w:r>
    </w:p>
    <w:p>
      <w:pPr>
        <w:pStyle w:val="Compact"/>
        <w:numPr>
          <w:ilvl w:val="1"/>
          <w:numId w:val="1006"/>
        </w:numPr>
      </w:pPr>
      <w:r>
        <w:t xml:space="preserve">Likelihood of inducing a community shift in 24 hours? 72 hours from organics?</w:t>
      </w:r>
    </w:p>
    <w:p>
      <w:pPr>
        <w:pStyle w:val="Compact"/>
        <w:numPr>
          <w:ilvl w:val="2"/>
          <w:numId w:val="1012"/>
        </w:numPr>
      </w:pPr>
      <w:r>
        <w:t xml:space="preserve">Shilova et al. (2017)</w:t>
      </w:r>
      <w:r>
        <w:t xml:space="preserve"> </w:t>
      </w:r>
      <w:r>
        <w:t xml:space="preserve">got a BIG growth in of random Alteromonadaceae after 1 day, growth in of picoeuks from ammonia,</w:t>
      </w:r>
      <w:r>
        <w:t xml:space="preserve"> </w:t>
      </w:r>
      <w:r>
        <w:t xml:space="preserve">Bradley et al. (2010)</w:t>
      </w:r>
      <w:r>
        <w:t xml:space="preserve"> </w:t>
      </w:r>
      <w:r>
        <w:t xml:space="preserve">showed that het. bact. can grow on inorganics</w:t>
      </w:r>
    </w:p>
    <w:p>
      <w:pPr>
        <w:pStyle w:val="Compact"/>
        <w:numPr>
          <w:ilvl w:val="2"/>
          <w:numId w:val="1012"/>
        </w:numPr>
      </w:pPr>
      <w:r>
        <w:t xml:space="preserve">Rii, Bidigare, and Church (2018)</w:t>
      </w:r>
      <w:r>
        <w:t xml:space="preserve"> </w:t>
      </w:r>
      <w:r>
        <w:t xml:space="preserve">found diatoms and pelagophytes growing in after 48 hours</w:t>
      </w:r>
    </w:p>
    <w:p>
      <w:pPr>
        <w:pStyle w:val="Compact"/>
        <w:numPr>
          <w:ilvl w:val="2"/>
          <w:numId w:val="1012"/>
        </w:numPr>
      </w:pPr>
      <w:r>
        <w:t xml:space="preserve">Alexander et al. (2015)</w:t>
      </w:r>
      <w:r>
        <w:t xml:space="preserve"> </w:t>
      </w:r>
      <w:r>
        <w:t xml:space="preserve">found diatoms and haptophytes</w:t>
      </w:r>
    </w:p>
    <w:p>
      <w:pPr>
        <w:pStyle w:val="Compact"/>
        <w:numPr>
          <w:ilvl w:val="0"/>
          <w:numId w:val="1001"/>
        </w:numPr>
      </w:pPr>
      <w:r>
        <w:t xml:space="preserve">Contrasting the inorganics</w:t>
      </w:r>
    </w:p>
    <w:p>
      <w:pPr>
        <w:pStyle w:val="Compact"/>
        <w:numPr>
          <w:ilvl w:val="1"/>
          <w:numId w:val="1013"/>
        </w:numPr>
      </w:pPr>
      <w:r>
        <w:t xml:space="preserve">Ammonia transporters clearly</w:t>
      </w:r>
      <w:r>
        <w:t xml:space="preserve"> </w:t>
      </w:r>
      <w:r>
        <w:t xml:space="preserve">“active”</w:t>
      </w:r>
      <w:r>
        <w:t xml:space="preserve"> </w:t>
      </w:r>
      <w:r>
        <w:t xml:space="preserve">and the entire community ready to take it up</w:t>
      </w:r>
    </w:p>
    <w:p>
      <w:pPr>
        <w:pStyle w:val="Compact"/>
        <w:numPr>
          <w:ilvl w:val="2"/>
          <w:numId w:val="1014"/>
        </w:numPr>
      </w:pPr>
      <w:r>
        <w:t xml:space="preserve">Glutamine 2x labeling maybe faster than glutamate</w:t>
      </w:r>
    </w:p>
    <w:p>
      <w:pPr>
        <w:pStyle w:val="Compact"/>
        <w:numPr>
          <w:ilvl w:val="2"/>
          <w:numId w:val="1014"/>
        </w:numPr>
      </w:pPr>
      <w:r>
        <w:t xml:space="preserve">Citrulline labeling from ammonia is a surprise and indicates a</w:t>
      </w:r>
      <w:r>
        <w:t xml:space="preserve"> </w:t>
      </w:r>
      <w:r>
        <w:t xml:space="preserve">“broken”</w:t>
      </w:r>
      <w:r>
        <w:t xml:space="preserve"> </w:t>
      </w:r>
      <w:r>
        <w:t xml:space="preserve">urea cycle</w:t>
      </w:r>
    </w:p>
    <w:p>
      <w:pPr>
        <w:pStyle w:val="Compact"/>
        <w:numPr>
          <w:ilvl w:val="2"/>
          <w:numId w:val="1014"/>
        </w:numPr>
      </w:pPr>
      <w:r>
        <w:t xml:space="preserve">Surprising how quickly the nucleobases were labeled given the length of that pathway</w:t>
      </w:r>
    </w:p>
    <w:p>
      <w:pPr>
        <w:pStyle w:val="Compact"/>
        <w:numPr>
          <w:ilvl w:val="3"/>
          <w:numId w:val="1015"/>
        </w:numPr>
      </w:pPr>
      <w:r>
        <w:t xml:space="preserve">indicates high demand / storage / replication triggered?</w:t>
      </w:r>
    </w:p>
    <w:p>
      <w:pPr>
        <w:pStyle w:val="Compact"/>
        <w:numPr>
          <w:ilvl w:val="3"/>
          <w:numId w:val="1015"/>
        </w:numPr>
      </w:pPr>
      <w:r>
        <w:t xml:space="preserve">All of them being mostly fully-labeled means new synthesis rather than recycling</w:t>
      </w:r>
    </w:p>
    <w:p>
      <w:pPr>
        <w:pStyle w:val="Compact"/>
        <w:numPr>
          <w:ilvl w:val="3"/>
          <w:numId w:val="1015"/>
        </w:numPr>
      </w:pPr>
      <w:r>
        <w:t xml:space="preserve">Implications of DNA vs RNA labeling differences?</w:t>
      </w:r>
    </w:p>
    <w:p>
      <w:pPr>
        <w:pStyle w:val="Compact"/>
        <w:numPr>
          <w:ilvl w:val="1"/>
          <w:numId w:val="1013"/>
        </w:numPr>
      </w:pPr>
      <w:r>
        <w:t xml:space="preserve">Nitrate use by only a subset of the community while ammonia appears to be universal</w:t>
      </w:r>
    </w:p>
    <w:p>
      <w:pPr>
        <w:pStyle w:val="Compact"/>
        <w:numPr>
          <w:ilvl w:val="2"/>
          <w:numId w:val="1016"/>
        </w:numPr>
      </w:pPr>
      <w:r>
        <w:t xml:space="preserve">Aligns with Zimmermann data</w:t>
      </w:r>
    </w:p>
    <w:p>
      <w:pPr>
        <w:pStyle w:val="Compact"/>
        <w:numPr>
          <w:ilvl w:val="2"/>
          <w:numId w:val="1016"/>
        </w:numPr>
      </w:pPr>
      <w:r>
        <w:t xml:space="preserve">MAAs and guanine labeling hints at euks, nitrate likely resulted in diatoms -&gt; biomarkers?</w:t>
      </w:r>
    </w:p>
    <w:p>
      <w:pPr>
        <w:pStyle w:val="Compact"/>
        <w:numPr>
          <w:ilvl w:val="3"/>
          <w:numId w:val="1017"/>
        </w:numPr>
      </w:pPr>
      <w:r>
        <w:t xml:space="preserve">The nitrogen in MAAs comes from amino acids (glycine = M-gly, gly+ser=shinorine, gly+thr = porphyra334/palythine/palythene/usujirene)</w:t>
      </w:r>
    </w:p>
    <w:p>
      <w:pPr>
        <w:pStyle w:val="Compact"/>
        <w:numPr>
          <w:ilvl w:val="2"/>
          <w:numId w:val="1016"/>
        </w:numPr>
      </w:pPr>
      <w:r>
        <w:t xml:space="preserve">Important differences in labeling between THAAs and metabolites</w:t>
      </w:r>
    </w:p>
    <w:p>
      <w:pPr>
        <w:pStyle w:val="Compact"/>
        <w:numPr>
          <w:ilvl w:val="3"/>
          <w:numId w:val="1018"/>
        </w:numPr>
      </w:pPr>
      <w:r>
        <w:t xml:space="preserve">Super rapidly turning over subset of the pool segregated from rest of the community</w:t>
      </w:r>
    </w:p>
    <w:p>
      <w:pPr>
        <w:pStyle w:val="Compact"/>
        <w:numPr>
          <w:ilvl w:val="3"/>
          <w:numId w:val="1018"/>
        </w:numPr>
      </w:pPr>
      <w:r>
        <w:t xml:space="preserve">Note that nitrate resulted in more labeling at depth than surface while opposite true for ammonia</w:t>
      </w:r>
    </w:p>
    <w:p>
      <w:pPr>
        <w:pStyle w:val="Compact"/>
        <w:numPr>
          <w:ilvl w:val="2"/>
          <w:numId w:val="1016"/>
        </w:numPr>
      </w:pPr>
      <w:r>
        <w:t xml:space="preserve">Surface community likely not</w:t>
      </w:r>
      <w:r>
        <w:t xml:space="preserve"> </w:t>
      </w:r>
      <w:r>
        <w:t xml:space="preserve">“expecting”</w:t>
      </w:r>
      <w:r>
        <w:t xml:space="preserve"> </w:t>
      </w:r>
      <w:r>
        <w:t xml:space="preserve">nitrate</w:t>
      </w:r>
    </w:p>
    <w:p>
      <w:pPr>
        <w:pStyle w:val="Compact"/>
        <w:numPr>
          <w:ilvl w:val="3"/>
          <w:numId w:val="1019"/>
        </w:numPr>
      </w:pPr>
      <w:r>
        <w:t xml:space="preserve">How much time would it take to</w:t>
      </w:r>
      <w:r>
        <w:t xml:space="preserve"> </w:t>
      </w:r>
      <w:r>
        <w:t xml:space="preserve">“turn on”</w:t>
      </w:r>
      <w:r>
        <w:t xml:space="preserve"> </w:t>
      </w:r>
      <w:r>
        <w:t xml:space="preserve">NR and NiR genes?</w:t>
      </w:r>
    </w:p>
    <w:p>
      <w:pPr>
        <w:pStyle w:val="Compact"/>
        <w:numPr>
          <w:ilvl w:val="3"/>
          <w:numId w:val="1019"/>
        </w:numPr>
      </w:pPr>
      <w:r>
        <w:t xml:space="preserve">Clear upward propagation of nitrate -&gt; nitrite -&gt; ammonia in water column data</w:t>
      </w:r>
    </w:p>
    <w:p>
      <w:pPr>
        <w:pStyle w:val="Compact"/>
        <w:numPr>
          <w:ilvl w:val="0"/>
          <w:numId w:val="1001"/>
        </w:numPr>
      </w:pPr>
      <w:r>
        <w:t xml:space="preserve">Contrasting the organics</w:t>
      </w:r>
    </w:p>
    <w:p>
      <w:pPr>
        <w:pStyle w:val="Compact"/>
        <w:numPr>
          <w:ilvl w:val="1"/>
          <w:numId w:val="1020"/>
        </w:numPr>
      </w:pPr>
      <w:r>
        <w:t xml:space="preserve">Surface = phototrophs + heterotrophs, deep = just heterotrophs</w:t>
      </w:r>
    </w:p>
    <w:p>
      <w:pPr>
        <w:pStyle w:val="Compact"/>
        <w:numPr>
          <w:ilvl w:val="2"/>
          <w:numId w:val="1021"/>
        </w:numPr>
      </w:pPr>
      <w:r>
        <w:t xml:space="preserve">Not a lot of surf/deep differences implies mostly het. using these at surface?</w:t>
      </w:r>
    </w:p>
    <w:p>
      <w:pPr>
        <w:pStyle w:val="Compact"/>
        <w:numPr>
          <w:ilvl w:val="3"/>
          <w:numId w:val="1022"/>
        </w:numPr>
      </w:pPr>
      <w:r>
        <w:t xml:space="preserve">Kinda surprising since most phytos can eat organics</w:t>
      </w:r>
    </w:p>
    <w:p>
      <w:pPr>
        <w:pStyle w:val="Compact"/>
        <w:numPr>
          <w:ilvl w:val="2"/>
          <w:numId w:val="1021"/>
        </w:numPr>
      </w:pPr>
      <w:r>
        <w:t xml:space="preserve">Are things generally slower at 175m? Or is this only in the absolute sense because there’s less biomass?</w:t>
      </w:r>
    </w:p>
    <w:p>
      <w:pPr>
        <w:pStyle w:val="Compact"/>
        <w:numPr>
          <w:ilvl w:val="3"/>
          <w:numId w:val="1023"/>
        </w:numPr>
      </w:pPr>
      <w:r>
        <w:t xml:space="preserve">Fraction labeled nicely cancels out the biomass problem</w:t>
      </w:r>
    </w:p>
    <w:p>
      <w:pPr>
        <w:pStyle w:val="Compact"/>
        <w:numPr>
          <w:ilvl w:val="1"/>
          <w:numId w:val="1020"/>
        </w:numPr>
      </w:pPr>
      <w:r>
        <w:t xml:space="preserve">How widespread are arginine/GMP transporters? Generic AA/NB transporters?</w:t>
      </w:r>
    </w:p>
    <w:p>
      <w:pPr>
        <w:pStyle w:val="Compact"/>
        <w:numPr>
          <w:ilvl w:val="1"/>
          <w:numId w:val="1020"/>
        </w:numPr>
      </w:pPr>
      <w:r>
        <w:t xml:space="preserve">Not expecting to see 13C labeling from Arg/GMP because C pool is much larger</w:t>
      </w:r>
    </w:p>
    <w:p>
      <w:pPr>
        <w:pStyle w:val="Compact"/>
        <w:numPr>
          <w:ilvl w:val="1"/>
          <w:numId w:val="1020"/>
        </w:numPr>
      </w:pPr>
      <w:r>
        <w:t xml:space="preserve">What does the decrease in arginine labeling in +Arg at T26 and T73 indicate?</w:t>
      </w:r>
    </w:p>
    <w:p>
      <w:pPr>
        <w:pStyle w:val="Compact"/>
        <w:numPr>
          <w:ilvl w:val="2"/>
          <w:numId w:val="1024"/>
        </w:numPr>
      </w:pPr>
      <w:r>
        <w:t xml:space="preserve">Pulse-chase behavior?</w:t>
      </w:r>
    </w:p>
    <w:p>
      <w:pPr>
        <w:pStyle w:val="Compact"/>
        <w:numPr>
          <w:ilvl w:val="2"/>
          <w:numId w:val="1024"/>
        </w:numPr>
      </w:pPr>
      <w:r>
        <w:t xml:space="preserve">How is the labeled pool specifically decreasing?</w:t>
      </w:r>
    </w:p>
    <w:p>
      <w:pPr>
        <w:pStyle w:val="Compact"/>
        <w:numPr>
          <w:ilvl w:val="1"/>
          <w:numId w:val="1020"/>
        </w:numPr>
      </w:pPr>
      <w:r>
        <w:t xml:space="preserve">Clear backbone use for protein that’s not really seen in the metabolites - dedicated pathways again?</w:t>
      </w:r>
    </w:p>
    <w:p>
      <w:pPr>
        <w:pStyle w:val="Compact"/>
        <w:numPr>
          <w:ilvl w:val="0"/>
          <w:numId w:val="1001"/>
        </w:numPr>
      </w:pPr>
      <w:r>
        <w:t xml:space="preserve">Ectoine - mention that it’s mostly bacterial</w:t>
      </w:r>
      <w:r>
        <w:t xml:space="preserve"> </w:t>
      </w:r>
      <w:r>
        <w:t xml:space="preserve">(McParland, Alexander, and Johnson 2021)</w:t>
      </w:r>
    </w:p>
    <w:p>
      <w:pPr>
        <w:pStyle w:val="FirstParagraph"/>
      </w:pPr>
      <w:r>
        <w:t xml:space="preserve">Need more discussion of betaines and cholines? Ask Anitra</w:t>
      </w:r>
      <w:r>
        <w:t xml:space="preserve"> </w:t>
      </w:r>
      <w:r>
        <w:t xml:space="preserve">- Large pool sizes</w:t>
      </w:r>
      <w:r>
        <w:t xml:space="preserve"> </w:t>
      </w:r>
      <w:r>
        <w:t xml:space="preserve">- What does a very slow osmolyte turnover mean for the cell?</w:t>
      </w:r>
      <w:r>
        <w:t xml:space="preserve"> </w:t>
      </w:r>
      <w:r>
        <w:t xml:space="preserve">- Ref Angie’s paper about GBT use and how it’s mostly just held onto</w:t>
      </w:r>
      <w:r>
        <w:t xml:space="preserve"> </w:t>
      </w:r>
      <w:r>
        <w:t xml:space="preserve">- Relative or absolute is really hard to tell because they’re below detection limits</w:t>
      </w:r>
    </w:p>
    <w:p>
      <w:pPr>
        <w:pStyle w:val="BodyText"/>
      </w:pPr>
      <w:r>
        <w:t xml:space="preserve">No diel differences agrees well with Waldbauer (Zimmermann) 15N paper except they saw a bunch in Pro</w:t>
      </w:r>
      <w:r>
        <w:t xml:space="preserve"> </w:t>
      </w:r>
      <w:r>
        <w:t xml:space="preserve">- How well does overall protein inclusion agree with Zimmermann?</w:t>
      </w:r>
      <w:r>
        <w:t xml:space="preserve"> </w:t>
      </w:r>
      <w:r>
        <w:t xml:space="preserve">- Nitrate much slower in their data implying that the extra 12 hours (they incubated for 11) was necessary?</w:t>
      </w:r>
    </w:p>
    <w:p>
      <w:pPr>
        <w:pStyle w:val="BodyText"/>
      </w:pPr>
      <w:r>
        <w:t xml:space="preserve">How representative is Station ALOHA and the bloom of the open ocean more generally?</w:t>
      </w:r>
    </w:p>
    <w:p>
      <w:pPr>
        <w:pStyle w:val="BodyText"/>
      </w:pPr>
      <w:r>
        <w:t xml:space="preserve">What would have happened at the DCM? Or deeper?</w:t>
      </w:r>
    </w:p>
    <w:bookmarkEnd w:id="42"/>
    <w:bookmarkStart w:id="43" w:name="conclusion"/>
    <w:p>
      <w:pPr>
        <w:pStyle w:val="Heading1"/>
      </w:pPr>
      <w:r>
        <w:t xml:space="preserve">Conclusion</w:t>
      </w:r>
    </w:p>
    <w:bookmarkEnd w:id="43"/>
    <w:bookmarkStart w:id="44" w:name="methods"/>
    <w:p>
      <w:pPr>
        <w:pStyle w:val="Heading1"/>
      </w:pPr>
      <w:r>
        <w:t xml:space="preserve">Methods</w:t>
      </w:r>
    </w:p>
    <w:p>
      <w:pPr>
        <w:pStyle w:val="FirstParagraph"/>
      </w:pPr>
      <w:r>
        <w:t xml:space="preserve">[explain chromatographic similarity scoring as pearson’s correlation coefficient]</w:t>
      </w:r>
    </w:p>
    <w:bookmarkEnd w:id="44"/>
    <w:bookmarkStart w:id="45" w:name="acknowledgements"/>
    <w:p>
      <w:pPr>
        <w:pStyle w:val="Heading1"/>
      </w:pPr>
      <w:r>
        <w:t xml:space="preserve">Acknowledgements</w:t>
      </w:r>
    </w:p>
    <w:bookmarkEnd w:id="45"/>
    <w:bookmarkStart w:id="46" w:name="data-availability"/>
    <w:p>
      <w:pPr>
        <w:pStyle w:val="Heading1"/>
      </w:pPr>
      <w:r>
        <w:t xml:space="preserve">Data availability</w:t>
      </w:r>
    </w:p>
    <w:bookmarkEnd w:id="46"/>
    <w:bookmarkStart w:id="96" w:name="references"/>
    <w:p>
      <w:pPr>
        <w:pStyle w:val="Heading1"/>
      </w:pPr>
      <w:r>
        <w:t xml:space="preserve">References</w:t>
      </w:r>
    </w:p>
    <w:bookmarkStart w:id="95" w:name="refs"/>
    <w:bookmarkStart w:id="48"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w:t>
      </w:r>
      <w:r>
        <w:t xml:space="preserve"> </w:t>
      </w:r>
      <w:hyperlink r:id="rId47">
        <w:r>
          <w:rPr>
            <w:rStyle w:val="Hyperlink"/>
          </w:rPr>
          <w:t xml:space="preserve">https://doi.org/10.1073/pnas.1518165112</w:t>
        </w:r>
      </w:hyperlink>
      <w:r>
        <w:t xml:space="preserve">.</w:t>
      </w:r>
    </w:p>
    <w:bookmarkEnd w:id="48"/>
    <w:bookmarkStart w:id="49"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49"/>
    <w:bookmarkStart w:id="51" w:name="ref-Aluwihare2005"/>
    <w:p>
      <w:pPr>
        <w:pStyle w:val="Bibliography"/>
      </w:pPr>
      <w:r>
        <w:t xml:space="preserve">Aluwihare, Lihini I., Daniel J. Repeta, Silvio Pantoja, and Carl G. Johnson. 2005.</w:t>
      </w:r>
      <w:r>
        <w:t xml:space="preserve"> </w:t>
      </w:r>
      <w:r>
        <w:t xml:space="preserve">“Two</w:t>
      </w:r>
      <w:r>
        <w:t xml:space="preserve"> </w:t>
      </w:r>
      <w:r>
        <w:t xml:space="preserve">Chemically Distinct Pools</w:t>
      </w:r>
      <w:r>
        <w:t xml:space="preserve"> </w:t>
      </w:r>
      <w:r>
        <w:t xml:space="preserve">of</w:t>
      </w:r>
      <w:r>
        <w:t xml:space="preserve"> </w:t>
      </w:r>
      <w:r>
        <w:t xml:space="preserve">Organic Nitrogen Accumulate</w:t>
      </w:r>
      <w:r>
        <w:t xml:space="preserve"> </w:t>
      </w:r>
      <w:r>
        <w:t xml:space="preserve">in the</w:t>
      </w:r>
      <w:r>
        <w:t xml:space="preserve"> </w:t>
      </w:r>
      <w:r>
        <w:t xml:space="preserve">Ocean</w:t>
      </w:r>
      <w:r>
        <w:t xml:space="preserve">.”</w:t>
      </w:r>
      <w:r>
        <w:t xml:space="preserve"> </w:t>
      </w:r>
      <w:r>
        <w:rPr>
          <w:i/>
          <w:iCs/>
        </w:rPr>
        <w:t xml:space="preserve">Science</w:t>
      </w:r>
      <w:r>
        <w:t xml:space="preserve"> </w:t>
      </w:r>
      <w:r>
        <w:t xml:space="preserve">308 (5724): 1007–10.</w:t>
      </w:r>
      <w:r>
        <w:t xml:space="preserve"> </w:t>
      </w:r>
      <w:hyperlink r:id="rId50">
        <w:r>
          <w:rPr>
            <w:rStyle w:val="Hyperlink"/>
          </w:rPr>
          <w:t xml:space="preserve">https://doi.org/10.1126/science.1108925</w:t>
        </w:r>
      </w:hyperlink>
      <w:r>
        <w:t xml:space="preserve">.</w:t>
      </w:r>
    </w:p>
    <w:bookmarkEnd w:id="51"/>
    <w:bookmarkStart w:id="53"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w:t>
      </w:r>
      <w:r>
        <w:t xml:space="preserve"> </w:t>
      </w:r>
      <w:hyperlink r:id="rId52">
        <w:r>
          <w:rPr>
            <w:rStyle w:val="Hyperlink"/>
          </w:rPr>
          <w:t xml:space="preserve">https://doi.org/10.2216/i0031-8884-30-1-1.1</w:t>
        </w:r>
      </w:hyperlink>
      <w:r>
        <w:t xml:space="preserve">.</w:t>
      </w:r>
    </w:p>
    <w:bookmarkEnd w:id="53"/>
    <w:bookmarkStart w:id="55"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w:t>
      </w:r>
      <w:r>
        <w:t xml:space="preserve"> </w:t>
      </w:r>
      <w:hyperlink r:id="rId54">
        <w:r>
          <w:rPr>
            <w:rStyle w:val="Hyperlink"/>
          </w:rPr>
          <w:t xml:space="preserve">https://doi.org/10.1016/j.protis.2011.07.008</w:t>
        </w:r>
      </w:hyperlink>
      <w:r>
        <w:t xml:space="preserve">.</w:t>
      </w:r>
    </w:p>
    <w:bookmarkEnd w:id="55"/>
    <w:bookmarkStart w:id="57"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w:t>
      </w:r>
      <w:r>
        <w:t xml:space="preserve"> </w:t>
      </w:r>
      <w:hyperlink r:id="rId56">
        <w:r>
          <w:rPr>
            <w:rStyle w:val="Hyperlink"/>
          </w:rPr>
          <w:t xml:space="preserve">https://doi.org/10.1021/acs.analchem.7b04400</w:t>
        </w:r>
      </w:hyperlink>
      <w:r>
        <w:t xml:space="preserve">.</w:t>
      </w:r>
    </w:p>
    <w:bookmarkEnd w:id="57"/>
    <w:bookmarkStart w:id="59"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w:t>
      </w:r>
      <w:r>
        <w:t xml:space="preserve"> </w:t>
      </w:r>
      <w:hyperlink r:id="rId58">
        <w:r>
          <w:rPr>
            <w:rStyle w:val="Hyperlink"/>
          </w:rPr>
          <w:t xml:space="preserve">https://doi.org/10.1016/j.ecss.2010.02.001</w:t>
        </w:r>
      </w:hyperlink>
      <w:r>
        <w:t xml:space="preserve">.</w:t>
      </w:r>
    </w:p>
    <w:bookmarkEnd w:id="59"/>
    <w:bookmarkStart w:id="61"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w:t>
      </w:r>
      <w:r>
        <w:t xml:space="preserve"> </w:t>
      </w:r>
      <w:hyperlink r:id="rId60">
        <w:r>
          <w:rPr>
            <w:rStyle w:val="Hyperlink"/>
          </w:rPr>
          <w:t xml:space="preserve">https://doi.org/10.5194/bg-4-283-2007</w:t>
        </w:r>
      </w:hyperlink>
      <w:r>
        <w:t xml:space="preserve">.</w:t>
      </w:r>
    </w:p>
    <w:bookmarkEnd w:id="61"/>
    <w:bookmarkStart w:id="63"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w:t>
      </w:r>
      <w:r>
        <w:t xml:space="preserve"> </w:t>
      </w:r>
      <w:hyperlink r:id="rId62">
        <w:r>
          <w:rPr>
            <w:rStyle w:val="Hyperlink"/>
          </w:rPr>
          <w:t xml:space="preserve">https://doi.org/10.1016/B978-0-443-13858-4.00016-2</w:t>
        </w:r>
      </w:hyperlink>
      <w:r>
        <w:t xml:space="preserve">.</w:t>
      </w:r>
    </w:p>
    <w:bookmarkEnd w:id="63"/>
    <w:bookmarkStart w:id="64"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64"/>
    <w:bookmarkStart w:id="66"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w:t>
      </w:r>
      <w:r>
        <w:t xml:space="preserve"> </w:t>
      </w:r>
      <w:hyperlink r:id="rId65">
        <w:r>
          <w:rPr>
            <w:rStyle w:val="Hyperlink"/>
          </w:rPr>
          <w:t xml:space="preserve">https://doi.org/10.1128/mSystems.01334-20</w:t>
        </w:r>
      </w:hyperlink>
      <w:r>
        <w:t xml:space="preserve">.</w:t>
      </w:r>
    </w:p>
    <w:bookmarkEnd w:id="66"/>
    <w:bookmarkStart w:id="68"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w:t>
      </w:r>
      <w:r>
        <w:t xml:space="preserve"> </w:t>
      </w:r>
      <w:hyperlink r:id="rId67">
        <w:r>
          <w:rPr>
            <w:rStyle w:val="Hyperlink"/>
          </w:rPr>
          <w:t xml:space="preserve">https://doi.org/10.1038/s41579-022-00687-z</w:t>
        </w:r>
      </w:hyperlink>
      <w:r>
        <w:t xml:space="preserve">.</w:t>
      </w:r>
    </w:p>
    <w:bookmarkEnd w:id="68"/>
    <w:bookmarkStart w:id="70"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w:t>
      </w:r>
      <w:r>
        <w:t xml:space="preserve"> </w:t>
      </w:r>
      <w:hyperlink r:id="rId69">
        <w:r>
          <w:rPr>
            <w:rStyle w:val="Hyperlink"/>
          </w:rPr>
          <w:t xml:space="preserve">https://doi.org/10.3389/fevo.2024.1505025</w:t>
        </w:r>
      </w:hyperlink>
      <w:r>
        <w:t xml:space="preserve">.</w:t>
      </w:r>
    </w:p>
    <w:bookmarkEnd w:id="70"/>
    <w:bookmarkStart w:id="72"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w:t>
      </w:r>
      <w:r>
        <w:t xml:space="preserve"> </w:t>
      </w:r>
      <w:hyperlink r:id="rId71">
        <w:r>
          <w:rPr>
            <w:rStyle w:val="Hyperlink"/>
          </w:rPr>
          <w:t xml:space="preserve">https://doi.org/10.3389/fmars.2021.689306</w:t>
        </w:r>
      </w:hyperlink>
      <w:r>
        <w:t xml:space="preserve">.</w:t>
      </w:r>
    </w:p>
    <w:bookmarkEnd w:id="72"/>
    <w:bookmarkStart w:id="74"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w:t>
      </w:r>
      <w:r>
        <w:t xml:space="preserve"> </w:t>
      </w:r>
      <w:hyperlink r:id="rId73">
        <w:r>
          <w:rPr>
            <w:rStyle w:val="Hyperlink"/>
          </w:rPr>
          <w:t xml:space="preserve">https://doi.org/10.1038/ngeo1765</w:t>
        </w:r>
      </w:hyperlink>
      <w:r>
        <w:t xml:space="preserve">.</w:t>
      </w:r>
    </w:p>
    <w:bookmarkEnd w:id="74"/>
    <w:bookmarkStart w:id="76"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w:t>
      </w:r>
      <w:r>
        <w:t xml:space="preserve"> </w:t>
      </w:r>
      <w:hyperlink r:id="rId75">
        <w:r>
          <w:rPr>
            <w:rStyle w:val="Hyperlink"/>
          </w:rPr>
          <w:t xml:space="preserve">https://doi.org/10.1038/s41564-022-01090-3</w:t>
        </w:r>
      </w:hyperlink>
      <w:r>
        <w:t xml:space="preserve">.</w:t>
      </w:r>
    </w:p>
    <w:bookmarkEnd w:id="76"/>
    <w:bookmarkStart w:id="78" w:name="ref-Moran2016"/>
    <w:p>
      <w:pPr>
        <w:pStyle w:val="Bibliography"/>
      </w:pPr>
      <w:r>
        <w:t xml:space="preserve">Moran, Mary Ann, Elizabeth B. Kujawinski, Aron Stubbins, Rob Fatland, Lihini I. Aluwihare, Alison Buchan, Byron C. Crump, et al. 2016.</w:t>
      </w:r>
      <w:r>
        <w:t xml:space="preserve"> </w:t>
      </w:r>
      <w:r>
        <w:t xml:space="preserve">“Deciphering Ocean Carbon in a Changing World.”</w:t>
      </w:r>
      <w:r>
        <w:t xml:space="preserve"> </w:t>
      </w:r>
      <w:r>
        <w:rPr>
          <w:i/>
          <w:iCs/>
        </w:rPr>
        <w:t xml:space="preserve">Proceedings of the National Academy of Sciences</w:t>
      </w:r>
      <w:r>
        <w:t xml:space="preserve"> </w:t>
      </w:r>
      <w:r>
        <w:t xml:space="preserve">113 (12): 3143–51.</w:t>
      </w:r>
      <w:r>
        <w:t xml:space="preserve"> </w:t>
      </w:r>
      <w:hyperlink r:id="rId77">
        <w:r>
          <w:rPr>
            <w:rStyle w:val="Hyperlink"/>
          </w:rPr>
          <w:t xml:space="preserve">https://doi.org/10.1073/pnas.1514645113</w:t>
        </w:r>
      </w:hyperlink>
      <w:r>
        <w:t xml:space="preserve">.</w:t>
      </w:r>
    </w:p>
    <w:bookmarkEnd w:id="78"/>
    <w:bookmarkStart w:id="80"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w:t>
      </w:r>
      <w:r>
        <w:t xml:space="preserve"> </w:t>
      </w:r>
      <w:hyperlink r:id="rId79">
        <w:r>
          <w:rPr>
            <w:rStyle w:val="Hyperlink"/>
          </w:rPr>
          <w:t xml:space="preserve">https://doi.org/10.1016/B978-0-12-372522-6.00007-4</w:t>
        </w:r>
      </w:hyperlink>
      <w:r>
        <w:t xml:space="preserve">.</w:t>
      </w:r>
    </w:p>
    <w:bookmarkEnd w:id="80"/>
    <w:bookmarkStart w:id="82" w:name="ref-Palenik1997"/>
    <w:p>
      <w:pPr>
        <w:pStyle w:val="Bibliography"/>
      </w:pPr>
      <w:r>
        <w:t xml:space="preserve">Palenik, Brian, and Sarah E. Henson. 1997.</w:t>
      </w:r>
      <w:r>
        <w:t xml:space="preserve"> </w:t>
      </w:r>
      <w:r>
        <w:t xml:space="preserve">“The Use of Amides and Other Organic Nitrogen Sources by the Phytoplankton</w:t>
      </w:r>
      <w:r>
        <w:t xml:space="preserve"> </w:t>
      </w:r>
      <w:r>
        <w:rPr>
          <w:i/>
          <w:iCs/>
        </w:rPr>
        <w:t xml:space="preserve">Emiliania</w:t>
      </w:r>
      <w:r>
        <w:t xml:space="preserve"> </w:t>
      </w:r>
      <w:r>
        <w:rPr>
          <w:i/>
          <w:iCs/>
        </w:rPr>
        <w:t xml:space="preserve">Huxleyi</w:t>
      </w:r>
      <w:r>
        <w:t xml:space="preserve">.”</w:t>
      </w:r>
      <w:r>
        <w:t xml:space="preserve"> </w:t>
      </w:r>
      <w:r>
        <w:rPr>
          <w:i/>
          <w:iCs/>
        </w:rPr>
        <w:t xml:space="preserve">Limnology and Oceanography</w:t>
      </w:r>
      <w:r>
        <w:t xml:space="preserve"> </w:t>
      </w:r>
      <w:r>
        <w:t xml:space="preserve">42 (7): 1544–51.</w:t>
      </w:r>
      <w:r>
        <w:t xml:space="preserve"> </w:t>
      </w:r>
      <w:hyperlink r:id="rId81">
        <w:r>
          <w:rPr>
            <w:rStyle w:val="Hyperlink"/>
          </w:rPr>
          <w:t xml:space="preserve">https://doi.org/10.4319/lo.1997.42.7.1544</w:t>
        </w:r>
      </w:hyperlink>
      <w:r>
        <w:t xml:space="preserve">.</w:t>
      </w:r>
    </w:p>
    <w:bookmarkEnd w:id="82"/>
    <w:bookmarkStart w:id="84"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305–31.</w:t>
      </w:r>
      <w:r>
        <w:t xml:space="preserve"> </w:t>
      </w:r>
      <w:hyperlink r:id="rId83">
        <w:r>
          <w:rPr>
            <w:rStyle w:val="Hyperlink"/>
          </w:rPr>
          <w:t xml:space="preserve">https://doi.org/10.1146/annurev-marine-120308-081034</w:t>
        </w:r>
      </w:hyperlink>
      <w:r>
        <w:t xml:space="preserve">.</w:t>
      </w:r>
    </w:p>
    <w:bookmarkEnd w:id="84"/>
    <w:bookmarkStart w:id="86"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w:t>
      </w:r>
      <w:r>
        <w:t xml:space="preserve"> </w:t>
      </w:r>
      <w:hyperlink r:id="rId85">
        <w:r>
          <w:rPr>
            <w:rStyle w:val="Hyperlink"/>
          </w:rPr>
          <w:t xml:space="preserve">https://doi.org/10.3389/fmars.2018.00092</w:t>
        </w:r>
      </w:hyperlink>
      <w:r>
        <w:t xml:space="preserve">.</w:t>
      </w:r>
    </w:p>
    <w:bookmarkEnd w:id="86"/>
    <w:bookmarkStart w:id="88"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w:t>
      </w:r>
      <w:r>
        <w:t xml:space="preserve"> </w:t>
      </w:r>
      <w:hyperlink r:id="rId87">
        <w:r>
          <w:rPr>
            <w:rStyle w:val="Hyperlink"/>
          </w:rPr>
          <w:t xml:space="preserve">https://doi.org/10.1002/lno.10590</w:t>
        </w:r>
      </w:hyperlink>
      <w:r>
        <w:t xml:space="preserve">.</w:t>
      </w:r>
    </w:p>
    <w:bookmarkEnd w:id="88"/>
    <w:bookmarkStart w:id="90"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w:t>
      </w:r>
      <w:r>
        <w:t xml:space="preserve"> </w:t>
      </w:r>
      <w:hyperlink r:id="rId89">
        <w:r>
          <w:rPr>
            <w:rStyle w:val="Hyperlink"/>
          </w:rPr>
          <w:t xml:space="preserve">https://doi.org/10.1007/s10295-015-1665-y</w:t>
        </w:r>
      </w:hyperlink>
      <w:r>
        <w:t xml:space="preserve">.</w:t>
      </w:r>
    </w:p>
    <w:bookmarkEnd w:id="90"/>
    <w:bookmarkStart w:id="92"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w:t>
      </w:r>
      <w:r>
        <w:t xml:space="preserve"> </w:t>
      </w:r>
      <w:hyperlink r:id="rId91">
        <w:r>
          <w:rPr>
            <w:rStyle w:val="Hyperlink"/>
          </w:rPr>
          <w:t xml:space="preserve">https://doi.org/10.1146/annurev-marine-120709-142819</w:t>
        </w:r>
      </w:hyperlink>
      <w:r>
        <w:t xml:space="preserve">.</w:t>
      </w:r>
    </w:p>
    <w:bookmarkEnd w:id="92"/>
    <w:bookmarkStart w:id="94"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w:t>
      </w:r>
      <w:r>
        <w:t xml:space="preserve"> </w:t>
      </w:r>
      <w:hyperlink r:id="rId93">
        <w:r>
          <w:rPr>
            <w:rStyle w:val="Hyperlink"/>
          </w:rPr>
          <w:t xml:space="preserve">https://doi.org/10.1038/s41564-022-01303-9</w:t>
        </w:r>
      </w:hyperlink>
      <w:r>
        <w:t xml:space="preserve">.</w:t>
      </w:r>
    </w:p>
    <w:bookmarkEnd w:id="94"/>
    <w:bookmarkEnd w:id="95"/>
    <w:bookmarkEnd w:id="96"/>
    <w:bookmarkStart w:id="100" w:name="supplement"/>
    <w:p>
      <w:pPr>
        <w:pStyle w:val="Heading1"/>
      </w:pPr>
      <w:r>
        <w:t xml:space="preserve">Supplement</w:t>
      </w:r>
    </w:p>
    <w:bookmarkStart w:id="97" w:name="X031c7b21c251fbda3e788800498d52242f55fbd"/>
    <w:p>
      <w:pPr>
        <w:pStyle w:val="Heading2"/>
      </w:pPr>
      <w:r>
        <w:t xml:space="preserve">Supp fig: full heatmap of all compounds and timepoints</w:t>
      </w:r>
    </w:p>
    <w:bookmarkEnd w:id="97"/>
    <w:bookmarkStart w:id="98" w:name="X8af38d15bed8b30cb36c0256c59cd2dc670d021"/>
    <w:p>
      <w:pPr>
        <w:pStyle w:val="Heading2"/>
      </w:pPr>
      <w:r>
        <w:t xml:space="preserve">Supp fig: THAA labeling broken down by triplicate</w:t>
      </w:r>
    </w:p>
    <w:bookmarkEnd w:id="98"/>
    <w:bookmarkStart w:id="99" w:name="supp-fig-all-maa-labeling"/>
    <w:p>
      <w:pPr>
        <w:pStyle w:val="Heading2"/>
      </w:pPr>
      <w:r>
        <w:t xml:space="preserve">Supp fig: All MAA labeling</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Will" w:date="2025-06-01 18:13:31.511012">
    <w:p>
      <w:pPr>
        <w:pStyle w:val="CommentText"/>
      </w:pPr>
      <w:r>
        <w:rPr>
          <w:rStyle w:val="CommentReference"/>
        </w:rPr>
        <w:annotationRef/>
      </w:r>
      <w:r>
        <w:t xml:space="preserve">when a large proportion of junk was coming off the column (median retention times between 14.0 and 14.5 minutes)? during the retention time when sulfate eluted? based on their peak shape and retention time? due to the fact that they showed no change across any of the treatments or timepoints? The darn things just look bad and I hate them but I can’t really explain why.</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hyperlink" Id="rId87" Target="https://doi.org/10.1002/lno.10590" TargetMode="External" /><Relationship Type="http://schemas.openxmlformats.org/officeDocument/2006/relationships/hyperlink" Id="rId89" Target="https://doi.org/10.1007/s10295-015-1665-y" TargetMode="External" /><Relationship Type="http://schemas.openxmlformats.org/officeDocument/2006/relationships/hyperlink" Id="rId79" Target="https://doi.org/10.1016/B978-0-12-372522-6.00007-4" TargetMode="External" /><Relationship Type="http://schemas.openxmlformats.org/officeDocument/2006/relationships/hyperlink" Id="rId62" Target="https://doi.org/10.1016/B978-0-443-13858-4.00016-2" TargetMode="External" /><Relationship Type="http://schemas.openxmlformats.org/officeDocument/2006/relationships/hyperlink" Id="rId58" Target="https://doi.org/10.1016/j.ecss.2010.02.001" TargetMode="External" /><Relationship Type="http://schemas.openxmlformats.org/officeDocument/2006/relationships/hyperlink" Id="rId54" Target="https://doi.org/10.1016/j.protis.2011.07.008" TargetMode="External" /><Relationship Type="http://schemas.openxmlformats.org/officeDocument/2006/relationships/hyperlink" Id="rId56" Target="https://doi.org/10.1021/acs.analchem.7b04400" TargetMode="External" /><Relationship Type="http://schemas.openxmlformats.org/officeDocument/2006/relationships/hyperlink" Id="rId73" Target="https://doi.org/10.1038/ngeo1765" TargetMode="External" /><Relationship Type="http://schemas.openxmlformats.org/officeDocument/2006/relationships/hyperlink" Id="rId75" Target="https://doi.org/10.1038/s41564-022-01090-3" TargetMode="External" /><Relationship Type="http://schemas.openxmlformats.org/officeDocument/2006/relationships/hyperlink" Id="rId93" Target="https://doi.org/10.1038/s41564-022-01303-9" TargetMode="External" /><Relationship Type="http://schemas.openxmlformats.org/officeDocument/2006/relationships/hyperlink" Id="rId67" Target="https://doi.org/10.1038/s41579-022-00687-z" TargetMode="External" /><Relationship Type="http://schemas.openxmlformats.org/officeDocument/2006/relationships/hyperlink" Id="rId77" Target="https://doi.org/10.1073/pnas.1514645113" TargetMode="External" /><Relationship Type="http://schemas.openxmlformats.org/officeDocument/2006/relationships/hyperlink" Id="rId47" Target="https://doi.org/10.1073/pnas.1518165112" TargetMode="External" /><Relationship Type="http://schemas.openxmlformats.org/officeDocument/2006/relationships/hyperlink" Id="rId50" Target="https://doi.org/10.1126/science.1108925" TargetMode="External" /><Relationship Type="http://schemas.openxmlformats.org/officeDocument/2006/relationships/hyperlink" Id="rId65" Target="https://doi.org/10.1128/mSystems.01334-20" TargetMode="External" /><Relationship Type="http://schemas.openxmlformats.org/officeDocument/2006/relationships/hyperlink" Id="rId83" Target="https://doi.org/10.1146/annurev-marine-120308-081034" TargetMode="External" /><Relationship Type="http://schemas.openxmlformats.org/officeDocument/2006/relationships/hyperlink" Id="rId91" Target="https://doi.org/10.1146/annurev-marine-120709-142819" TargetMode="External" /><Relationship Type="http://schemas.openxmlformats.org/officeDocument/2006/relationships/hyperlink" Id="rId52" Target="https://doi.org/10.2216/i0031-8884-30-1-1.1" TargetMode="External" /><Relationship Type="http://schemas.openxmlformats.org/officeDocument/2006/relationships/hyperlink" Id="rId69" Target="https://doi.org/10.3389/fevo.2024.1505025" TargetMode="External" /><Relationship Type="http://schemas.openxmlformats.org/officeDocument/2006/relationships/hyperlink" Id="rId85" Target="https://doi.org/10.3389/fmars.2018.00092" TargetMode="External" /><Relationship Type="http://schemas.openxmlformats.org/officeDocument/2006/relationships/hyperlink" Id="rId71" Target="https://doi.org/10.3389/fmars.2021.689306" TargetMode="External" /><Relationship Type="http://schemas.openxmlformats.org/officeDocument/2006/relationships/hyperlink" Id="rId81" Target="https://doi.org/10.4319/lo.1997.42.7.1544" TargetMode="External" /><Relationship Type="http://schemas.openxmlformats.org/officeDocument/2006/relationships/hyperlink" Id="rId60"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2/lno.10590" TargetMode="External" /><Relationship Type="http://schemas.openxmlformats.org/officeDocument/2006/relationships/hyperlink" Id="rId89" Target="https://doi.org/10.1007/s10295-015-1665-y" TargetMode="External" /><Relationship Type="http://schemas.openxmlformats.org/officeDocument/2006/relationships/hyperlink" Id="rId79" Target="https://doi.org/10.1016/B978-0-12-372522-6.00007-4" TargetMode="External" /><Relationship Type="http://schemas.openxmlformats.org/officeDocument/2006/relationships/hyperlink" Id="rId62" Target="https://doi.org/10.1016/B978-0-443-13858-4.00016-2" TargetMode="External" /><Relationship Type="http://schemas.openxmlformats.org/officeDocument/2006/relationships/hyperlink" Id="rId58" Target="https://doi.org/10.1016/j.ecss.2010.02.001" TargetMode="External" /><Relationship Type="http://schemas.openxmlformats.org/officeDocument/2006/relationships/hyperlink" Id="rId54" Target="https://doi.org/10.1016/j.protis.2011.07.008" TargetMode="External" /><Relationship Type="http://schemas.openxmlformats.org/officeDocument/2006/relationships/hyperlink" Id="rId56" Target="https://doi.org/10.1021/acs.analchem.7b04400" TargetMode="External" /><Relationship Type="http://schemas.openxmlformats.org/officeDocument/2006/relationships/hyperlink" Id="rId73" Target="https://doi.org/10.1038/ngeo1765" TargetMode="External" /><Relationship Type="http://schemas.openxmlformats.org/officeDocument/2006/relationships/hyperlink" Id="rId75" Target="https://doi.org/10.1038/s41564-022-01090-3" TargetMode="External" /><Relationship Type="http://schemas.openxmlformats.org/officeDocument/2006/relationships/hyperlink" Id="rId93" Target="https://doi.org/10.1038/s41564-022-01303-9" TargetMode="External" /><Relationship Type="http://schemas.openxmlformats.org/officeDocument/2006/relationships/hyperlink" Id="rId67" Target="https://doi.org/10.1038/s41579-022-00687-z" TargetMode="External" /><Relationship Type="http://schemas.openxmlformats.org/officeDocument/2006/relationships/hyperlink" Id="rId77" Target="https://doi.org/10.1073/pnas.1514645113" TargetMode="External" /><Relationship Type="http://schemas.openxmlformats.org/officeDocument/2006/relationships/hyperlink" Id="rId47" Target="https://doi.org/10.1073/pnas.1518165112" TargetMode="External" /><Relationship Type="http://schemas.openxmlformats.org/officeDocument/2006/relationships/hyperlink" Id="rId50" Target="https://doi.org/10.1126/science.1108925" TargetMode="External" /><Relationship Type="http://schemas.openxmlformats.org/officeDocument/2006/relationships/hyperlink" Id="rId65" Target="https://doi.org/10.1128/mSystems.01334-20" TargetMode="External" /><Relationship Type="http://schemas.openxmlformats.org/officeDocument/2006/relationships/hyperlink" Id="rId83" Target="https://doi.org/10.1146/annurev-marine-120308-081034" TargetMode="External" /><Relationship Type="http://schemas.openxmlformats.org/officeDocument/2006/relationships/hyperlink" Id="rId91" Target="https://doi.org/10.1146/annurev-marine-120709-142819" TargetMode="External" /><Relationship Type="http://schemas.openxmlformats.org/officeDocument/2006/relationships/hyperlink" Id="rId52" Target="https://doi.org/10.2216/i0031-8884-30-1-1.1" TargetMode="External" /><Relationship Type="http://schemas.openxmlformats.org/officeDocument/2006/relationships/hyperlink" Id="rId69" Target="https://doi.org/10.3389/fevo.2024.1505025" TargetMode="External" /><Relationship Type="http://schemas.openxmlformats.org/officeDocument/2006/relationships/hyperlink" Id="rId85" Target="https://doi.org/10.3389/fmars.2018.00092" TargetMode="External" /><Relationship Type="http://schemas.openxmlformats.org/officeDocument/2006/relationships/hyperlink" Id="rId71" Target="https://doi.org/10.3389/fmars.2021.689306" TargetMode="External" /><Relationship Type="http://schemas.openxmlformats.org/officeDocument/2006/relationships/hyperlink" Id="rId81" Target="https://doi.org/10.4319/lo.1997.42.7.1544" TargetMode="External" /><Relationship Type="http://schemas.openxmlformats.org/officeDocument/2006/relationships/hyperlink" Id="rId60"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2025-06-02T01:13:32Z</dcterms:created>
  <dcterms:modified xsi:type="dcterms:W3CDTF">2025-06-02T01:13:32Z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