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8.png" ContentType="image/png"/>
  <Override PartName="/word/media/rId58.png" ContentType="image/png"/>
  <Override PartName="/word/media/rId37.png" ContentType="image/png"/>
  <Override PartName="/word/media/rId54.png" ContentType="image/png"/>
  <Override PartName="/word/media/rId51.png" ContentType="image/png"/>
  <Override PartName="/word/media/rId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Databases</w:t>
      </w:r>
      <w:r>
        <w:t xml:space="preserve"> </w:t>
      </w:r>
      <w:r>
        <w:t xml:space="preserve">are</w:t>
      </w:r>
      <w:r>
        <w:t xml:space="preserve"> </w:t>
      </w:r>
      <w:r>
        <w:t xml:space="preserve">an</w:t>
      </w:r>
      <w:r>
        <w:t xml:space="preserve"> </w:t>
      </w:r>
      <w:r>
        <w:t xml:space="preserve">effective</w:t>
      </w:r>
      <w:r>
        <w:t xml:space="preserve"> </w:t>
      </w:r>
      <w:r>
        <w:t xml:space="preserve">and</w:t>
      </w:r>
      <w:r>
        <w:t xml:space="preserve"> </w:t>
      </w:r>
      <w:r>
        <w:t xml:space="preserve">efficient</w:t>
      </w:r>
      <w:r>
        <w:t xml:space="preserve"> </w:t>
      </w:r>
      <w:r>
        <w:t xml:space="preserve">method</w:t>
      </w:r>
      <w:r>
        <w:t xml:space="preserve"> </w:t>
      </w:r>
      <w:r>
        <w:t xml:space="preserve">for</w:t>
      </w:r>
      <w:r>
        <w:t xml:space="preserve"> </w:t>
      </w:r>
      <w:r>
        <w:t xml:space="preserve">storage</w:t>
      </w:r>
      <w:r>
        <w:t xml:space="preserve"> </w:t>
      </w:r>
      <w:r>
        <w:t xml:space="preserve">and</w:t>
      </w:r>
      <w:r>
        <w:t xml:space="preserve"> </w:t>
      </w:r>
      <w:r>
        <w:t xml:space="preserve">access</w:t>
      </w:r>
      <w:r>
        <w:t xml:space="preserve"> </w:t>
      </w:r>
      <w:r>
        <w:t xml:space="preserve">of</w:t>
      </w:r>
      <w:r>
        <w:t xml:space="preserve"> </w:t>
      </w:r>
      <w:r>
        <w:t xml:space="preserve">mass-spectrometry</w:t>
      </w:r>
      <w:r>
        <w:t xml:space="preserve"> </w:t>
      </w:r>
      <w:r>
        <w:t xml:space="preserve">data</w:t>
      </w:r>
    </w:p>
    <w:p>
      <w:pPr>
        <w:pStyle w:val="Author"/>
      </w:pPr>
      <w:r>
        <w:t xml:space="preserve">William</w:t>
      </w:r>
      <w:r>
        <w:t xml:space="preserve"> </w:t>
      </w:r>
      <w:r>
        <w:t xml:space="preserve">Kumler</w:t>
      </w:r>
    </w:p>
    <w:p>
      <w:pPr>
        <w:pStyle w:val="Author"/>
      </w:pPr>
      <w:r>
        <w:t xml:space="preserve">Anitra</w:t>
      </w:r>
      <w:r>
        <w:t xml:space="preserve"> </w:t>
      </w:r>
      <w:r>
        <w:t xml:space="preserve">E.</w:t>
      </w:r>
      <w:r>
        <w:t xml:space="preserve"> </w:t>
      </w:r>
      <w:r>
        <w:t xml:space="preserve">Ingalls</w:t>
      </w:r>
    </w:p>
    <w:p>
      <w:pPr>
        <w:pStyle w:val="FirstParagraph"/>
      </w:pPr>
      <w:hyperlink r:id="rId20">
        <w:r>
          <w:rPr>
            <w:rStyle w:val="Hyperlink"/>
          </w:rPr>
          <w:t xml:space="preserve">https://researcher-resources.acs.org/publish/author_guidelines?coden=jprobs</w:t>
        </w:r>
      </w:hyperlink>
    </w:p>
    <w:bookmarkStart w:id="21" w:name="abstract"/>
    <w:p>
      <w:pPr>
        <w:pStyle w:val="Heading1"/>
      </w:pPr>
      <w:r>
        <w:t xml:space="preserve">Abstract</w:t>
      </w:r>
    </w:p>
    <w:p>
      <w:pPr>
        <w:pStyle w:val="FirstParagraph"/>
      </w:pPr>
      <w:r>
        <w:t xml:space="preserve">(200 words max)</w:t>
      </w:r>
    </w:p>
    <w:bookmarkEnd w:id="21"/>
    <w:bookmarkStart w:id="22" w:name="introduction"/>
    <w:p>
      <w:pPr>
        <w:pStyle w:val="Heading1"/>
      </w:pPr>
      <w:r>
        <w:t xml:space="preserve">Introduction</w:t>
      </w:r>
    </w:p>
    <w:p>
      <w:pPr>
        <w:pStyle w:val="FirstParagraph"/>
      </w:pPr>
      <w:r>
        <w:t xml:space="preserve">Mass spectrometry (MS) still lacks a performant data access format. The mzML file type</w:t>
      </w:r>
      <w:r>
        <w:rPr>
          <w:vertAlign w:val="superscript"/>
        </w:rPr>
        <w:t xml:space="preserve">1</w:t>
      </w:r>
      <w:r>
        <w:t xml:space="preserve">, a result of over a decade of interlaboratory collaboration and workshopping, struggles to provide rapid computational access to the m/z and intensity tuples.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 xml:space="preserve">2,3</w:t>
      </w:r>
      <w:r>
        <w:t xml:space="preserve">.</w:t>
      </w:r>
    </w:p>
    <w:p>
      <w:pPr>
        <w:pStyle w:val="BodyText"/>
      </w:pPr>
      <w:r>
        <w:t xml:space="preserve">As a result, alternative file formats are proposed practically every year. These include direct improvements to the mzML format with indexing</w:t>
      </w:r>
      <w:r>
        <w:rPr>
          <w:vertAlign w:val="superscript"/>
        </w:rPr>
        <w:t xml:space="preserve">4</w:t>
      </w:r>
      <w:r>
        <w:t xml:space="preserve"> </w:t>
      </w:r>
      <w:r>
        <w:t xml:space="preserve">and better internal encoding of the data</w:t>
      </w:r>
      <w:r>
        <w:rPr>
          <w:vertAlign w:val="superscript"/>
        </w:rPr>
        <w:t xml:space="preserve">5</w:t>
      </w:r>
      <w:r>
        <w:t xml:space="preserve">, HDF5-based alternatives</w:t>
      </w:r>
      <w:r>
        <w:rPr>
          <w:vertAlign w:val="superscript"/>
        </w:rPr>
        <w:t xml:space="preserve">5–9</w:t>
      </w:r>
      <w:r>
        <w:t xml:space="preserve">, relational databases</w:t>
      </w:r>
      <w:r>
        <w:rPr>
          <w:vertAlign w:val="superscript"/>
        </w:rPr>
        <w:t xml:space="preserve">10–14</w:t>
      </w:r>
      <w:r>
        <w:t xml:space="preserve">, or fully custom alternatives</w:t>
      </w:r>
      <w:r>
        <w:rPr>
          <w:vertAlign w:val="superscript"/>
        </w:rPr>
        <w:t xml:space="preserve">15,16</w:t>
      </w:r>
      <w:r>
        <w:t xml:space="preserve">. Fundamentally, these alternatives implement tradeoffs between user sanity in exchange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 xml:space="preserve">17</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 xml:space="preserve">9</w:t>
      </w:r>
      <w:r>
        <w:t xml:space="preserve"> </w:t>
      </w:r>
      <w:r>
        <w:t xml:space="preserve">while the relational database model is optimized for multi-table queries using a consistent syntax</w:t>
      </w:r>
      <w:r>
        <w:rPr>
          <w:vertAlign w:val="superscript"/>
        </w:rPr>
        <w:t xml:space="preserve">18</w:t>
      </w:r>
      <w:r>
        <w:t xml:space="preserve">. Relational databases are increasingly seen in MS workflows for both raw and processed data, with SQLite backends now supported in the popular peakpicking software xcms</w:t>
      </w:r>
      <w:r>
        <w:rPr>
          <w:vertAlign w:val="superscript"/>
        </w:rPr>
        <w:t xml:space="preserve">19</w:t>
      </w:r>
      <w:r>
        <w:t xml:space="preserve"> </w:t>
      </w:r>
      <w:r>
        <w:t xml:space="preserve">via the Spectra package</w:t>
      </w:r>
      <w:r>
        <w:rPr>
          <w:vertAlign w:val="superscript"/>
        </w:rPr>
        <w:t xml:space="preserve">20</w:t>
      </w:r>
      <w:r>
        <w:t xml:space="preserve"> </w:t>
      </w:r>
      <w:r>
        <w:t xml:space="preserve">(though in-memory and HDF5 options are also supported) and on MetabolomicsWorkbench</w:t>
      </w:r>
      <w:r>
        <w:rPr>
          <w:vertAlign w:val="superscript"/>
        </w:rPr>
        <w:t xml:space="preserve">21</w:t>
      </w:r>
      <w:r>
        <w:t xml:space="preserve"> </w:t>
      </w:r>
      <w:r>
        <w:t xml:space="preserve">while the development of MassQL</w:t>
      </w:r>
      <w:r>
        <w:rPr>
          <w:vertAlign w:val="superscript"/>
        </w:rPr>
        <w:t xml:space="preserve">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 m/z data is encoded, though access to a particular scan can be incredibly rapid. Additionally, data from multiple samples can be stored together in a single table, differing from formats like mzDB, mzTree, and mzMD and allowing queries of all dataset samples to be performed without looping through each file in turn, thereby avoiding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 xml:space="preserve">23</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rPr>
          <w:vertAlign w:val="superscript"/>
        </w:rPr>
        <w:t xml:space="preserve">24</w:t>
      </w:r>
      <w:r>
        <w:t xml:space="preserve"> </w:t>
      </w:r>
      <w:r>
        <w:t xml:space="preserve">and we now logically extend that method into proper database storage. Here, we test the hypothesis that a</w:t>
      </w:r>
      <w:r>
        <w:t xml:space="preserve"> </w:t>
      </w:r>
      <w:r>
        <w:t xml:space="preserve">“</w:t>
      </w:r>
      <w:r>
        <w:t xml:space="preserve">vanilla</w:t>
      </w:r>
      <w:r>
        <w:t xml:space="preserve">”</w:t>
      </w:r>
      <w:r>
        <w:t xml:space="preserve"> </w:t>
      </w:r>
      <w:r>
        <w:t xml:space="preserve">implementation of a relational database which exposes the raw m/z and intensity tuples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w:t>
      </w:r>
    </w:p>
    <w:bookmarkEnd w:id="22"/>
    <w:bookmarkStart w:id="31" w:name="experimental-section"/>
    <w:p>
      <w:pPr>
        <w:pStyle w:val="Heading1"/>
      </w:pPr>
      <w:r>
        <w:t xml:space="preserve">Experimental section</w:t>
      </w:r>
    </w:p>
    <w:p>
      <w:pPr>
        <w:pStyle w:val="FirstParagraph"/>
      </w:pPr>
      <w:r>
        <w:t xml:space="preserve">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w:t>
      </w:r>
      <w:r>
        <w:rPr>
          <w:vertAlign w:val="superscript"/>
        </w:rPr>
        <w:t xml:space="preserve">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25" w:name="mass-spectrometry-files"/>
    <w:p>
      <w:pPr>
        <w:pStyle w:val="Heading2"/>
      </w:pPr>
      <w:r>
        <w:t xml:space="preserve">Mass-spectrometry files</w:t>
      </w:r>
    </w:p>
    <w:p>
      <w:pPr>
        <w:pStyle w:val="FirstParagraph"/>
      </w:pPr>
      <w:r>
        <w:t xml:space="preserve">We browsed Metabolights</w:t>
      </w:r>
      <w:r>
        <w:rPr>
          <w:b/>
          <w:bCs/>
          <w:vertAlign w:val="superscript"/>
        </w:rPr>
        <w:t xml:space="preserve">Haug2019?</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23">
        <w:r>
          <w:rPr>
            <w:rStyle w:val="Hyperlink"/>
          </w:rPr>
          <w:t xml:space="preserve">https://github.com/optimusmoose/MZTree</w:t>
        </w:r>
      </w:hyperlink>
      <w:r>
        <w:t xml:space="preserve"> </w:t>
      </w:r>
      <w:r>
        <w:t xml:space="preserve">and</w:t>
      </w:r>
      <w:r>
        <w:t xml:space="preserve"> </w:t>
      </w:r>
      <w:hyperlink r:id="rId24">
        <w:r>
          <w:rPr>
            <w:rStyle w:val="Hyperlink"/>
          </w:rPr>
          <w:t xml:space="preserve">https://github.com/yrm9837/mzMD-java</w:t>
        </w:r>
      </w:hyperlink>
      <w:r>
        <w:t xml:space="preserve">, respectively) and built via Maven (v3.9.9) for Java (v21.0.6). SQL databases were built using Python 3.11.11 with SQLite (v3.48.0) via the Python sqlite3 package (v2.6.0), DuckDB via the duckdb package (v1.1.3), and Parquet files via the pyarrow package (v19.0.0). We were additionally able to download and install []</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25"/>
    <w:bookmarkStart w:id="29" w:name="database-schema"/>
    <w:p>
      <w:pPr>
        <w:pStyle w:val="Heading2"/>
      </w:pPr>
      <w:r>
        <w:t xml:space="preserve">Database schema</w:t>
      </w:r>
    </w:p>
    <w:p>
      <w:pPr>
        <w:pStyle w:val="FirstParagraph"/>
      </w:pPr>
      <w:r>
        <w:t xml:space="preserve">The</w:t>
      </w:r>
      <w:r>
        <w:t xml:space="preserve"> </w:t>
      </w:r>
      <w:r>
        <w:t xml:space="preserve">“</w:t>
      </w:r>
      <w:r>
        <w:t xml:space="preserve">vanilla</w:t>
      </w:r>
      <w:r>
        <w:t xml:space="preserve">”</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XX). We do not force compression of any of these fields because we believe that decoding compressed data is both a slow and unintuitive step, though automatic compression is supplied by the DuckDB and Parquet file types.</w:t>
      </w:r>
    </w:p>
    <w:p>
      <w:pPr>
        <w:pStyle w:val="BodyText"/>
      </w:pPr>
      <w:r>
        <w:drawing>
          <wp:inline>
            <wp:extent cx="5943600" cy="4572000"/>
            <wp:effectExtent b="0" l="0" r="0" t="0"/>
            <wp:docPr descr="" title="" id="27" name="Picture"/>
            <a:graphic>
              <a:graphicData uri="http://schemas.openxmlformats.org/drawingml/2006/picture">
                <pic:pic>
                  <pic:nvPicPr>
                    <pic:cNvPr descr="figures/db_fig.png" id="28" name="Picture"/>
                    <pic:cNvPicPr>
                      <a:picLocks noChangeArrowheads="1" noChangeAspect="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XX: Database schema for an example MS/MS dataset showing the organization of mass-spectrometry data into tables. Fields of interest are easily queryable with simple SQL commands as shown in the table at bottom.</w:t>
      </w:r>
    </w:p>
    <w:bookmarkEnd w:id="29"/>
    <w:bookmarkStart w:id="30" w:name="time-and-space-testing"/>
    <w:p>
      <w:pPr>
        <w:pStyle w:val="Heading2"/>
      </w:pPr>
      <w:r>
        <w:t xml:space="preserve">Time and space testing</w:t>
      </w:r>
    </w:p>
    <w:p>
      <w:pPr>
        <w:pStyle w:val="FirstParagraph"/>
      </w:pPr>
      <w:r>
        <w:t xml:space="preserve">[TODO: Note the method used to identify the m/zs, scans, and RT ranges extracted here]</w:t>
      </w:r>
    </w:p>
    <w:p>
      <w:pPr>
        <w:pStyle w:val="BodyText"/>
      </w:pPr>
      <w:r>
        <w:t xml:space="preserve">Via %timeit% (need to redo these with randomization)</w:t>
      </w:r>
    </w:p>
    <w:bookmarkEnd w:id="30"/>
    <w:bookmarkEnd w:id="31"/>
    <w:bookmarkStart w:id="62" w:name="results"/>
    <w:p>
      <w:pPr>
        <w:pStyle w:val="Heading1"/>
      </w:pPr>
      <w:r>
        <w:t xml:space="preserve">Results</w:t>
      </w:r>
    </w:p>
    <w:p>
      <w:pPr>
        <w:pStyle w:val="FirstParagraph"/>
      </w:pPr>
      <w:r>
        <w:t xml:space="preserve">We settled on a large dataset of gut microbiota LC-MS files published in</w:t>
      </w:r>
      <w:r>
        <w:rPr>
          <w:b/>
          <w:bCs/>
          <w:vertAlign w:val="superscript"/>
        </w:rPr>
        <w:t xml:space="preserve">Portlock2025?</w:t>
      </w:r>
      <w:r>
        <w:t xml:space="preserve"> </w:t>
      </w:r>
      <w:r>
        <w:t xml:space="preserve">and available on Metabolights under accession number MTBLS10066.</w:t>
      </w:r>
    </w:p>
    <w:bookmarkStart w:id="35"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existed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32"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reasonably good documentation, both formats notably providing self-contained extensions to</w:t>
      </w:r>
      <w:r>
        <w:t xml:space="preserve"> </w:t>
      </w:r>
      <w:r>
        <w:rPr>
          <w:rStyle w:val="VerbatimChar"/>
        </w:rPr>
        <w:t xml:space="preserve">msconvert</w:t>
      </w:r>
      <w:r>
        <w:t xml:space="preserve"> </w:t>
      </w:r>
      <w:r>
        <w:t xml:space="preserve">for ease of conversion. However, both converters provide limited coverage, with mzDB notably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does not seem to be available for other operating systems, much like MZA and mzDB. Unfortunately the Python package designed to allow an interface to the file type has been deprecated and we were unable to install or use it in a meaningful way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also provided zero documentation for conversion from other formats and was restricted to time-of-flight (TOF) data independent acquisition (DIA) MS data. Thus, we were unable to directly compare any of these three file types to the others.</w:t>
      </w:r>
    </w:p>
    <w:bookmarkEnd w:id="32"/>
    <w:bookmarkStart w:id="34" w:name="X1adb76d6f32cfd1d768444279daa3da392bd764"/>
    <w:p>
      <w:pPr>
        <w:pStyle w:val="Heading3"/>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documented examples of all six queries. Unsurprisingly, the mzML file type had the most extensive coverage but documentation and prebuilt functionality was still disappointingly sparse. The pyteomics package provides four</w:t>
      </w:r>
      <w:r>
        <w:t xml:space="preserve"> </w:t>
      </w:r>
      <w:r>
        <w:t xml:space="preserve">“</w:t>
      </w:r>
      <w:r>
        <w:t xml:space="preserve">combined examples</w:t>
      </w:r>
      <w:r>
        <w:t xml:space="preserve">”</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w:t>
      </w:r>
      <w:r>
        <w:t xml:space="preserve">Spectrum and Chromatogram</w:t>
      </w:r>
      <w:r>
        <w:t xml:space="preserve">”</w:t>
      </w:r>
      <w:r>
        <w:t xml:space="preserve"> </w:t>
      </w:r>
      <w:r>
        <w:t xml:space="preserve">documentation module was empty at the time of writing (February 2025).</w:t>
      </w:r>
    </w:p>
    <w:p>
      <w:pPr>
        <w:pStyle w:val="BodyText"/>
      </w:pPr>
      <w:r>
        <w:t xml:space="preserve">mz5’s documentation was remarkably sparse, especially considering it was one of the earliest mzML formats and is supported by Proteowizard. Crucially, the original paper</w:t>
      </w:r>
      <w:r>
        <w:rPr>
          <w:vertAlign w:val="superscript"/>
        </w:rPr>
        <w:t xml:space="preserve">6</w:t>
      </w:r>
      <w:r>
        <w:t xml:space="preserve"> </w:t>
      </w:r>
      <w:r>
        <w:t xml:space="preserve">contains links to a website (</w:t>
      </w:r>
      <w:hyperlink r:id="rId33">
        <w:r>
          <w:rPr>
            <w:rStyle w:val="Hyperlink"/>
          </w:rPr>
          <w:t xml:space="preserve">https://software.steenlab.org/mz5</w:t>
        </w:r>
      </w:hyperlink>
      <w:r>
        <w:t xml:space="preserve">) which currently returns an HTTP error 500. A Python library (pymz5) exists but requires an old version of Python (2.7 or 3.2) and hasn’t been updated in 12 years and is predominately a simple fork of h5py</w:t>
      </w:r>
      <w:r>
        <w:rPr>
          <w:b/>
          <w:bCs/>
          <w:vertAlign w:val="superscript"/>
        </w:rPr>
        <w:t xml:space="preserve">ref?</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 (</w:t>
      </w:r>
      <w:r>
        <w:rPr>
          <w:vertAlign w:val="superscript"/>
        </w:rPr>
        <w:t xml:space="preserve">5</w:t>
      </w:r>
      <w:r>
        <w:t xml:space="preserve">).</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relevant information. Additionally, its failure to implement the clever bounding box and run slice scheme for MS/MS data negated with our ability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is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34"/>
    <w:bookmarkEnd w:id="35"/>
    <w:bookmarkStart w:id="36"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MS1 and MS2 data. The MS1 table consisted simply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MS1 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MS1 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36"/>
    <w:bookmarkStart w:id="47" w:name="X6a790e615fb405311c23ca5ebace239bd801021"/>
    <w:p>
      <w:pPr>
        <w:pStyle w:val="Heading2"/>
      </w:pPr>
      <w:r>
        <w:t xml:space="preserve">Time and space requirements for a single DDA file across formats</w:t>
      </w:r>
    </w:p>
    <w:p>
      <w:pPr>
        <w:pStyle w:val="FirstParagraph"/>
      </w:pPr>
      <w:r>
        <w:drawing>
          <wp:inline>
            <wp:extent cx="5943600" cy="4572000"/>
            <wp:effectExtent b="0" l="0" r="0" t="0"/>
            <wp:docPr descr="" title="" id="38" name="Picture"/>
            <a:graphic>
              <a:graphicData uri="http://schemas.openxmlformats.org/drawingml/2006/picture">
                <pic:pic>
                  <pic:nvPicPr>
                    <pic:cNvPr descr="figures/singlefile_fig.png" id="39" name="Picture"/>
                    <pic:cNvPicPr>
                      <a:picLocks noChangeArrowheads="1" noChangeAspect="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XX: Query time for the six data extraction methods and the associated file sizes for all 13 methods explored in this paper. The left six panels show boxplots representing the time required in seconds to extract an MS1 scan, an ion chromatogram, all data within a retention time range, an MS2 scan, the fragments of a specified precursor, and all precursors with a specified fragment. The error in the boxplot is composed of timing information for 10 repeated queries, each of a different target scan number, retention time (RT), or m/z. The right panel shows a barplot of the size on disk in megabytes (MB) occupied by each file type.</w:t>
      </w:r>
    </w:p>
    <w:p>
      <w:pPr>
        <w:pStyle w:val="BodyText"/>
      </w:pPr>
      <w:r>
        <w:drawing>
          <wp:inline>
            <wp:extent cx="5943600" cy="4572000"/>
            <wp:effectExtent b="0" l="0" r="0" t="0"/>
            <wp:docPr descr="" title="" id="41" name="Picture"/>
            <a:graphic>
              <a:graphicData uri="http://schemas.openxmlformats.org/drawingml/2006/picture">
                <pic:pic>
                  <pic:nvPicPr>
                    <pic:cNvPr descr="figures/supp_preload_fig.png" id="42" name="Picture"/>
                    <pic:cNvPicPr>
                      <a:picLocks noChangeArrowheads="1" noChangeAspect="1"/>
                    </pic:cNvPicPr>
                  </pic:nvPicPr>
                  <pic:blipFill>
                    <a:blip r:embed="rId40"/>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bookmarkStart w:id="43" w:name="spectrum-extraction"/>
    <w:p>
      <w:pPr>
        <w:pStyle w:val="Heading3"/>
      </w:pPr>
      <w:r>
        <w:t xml:space="preserve">Spectrum extraction</w:t>
      </w:r>
    </w:p>
    <w:p>
      <w:pPr>
        <w:pStyle w:val="FirstParagraph"/>
      </w:pPr>
      <w:r>
        <w:t xml:space="preserve">The simplest and most abundantly documented query was the extraction of asingle spectrum. In many ways, this is the fundamental unit of mass spectrometry and thus many formats are highly optimized for its extraction into manipulatable data (Figure 1, leftmost panels). Here, we found that the mzML and mzMLb file types were consistently the slowest to parse the mzML file type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XX).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as scans are not always consecutive (e.g. during multiple MS experiments, polarity-switching runs, or when scans have been filtered out during conversion) and no metadata was obviously available that would have allowed using the index directly to a specific scan.</w:t>
      </w:r>
    </w:p>
    <w:p>
      <w:pPr>
        <w:pStyle w:val="BodyText"/>
      </w:pPr>
      <w:r>
        <w:t xml:space="preserve">The</w:t>
      </w:r>
      <w:r>
        <w:t xml:space="preserve"> </w:t>
      </w:r>
      <w:r>
        <w:rPr>
          <w:rStyle w:val="VerbatimChar"/>
        </w:rPr>
        <w:t xml:space="preserve">pymzml</w:t>
      </w:r>
      <w:r>
        <w:t xml:space="preserve"> </w:t>
      </w:r>
      <w:r>
        <w:t xml:space="preserve">package was able to extract both MS1 and MS2 spectra from the mzML file nearly two orders of magnitude faster than the other mzML parsers, largely due to its use of naming the scans by their number and thus avoiding the expensive scan number extraction step. mzDB had the only notable difference between MS1 and MS2 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MS1 data and significantly better for MS2 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43"/>
    <w:bookmarkStart w:id="44"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1, top middle and top right panels).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MS2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44"/>
    <w:bookmarkStart w:id="45"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XX, rightmost panels).</w:t>
      </w:r>
    </w:p>
    <w:p>
      <w:pPr>
        <w:pStyle w:val="BodyText"/>
      </w:pPr>
      <w:r>
        <w:t xml:space="preserve">All existing MS data types required multiple seconds to perform a single fragment search (Figure XX, bottom-right panel),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XX, bottom middle panel), which benefited significantly from constructing a single bounding box for all MS/MS information that requires a single decoding into computer memory, though this strategy will fail for any file with sufficiently large MS/MS data.</w:t>
      </w:r>
    </w:p>
    <w:bookmarkEnd w:id="45"/>
    <w:bookmarkStart w:id="46"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(83 megabytes, MB) while mzDB and mzMD were larger (108 MB and 96 MB, respectively). The SQLite object was the largest on disk of all the file types, nearly doubling the mzML’s size at 145 MB, while DuckDB was on par with MZA at two-thirds of the mzML (54 MB) and Parquet improved slightly upon that again with its columnar-based storage format (Figure XX).</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64 MB, a 23% size reduction. The SQLite, DuckDB, and Parquet formats also lack the scan and file metadata that’s present in the other file types, though it is difficult to estimate the fraction of disk space allocated for this (and which will depend upon the precise definition of metadata).</w:t>
      </w:r>
    </w:p>
    <w:bookmarkEnd w:id="46"/>
    <w:bookmarkEnd w:id="47"/>
    <w:bookmarkStart w:id="57" w:name="timings-for-multiple-chromatograms"/>
    <w:p>
      <w:pPr>
        <w:pStyle w:val="Heading2"/>
      </w:pPr>
      <w:r>
        <w:t xml:space="preserve">Timings for multiple chromatograms</w:t>
      </w:r>
    </w:p>
    <w:p>
      <w:pPr>
        <w:pStyle w:val="FirstParagraph"/>
      </w:pPr>
      <w:r>
        <w:t xml:space="preserve">The single-file, single-metric case discussed above and shown in Figure XX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XX).</w:t>
      </w:r>
    </w:p>
    <w:p>
      <w:pPr>
        <w:pStyle w:val="BodyText"/>
      </w:pPr>
      <w:r>
        <w:drawing>
          <wp:inline>
            <wp:extent cx="5943600" cy="4572000"/>
            <wp:effectExtent b="0" l="0" r="0" t="0"/>
            <wp:docPr descr="" title="" id="49" name="Picture"/>
            <a:graphic>
              <a:graphicData uri="http://schemas.openxmlformats.org/drawingml/2006/picture">
                <pic:pic>
                  <pic:nvPicPr>
                    <pic:cNvPr descr="figures/multichrom_fig.png" id="50" name="Picture"/>
                    <pic:cNvPicPr>
                      <a:picLocks noChangeArrowheads="1" noChangeAspect="1"/>
                    </pic:cNvPicPr>
                  </pic:nvPicPr>
                  <pic:blipFill>
                    <a:blip r:embed="rId48"/>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XX: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XX). pyteomics and pyopenms both had significant overhead upon initial load that resulted in faster query times afterward that performed better than a 1:1 extrapolation would expect, with pyopenms matching SQLite’s speed after 10 chromatograms and Parquet’s speed after 30. Interestingly, the methods that had a best-fit linear slope less than 1:1 also all had exponential fits, with performance at high chromatogram number actually worse than would be expected from a prediction fit to the timings for 1 and 3 chromatogram extractions (Supplemental figure XX).</w:t>
      </w:r>
    </w:p>
    <w:p>
      <w:pPr>
        <w:pStyle w:val="BodyText"/>
      </w:pPr>
      <w:r>
        <w:drawing>
          <wp:inline>
            <wp:extent cx="5943600" cy="4572000"/>
            <wp:effectExtent b="0" l="0" r="0" t="0"/>
            <wp:docPr descr="" title="" id="52" name="Picture"/>
            <a:graphic>
              <a:graphicData uri="http://schemas.openxmlformats.org/drawingml/2006/picture">
                <pic:pic>
                  <pic:nvPicPr>
                    <pic:cNvPr descr="figures/supp_multichrom_facets.png" id="53" name="Picture"/>
                    <pic:cNvPicPr>
                      <a:picLocks noChangeArrowheads="1" noChangeAspect="1"/>
                    </pic:cNvPicPr>
                  </pic:nvPicPr>
                  <pic:blipFill>
                    <a:blip r:embed="rId51"/>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Data from main text Figure XX with independent y-axes showing scatter plots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XX).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p>
      <w:pPr>
        <w:pStyle w:val="BodyText"/>
      </w:pPr>
      <w:r>
        <w:drawing>
          <wp:inline>
            <wp:extent cx="5943600" cy="4572000"/>
            <wp:effectExtent b="0" l="0" r="0" t="0"/>
            <wp:docPr descr="" title="" id="55" name="Picture"/>
            <a:graphic>
              <a:graphicData uri="http://schemas.openxmlformats.org/drawingml/2006/picture">
                <pic:pic>
                  <pic:nvPicPr>
                    <pic:cNvPr descr="figures/supp_dbloopjoinuni.png" id="56" name="Picture"/>
                    <pic:cNvPicPr>
                      <a:picLocks noChangeArrowheads="1" noChangeAspect="1"/>
                    </pic:cNvPicPr>
                  </pic:nvPicPr>
                  <pic:blipFill>
                    <a:blip r:embed="rId54"/>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Scatter showing time required to extract chromatograms from SQLite, DuckDB, and Parquet databases using different methods denoted by color. Ten replicates are shown for each data point.</w:t>
      </w:r>
    </w:p>
    <w:bookmarkEnd w:id="57"/>
    <w:bookmarkStart w:id="61"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[0.3] seconds to [0.03 seconds], Figure XX). However, because the SQLite index is stored on disk alongside the data, this improvement also increased the file size by 33% from [150MB] to [210MB]. DuckDB also improved significantly with ordered data but to a smaller degree and surprisingly required additional space to do so, likely due to the reordering resulting in a different compression strategy (Figure XX). Parquet files had the smallest improvement upon data ordering but remained the same small size they were when unordered.</w:t>
      </w:r>
    </w:p>
    <w:p>
      <w:pPr>
        <w:pStyle w:val="BodyText"/>
      </w:pPr>
      <w:r>
        <w:t xml:space="preserve">Crucially, these improvements also persisted when multiple files were stored in a single database. We built databases consisting of between 1 and 100 individual MS files and tested the time required to extract ion chromatograms from each after an index was constructed (Supplemental fig XX).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significantly less than one. This is what would be expected if the database was performing a simple binary search on the index, with an expected time efficiency of O(log(# of files)). However, DuckDB’s performance degrades at larger database sizes and approaches a 1:1 slope, possibly due to the overhead of reading large amounts of data into memory after it’s found. We additionally compared these values to the timings obtained from converting each file into its own database and looping over each of those to confirm the linearity of that response (Figure XX). Interestingly, SQLite timings were slightly better with multiple database files instead of one combined database (Figure XX).</w:t>
      </w:r>
    </w:p>
    <w:p>
      <w:pPr>
        <w:pStyle w:val="BodyText"/>
      </w:pPr>
      <w:r>
        <w:drawing>
          <wp:inline>
            <wp:extent cx="5943600" cy="3200399"/>
            <wp:effectExtent b="0" l="0" r="0" t="0"/>
            <wp:docPr descr="" title="" id="59" name="Picture"/>
            <a:graphic>
              <a:graphicData uri="http://schemas.openxmlformats.org/drawingml/2006/picture">
                <pic:pic>
                  <pic:nvPicPr>
                    <pic:cNvPr descr="figures/multifile_fig.png" id="60" name="Picture"/>
                    <pic:cNvPicPr>
                      <a:picLocks noChangeArrowheads="1" noChangeAspect="1"/>
                    </pic:cNvPicPr>
                  </pic:nvPicPr>
                  <pic:blipFill>
                    <a:blip r:embed="rId58"/>
                    <a:stretch>
                      <a:fillRect/>
                    </a:stretch>
                  </pic:blipFill>
                  <pic:spPr bwMode="auto">
                    <a:xfrm>
                      <a:off x="0" y="0"/>
                      <a:ext cx="5943600" cy="3200399"/>
                    </a:xfrm>
                    <a:prstGeom prst="rect">
                      <a:avLst/>
                    </a:prstGeom>
                    <a:noFill/>
                    <a:ln w="9525">
                      <a:noFill/>
                      <a:headEnd/>
                      <a:tailEnd/>
                    </a:ln>
                  </pic:spPr>
                </pic:pic>
              </a:graphicData>
            </a:graphic>
          </wp:inline>
        </w:drawing>
      </w:r>
    </w:p>
    <w:bookmarkEnd w:id="61"/>
    <w:bookmarkEnd w:id="62"/>
    <w:bookmarkStart w:id="63"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w:t>
      </w:r>
    </w:p>
    <w:p>
      <w:pPr>
        <w:pStyle w:val="BodyText"/>
      </w:pPr>
      <w:r>
        <w:t xml:space="preserve">Large gaps etc. accomplished by extremely poor documentation that makes it difficult to do anything beyond the original designer’s intent, typically with data structures that are not familiar to the MS expert.</w:t>
      </w:r>
    </w:p>
    <w:p>
      <w:pPr>
        <w:pStyle w:val="BodyText"/>
      </w:pPr>
      <w:r>
        <w:t xml:space="preserve">Not a single parser was without flaws - all were either slow, poorly documented, or had highly limited functionality</w:t>
      </w:r>
    </w:p>
    <w:p>
      <w:pPr>
        <w:pStyle w:val="BodyText"/>
      </w:pPr>
      <w:r>
        <w:t xml:space="preserve">Several fundamental inefficiencies identified:</w:t>
      </w:r>
      <w:r>
        <w:t xml:space="preserve"> </w:t>
      </w:r>
      <w:r>
        <w:t xml:space="preserve">1. Looping over each scan within a file</w:t>
      </w:r>
      <w:r>
        <w:t xml:space="preserve"> </w:t>
      </w:r>
      <w:r>
        <w:t xml:space="preserve">2. Looping over each file within a dataset</w:t>
      </w:r>
      <w:r>
        <w:t xml:space="preserve"> </w:t>
      </w:r>
      <w:r>
        <w:t xml:space="preserve">3. Decoding mz/int information each time if filtering on these fields</w:t>
      </w:r>
      <w:r>
        <w:t xml:space="preserve"> </w:t>
      </w:r>
      <w:r>
        <w:t xml:space="preserve">4. RTs are not accessible outside of looping over each scan for RT subsetting</w:t>
      </w:r>
      <w:r>
        <w:t xml:space="preserve"> </w:t>
      </w:r>
      <w:r>
        <w:t xml:space="preserve">5. Scan ids are not accessible outside of looping over each scan for scan extraction</w:t>
      </w:r>
    </w:p>
    <w:p>
      <w:pPr>
        <w:pStyle w:val="BodyText"/>
      </w:pPr>
      <w:r>
        <w:t xml:space="preserve">Querying things by scan number is dumb.</w:t>
      </w:r>
      <w:r>
        <w:t xml:space="preserve"> </w:t>
      </w:r>
      <w:r>
        <w:t xml:space="preserve">1) Different indices for pyopenms vs pymzml vs pyteomics</w:t>
      </w:r>
      <w:r>
        <w:t xml:space="preserve"> </w:t>
      </w:r>
      <w:r>
        <w:t xml:space="preserve">2) idx = scan_num only works for consecutive scans (no multi-experiment, no polarity switching, no filtering)</w:t>
      </w:r>
      <w:r>
        <w:t xml:space="preserve"> </w:t>
      </w:r>
      <w:r>
        <w:t xml:space="preserve">3) Only USEFUL when you’re parsing the entire file! Nobody knows what scan number 976 corresponds to, making extraction by number useless</w:t>
      </w:r>
    </w:p>
    <w:p>
      <w:pPr>
        <w:pStyle w:val="BodyText"/>
      </w:pPr>
      <w:r>
        <w:t xml:space="preserve">DuckDB’s zonemaps operate similarly to mzDB’s bounding boxes</w:t>
      </w:r>
      <w:r>
        <w:t xml:space="preserve"> </w:t>
      </w:r>
      <w:r>
        <w:t xml:space="preserve">DuckDB also has automatic compression detection (e.g. the delta encoding of mz5)</w:t>
      </w:r>
    </w:p>
    <w:p>
      <w:pPr>
        <w:pStyle w:val="BodyText"/>
      </w:pPr>
      <w:r>
        <w:t xml:space="preserve">Unlikely that databases replace the original files so this is meant to be an auxiliary data structure</w:t>
      </w:r>
      <w:r>
        <w:t xml:space="preserve"> </w:t>
      </w:r>
      <w:r>
        <w:rPr>
          <w:b/>
          <w:bCs/>
        </w:rPr>
        <w:t xml:space="preserve">alongside</w:t>
      </w:r>
      <w:r>
        <w:t xml:space="preserve"> </w:t>
      </w:r>
      <w:r>
        <w:t xml:space="preserve">the .raw or .mzML files, not a substitute.</w:t>
      </w:r>
    </w:p>
    <w:p>
      <w:pPr>
        <w:pStyle w:val="BodyText"/>
      </w:pPr>
      <w:r>
        <w:t xml:space="preserve">Databases place a larger burden on the initial builder/designer and much less on the end user</w:t>
      </w:r>
    </w:p>
    <w:p>
      <w:pPr>
        <w:pStyle w:val="BodyText"/>
      </w:pPr>
      <w:r>
        <w:t xml:space="preserve">Better compression algorithms and fancier data structures can easily improve upon the text-based XML in both size on disk and speed of access but also tend to accumulate significant technical debt. Alternatives must therefore compete not only in computational efficacy but also in simplicity to allow widespread adoption, a feat thus far unachieved.</w:t>
      </w:r>
    </w:p>
    <w:p>
      <w:pPr>
        <w:pStyle w:val="BodyText"/>
      </w:pPr>
      <w:r>
        <w:t xml:space="preserve">Ultimately, the design decision for mass spectrometry data format will likely result from a variety of factors, most crucially 1) initial vendor type, 2) programming language of the developer, 3) types of MS data included (MS1-only vs MS2+, metadata), 4) whether the entire file will be processed or only a subset (subsetting doesn’t matter if the whole file is going to be investigated anyway),</w:t>
      </w:r>
    </w:p>
    <w:bookmarkEnd w:id="63"/>
    <w:bookmarkStart w:id="64" w:name="conclusion"/>
    <w:p>
      <w:pPr>
        <w:pStyle w:val="Heading1"/>
      </w:pPr>
      <w:r>
        <w:t xml:space="preserve">Conclusion</w:t>
      </w:r>
    </w:p>
    <w:bookmarkEnd w:id="64"/>
    <w:bookmarkStart w:id="65" w:name="acknowledgements"/>
    <w:p>
      <w:pPr>
        <w:pStyle w:val="Heading1"/>
      </w:pPr>
      <w:r>
        <w:t xml:space="preserve">Acknowledgements</w:t>
      </w:r>
    </w:p>
    <w:bookmarkEnd w:id="65"/>
    <w:bookmarkStart w:id="66" w:name="data-availability"/>
    <w:p>
      <w:pPr>
        <w:pStyle w:val="Heading1"/>
      </w:pPr>
      <w:r>
        <w:t xml:space="preserve">Data availability</w:t>
      </w:r>
    </w:p>
    <w:bookmarkEnd w:id="66"/>
    <w:bookmarkStart w:id="67" w:name="references"/>
    <w:p>
      <w:pPr>
        <w:pStyle w:val="Heading1"/>
      </w:pPr>
      <w:r>
        <w:t xml:space="preserve">References</w:t>
      </w:r>
    </w:p>
    <w:bookmarkEnd w:id="67"/>
    <w:bookmarkStart w:id="117" w:name="supplement"/>
    <w:p>
      <w:pPr>
        <w:pStyle w:val="Heading1"/>
      </w:pPr>
      <w:r>
        <w:t xml:space="preserve">Supplement</w:t>
      </w:r>
    </w:p>
    <w:bookmarkStart w:id="116" w:name="refs"/>
    <w:bookmarkStart w:id="69" w:name="ref-Martens2011"/>
    <w:p>
      <w:pPr>
        <w:pStyle w:val="Bibliography"/>
      </w:pPr>
      <w:r>
        <w:t xml:space="preserve">(1)</w:t>
      </w:r>
      <w:r>
        <w:t xml:space="preserve"> </w:t>
      </w:r>
      <w:r>
        <w:t xml:space="preserve">	</w:t>
      </w:r>
      <w:r>
        <w:t xml:space="preserve">Martens, L.; Chambers, M.; Sturm, M.; Kessner, D.; Levander, F.; Shofstahl, J.; Tang, W. H.; Römpp, A.; Neumann, S.; Pizarro, A. D.; Montecchi-Palazzi, L.; Tasman, N.; Coleman, M.; Reisinger, F.; Souda, P.; Hermjakob, H.; Binz, P.-A.; Deutsch, E. W.</w:t>
      </w:r>
      <w:r>
        <w:t xml:space="preserve"> </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rPr>
          <w:b/>
          <w:bCs/>
        </w:rPr>
        <w:t xml:space="preserve">2011</w:t>
      </w:r>
      <w:r>
        <w:t xml:space="preserve">,</w:t>
      </w:r>
      <w:r>
        <w:t xml:space="preserve"> </w:t>
      </w:r>
      <w:r>
        <w:rPr>
          <w:i/>
          <w:iCs/>
        </w:rPr>
        <w:t xml:space="preserve">10</w:t>
      </w:r>
      <w:r>
        <w:t xml:space="preserve"> </w:t>
      </w:r>
      <w:r>
        <w:t xml:space="preserve">(1), R110.000133.</w:t>
      </w:r>
      <w:r>
        <w:t xml:space="preserve"> </w:t>
      </w:r>
      <w:hyperlink r:id="rId68">
        <w:r>
          <w:rPr>
            <w:rStyle w:val="Hyperlink"/>
          </w:rPr>
          <w:t xml:space="preserve">https://doi.org/10.1074/mcp.R110.000133</w:t>
        </w:r>
      </w:hyperlink>
      <w:r>
        <w:t xml:space="preserve">.</w:t>
      </w:r>
    </w:p>
    <w:bookmarkEnd w:id="69"/>
    <w:bookmarkStart w:id="71" w:name="ref-Rost2014"/>
    <w:p>
      <w:pPr>
        <w:pStyle w:val="Bibliography"/>
      </w:pPr>
      <w:r>
        <w:t xml:space="preserve">(2)</w:t>
      </w:r>
      <w:r>
        <w:t xml:space="preserve"> </w:t>
      </w:r>
      <w:r>
        <w:t xml:space="preserve">	</w:t>
      </w:r>
      <w:r>
        <w:t xml:space="preserve">Röst, H. L.; Rosenberger, G.; Navarro, P.; Gillet, L.; Miladinović, S. M.; Schubert, O. T.; Wolski, W.; Collins, B. C.; Malmström, J.; Malmström, L.; Aebersold, R.</w:t>
      </w:r>
      <w:r>
        <w:t xml:space="preserve"> </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rPr>
          <w:b/>
          <w:bCs/>
        </w:rPr>
        <w:t xml:space="preserve">2014</w:t>
      </w:r>
      <w:r>
        <w:t xml:space="preserve">,</w:t>
      </w:r>
      <w:r>
        <w:t xml:space="preserve"> </w:t>
      </w:r>
      <w:r>
        <w:rPr>
          <w:i/>
          <w:iCs/>
        </w:rPr>
        <w:t xml:space="preserve">32</w:t>
      </w:r>
      <w:r>
        <w:t xml:space="preserve"> </w:t>
      </w:r>
      <w:r>
        <w:t xml:space="preserve">(3), 219–223.</w:t>
      </w:r>
      <w:r>
        <w:t xml:space="preserve"> </w:t>
      </w:r>
      <w:hyperlink r:id="rId70">
        <w:r>
          <w:rPr>
            <w:rStyle w:val="Hyperlink"/>
          </w:rPr>
          <w:t xml:space="preserve">https://doi.org/10.1038/nbt.2841</w:t>
        </w:r>
      </w:hyperlink>
      <w:r>
        <w:t xml:space="preserve">.</w:t>
      </w:r>
    </w:p>
    <w:bookmarkEnd w:id="71"/>
    <w:bookmarkStart w:id="73" w:name="ref-Ting2015"/>
    <w:p>
      <w:pPr>
        <w:pStyle w:val="Bibliography"/>
      </w:pPr>
      <w:r>
        <w:t xml:space="preserve">(3)</w:t>
      </w:r>
      <w:r>
        <w:t xml:space="preserve"> </w:t>
      </w:r>
      <w:r>
        <w:t xml:space="preserve">	</w:t>
      </w:r>
      <w:r>
        <w:t xml:space="preserve">Ting, Y. S.; Egertson, J. D.; Payne, S. H.; Kim, S.; MacLean, B.; Käll, L.; Aebersold, R.; Smith, R. D.; Noble, W. S.; MacCoss, M. J. 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(9), 2301–2307.</w:t>
      </w:r>
      <w:r>
        <w:t xml:space="preserve"> </w:t>
      </w:r>
      <w:hyperlink r:id="rId72">
        <w:r>
          <w:rPr>
            <w:rStyle w:val="Hyperlink"/>
          </w:rPr>
          <w:t xml:space="preserve">https://doi.org/10.1074/mcp.O114.047035</w:t>
        </w:r>
      </w:hyperlink>
      <w:r>
        <w:t xml:space="preserve">.</w:t>
      </w:r>
    </w:p>
    <w:bookmarkEnd w:id="73"/>
    <w:bookmarkStart w:id="75" w:name="ref-Rost2015"/>
    <w:p>
      <w:pPr>
        <w:pStyle w:val="Bibliography"/>
      </w:pPr>
      <w:r>
        <w:t xml:space="preserve">(4)</w:t>
      </w:r>
      <w:r>
        <w:t xml:space="preserve"> </w:t>
      </w:r>
      <w:r>
        <w:t xml:space="preserve">	</w:t>
      </w:r>
      <w:r>
        <w:t xml:space="preserve">Röst, H. L.; Schmitt, U.; Aebersold, R.; Malmström, L. 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rPr>
          <w:i/>
          <w:iCs/>
        </w:rPr>
        <w:t xml:space="preserve">PLOS ONE</w:t>
      </w:r>
      <w:r>
        <w:t xml:space="preserve"> </w:t>
      </w:r>
      <w:r>
        <w:rPr>
          <w:b/>
          <w:bCs/>
        </w:rPr>
        <w:t xml:space="preserve">2015</w:t>
      </w:r>
      <w:r>
        <w:t xml:space="preserve">,</w:t>
      </w:r>
      <w:r>
        <w:t xml:space="preserve"> </w:t>
      </w:r>
      <w:r>
        <w:rPr>
          <w:i/>
          <w:iCs/>
        </w:rPr>
        <w:t xml:space="preserve">10</w:t>
      </w:r>
      <w:r>
        <w:t xml:space="preserve"> </w:t>
      </w:r>
      <w:r>
        <w:t xml:space="preserve">(4), e0125108.</w:t>
      </w:r>
      <w:r>
        <w:t xml:space="preserve"> </w:t>
      </w:r>
      <w:hyperlink r:id="rId74">
        <w:r>
          <w:rPr>
            <w:rStyle w:val="Hyperlink"/>
          </w:rPr>
          <w:t xml:space="preserve">https://doi.org/10.1371/journal.pone.0125108</w:t>
        </w:r>
      </w:hyperlink>
      <w:r>
        <w:t xml:space="preserve">.</w:t>
      </w:r>
    </w:p>
    <w:bookmarkEnd w:id="75"/>
    <w:bookmarkStart w:id="77" w:name="ref-Bhamber2021"/>
    <w:p>
      <w:pPr>
        <w:pStyle w:val="Bibliography"/>
      </w:pPr>
      <w:r>
        <w:t xml:space="preserve">(5)</w:t>
      </w:r>
      <w:r>
        <w:t xml:space="preserve"> </w:t>
      </w:r>
      <w:r>
        <w:t xml:space="preserve">	</w:t>
      </w:r>
      <w:r>
        <w:t xml:space="preserve">Bhamber, R. S.; Jankevics, A.; Deutsch, E. W.; Jones, A. R.; Dowsey, A. W.</w:t>
      </w:r>
      <w:r>
        <w:t xml:space="preserve"> </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rPr>
          <w:b/>
          <w:bCs/>
        </w:rPr>
        <w:t xml:space="preserve">2021</w:t>
      </w:r>
      <w:r>
        <w:t xml:space="preserve">,</w:t>
      </w:r>
      <w:r>
        <w:t xml:space="preserve"> </w:t>
      </w:r>
      <w:r>
        <w:rPr>
          <w:i/>
          <w:iCs/>
        </w:rPr>
        <w:t xml:space="preserve">20</w:t>
      </w:r>
      <w:r>
        <w:t xml:space="preserve"> </w:t>
      </w:r>
      <w:r>
        <w:t xml:space="preserve">(1), 172–183.</w:t>
      </w:r>
      <w:r>
        <w:t xml:space="preserve"> </w:t>
      </w:r>
      <w:hyperlink r:id="rId76">
        <w:r>
          <w:rPr>
            <w:rStyle w:val="Hyperlink"/>
          </w:rPr>
          <w:t xml:space="preserve">https://doi.org/10.1021/acs.jproteome.0c00192</w:t>
        </w:r>
      </w:hyperlink>
      <w:r>
        <w:t xml:space="preserve">.</w:t>
      </w:r>
    </w:p>
    <w:bookmarkEnd w:id="77"/>
    <w:bookmarkStart w:id="79" w:name="ref-Wilhelm2012"/>
    <w:p>
      <w:pPr>
        <w:pStyle w:val="Bibliography"/>
      </w:pPr>
      <w:r>
        <w:t xml:space="preserve">(6)</w:t>
      </w:r>
      <w:r>
        <w:t xml:space="preserve"> </w:t>
      </w:r>
      <w:r>
        <w:t xml:space="preserve">	</w:t>
      </w:r>
      <w:r>
        <w:t xml:space="preserve">Wilhelm, M.; Kirchner, M.; Steen, J. A. J.; Steen, H. 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rPr>
          <w:b/>
          <w:bCs/>
        </w:rPr>
        <w:t xml:space="preserve">2012</w:t>
      </w:r>
      <w:r>
        <w:t xml:space="preserve">,</w:t>
      </w:r>
      <w:r>
        <w:t xml:space="preserve"> </w:t>
      </w:r>
      <w:r>
        <w:rPr>
          <w:i/>
          <w:iCs/>
        </w:rPr>
        <w:t xml:space="preserve">11</w:t>
      </w:r>
      <w:r>
        <w:t xml:space="preserve"> </w:t>
      </w:r>
      <w:r>
        <w:t xml:space="preserve">(1), O111.011379.</w:t>
      </w:r>
      <w:r>
        <w:t xml:space="preserve"> </w:t>
      </w:r>
      <w:hyperlink r:id="rId78">
        <w:r>
          <w:rPr>
            <w:rStyle w:val="Hyperlink"/>
          </w:rPr>
          <w:t xml:space="preserve">https://doi.org/10.1074/mcp.O111.011379</w:t>
        </w:r>
      </w:hyperlink>
      <w:r>
        <w:t xml:space="preserve">.</w:t>
      </w:r>
    </w:p>
    <w:bookmarkEnd w:id="79"/>
    <w:bookmarkStart w:id="81" w:name="ref-Bilbao2023"/>
    <w:p>
      <w:pPr>
        <w:pStyle w:val="Bibliography"/>
      </w:pPr>
      <w:r>
        <w:t xml:space="preserve">(7)</w:t>
      </w:r>
      <w:r>
        <w:t xml:space="preserve"> </w:t>
      </w:r>
      <w:r>
        <w:t xml:space="preserve">	</w:t>
      </w:r>
      <w:r>
        <w:t xml:space="preserve">Bilbao, A.; Ross, D. H.; Lee, J.-Y.; Donor, M. T.; Williams, S. M.; Zhu, Y.; Ibrahim, Y. M.; Smith, R. D.; Zheng, X.</w:t>
      </w:r>
      <w:r>
        <w:t xml:space="preserve"> </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rPr>
          <w:b/>
          <w:bCs/>
        </w:rPr>
        <w:t xml:space="preserve">2023</w:t>
      </w:r>
      <w:r>
        <w:t xml:space="preserve">,</w:t>
      </w:r>
      <w:r>
        <w:t xml:space="preserve"> </w:t>
      </w:r>
      <w:r>
        <w:rPr>
          <w:i/>
          <w:iCs/>
        </w:rPr>
        <w:t xml:space="preserve">22</w:t>
      </w:r>
      <w:r>
        <w:t xml:space="preserve"> </w:t>
      </w:r>
      <w:r>
        <w:t xml:space="preserve">(2), 508–513.</w:t>
      </w:r>
      <w:r>
        <w:t xml:space="preserve"> </w:t>
      </w:r>
      <w:hyperlink r:id="rId80">
        <w:r>
          <w:rPr>
            <w:rStyle w:val="Hyperlink"/>
          </w:rPr>
          <w:t xml:space="preserve">https://doi.org/10.1021/acs.jproteome.2c00313</w:t>
        </w:r>
      </w:hyperlink>
      <w:r>
        <w:t xml:space="preserve">.</w:t>
      </w:r>
    </w:p>
    <w:bookmarkEnd w:id="81"/>
    <w:bookmarkStart w:id="83" w:name="ref-Tully2020"/>
    <w:p>
      <w:pPr>
        <w:pStyle w:val="Bibliography"/>
      </w:pPr>
      <w:r>
        <w:t xml:space="preserve">(8)</w:t>
      </w:r>
      <w:r>
        <w:t xml:space="preserve"> </w:t>
      </w:r>
      <w:r>
        <w:t xml:space="preserve">	</w:t>
      </w:r>
      <w:r>
        <w:t xml:space="preserve">Tully, B. Toffee – a Highly Efficient, Lossless File Format for</w:t>
      </w:r>
      <w:r>
        <w:t xml:space="preserve"> </w:t>
      </w:r>
      <w:r>
        <w:t xml:space="preserve">DIA-MS</w:t>
      </w:r>
      <w:r>
        <w:t xml:space="preserve">.</w:t>
      </w:r>
      <w:r>
        <w:t xml:space="preserve"> </w:t>
      </w:r>
      <w:r>
        <w:rPr>
          <w:i/>
          <w:iCs/>
        </w:rPr>
        <w:t xml:space="preserve">Scientific Reports</w:t>
      </w:r>
      <w:r>
        <w:t xml:space="preserve"> </w:t>
      </w:r>
      <w:r>
        <w:rPr>
          <w:b/>
          <w:bCs/>
        </w:rPr>
        <w:t xml:space="preserve">2020</w:t>
      </w:r>
      <w:r>
        <w:t xml:space="preserve">,</w:t>
      </w:r>
      <w:r>
        <w:t xml:space="preserve"> </w:t>
      </w:r>
      <w:r>
        <w:rPr>
          <w:i/>
          <w:iCs/>
        </w:rPr>
        <w:t xml:space="preserve">10</w:t>
      </w:r>
      <w:r>
        <w:t xml:space="preserve"> </w:t>
      </w:r>
      <w:r>
        <w:t xml:space="preserve">(1), 8939.</w:t>
      </w:r>
      <w:r>
        <w:t xml:space="preserve"> </w:t>
      </w:r>
      <w:hyperlink r:id="rId82">
        <w:r>
          <w:rPr>
            <w:rStyle w:val="Hyperlink"/>
          </w:rPr>
          <w:t xml:space="preserve">https://doi.org/10.1038/s41598-020-65015-y</w:t>
        </w:r>
      </w:hyperlink>
      <w:r>
        <w:t xml:space="preserve">.</w:t>
      </w:r>
    </w:p>
    <w:bookmarkEnd w:id="83"/>
    <w:bookmarkStart w:id="85" w:name="ref-Askenazi2017"/>
    <w:p>
      <w:pPr>
        <w:pStyle w:val="Bibliography"/>
      </w:pPr>
      <w:r>
        <w:t xml:space="preserve">(9)</w:t>
      </w:r>
      <w:r>
        <w:t xml:space="preserve"> </w:t>
      </w:r>
      <w:r>
        <w:t xml:space="preserve">	</w:t>
      </w:r>
      <w:r>
        <w:t xml:space="preserve">Askenazi, M.; Ben Hamidane, H.; Graumann, J. 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rPr>
          <w:b/>
          <w:bCs/>
        </w:rPr>
        <w:t xml:space="preserve">2017</w:t>
      </w:r>
      <w:r>
        <w:t xml:space="preserve">,</w:t>
      </w:r>
      <w:r>
        <w:t xml:space="preserve"> </w:t>
      </w:r>
      <w:r>
        <w:rPr>
          <w:i/>
          <w:iCs/>
        </w:rPr>
        <w:t xml:space="preserve">36</w:t>
      </w:r>
      <w:r>
        <w:t xml:space="preserve"> </w:t>
      </w:r>
      <w:r>
        <w:t xml:space="preserve">(5), 668–673.</w:t>
      </w:r>
      <w:r>
        <w:t xml:space="preserve"> </w:t>
      </w:r>
      <w:hyperlink r:id="rId84">
        <w:r>
          <w:rPr>
            <w:rStyle w:val="Hyperlink"/>
          </w:rPr>
          <w:t xml:space="preserve">https://doi.org/10.1002/mas.21522</w:t>
        </w:r>
      </w:hyperlink>
      <w:r>
        <w:t xml:space="preserve">.</w:t>
      </w:r>
    </w:p>
    <w:bookmarkEnd w:id="85"/>
    <w:bookmarkStart w:id="87" w:name="ref-Shah2010"/>
    <w:p>
      <w:pPr>
        <w:pStyle w:val="Bibliography"/>
      </w:pPr>
      <w:r>
        <w:t xml:space="preserve">(10)</w:t>
      </w:r>
      <w:r>
        <w:t xml:space="preserve"> </w:t>
      </w:r>
      <w:r>
        <w:t xml:space="preserve">	</w:t>
      </w:r>
      <w:r>
        <w:t xml:space="preserve">Shah, A. R.; Davidson, J.; Monroe, M. E.; Mayampurath, A. M.; Danielson, W. F.; Shi, Y.; Robinson, A. C.; Clowers, B. H.; Belov, M. E.; Anderson, G. A.; Smith, R. D. An Efficient Data Format for Mass Spectrometry-Based Proteomics.</w:t>
      </w:r>
      <w:r>
        <w:t xml:space="preserve"> </w:t>
      </w:r>
      <w:r>
        <w:rPr>
          <w:i/>
          <w:iCs/>
        </w:rPr>
        <w:t xml:space="preserve">Journal of the American Society for Mass Spectrometry</w:t>
      </w:r>
      <w:r>
        <w:t xml:space="preserve"> </w:t>
      </w:r>
      <w:r>
        <w:rPr>
          <w:b/>
          <w:bCs/>
        </w:rPr>
        <w:t xml:space="preserve">2010</w:t>
      </w:r>
      <w:r>
        <w:t xml:space="preserve">,</w:t>
      </w:r>
      <w:r>
        <w:t xml:space="preserve"> </w:t>
      </w:r>
      <w:r>
        <w:rPr>
          <w:i/>
          <w:iCs/>
        </w:rPr>
        <w:t xml:space="preserve">21</w:t>
      </w:r>
      <w:r>
        <w:t xml:space="preserve"> </w:t>
      </w:r>
      <w:r>
        <w:t xml:space="preserve">(10), 1784–1788.</w:t>
      </w:r>
      <w:r>
        <w:t xml:space="preserve"> </w:t>
      </w:r>
      <w:hyperlink r:id="rId86">
        <w:r>
          <w:rPr>
            <w:rStyle w:val="Hyperlink"/>
          </w:rPr>
          <w:t xml:space="preserve">https://doi.org/10.1016/j.jasms.2010.06.014</w:t>
        </w:r>
      </w:hyperlink>
      <w:r>
        <w:t xml:space="preserve">.</w:t>
      </w:r>
    </w:p>
    <w:bookmarkEnd w:id="87"/>
    <w:bookmarkStart w:id="89" w:name="ref-Bouyssie2015"/>
    <w:p>
      <w:pPr>
        <w:pStyle w:val="Bibliography"/>
      </w:pPr>
      <w:r>
        <w:t xml:space="preserve">(11)</w:t>
      </w:r>
      <w:r>
        <w:t xml:space="preserve"> </w:t>
      </w:r>
      <w:r>
        <w:t xml:space="preserve">	</w:t>
      </w:r>
      <w:r>
        <w:t xml:space="preserve">Bouyssié, D.; Dubois, M.; Nasso, S.; Gonzalez De Peredo, A.; Burlet-Schiltz, O.; Aebersold, R.; Monsarrat, B.</w:t>
      </w:r>
      <w:r>
        <w:t xml:space="preserve"> </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(3), 771–781.</w:t>
      </w:r>
      <w:r>
        <w:t xml:space="preserve"> </w:t>
      </w:r>
      <w:hyperlink r:id="rId88">
        <w:r>
          <w:rPr>
            <w:rStyle w:val="Hyperlink"/>
          </w:rPr>
          <w:t xml:space="preserve">https://doi.org/10.1074/mcp.O114.039115</w:t>
        </w:r>
      </w:hyperlink>
      <w:r>
        <w:t xml:space="preserve">.</w:t>
      </w:r>
    </w:p>
    <w:bookmarkEnd w:id="89"/>
    <w:bookmarkStart w:id="91" w:name="ref-Handy2017"/>
    <w:p>
      <w:pPr>
        <w:pStyle w:val="Bibliography"/>
      </w:pPr>
      <w:r>
        <w:t xml:space="preserve">(12)</w:t>
      </w:r>
      <w:r>
        <w:t xml:space="preserve"> </w:t>
      </w:r>
      <w:r>
        <w:t xml:space="preserve">	</w:t>
      </w:r>
      <w:r>
        <w:t xml:space="preserve">Handy, K.; Rosen, J.; Gillan, A.; Smith, R. Fast, Axis-Agnostic, Dynamically Summarized Storage and Retrieval for Mass Spectrometry Data.</w:t>
      </w:r>
      <w:r>
        <w:t xml:space="preserve"> </w:t>
      </w:r>
      <w:r>
        <w:rPr>
          <w:i/>
          <w:iCs/>
        </w:rPr>
        <w:t xml:space="preserve">PLOS ONE</w:t>
      </w:r>
      <w:r>
        <w:t xml:space="preserve"> </w:t>
      </w:r>
      <w:r>
        <w:rPr>
          <w:b/>
          <w:bCs/>
        </w:rPr>
        <w:t xml:space="preserve">2017</w:t>
      </w:r>
      <w:r>
        <w:t xml:space="preserve">,</w:t>
      </w:r>
      <w:r>
        <w:t xml:space="preserve"> </w:t>
      </w:r>
      <w:r>
        <w:rPr>
          <w:i/>
          <w:iCs/>
        </w:rPr>
        <w:t xml:space="preserve">12</w:t>
      </w:r>
      <w:r>
        <w:t xml:space="preserve"> </w:t>
      </w:r>
      <w:r>
        <w:t xml:space="preserve">(11), e0188059.</w:t>
      </w:r>
      <w:r>
        <w:t xml:space="preserve"> </w:t>
      </w:r>
      <w:hyperlink r:id="rId90">
        <w:r>
          <w:rPr>
            <w:rStyle w:val="Hyperlink"/>
          </w:rPr>
          <w:t xml:space="preserve">https://doi.org/10.1371/journal.pone.0188059</w:t>
        </w:r>
      </w:hyperlink>
      <w:r>
        <w:t xml:space="preserve">.</w:t>
      </w:r>
    </w:p>
    <w:bookmarkEnd w:id="91"/>
    <w:bookmarkStart w:id="93" w:name="ref-Yang2022"/>
    <w:p>
      <w:pPr>
        <w:pStyle w:val="Bibliography"/>
      </w:pPr>
      <w:r>
        <w:t xml:space="preserve">(13)</w:t>
      </w:r>
      <w:r>
        <w:t xml:space="preserve"> </w:t>
      </w:r>
      <w:r>
        <w:t xml:space="preserve">	</w:t>
      </w:r>
      <w:r>
        <w:t xml:space="preserve">Yang, R.; Ma, J.; Zhang, S.; Zheng, Y.; Wang, L.; Zhu, D.</w:t>
      </w:r>
      <w:r>
        <w:t xml:space="preserve"> </w:t>
      </w:r>
      <w:r>
        <w:t xml:space="preserve">mzMD</w:t>
      </w:r>
      <w:r>
        <w:t xml:space="preserve">: Visualization-Oriented</w:t>
      </w:r>
      <w:r>
        <w:t xml:space="preserve"> </w:t>
      </w:r>
      <w:r>
        <w:t xml:space="preserve">MS</w:t>
      </w:r>
      <w:r>
        <w:t xml:space="preserve"> </w:t>
      </w:r>
      <w:r>
        <w:t xml:space="preserve">Data Storage and Retrieval.</w:t>
      </w:r>
      <w:r>
        <w:t xml:space="preserve"> </w:t>
      </w:r>
      <w:r>
        <w:rPr>
          <w:i/>
          <w:iCs/>
        </w:rPr>
        <w:t xml:space="preserve">Bioinformatics</w:t>
      </w:r>
      <w:r>
        <w:t xml:space="preserve"> </w:t>
      </w:r>
      <w:r>
        <w:rPr>
          <w:b/>
          <w:bCs/>
        </w:rPr>
        <w:t xml:space="preserve">2022</w:t>
      </w:r>
      <w:r>
        <w:t xml:space="preserve">,</w:t>
      </w:r>
      <w:r>
        <w:t xml:space="preserve"> </w:t>
      </w:r>
      <w:r>
        <w:rPr>
          <w:i/>
          <w:iCs/>
        </w:rPr>
        <w:t xml:space="preserve">38</w:t>
      </w:r>
      <w:r>
        <w:t xml:space="preserve"> </w:t>
      </w:r>
      <w:r>
        <w:t xml:space="preserve">(8), 2333–2340.</w:t>
      </w:r>
      <w:r>
        <w:t xml:space="preserve"> </w:t>
      </w:r>
      <w:hyperlink r:id="rId92">
        <w:r>
          <w:rPr>
            <w:rStyle w:val="Hyperlink"/>
          </w:rPr>
          <w:t xml:space="preserve">https://doi.org/10.1093/bioinformatics/btac098</w:t>
        </w:r>
      </w:hyperlink>
      <w:r>
        <w:t xml:space="preserve">.</w:t>
      </w:r>
    </w:p>
    <w:bookmarkEnd w:id="93"/>
    <w:bookmarkStart w:id="95" w:name="ref-Beagley2009"/>
    <w:p>
      <w:pPr>
        <w:pStyle w:val="Bibliography"/>
      </w:pPr>
      <w:r>
        <w:t xml:space="preserve">(14)</w:t>
      </w:r>
      <w:r>
        <w:t xml:space="preserve"> </w:t>
      </w:r>
      <w:r>
        <w:t xml:space="preserve">	</w:t>
      </w:r>
      <w:r>
        <w:t xml:space="preserve">Beagley, N.; Scherrer, C.; Shi, Y.; Clowers, B. H.; Danielson, W. F.; Shah, A. R. 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 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IEEE: Oxford, United Kingdom, 2009; pp 66–71.</w:t>
      </w:r>
      <w:r>
        <w:t xml:space="preserve"> </w:t>
      </w:r>
      <w:hyperlink r:id="rId94">
        <w:r>
          <w:rPr>
            <w:rStyle w:val="Hyperlink"/>
          </w:rPr>
          <w:t xml:space="preserve">https://doi.org/10.1109/e-Science.2009.18</w:t>
        </w:r>
      </w:hyperlink>
      <w:r>
        <w:t xml:space="preserve">.</w:t>
      </w:r>
    </w:p>
    <w:bookmarkEnd w:id="95"/>
    <w:bookmarkStart w:id="97" w:name="ref-Rompp2011"/>
    <w:p>
      <w:pPr>
        <w:pStyle w:val="Bibliography"/>
      </w:pPr>
      <w:r>
        <w:t xml:space="preserve">(15)</w:t>
      </w:r>
      <w:r>
        <w:t xml:space="preserve"> </w:t>
      </w:r>
      <w:r>
        <w:t xml:space="preserve">	</w:t>
      </w:r>
      <w:r>
        <w:t xml:space="preserve">Römpp, A.; Schramm, T.; Hester, A.; Klinkert, I.; Both, J.-P.; Heeren, R. M. A.; Stöckli, M.; Spengler, B.</w:t>
      </w:r>
      <w:r>
        <w:t xml:space="preserve"> </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 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Hamacher, M., Eisenacher, M., Stephan, C., Eds.; Humana Press: Totowa, NJ, 2011; Vol. 696, pp 205–224.</w:t>
      </w:r>
      <w:r>
        <w:t xml:space="preserve"> </w:t>
      </w:r>
      <w:hyperlink r:id="rId96">
        <w:r>
          <w:rPr>
            <w:rStyle w:val="Hyperlink"/>
          </w:rPr>
          <w:t xml:space="preserve">https://doi.org/10.1007/978-1-60761-987-1_12</w:t>
        </w:r>
      </w:hyperlink>
      <w:r>
        <w:t xml:space="preserve">.</w:t>
      </w:r>
    </w:p>
    <w:bookmarkEnd w:id="97"/>
    <w:bookmarkStart w:id="99" w:name="ref-Lu2022"/>
    <w:p>
      <w:pPr>
        <w:pStyle w:val="Bibliography"/>
      </w:pPr>
      <w:r>
        <w:t xml:space="preserve">(16)</w:t>
      </w:r>
      <w:r>
        <w:t xml:space="preserve"> </w:t>
      </w:r>
      <w:r>
        <w:t xml:space="preserve">	</w:t>
      </w:r>
      <w:r>
        <w:t xml:space="preserve">Lu, M.; An, S.; Wang, R.; Wang, J.; Yu, C. Aird: A Computation-Oriented Mass Spectrometry Data Format Enables a Higher Compression Ratio and Less Decoding Time.</w:t>
      </w:r>
      <w:r>
        <w:t xml:space="preserve"> </w:t>
      </w:r>
      <w:r>
        <w:rPr>
          <w:i/>
          <w:iCs/>
        </w:rPr>
        <w:t xml:space="preserve">BMC Bioinformatics</w:t>
      </w:r>
      <w:r>
        <w:t xml:space="preserve"> </w:t>
      </w:r>
      <w:r>
        <w:rPr>
          <w:b/>
          <w:bCs/>
        </w:rPr>
        <w:t xml:space="preserve">2022</w:t>
      </w:r>
      <w:r>
        <w:t xml:space="preserve">,</w:t>
      </w:r>
      <w:r>
        <w:t xml:space="preserve"> </w:t>
      </w:r>
      <w:r>
        <w:rPr>
          <w:i/>
          <w:iCs/>
        </w:rPr>
        <w:t xml:space="preserve">23</w:t>
      </w:r>
      <w:r>
        <w:t xml:space="preserve"> </w:t>
      </w:r>
      <w:r>
        <w:t xml:space="preserve">(1), 35.</w:t>
      </w:r>
      <w:r>
        <w:t xml:space="preserve"> </w:t>
      </w:r>
      <w:hyperlink r:id="rId98">
        <w:r>
          <w:rPr>
            <w:rStyle w:val="Hyperlink"/>
          </w:rPr>
          <w:t xml:space="preserve">https://doi.org/10.1186/s12859-021-04490-0</w:t>
        </w:r>
      </w:hyperlink>
      <w:r>
        <w:t xml:space="preserve">.</w:t>
      </w:r>
    </w:p>
    <w:bookmarkEnd w:id="99"/>
    <w:bookmarkStart w:id="101" w:name="ref-Chambers2012"/>
    <w:p>
      <w:pPr>
        <w:pStyle w:val="Bibliography"/>
      </w:pPr>
      <w:r>
        <w:t xml:space="preserve">(17)</w:t>
      </w:r>
      <w:r>
        <w:t xml:space="preserve"> </w:t>
      </w:r>
      <w:r>
        <w:t xml:space="preserve">	</w:t>
      </w:r>
      <w:r>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w:t>
      </w:r>
      <w:r>
        <w:t xml:space="preserve"> </w:t>
      </w:r>
      <w:r>
        <w:rPr>
          <w:i/>
          <w:iCs/>
        </w:rPr>
        <w:t xml:space="preserve">Nature Biotechnology</w:t>
      </w:r>
      <w:r>
        <w:t xml:space="preserve"> </w:t>
      </w:r>
      <w:r>
        <w:rPr>
          <w:b/>
          <w:bCs/>
        </w:rPr>
        <w:t xml:space="preserve">2012</w:t>
      </w:r>
      <w:r>
        <w:t xml:space="preserve">,</w:t>
      </w:r>
      <w:r>
        <w:t xml:space="preserve"> </w:t>
      </w:r>
      <w:r>
        <w:rPr>
          <w:i/>
          <w:iCs/>
        </w:rPr>
        <w:t xml:space="preserve">30</w:t>
      </w:r>
      <w:r>
        <w:t xml:space="preserve"> </w:t>
      </w:r>
      <w:r>
        <w:t xml:space="preserve">(10), 918–920.</w:t>
      </w:r>
      <w:r>
        <w:t xml:space="preserve"> </w:t>
      </w:r>
      <w:hyperlink r:id="rId100">
        <w:r>
          <w:rPr>
            <w:rStyle w:val="Hyperlink"/>
          </w:rPr>
          <w:t xml:space="preserve">https://doi.org/10.1038/nbt.2377</w:t>
        </w:r>
      </w:hyperlink>
      <w:r>
        <w:t xml:space="preserve">.</w:t>
      </w:r>
    </w:p>
    <w:bookmarkEnd w:id="101"/>
    <w:bookmarkStart w:id="103" w:name="ref-Codd1970"/>
    <w:p>
      <w:pPr>
        <w:pStyle w:val="Bibliography"/>
      </w:pPr>
      <w:r>
        <w:t xml:space="preserve">(18)</w:t>
      </w:r>
      <w:r>
        <w:t xml:space="preserve"> </w:t>
      </w:r>
      <w:r>
        <w:t xml:space="preserve">	</w:t>
      </w:r>
      <w:r>
        <w:t xml:space="preserve">Codd, E. F. A Relational Model of Data for Large Shared Data Banks.</w:t>
      </w:r>
      <w:r>
        <w:t xml:space="preserve"> </w:t>
      </w:r>
      <w:r>
        <w:rPr>
          <w:i/>
          <w:iCs/>
        </w:rPr>
        <w:t xml:space="preserve">Communications of the ACM</w:t>
      </w:r>
      <w:r>
        <w:t xml:space="preserve"> </w:t>
      </w:r>
      <w:r>
        <w:rPr>
          <w:b/>
          <w:bCs/>
        </w:rPr>
        <w:t xml:space="preserve">1970</w:t>
      </w:r>
      <w:r>
        <w:t xml:space="preserve">,</w:t>
      </w:r>
      <w:r>
        <w:t xml:space="preserve"> </w:t>
      </w:r>
      <w:r>
        <w:rPr>
          <w:i/>
          <w:iCs/>
        </w:rPr>
        <w:t xml:space="preserve">13</w:t>
      </w:r>
      <w:r>
        <w:t xml:space="preserve"> </w:t>
      </w:r>
      <w:r>
        <w:t xml:space="preserve">(6), 377–387.</w:t>
      </w:r>
      <w:r>
        <w:t xml:space="preserve"> </w:t>
      </w:r>
      <w:hyperlink r:id="rId102">
        <w:r>
          <w:rPr>
            <w:rStyle w:val="Hyperlink"/>
          </w:rPr>
          <w:t xml:space="preserve">https://doi.org/10.1145/362384.362685</w:t>
        </w:r>
      </w:hyperlink>
      <w:r>
        <w:t xml:space="preserve">.</w:t>
      </w:r>
    </w:p>
    <w:bookmarkEnd w:id="103"/>
    <w:bookmarkStart w:id="105" w:name="ref-Smith2006"/>
    <w:p>
      <w:pPr>
        <w:pStyle w:val="Bibliography"/>
      </w:pPr>
      <w:r>
        <w:t xml:space="preserve">(19)</w:t>
      </w:r>
      <w:r>
        <w:t xml:space="preserve"> </w:t>
      </w:r>
      <w:r>
        <w:t xml:space="preserve">	</w:t>
      </w:r>
      <w:r>
        <w:t xml:space="preserve">Smith, C. A.; Want, E. J.; O’Maille, G.; Abagyan, R.; Siuzdak, G.</w:t>
      </w:r>
      <w:r>
        <w:t xml:space="preserve"> </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rPr>
          <w:b/>
          <w:bCs/>
        </w:rPr>
        <w:t xml:space="preserve">2006</w:t>
      </w:r>
      <w:r>
        <w:t xml:space="preserve">,</w:t>
      </w:r>
      <w:r>
        <w:t xml:space="preserve"> </w:t>
      </w:r>
      <w:r>
        <w:rPr>
          <w:i/>
          <w:iCs/>
        </w:rPr>
        <w:t xml:space="preserve">78</w:t>
      </w:r>
      <w:r>
        <w:t xml:space="preserve"> </w:t>
      </w:r>
      <w:r>
        <w:t xml:space="preserve">(3), 779–787.</w:t>
      </w:r>
      <w:r>
        <w:t xml:space="preserve"> </w:t>
      </w:r>
      <w:hyperlink r:id="rId104">
        <w:r>
          <w:rPr>
            <w:rStyle w:val="Hyperlink"/>
          </w:rPr>
          <w:t xml:space="preserve">https://doi.org/10.1021/ac051437y</w:t>
        </w:r>
      </w:hyperlink>
      <w:r>
        <w:t xml:space="preserve">.</w:t>
      </w:r>
    </w:p>
    <w:bookmarkEnd w:id="105"/>
    <w:bookmarkStart w:id="107" w:name="ref-Rainer2022"/>
    <w:p>
      <w:pPr>
        <w:pStyle w:val="Bibliography"/>
      </w:pPr>
      <w:r>
        <w:t xml:space="preserve">(20)</w:t>
      </w:r>
      <w:r>
        <w:t xml:space="preserve"> </w:t>
      </w:r>
      <w:r>
        <w:t xml:space="preserve">	</w:t>
      </w:r>
      <w:r>
        <w:t xml:space="preserve">Rainer, J.; Vicini, A.; Salzer, L.; Stanstrup, J.; Badia, J. M.; Neumann, S.; Stravs, M. A.; Verri Hernandes, V.; Gatto, L.; Gibb, S.; Witting, M. 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rPr>
          <w:b/>
          <w:bCs/>
        </w:rPr>
        <w:t xml:space="preserve">2022</w:t>
      </w:r>
      <w:r>
        <w:t xml:space="preserve">,</w:t>
      </w:r>
      <w:r>
        <w:t xml:space="preserve"> </w:t>
      </w:r>
      <w:r>
        <w:rPr>
          <w:i/>
          <w:iCs/>
        </w:rPr>
        <w:t xml:space="preserve">12</w:t>
      </w:r>
      <w:r>
        <w:t xml:space="preserve"> </w:t>
      </w:r>
      <w:r>
        <w:t xml:space="preserve">(2), 173.</w:t>
      </w:r>
      <w:r>
        <w:t xml:space="preserve"> </w:t>
      </w:r>
      <w:hyperlink r:id="rId106">
        <w:r>
          <w:rPr>
            <w:rStyle w:val="Hyperlink"/>
          </w:rPr>
          <w:t xml:space="preserve">https://doi.org/10.3390/metabo12020173</w:t>
        </w:r>
      </w:hyperlink>
      <w:r>
        <w:t xml:space="preserve">.</w:t>
      </w:r>
    </w:p>
    <w:bookmarkEnd w:id="107"/>
    <w:bookmarkStart w:id="109" w:name="ref-Sud2016"/>
    <w:p>
      <w:pPr>
        <w:pStyle w:val="Bibliography"/>
      </w:pPr>
      <w:r>
        <w:t xml:space="preserve">(21)</w:t>
      </w:r>
      <w:r>
        <w:t xml:space="preserve"> </w:t>
      </w:r>
      <w:r>
        <w:t xml:space="preserve">	</w:t>
      </w:r>
      <w:r>
        <w:t xml:space="preserve">Sud, M.; Fahy, E.; Cotter, D.; Azam, K.; Vadivelu, I.; Burant, C.; Edison, A.; Fiehn, O.; Higashi, R.; Nair, K. S.; Sumner, S.; Subramaniam, S. 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rPr>
          <w:b/>
          <w:bCs/>
        </w:rPr>
        <w:t xml:space="preserve">2016</w:t>
      </w:r>
      <w:r>
        <w:t xml:space="preserve">,</w:t>
      </w:r>
      <w:r>
        <w:t xml:space="preserve"> </w:t>
      </w:r>
      <w:r>
        <w:rPr>
          <w:i/>
          <w:iCs/>
        </w:rPr>
        <w:t xml:space="preserve">44</w:t>
      </w:r>
      <w:r>
        <w:t xml:space="preserve"> </w:t>
      </w:r>
      <w:r>
        <w:t xml:space="preserve">(D1), D463–D470.</w:t>
      </w:r>
      <w:r>
        <w:t xml:space="preserve"> </w:t>
      </w:r>
      <w:hyperlink r:id="rId108">
        <w:r>
          <w:rPr>
            <w:rStyle w:val="Hyperlink"/>
          </w:rPr>
          <w:t xml:space="preserve">https://doi.org/10.1093/nar/gkv1042</w:t>
        </w:r>
      </w:hyperlink>
      <w:r>
        <w:t xml:space="preserve">.</w:t>
      </w:r>
    </w:p>
    <w:bookmarkEnd w:id="109"/>
    <w:bookmarkStart w:id="111" w:name="ref-Jarmusch2022"/>
    <w:p>
      <w:pPr>
        <w:pStyle w:val="Bibliography"/>
      </w:pPr>
      <w:r>
        <w:t xml:space="preserve">(22)</w:t>
      </w:r>
      <w:r>
        <w:t xml:space="preserve"> </w:t>
      </w:r>
      <w:r>
        <w:t xml:space="preserve">	</w:t>
      </w:r>
      <w:r>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J.; Northen, T. R.; Overdahl, K. E.; Pluskal, T.; Rainer, J.; Reher, R.; Rodriguez, E.; Sachsenberg, T. T.; Sanchez, L. M.; Schmid, R.; Stevens, C.; Tian, Z.; Tripathi, A.; Tsugawa, H.; Nishida, K.; Matsuzawa, Y.; Van Der Hooft, J. J. J.; Vicini, A.; Walter, A.; Weber, T.; Xiong, Q.; Xu, T.; Zhao, H. N.; Dorrestein, P. C.; Wang, M. A</w:t>
      </w:r>
      <w:r>
        <w:t xml:space="preserve"> </w:t>
      </w:r>
      <w:r>
        <w:t xml:space="preserve">Universal Language</w:t>
      </w:r>
      <w:r>
        <w:t xml:space="preserve"> </w:t>
      </w:r>
      <w:r>
        <w:t xml:space="preserve">for</w:t>
      </w:r>
      <w:r>
        <w:t xml:space="preserve"> </w:t>
      </w:r>
      <w:r>
        <w:t xml:space="preserve">Finding Mass Spectrometry Data Patterns</w:t>
      </w:r>
      <w:r>
        <w:t xml:space="preserve">, 2022.</w:t>
      </w:r>
      <w:r>
        <w:t xml:space="preserve"> </w:t>
      </w:r>
      <w:hyperlink r:id="rId110">
        <w:r>
          <w:rPr>
            <w:rStyle w:val="Hyperlink"/>
          </w:rPr>
          <w:t xml:space="preserve">https://doi.org/10.1101/2022.08.06.503000</w:t>
        </w:r>
      </w:hyperlink>
      <w:r>
        <w:t xml:space="preserve">.</w:t>
      </w:r>
    </w:p>
    <w:bookmarkEnd w:id="111"/>
    <w:bookmarkStart w:id="113" w:name="ref-Raasveldt2019"/>
    <w:p>
      <w:pPr>
        <w:pStyle w:val="Bibliography"/>
      </w:pPr>
      <w:r>
        <w:t xml:space="preserve">(23)</w:t>
      </w:r>
      <w:r>
        <w:t xml:space="preserve"> </w:t>
      </w:r>
      <w:r>
        <w:t xml:space="preserve">	</w:t>
      </w:r>
      <w:r>
        <w:t xml:space="preserve">Raasveldt, M.; Mühleisen, H.</w:t>
      </w:r>
      <w:r>
        <w:t xml:space="preserve"> </w:t>
      </w:r>
      <w:r>
        <w:t xml:space="preserve">DuckDB</w:t>
      </w:r>
      <w:r>
        <w:t xml:space="preserve">: An</w:t>
      </w:r>
      <w:r>
        <w:t xml:space="preserve"> </w:t>
      </w:r>
      <w:r>
        <w:t xml:space="preserve">Embeddable Analytical Database</w:t>
      </w:r>
      <w:r>
        <w:t xml:space="preserve">. 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ACM: Amsterdam Netherlands, 2019; pp 1981–1984.</w:t>
      </w:r>
      <w:r>
        <w:t xml:space="preserve"> </w:t>
      </w:r>
      <w:hyperlink r:id="rId112">
        <w:r>
          <w:rPr>
            <w:rStyle w:val="Hyperlink"/>
          </w:rPr>
          <w:t xml:space="preserve">https://doi.org/10.1145/3299869.3320212</w:t>
        </w:r>
      </w:hyperlink>
      <w:r>
        <w:t xml:space="preserve">.</w:t>
      </w:r>
    </w:p>
    <w:bookmarkEnd w:id="113"/>
    <w:bookmarkStart w:id="115" w:name="ref-Kumler2022"/>
    <w:p>
      <w:pPr>
        <w:pStyle w:val="Bibliography"/>
      </w:pPr>
      <w:r>
        <w:t xml:space="preserve">(24)</w:t>
      </w:r>
      <w:r>
        <w:t xml:space="preserve"> </w:t>
      </w:r>
      <w:r>
        <w:t xml:space="preserve">	</w:t>
      </w:r>
      <w:r>
        <w:t xml:space="preserve">Kumler, W.; E. Ingalls, A. 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rPr>
          <w:b/>
          <w:bCs/>
        </w:rPr>
        <w:t xml:space="preserve">2022</w:t>
      </w:r>
      <w:r>
        <w:t xml:space="preserve">,</w:t>
      </w:r>
      <w:r>
        <w:t xml:space="preserve"> </w:t>
      </w:r>
      <w:r>
        <w:rPr>
          <w:i/>
          <w:iCs/>
        </w:rPr>
        <w:t xml:space="preserve">14</w:t>
      </w:r>
      <w:r>
        <w:t xml:space="preserve"> </w:t>
      </w:r>
      <w:r>
        <w:t xml:space="preserve">(3), 193–202.</w:t>
      </w:r>
      <w:r>
        <w:t xml:space="preserve"> </w:t>
      </w:r>
      <w:hyperlink r:id="rId114">
        <w:r>
          <w:rPr>
            <w:rStyle w:val="Hyperlink"/>
          </w:rPr>
          <w:t xml:space="preserve">https://doi.org/10.32614/RJ-2022-050</w:t>
        </w:r>
      </w:hyperlink>
      <w:r>
        <w:t xml:space="preserve">.</w:t>
      </w:r>
    </w:p>
    <w:bookmarkEnd w:id="115"/>
    <w:bookmarkEnd w:id="116"/>
    <w:bookmarkEnd w:id="117"/>
    <w:sectPr w:rsidR="00806BE4" w:rsidSect="00E73743">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06BE4"/>
    <w:rsid w:val="00033E71"/>
    <w:rsid w:val="000818D4"/>
    <w:rsid w:val="003212C9"/>
    <w:rsid w:val="00806BE4"/>
    <w:rsid w:val="009B4A54"/>
    <w:rsid w:val="00A84366"/>
    <w:rsid w:val="00E7374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 w:styleId="LineNumber" w:type="character">
    <w:name w:val="line number"/>
    <w:basedOn w:val="DefaultParagraphFont"/>
    <w:semiHidden/>
    <w:unhideWhenUsed/>
    <w:rsid w:val="00A8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hyperlink" Id="rId84" Target="https://doi.org/10.1002/mas.21522" TargetMode="External" /><Relationship Type="http://schemas.openxmlformats.org/officeDocument/2006/relationships/hyperlink" Id="rId96" Target="https://doi.org/10.1007/978-1-60761-987-1_12" TargetMode="External" /><Relationship Type="http://schemas.openxmlformats.org/officeDocument/2006/relationships/hyperlink" Id="rId86" Target="https://doi.org/10.1016/j.jasms.2010.06.014" TargetMode="External" /><Relationship Type="http://schemas.openxmlformats.org/officeDocument/2006/relationships/hyperlink" Id="rId104" Target="https://doi.org/10.1021/ac051437y" TargetMode="External" /><Relationship Type="http://schemas.openxmlformats.org/officeDocument/2006/relationships/hyperlink" Id="rId76" Target="https://doi.org/10.1021/acs.jproteome.0c00192" TargetMode="External" /><Relationship Type="http://schemas.openxmlformats.org/officeDocument/2006/relationships/hyperlink" Id="rId80" Target="https://doi.org/10.1021/acs.jproteome.2c00313" TargetMode="External" /><Relationship Type="http://schemas.openxmlformats.org/officeDocument/2006/relationships/hyperlink" Id="rId100" Target="https://doi.org/10.1038/nbt.2377" TargetMode="External" /><Relationship Type="http://schemas.openxmlformats.org/officeDocument/2006/relationships/hyperlink" Id="rId70" Target="https://doi.org/10.1038/nbt.2841" TargetMode="External" /><Relationship Type="http://schemas.openxmlformats.org/officeDocument/2006/relationships/hyperlink" Id="rId82" Target="https://doi.org/10.1038/s41598-020-65015-y" TargetMode="External" /><Relationship Type="http://schemas.openxmlformats.org/officeDocument/2006/relationships/hyperlink" Id="rId78" Target="https://doi.org/10.1074/mcp.O111.011379" TargetMode="External" /><Relationship Type="http://schemas.openxmlformats.org/officeDocument/2006/relationships/hyperlink" Id="rId88" Target="https://doi.org/10.1074/mcp.O114.039115" TargetMode="External" /><Relationship Type="http://schemas.openxmlformats.org/officeDocument/2006/relationships/hyperlink" Id="rId72" Target="https://doi.org/10.1074/mcp.O114.047035" TargetMode="External" /><Relationship Type="http://schemas.openxmlformats.org/officeDocument/2006/relationships/hyperlink" Id="rId68" Target="https://doi.org/10.1074/mcp.R110.000133" TargetMode="External" /><Relationship Type="http://schemas.openxmlformats.org/officeDocument/2006/relationships/hyperlink" Id="rId92" Target="https://doi.org/10.1093/bioinformatics/btac098" TargetMode="External" /><Relationship Type="http://schemas.openxmlformats.org/officeDocument/2006/relationships/hyperlink" Id="rId108" Target="https://doi.org/10.1093/nar/gkv1042" TargetMode="External" /><Relationship Type="http://schemas.openxmlformats.org/officeDocument/2006/relationships/hyperlink" Id="rId110" Target="https://doi.org/10.1101/2022.08.06.503000" TargetMode="External" /><Relationship Type="http://schemas.openxmlformats.org/officeDocument/2006/relationships/hyperlink" Id="rId94" Target="https://doi.org/10.1109/e-Science.2009.18" TargetMode="External" /><Relationship Type="http://schemas.openxmlformats.org/officeDocument/2006/relationships/hyperlink" Id="rId112" Target="https://doi.org/10.1145/3299869.3320212" TargetMode="External" /><Relationship Type="http://schemas.openxmlformats.org/officeDocument/2006/relationships/hyperlink" Id="rId102" Target="https://doi.org/10.1145/362384.362685" TargetMode="External" /><Relationship Type="http://schemas.openxmlformats.org/officeDocument/2006/relationships/hyperlink" Id="rId98" Target="https://doi.org/10.1186/s12859-021-04490-0" TargetMode="External" /><Relationship Type="http://schemas.openxmlformats.org/officeDocument/2006/relationships/hyperlink" Id="rId74" Target="https://doi.org/10.1371/journal.pone.0125108" TargetMode="External" /><Relationship Type="http://schemas.openxmlformats.org/officeDocument/2006/relationships/hyperlink" Id="rId90" Target="https://doi.org/10.1371/journal.pone.0188059" TargetMode="External" /><Relationship Type="http://schemas.openxmlformats.org/officeDocument/2006/relationships/hyperlink" Id="rId114" Target="https://doi.org/10.32614/RJ-2022-050" TargetMode="External" /><Relationship Type="http://schemas.openxmlformats.org/officeDocument/2006/relationships/hyperlink" Id="rId106" Target="https://doi.org/10.3390/metabo12020173"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02/mas.21522" TargetMode="External" /><Relationship Type="http://schemas.openxmlformats.org/officeDocument/2006/relationships/hyperlink" Id="rId96" Target="https://doi.org/10.1007/978-1-60761-987-1_12" TargetMode="External" /><Relationship Type="http://schemas.openxmlformats.org/officeDocument/2006/relationships/hyperlink" Id="rId86" Target="https://doi.org/10.1016/j.jasms.2010.06.014" TargetMode="External" /><Relationship Type="http://schemas.openxmlformats.org/officeDocument/2006/relationships/hyperlink" Id="rId104" Target="https://doi.org/10.1021/ac051437y" TargetMode="External" /><Relationship Type="http://schemas.openxmlformats.org/officeDocument/2006/relationships/hyperlink" Id="rId76" Target="https://doi.org/10.1021/acs.jproteome.0c00192" TargetMode="External" /><Relationship Type="http://schemas.openxmlformats.org/officeDocument/2006/relationships/hyperlink" Id="rId80" Target="https://doi.org/10.1021/acs.jproteome.2c00313" TargetMode="External" /><Relationship Type="http://schemas.openxmlformats.org/officeDocument/2006/relationships/hyperlink" Id="rId100" Target="https://doi.org/10.1038/nbt.2377" TargetMode="External" /><Relationship Type="http://schemas.openxmlformats.org/officeDocument/2006/relationships/hyperlink" Id="rId70" Target="https://doi.org/10.1038/nbt.2841" TargetMode="External" /><Relationship Type="http://schemas.openxmlformats.org/officeDocument/2006/relationships/hyperlink" Id="rId82" Target="https://doi.org/10.1038/s41598-020-65015-y" TargetMode="External" /><Relationship Type="http://schemas.openxmlformats.org/officeDocument/2006/relationships/hyperlink" Id="rId78" Target="https://doi.org/10.1074/mcp.O111.011379" TargetMode="External" /><Relationship Type="http://schemas.openxmlformats.org/officeDocument/2006/relationships/hyperlink" Id="rId88" Target="https://doi.org/10.1074/mcp.O114.039115" TargetMode="External" /><Relationship Type="http://schemas.openxmlformats.org/officeDocument/2006/relationships/hyperlink" Id="rId72" Target="https://doi.org/10.1074/mcp.O114.047035" TargetMode="External" /><Relationship Type="http://schemas.openxmlformats.org/officeDocument/2006/relationships/hyperlink" Id="rId68" Target="https://doi.org/10.1074/mcp.R110.000133" TargetMode="External" /><Relationship Type="http://schemas.openxmlformats.org/officeDocument/2006/relationships/hyperlink" Id="rId92" Target="https://doi.org/10.1093/bioinformatics/btac098" TargetMode="External" /><Relationship Type="http://schemas.openxmlformats.org/officeDocument/2006/relationships/hyperlink" Id="rId108" Target="https://doi.org/10.1093/nar/gkv1042" TargetMode="External" /><Relationship Type="http://schemas.openxmlformats.org/officeDocument/2006/relationships/hyperlink" Id="rId110" Target="https://doi.org/10.1101/2022.08.06.503000" TargetMode="External" /><Relationship Type="http://schemas.openxmlformats.org/officeDocument/2006/relationships/hyperlink" Id="rId94" Target="https://doi.org/10.1109/e-Science.2009.18" TargetMode="External" /><Relationship Type="http://schemas.openxmlformats.org/officeDocument/2006/relationships/hyperlink" Id="rId112" Target="https://doi.org/10.1145/3299869.3320212" TargetMode="External" /><Relationship Type="http://schemas.openxmlformats.org/officeDocument/2006/relationships/hyperlink" Id="rId102" Target="https://doi.org/10.1145/362384.362685" TargetMode="External" /><Relationship Type="http://schemas.openxmlformats.org/officeDocument/2006/relationships/hyperlink" Id="rId98" Target="https://doi.org/10.1186/s12859-021-04490-0" TargetMode="External" /><Relationship Type="http://schemas.openxmlformats.org/officeDocument/2006/relationships/hyperlink" Id="rId74" Target="https://doi.org/10.1371/journal.pone.0125108" TargetMode="External" /><Relationship Type="http://schemas.openxmlformats.org/officeDocument/2006/relationships/hyperlink" Id="rId90" Target="https://doi.org/10.1371/journal.pone.0188059" TargetMode="External" /><Relationship Type="http://schemas.openxmlformats.org/officeDocument/2006/relationships/hyperlink" Id="rId114" Target="https://doi.org/10.32614/RJ-2022-050" TargetMode="External" /><Relationship Type="http://schemas.openxmlformats.org/officeDocument/2006/relationships/hyperlink" Id="rId106" Target="https://doi.org/10.3390/metabo12020173"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Anitra E. Ingalls</dc:creator>
  <cp:keywords/>
  <dcterms:created xsi:type="dcterms:W3CDTF">2025-03-04T02:08:46Z</dcterms:created>
  <dcterms:modified xsi:type="dcterms:W3CDTF">2025-03-04T02:08:46Z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