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5.png" ContentType="image/png"/>
  <Override PartName="/word/media/rId49.png" ContentType="image/png"/>
  <Override PartName="/word/media/rId37.png" ContentType="image/png"/>
  <Override PartName="/word/media/rId125.png" ContentType="image/png"/>
  <Override PartName="/word/media/rId128.png" ContentType="image/png"/>
  <Override PartName="/word/media/rId13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 are an effective and efficient method for storage and access of mass-spectrometry data</w:t>
      </w:r>
    </w:p>
    <w:p>
      <w:pPr>
        <w:pStyle w:val="Author"/>
      </w:pPr>
      <w:r>
        <w:t xml:space="preserve">William Kumler</w:t>
      </w:r>
    </w:p>
    <w:p>
      <w:pPr>
        <w:pStyle w:val="Author"/>
      </w:pPr>
      <w:r>
        <w:t xml:space="preserve">Sam LaRue</w:t>
      </w:r>
    </w:p>
    <w:p>
      <w:pPr>
        <w:pStyle w:val="Author"/>
      </w:pPr>
      <w:r>
        <w:t xml:space="preserve">Anitra E. 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Current mass spectrometry (MS) data formats lack accessibility, interoperability, and performance. This study evaluates 10 recent MS file formats and readers across several exploratory MS analysis metrics and compares them to a simple database representation implemented in SQLite, DuckDB, and Parquet. We found that most existing formats severely lack the documentation required for adoption and that no existing format offers a balanced combination of speed, storage space, and simplicity. In contrast, our data storage schema improved data discovery and extraction by multiple orders of magnitude with minimal overhead. We argue that these database systems offer a performant and transparent way to store MS data for exploratory analysis while reducing technical debt and allowing mass spectrometrists to leverage recent advances in data science as our own computational complexity continues to grow.</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Alternative file formats aimed at improving data access are proposed nearly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exchange ease of use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on disk. Here, we test the hypothesis that a</w:t>
      </w:r>
      <w:r>
        <w:t xml:space="preserve"> </w:t>
      </w:r>
      <w:r>
        <w:t xml:space="preserve">“vanilla”</w:t>
      </w:r>
      <w:r>
        <w:t xml:space="preserve"> </w:t>
      </w:r>
      <w:r>
        <w:t xml:space="preserve">implementation of a relational database which exposes the raw</w:t>
      </w:r>
      <w:r>
        <w:t xml:space="preserve"> </w:t>
      </w:r>
      <w:r>
        <w:rPr>
          <w:i/>
          <w:iCs/>
        </w:rPr>
        <w:t xml:space="preserve">m/z</w:t>
      </w:r>
      <w:r>
        <w:t xml:space="preserve"> </w:t>
      </w:r>
      <w:r>
        <w:t xml:space="preserve">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01"/>
        </w:numPr>
      </w:pPr>
      <w:r>
        <w:t xml:space="preserve">Is there a simple database schema that enables exploratory MS queries with basic SQL statements?</w:t>
      </w:r>
    </w:p>
    <w:p>
      <w:pPr>
        <w:pStyle w:val="Compact"/>
        <w:numPr>
          <w:ilvl w:val="0"/>
          <w:numId w:val="1001"/>
        </w:numPr>
      </w:pPr>
      <w:r>
        <w:t xml:space="preserve">How expensive in time and (disk) space is it to access MS data in SQLite, DuckDB, and Parquet formats?</w:t>
      </w:r>
    </w:p>
    <w:p>
      <w:pPr>
        <w:pStyle w:val="Compact"/>
        <w:numPr>
          <w:ilvl w:val="0"/>
          <w:numId w:val="1001"/>
        </w:numPr>
      </w:pPr>
      <w:r>
        <w:t xml:space="preserve">How does this cost compare to more complex MS storage formats that have been previously proposed?</w:t>
      </w:r>
    </w:p>
    <w:bookmarkEnd w:id="22"/>
    <w:bookmarkStart w:id="31" w:name="experimental-section"/>
    <w:p>
      <w:pPr>
        <w:pStyle w:val="Heading1"/>
      </w:pPr>
      <w:r>
        <w:t xml:space="preserve">Experimental section</w:t>
      </w:r>
    </w:p>
    <w:p>
      <w:pPr>
        <w:pStyle w:val="FirstParagraph"/>
      </w:pPr>
      <w:r>
        <w:t xml:space="preserve">We chose to focus on liquid-chromatography mass-spectrometry (LC-MS) data given its widespread use and fundamentally simple raw data structure as tuples consisting of retention time,</w:t>
      </w:r>
      <w:r>
        <w:t xml:space="preserve"> </w:t>
      </w:r>
      <w:r>
        <w:rPr>
          <w:i/>
          <w:iCs/>
        </w:rPr>
        <w:t xml:space="preserve">m/z</w:t>
      </w:r>
      <w:r>
        <w:t xml:space="preserve">, and intensity, though the tidy framework here can be extended easily to other MS data (Supplemental Figure 1). 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 drift time, spatial coordinate,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30"/>
    <w:bookmarkEnd w:id="31"/>
    <w:bookmarkStart w:id="53" w:name="results"/>
    <w:p>
      <w:pPr>
        <w:pStyle w:val="Heading1"/>
      </w:pPr>
      <w:r>
        <w:t xml:space="preserve">Results</w:t>
      </w:r>
    </w:p>
    <w:p>
      <w:pPr>
        <w:pStyle w:val="FirstParagraph"/>
      </w:pPr>
      <w:r>
        <w:t xml:space="preserve">We settled on a large dataset of gut microbiota LC-MS files published in Portlock et al. (2025)</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extensive documentation, providing self-contained extensions to</w:t>
      </w:r>
      <w:r>
        <w:t xml:space="preserve"> </w:t>
      </w:r>
      <w:r>
        <w:rPr>
          <w:rStyle w:val="VerbatimChar"/>
        </w:rPr>
        <w:t xml:space="preserve">msconvert</w:t>
      </w:r>
      <w:r>
        <w:t xml:space="preserve"> </w:t>
      </w:r>
      <w:r>
        <w:t xml:space="preserve">for ease of conversion. However, both converters provide limited coverage, with mzDB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was not available for other operating systems, much like MZA and mzDB. The Python package designed to allow an interface to the file type has been deprecated and we were unable to install or use it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provided no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The mzML file type had the most extensive coverage but documentation and prebuilt functionality was still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sparse, especially for one of the earliest mzML formats with support from Proteowizard.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has not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can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exclusively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4" w:name="X6a790e615fb405311c23ca5ebace239bd801021"/>
    <w:p>
      <w:pPr>
        <w:pStyle w:val="Heading2"/>
      </w:pPr>
      <w:r>
        <w:t xml:space="preserve">Time and space requirements for a single DDA file across formats</w:t>
      </w:r>
    </w:p>
    <w:bookmarkStart w:id="40"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and no metadata was obviously available that would have allowed using the index directly to a specific scan number.</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0"/>
    <w:bookmarkStart w:id="41"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1"/>
    <w:bookmarkStart w:id="42"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2"/>
    <w:bookmarkStart w:id="43"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3"/>
    <w:bookmarkEnd w:id="44"/>
    <w:bookmarkStart w:id="48"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6" name="Picture"/>
            <a:graphic>
              <a:graphicData uri="http://schemas.openxmlformats.org/drawingml/2006/picture">
                <pic:pic>
                  <pic:nvPicPr>
                    <pic:cNvPr descr="figures/multichrom_fig.png" id="47" name="Picture"/>
                    <pic:cNvPicPr>
                      <a:picLocks noChangeArrowheads="1" noChangeAspect="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resulting in faster subsequent queries that performed better than predicted from a 1:1 extrapolation, with pyopenms matching SQLite’s speed after 10 chromatograms and Parquet’s speed after 30. The methods that had a best-fit linear slope less than 1:1 also all had exponential fits, with performance at high chromatogram number worse than expected from a predicted fit to the timings for 1 and 3 chromatogram extractions (Supplemental figure 3).</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bookmarkEnd w:id="48"/>
    <w:bookmarkStart w:id="52"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0.5 seconds to 0.03 seconds, Figure 4). However, because the SQLite index is stored on disk alongside the data, this improvement also increased the file size by 24%. Parquet files had the smallest improvement upon data ordering and required 50% more space, likely due to the reordering resulting in worse compression in other columns such as filename or retention time. DuckDB also improved significantly with ordered data but to a smaller degree and in contrast to SQLite or Parquet sometimes actually decreased in size when ordered.</w:t>
      </w:r>
    </w:p>
    <w:p>
      <w:pPr>
        <w:pStyle w:val="BodyText"/>
      </w:pPr>
      <w:r>
        <w:t xml:space="preserve">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4).</w:t>
      </w:r>
    </w:p>
    <w:p>
      <w:pPr>
        <w:pStyle w:val="BodyText"/>
      </w:pPr>
      <w:r>
        <w:drawing>
          <wp:inline>
            <wp:extent cx="5943600" cy="3200399"/>
            <wp:effectExtent b="0" l="0" r="0" t="0"/>
            <wp:docPr descr="" title="" id="50" name="Picture"/>
            <a:graphic>
              <a:graphicData uri="http://schemas.openxmlformats.org/drawingml/2006/picture">
                <pic:pic>
                  <pic:nvPicPr>
                    <pic:cNvPr descr="figures/multifile_fig.png" id="51" name="Picture"/>
                    <pic:cNvPicPr>
                      <a:picLocks noChangeArrowheads="1" noChangeAspect="1"/>
                    </pic:cNvPicPr>
                  </pic:nvPicPr>
                  <pic:blipFill>
                    <a:blip r:embed="rId49"/>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52"/>
    <w:bookmarkEnd w:id="53"/>
    <w:bookmarkStart w:id="57"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2).</w:t>
      </w:r>
    </w:p>
    <w:p>
      <w:pPr>
        <w:pStyle w:val="BodyText"/>
      </w:pPr>
      <w:r>
        <w:t xml:space="preserve">However, performant scan-based methods struggled significantly with chromatogram extraction because these axes are inherently orthogonal to each other. mzDB was competitive with the specifically optimized mzTree and mzMD formats, illustrating its success as an axis-agnostic structure. We were especially impressed with the 2DPeak method in pyopenms when extracting multiple chromatograms, as it had essentially a single setup time cost after which any number of chromatograms could be extracted for free and can therefore be highly recommended for visualization applications. Chromatograms (and retention time range queries) are of course only relevant for chromatography-based workflows but this type of analysis has become increasingly popular,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54"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chromatograms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w:t>
      </w:r>
      <w:r>
        <w:t xml:space="preserve">from Pacific Northwest National Laboratory format did not report direct comparisons to any of the available formats and thus we must remain unclear on its performance capabilities.</w:t>
      </w:r>
    </w:p>
    <w:bookmarkEnd w:id="54"/>
    <w:bookmarkStart w:id="55"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necessary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(e.g. during polarity switching, multi-experiment samples, or if any filtering is performed during processing), so even if the first or second item in the structure can be queried speedily this is no guarantee that the item will contain the information of interest.</w:t>
      </w:r>
    </w:p>
    <w:bookmarkEnd w:id="55"/>
    <w:bookmarkStart w:id="56"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rPr>
          <w:vertAlign w:val="superscript"/>
        </w:rPr>
        <w:t xml:space="preserve">18</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56"/>
    <w:bookmarkEnd w:id="57"/>
    <w:bookmarkStart w:id="58"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58"/>
    <w:bookmarkStart w:id="59" w:name="acknowledgements"/>
    <w:p>
      <w:pPr>
        <w:pStyle w:val="Heading1"/>
      </w:pPr>
      <w:r>
        <w:t xml:space="preserve">Acknowledgements</w:t>
      </w:r>
    </w:p>
    <w:p>
      <w:pPr>
        <w:pStyle w:val="FirstParagraph"/>
      </w:pPr>
      <w:r>
        <w:t xml:space="preserve">We would like to acknowledge the University of Washington’s eScience Institute and especially Bryna Hazelton and Dave Beck for their guidance and support during this project. We are also grateful to Theo Portlock and the other authors of their 2025 manuscript for posting their metabolomics data to Metabolights and allowing us to reuse it. Finally, we would like to acknowledge Josh Sacks and other members of the Ingalls Lab for their helpful discussions and for beta-testing many parts of the project.</w:t>
      </w:r>
    </w:p>
    <w:bookmarkEnd w:id="59"/>
    <w:bookmarkStart w:id="61" w:name="data-availability"/>
    <w:p>
      <w:pPr>
        <w:pStyle w:val="Heading1"/>
      </w:pPr>
      <w:r>
        <w:t xml:space="preserve">Data availability</w:t>
      </w:r>
    </w:p>
    <w:p>
      <w:pPr>
        <w:pStyle w:val="FirstParagraph"/>
      </w:pPr>
      <w:r>
        <w:t xml:space="preserve">All data and code are available on the Github repository associated with this project at</w:t>
      </w:r>
      <w:r>
        <w:t xml:space="preserve"> </w:t>
      </w:r>
      <w:hyperlink r:id="rId60">
        <w:r>
          <w:rPr>
            <w:rStyle w:val="Hyperlink"/>
          </w:rPr>
          <w:t xml:space="preserve">https://github.com/wkumler/mzsql</w:t>
        </w:r>
      </w:hyperlink>
      <w:r>
        <w:t xml:space="preserve"> </w:t>
      </w:r>
      <w:r>
        <w:t xml:space="preserve">under the</w:t>
      </w:r>
      <w:r>
        <w:t xml:space="preserve"> </w:t>
      </w:r>
      <w:r>
        <w:rPr>
          <w:rStyle w:val="VerbatimChar"/>
        </w:rPr>
        <w:t xml:space="preserve">manuscript_things</w:t>
      </w:r>
      <w:r>
        <w:t xml:space="preserve"> </w:t>
      </w:r>
      <w:r>
        <w:t xml:space="preserve">branch.</w:t>
      </w:r>
    </w:p>
    <w:bookmarkEnd w:id="61"/>
    <w:bookmarkStart w:id="121" w:name="references"/>
    <w:p>
      <w:pPr>
        <w:pStyle w:val="Heading1"/>
      </w:pPr>
      <w:r>
        <w:t xml:space="preserve">References</w:t>
      </w:r>
    </w:p>
    <w:bookmarkStart w:id="120" w:name="refs"/>
    <w:bookmarkStart w:id="63"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62">
        <w:r>
          <w:rPr>
            <w:rStyle w:val="Hyperlink"/>
          </w:rPr>
          <w:t xml:space="preserve">https://doi.org/10.1074/mcp.R110.000133</w:t>
        </w:r>
      </w:hyperlink>
      <w:r>
        <w:t xml:space="preserve">.</w:t>
      </w:r>
    </w:p>
    <w:bookmarkEnd w:id="63"/>
    <w:bookmarkStart w:id="65"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64">
        <w:r>
          <w:rPr>
            <w:rStyle w:val="Hyperlink"/>
          </w:rPr>
          <w:t xml:space="preserve">https://doi.org/10.1038/nbt.2841</w:t>
        </w:r>
      </w:hyperlink>
      <w:r>
        <w:t xml:space="preserve">.</w:t>
      </w:r>
    </w:p>
    <w:bookmarkEnd w:id="65"/>
    <w:bookmarkStart w:id="67"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66">
        <w:r>
          <w:rPr>
            <w:rStyle w:val="Hyperlink"/>
          </w:rPr>
          <w:t xml:space="preserve">https://doi.org/10.1074/mcp.O114.047035</w:t>
        </w:r>
      </w:hyperlink>
      <w:r>
        <w:t xml:space="preserve">.</w:t>
      </w:r>
    </w:p>
    <w:bookmarkEnd w:id="67"/>
    <w:bookmarkStart w:id="69"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68">
        <w:r>
          <w:rPr>
            <w:rStyle w:val="Hyperlink"/>
          </w:rPr>
          <w:t xml:space="preserve">https://doi.org/10.1371/journal.pone.0125108</w:t>
        </w:r>
      </w:hyperlink>
      <w:r>
        <w:t xml:space="preserve">.</w:t>
      </w:r>
    </w:p>
    <w:bookmarkEnd w:id="69"/>
    <w:bookmarkStart w:id="71"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0">
        <w:r>
          <w:rPr>
            <w:rStyle w:val="Hyperlink"/>
          </w:rPr>
          <w:t xml:space="preserve">https://doi.org/10.1021/acs.jproteome.0c00192</w:t>
        </w:r>
      </w:hyperlink>
      <w:r>
        <w:t xml:space="preserve">.</w:t>
      </w:r>
    </w:p>
    <w:bookmarkEnd w:id="71"/>
    <w:bookmarkStart w:id="73"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72">
        <w:r>
          <w:rPr>
            <w:rStyle w:val="Hyperlink"/>
          </w:rPr>
          <w:t xml:space="preserve">https://doi.org/10.1074/mcp.O111.011379</w:t>
        </w:r>
      </w:hyperlink>
      <w:r>
        <w:t xml:space="preserve">.</w:t>
      </w:r>
    </w:p>
    <w:bookmarkEnd w:id="73"/>
    <w:bookmarkStart w:id="75"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74">
        <w:r>
          <w:rPr>
            <w:rStyle w:val="Hyperlink"/>
          </w:rPr>
          <w:t xml:space="preserve">https://doi.org/10.1021/acs.jproteome.2c00313</w:t>
        </w:r>
      </w:hyperlink>
      <w:r>
        <w:t xml:space="preserve">.</w:t>
      </w:r>
    </w:p>
    <w:bookmarkEnd w:id="75"/>
    <w:bookmarkStart w:id="77"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76">
        <w:r>
          <w:rPr>
            <w:rStyle w:val="Hyperlink"/>
          </w:rPr>
          <w:t xml:space="preserve">https://doi.org/10.1038/s41598-020-65015-y</w:t>
        </w:r>
      </w:hyperlink>
      <w:r>
        <w:t xml:space="preserve">.</w:t>
      </w:r>
    </w:p>
    <w:bookmarkEnd w:id="77"/>
    <w:bookmarkStart w:id="79"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78">
        <w:r>
          <w:rPr>
            <w:rStyle w:val="Hyperlink"/>
          </w:rPr>
          <w:t xml:space="preserve">https://doi.org/10.1002/mas.21522</w:t>
        </w:r>
      </w:hyperlink>
      <w:r>
        <w:t xml:space="preserve">.</w:t>
      </w:r>
    </w:p>
    <w:bookmarkEnd w:id="79"/>
    <w:bookmarkStart w:id="81"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0">
        <w:r>
          <w:rPr>
            <w:rStyle w:val="Hyperlink"/>
          </w:rPr>
          <w:t xml:space="preserve">https://doi.org/10.1016/j.jasms.2010.06.014</w:t>
        </w:r>
      </w:hyperlink>
      <w:r>
        <w:t xml:space="preserve">.</w:t>
      </w:r>
    </w:p>
    <w:bookmarkEnd w:id="81"/>
    <w:bookmarkStart w:id="83"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82">
        <w:r>
          <w:rPr>
            <w:rStyle w:val="Hyperlink"/>
          </w:rPr>
          <w:t xml:space="preserve">https://doi.org/10.1074/mcp.O114.039115</w:t>
        </w:r>
      </w:hyperlink>
      <w:r>
        <w:t xml:space="preserve">.</w:t>
      </w:r>
    </w:p>
    <w:bookmarkEnd w:id="83"/>
    <w:bookmarkStart w:id="85"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84">
        <w:r>
          <w:rPr>
            <w:rStyle w:val="Hyperlink"/>
          </w:rPr>
          <w:t xml:space="preserve">https://doi.org/10.1371/journal.pone.0188059</w:t>
        </w:r>
      </w:hyperlink>
      <w:r>
        <w:t xml:space="preserve">.</w:t>
      </w:r>
    </w:p>
    <w:bookmarkEnd w:id="85"/>
    <w:bookmarkStart w:id="87"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86">
        <w:r>
          <w:rPr>
            <w:rStyle w:val="Hyperlink"/>
          </w:rPr>
          <w:t xml:space="preserve">https://doi.org/10.1093/bioinformatics/btac098</w:t>
        </w:r>
      </w:hyperlink>
      <w:r>
        <w:t xml:space="preserve">.</w:t>
      </w:r>
    </w:p>
    <w:bookmarkEnd w:id="87"/>
    <w:bookmarkStart w:id="89"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88">
        <w:r>
          <w:rPr>
            <w:rStyle w:val="Hyperlink"/>
          </w:rPr>
          <w:t xml:space="preserve">https://doi.org/10.1109/e-Science.2009.18</w:t>
        </w:r>
      </w:hyperlink>
      <w:r>
        <w:t xml:space="preserve">.</w:t>
      </w:r>
    </w:p>
    <w:bookmarkEnd w:id="89"/>
    <w:bookmarkStart w:id="91"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0">
        <w:r>
          <w:rPr>
            <w:rStyle w:val="Hyperlink"/>
          </w:rPr>
          <w:t xml:space="preserve">https://doi.org/10.1007/978-1-60761-987-1_12</w:t>
        </w:r>
      </w:hyperlink>
      <w:r>
        <w:t xml:space="preserve">.</w:t>
      </w:r>
    </w:p>
    <w:bookmarkEnd w:id="91"/>
    <w:bookmarkStart w:id="93"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92">
        <w:r>
          <w:rPr>
            <w:rStyle w:val="Hyperlink"/>
          </w:rPr>
          <w:t xml:space="preserve">https://doi.org/10.1186/s12859-021-04490-0</w:t>
        </w:r>
      </w:hyperlink>
      <w:r>
        <w:t xml:space="preserve">.</w:t>
      </w:r>
    </w:p>
    <w:bookmarkEnd w:id="93"/>
    <w:bookmarkStart w:id="95"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94">
        <w:r>
          <w:rPr>
            <w:rStyle w:val="Hyperlink"/>
          </w:rPr>
          <w:t xml:space="preserve">https://doi.org/10.1038/nbt.2377</w:t>
        </w:r>
      </w:hyperlink>
      <w:r>
        <w:t xml:space="preserve">.</w:t>
      </w:r>
    </w:p>
    <w:bookmarkEnd w:id="95"/>
    <w:bookmarkStart w:id="97"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96">
        <w:r>
          <w:rPr>
            <w:rStyle w:val="Hyperlink"/>
          </w:rPr>
          <w:t xml:space="preserve">https://doi.org/10.1145/362384.362685</w:t>
        </w:r>
      </w:hyperlink>
      <w:r>
        <w:t xml:space="preserve">.</w:t>
      </w:r>
    </w:p>
    <w:bookmarkEnd w:id="97"/>
    <w:bookmarkStart w:id="99"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98">
        <w:r>
          <w:rPr>
            <w:rStyle w:val="Hyperlink"/>
          </w:rPr>
          <w:t xml:space="preserve">https://doi.org/10.1021/ac051437y</w:t>
        </w:r>
      </w:hyperlink>
      <w:r>
        <w:t xml:space="preserve">.</w:t>
      </w:r>
    </w:p>
    <w:bookmarkEnd w:id="99"/>
    <w:bookmarkStart w:id="101"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0">
        <w:r>
          <w:rPr>
            <w:rStyle w:val="Hyperlink"/>
          </w:rPr>
          <w:t xml:space="preserve">https://doi.org/10.3390/metabo12020173</w:t>
        </w:r>
      </w:hyperlink>
      <w:r>
        <w:t xml:space="preserve">.</w:t>
      </w:r>
    </w:p>
    <w:bookmarkEnd w:id="101"/>
    <w:bookmarkStart w:id="103"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02">
        <w:r>
          <w:rPr>
            <w:rStyle w:val="Hyperlink"/>
          </w:rPr>
          <w:t xml:space="preserve">https://doi.org/10.1093/nar/gkv1042</w:t>
        </w:r>
      </w:hyperlink>
      <w:r>
        <w:t xml:space="preserve">.</w:t>
      </w:r>
    </w:p>
    <w:bookmarkEnd w:id="103"/>
    <w:bookmarkStart w:id="105"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04">
        <w:r>
          <w:rPr>
            <w:rStyle w:val="Hyperlink"/>
          </w:rPr>
          <w:t xml:space="preserve">https://doi.org/10.1101/2022.08.06.503000</w:t>
        </w:r>
      </w:hyperlink>
      <w:r>
        <w:t xml:space="preserve">.</w:t>
      </w:r>
    </w:p>
    <w:bookmarkEnd w:id="105"/>
    <w:bookmarkStart w:id="107"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06">
        <w:r>
          <w:rPr>
            <w:rStyle w:val="Hyperlink"/>
          </w:rPr>
          <w:t xml:space="preserve">https://doi.org/10.1145/3299869.3320212</w:t>
        </w:r>
      </w:hyperlink>
      <w:r>
        <w:t xml:space="preserve">.</w:t>
      </w:r>
    </w:p>
    <w:bookmarkEnd w:id="107"/>
    <w:bookmarkStart w:id="109"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08">
        <w:r>
          <w:rPr>
            <w:rStyle w:val="Hyperlink"/>
          </w:rPr>
          <w:t xml:space="preserve">https://doi.org/10.32614/RJ-2022-050</w:t>
        </w:r>
      </w:hyperlink>
      <w:r>
        <w:t xml:space="preserve">.</w:t>
      </w:r>
    </w:p>
    <w:bookmarkEnd w:id="109"/>
    <w:bookmarkStart w:id="111"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0">
        <w:r>
          <w:rPr>
            <w:rStyle w:val="Hyperlink"/>
          </w:rPr>
          <w:t xml:space="preserve">https://doi.org/10.1093/nar/gkz1019</w:t>
        </w:r>
      </w:hyperlink>
      <w:r>
        <w:t xml:space="preserve">.</w:t>
      </w:r>
    </w:p>
    <w:bookmarkEnd w:id="111"/>
    <w:bookmarkStart w:id="113"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12">
        <w:r>
          <w:rPr>
            <w:rStyle w:val="Hyperlink"/>
          </w:rPr>
          <w:t xml:space="preserve">https://doi.org/10.1038/s41467-024-55798-3</w:t>
        </w:r>
      </w:hyperlink>
      <w:r>
        <w:t xml:space="preserve">.</w:t>
      </w:r>
    </w:p>
    <w:bookmarkEnd w:id="113"/>
    <w:bookmarkStart w:id="115"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14">
        <w:r>
          <w:rPr>
            <w:rStyle w:val="Hyperlink"/>
          </w:rPr>
          <w:t xml:space="preserve">https://doi.org/10.5281/ZENODO.877338</w:t>
        </w:r>
      </w:hyperlink>
      <w:r>
        <w:t xml:space="preserve">.</w:t>
      </w:r>
    </w:p>
    <w:bookmarkEnd w:id="115"/>
    <w:bookmarkStart w:id="117"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16">
        <w:r>
          <w:rPr>
            <w:rStyle w:val="Hyperlink"/>
          </w:rPr>
          <w:t xml:space="preserve">https://doi.org/10.1038/s41598-022-09432-1</w:t>
        </w:r>
      </w:hyperlink>
      <w:r>
        <w:t xml:space="preserve">.</w:t>
      </w:r>
    </w:p>
    <w:bookmarkEnd w:id="117"/>
    <w:bookmarkStart w:id="119"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18">
        <w:r>
          <w:rPr>
            <w:rStyle w:val="Hyperlink"/>
          </w:rPr>
          <w:t xml:space="preserve">https://doi.org/10.1007/978-1-4842-2199-0_8</w:t>
        </w:r>
      </w:hyperlink>
      <w:r>
        <w:t xml:space="preserve">.</w:t>
      </w:r>
    </w:p>
    <w:bookmarkEnd w:id="119"/>
    <w:bookmarkEnd w:id="120"/>
    <w:bookmarkEnd w:id="121"/>
    <w:bookmarkStart w:id="134" w:name="supplement"/>
    <w:p>
      <w:pPr>
        <w:pStyle w:val="Heading1"/>
      </w:pPr>
      <w:r>
        <w:t xml:space="preserve">Supplement</w:t>
      </w:r>
    </w:p>
    <w:p>
      <w:pPr>
        <w:pStyle w:val="FirstParagraph"/>
      </w:pPr>
      <w:r>
        <w:drawing>
          <wp:inline>
            <wp:extent cx="5943600" cy="5029200"/>
            <wp:effectExtent b="0" l="0" r="0" t="0"/>
            <wp:docPr descr="" title="" id="123" name="Picture"/>
            <a:graphic>
              <a:graphicData uri="http://schemas.openxmlformats.org/drawingml/2006/picture">
                <pic:pic>
                  <pic:nvPicPr>
                    <pic:cNvPr descr="figures/supp_db_fig.png" id="124" name="Picture"/>
                    <pic:cNvPicPr>
                      <a:picLocks noChangeArrowheads="1" noChangeAspect="1"/>
                    </pic:cNvPicPr>
                  </pic:nvPicPr>
                  <pic:blipFill>
                    <a:blip r:embed="rId122"/>
                    <a:stretch>
                      <a:fillRect/>
                    </a:stretch>
                  </pic:blipFill>
                  <pic:spPr bwMode="auto">
                    <a:xfrm>
                      <a:off x="0" y="0"/>
                      <a:ext cx="5943600" cy="5029200"/>
                    </a:xfrm>
                    <a:prstGeom prst="rect">
                      <a:avLst/>
                    </a:prstGeom>
                    <a:noFill/>
                    <a:ln w="9525">
                      <a:noFill/>
                      <a:headEnd/>
                      <a:tailEnd/>
                    </a:ln>
                  </pic:spPr>
                </pic:pic>
              </a:graphicData>
            </a:graphic>
          </wp:inline>
        </w:drawing>
      </w:r>
    </w:p>
    <w:p>
      <w:pPr>
        <w:pStyle w:val="BodyText"/>
      </w:pPr>
      <w:r>
        <w:rPr>
          <w:i/>
          <w:iCs/>
        </w:rPr>
        <w:t xml:space="preserve">Supplemental figure 1: Additional possible extensions to the database schema for retention time correction, feature detection and correspondence, ion mobility, and imaging.</w:t>
      </w:r>
    </w:p>
    <w:p>
      <w:pPr>
        <w:pStyle w:val="BodyText"/>
      </w:pPr>
      <w:r>
        <w:drawing>
          <wp:inline>
            <wp:extent cx="5943600" cy="4572000"/>
            <wp:effectExtent b="0" l="0" r="0" t="0"/>
            <wp:docPr descr="" title="" id="126" name="Picture"/>
            <a:graphic>
              <a:graphicData uri="http://schemas.openxmlformats.org/drawingml/2006/picture">
                <pic:pic>
                  <pic:nvPicPr>
                    <pic:cNvPr descr="figures/supp_2_preload_fig.png" id="127" name="Picture"/>
                    <pic:cNvPicPr>
                      <a:picLocks noChangeArrowheads="1" noChangeAspect="1"/>
                    </pic:cNvPicPr>
                  </pic:nvPicPr>
                  <pic:blipFill>
                    <a:blip r:embed="rId12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2: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drawing>
          <wp:inline>
            <wp:extent cx="5943600" cy="4572000"/>
            <wp:effectExtent b="0" l="0" r="0" t="0"/>
            <wp:docPr descr="" title="" id="129" name="Picture"/>
            <a:graphic>
              <a:graphicData uri="http://schemas.openxmlformats.org/drawingml/2006/picture">
                <pic:pic>
                  <pic:nvPicPr>
                    <pic:cNvPr descr="figures/supp_3_multichrom_facets.png" id="130" name="Picture"/>
                    <pic:cNvPicPr>
                      <a:picLocks noChangeArrowheads="1" noChangeAspect="1"/>
                    </pic:cNvPicPr>
                  </pic:nvPicPr>
                  <pic:blipFill>
                    <a:blip r:embed="rId12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3: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drawing>
          <wp:inline>
            <wp:extent cx="5943600" cy="2743199"/>
            <wp:effectExtent b="0" l="0" r="0" t="0"/>
            <wp:docPr descr="" title="" id="132" name="Picture"/>
            <a:graphic>
              <a:graphicData uri="http://schemas.openxmlformats.org/drawingml/2006/picture">
                <pic:pic>
                  <pic:nvPicPr>
                    <pic:cNvPr descr="figures/supp_4_dbloopjoinuni.png" id="133" name="Picture"/>
                    <pic:cNvPicPr>
                      <a:picLocks noChangeArrowheads="1" noChangeAspect="1"/>
                    </pic:cNvPicPr>
                  </pic:nvPicPr>
                  <pic:blipFill>
                    <a:blip r:embed="rId131"/>
                    <a:stretch>
                      <a:fillRect/>
                    </a:stretch>
                  </pic:blipFill>
                  <pic:spPr bwMode="auto">
                    <a:xfrm>
                      <a:off x="0" y="0"/>
                      <a:ext cx="5943600" cy="2743199"/>
                    </a:xfrm>
                    <a:prstGeom prst="rect">
                      <a:avLst/>
                    </a:prstGeom>
                    <a:noFill/>
                    <a:ln w="9525">
                      <a:noFill/>
                      <a:headEnd/>
                      <a:tailEnd/>
                    </a:ln>
                  </pic:spPr>
                </pic:pic>
              </a:graphicData>
            </a:graphic>
          </wp:inline>
        </w:drawing>
      </w:r>
    </w:p>
    <w:p>
      <w:pPr>
        <w:pStyle w:val="BodyText"/>
      </w:pPr>
      <w:r>
        <w:rPr>
          <w:i/>
          <w:iCs/>
        </w:rPr>
        <w:t xml:space="preserve">Supplemental figure 4: Scatter showing time required to extract chromatograms from SQLite, DuckDB, and Parquet databases using different methods denoted by color. Ten replicates are shown for each data point.</w:t>
      </w:r>
    </w:p>
    <w:bookmarkEnd w:id="134"/>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22" Target="media/rId122.png" /><Relationship Type="http://schemas.openxmlformats.org/officeDocument/2006/relationships/hyperlink" Id="rId78" Target="https://doi.org/10.1002/mas.21522" TargetMode="External" /><Relationship Type="http://schemas.openxmlformats.org/officeDocument/2006/relationships/hyperlink" Id="rId118" Target="https://doi.org/10.1007/978-1-4842-2199-0_8" TargetMode="External" /><Relationship Type="http://schemas.openxmlformats.org/officeDocument/2006/relationships/hyperlink" Id="rId90" Target="https://doi.org/10.1007/978-1-60761-987-1_12" TargetMode="External" /><Relationship Type="http://schemas.openxmlformats.org/officeDocument/2006/relationships/hyperlink" Id="rId80" Target="https://doi.org/10.1016/j.jasms.2010.06.014" TargetMode="External" /><Relationship Type="http://schemas.openxmlformats.org/officeDocument/2006/relationships/hyperlink" Id="rId98" Target="https://doi.org/10.1021/ac051437y" TargetMode="External" /><Relationship Type="http://schemas.openxmlformats.org/officeDocument/2006/relationships/hyperlink" Id="rId70" Target="https://doi.org/10.1021/acs.jproteome.0c00192" TargetMode="External" /><Relationship Type="http://schemas.openxmlformats.org/officeDocument/2006/relationships/hyperlink" Id="rId74" Target="https://doi.org/10.1021/acs.jproteome.2c00313" TargetMode="External" /><Relationship Type="http://schemas.openxmlformats.org/officeDocument/2006/relationships/hyperlink" Id="rId94" Target="https://doi.org/10.1038/nbt.2377" TargetMode="External" /><Relationship Type="http://schemas.openxmlformats.org/officeDocument/2006/relationships/hyperlink" Id="rId64" Target="https://doi.org/10.1038/nbt.2841" TargetMode="External" /><Relationship Type="http://schemas.openxmlformats.org/officeDocument/2006/relationships/hyperlink" Id="rId112" Target="https://doi.org/10.1038/s41467-024-55798-3" TargetMode="External" /><Relationship Type="http://schemas.openxmlformats.org/officeDocument/2006/relationships/hyperlink" Id="rId76" Target="https://doi.org/10.1038/s41598-020-65015-y" TargetMode="External" /><Relationship Type="http://schemas.openxmlformats.org/officeDocument/2006/relationships/hyperlink" Id="rId116" Target="https://doi.org/10.1038/s41598-022-09432-1" TargetMode="External" /><Relationship Type="http://schemas.openxmlformats.org/officeDocument/2006/relationships/hyperlink" Id="rId72" Target="https://doi.org/10.1074/mcp.O111.011379" TargetMode="External" /><Relationship Type="http://schemas.openxmlformats.org/officeDocument/2006/relationships/hyperlink" Id="rId82" Target="https://doi.org/10.1074/mcp.O114.039115" TargetMode="External" /><Relationship Type="http://schemas.openxmlformats.org/officeDocument/2006/relationships/hyperlink" Id="rId66" Target="https://doi.org/10.1074/mcp.O114.047035" TargetMode="External" /><Relationship Type="http://schemas.openxmlformats.org/officeDocument/2006/relationships/hyperlink" Id="rId62" Target="https://doi.org/10.1074/mcp.R110.000133" TargetMode="External" /><Relationship Type="http://schemas.openxmlformats.org/officeDocument/2006/relationships/hyperlink" Id="rId86" Target="https://doi.org/10.1093/bioinformatics/btac098" TargetMode="External" /><Relationship Type="http://schemas.openxmlformats.org/officeDocument/2006/relationships/hyperlink" Id="rId102" Target="https://doi.org/10.1093/nar/gkv1042" TargetMode="External" /><Relationship Type="http://schemas.openxmlformats.org/officeDocument/2006/relationships/hyperlink" Id="rId110" Target="https://doi.org/10.1093/nar/gkz1019" TargetMode="External" /><Relationship Type="http://schemas.openxmlformats.org/officeDocument/2006/relationships/hyperlink" Id="rId104" Target="https://doi.org/10.1101/2022.08.06.503000" TargetMode="External" /><Relationship Type="http://schemas.openxmlformats.org/officeDocument/2006/relationships/hyperlink" Id="rId88" Target="https://doi.org/10.1109/e-Science.2009.18" TargetMode="External" /><Relationship Type="http://schemas.openxmlformats.org/officeDocument/2006/relationships/hyperlink" Id="rId106" Target="https://doi.org/10.1145/3299869.3320212" TargetMode="External" /><Relationship Type="http://schemas.openxmlformats.org/officeDocument/2006/relationships/hyperlink" Id="rId96" Target="https://doi.org/10.1145/362384.362685" TargetMode="External" /><Relationship Type="http://schemas.openxmlformats.org/officeDocument/2006/relationships/hyperlink" Id="rId92" Target="https://doi.org/10.1186/s12859-021-04490-0" TargetMode="External" /><Relationship Type="http://schemas.openxmlformats.org/officeDocument/2006/relationships/hyperlink" Id="rId68" Target="https://doi.org/10.1371/journal.pone.0125108" TargetMode="External" /><Relationship Type="http://schemas.openxmlformats.org/officeDocument/2006/relationships/hyperlink" Id="rId84" Target="https://doi.org/10.1371/journal.pone.0188059" TargetMode="External" /><Relationship Type="http://schemas.openxmlformats.org/officeDocument/2006/relationships/hyperlink" Id="rId108" Target="https://doi.org/10.32614/RJ-2022-050" TargetMode="External" /><Relationship Type="http://schemas.openxmlformats.org/officeDocument/2006/relationships/hyperlink" Id="rId100" Target="https://doi.org/10.3390/metabo12020173" TargetMode="External" /><Relationship Type="http://schemas.openxmlformats.org/officeDocument/2006/relationships/hyperlink" Id="rId114"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60" Target="https://github.com/wkumler/mzsql"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mas.21522" TargetMode="External" /><Relationship Type="http://schemas.openxmlformats.org/officeDocument/2006/relationships/hyperlink" Id="rId118" Target="https://doi.org/10.1007/978-1-4842-2199-0_8" TargetMode="External" /><Relationship Type="http://schemas.openxmlformats.org/officeDocument/2006/relationships/hyperlink" Id="rId90" Target="https://doi.org/10.1007/978-1-60761-987-1_12" TargetMode="External" /><Relationship Type="http://schemas.openxmlformats.org/officeDocument/2006/relationships/hyperlink" Id="rId80" Target="https://doi.org/10.1016/j.jasms.2010.06.014" TargetMode="External" /><Relationship Type="http://schemas.openxmlformats.org/officeDocument/2006/relationships/hyperlink" Id="rId98" Target="https://doi.org/10.1021/ac051437y" TargetMode="External" /><Relationship Type="http://schemas.openxmlformats.org/officeDocument/2006/relationships/hyperlink" Id="rId70" Target="https://doi.org/10.1021/acs.jproteome.0c00192" TargetMode="External" /><Relationship Type="http://schemas.openxmlformats.org/officeDocument/2006/relationships/hyperlink" Id="rId74" Target="https://doi.org/10.1021/acs.jproteome.2c00313" TargetMode="External" /><Relationship Type="http://schemas.openxmlformats.org/officeDocument/2006/relationships/hyperlink" Id="rId94" Target="https://doi.org/10.1038/nbt.2377" TargetMode="External" /><Relationship Type="http://schemas.openxmlformats.org/officeDocument/2006/relationships/hyperlink" Id="rId64" Target="https://doi.org/10.1038/nbt.2841" TargetMode="External" /><Relationship Type="http://schemas.openxmlformats.org/officeDocument/2006/relationships/hyperlink" Id="rId112" Target="https://doi.org/10.1038/s41467-024-55798-3" TargetMode="External" /><Relationship Type="http://schemas.openxmlformats.org/officeDocument/2006/relationships/hyperlink" Id="rId76" Target="https://doi.org/10.1038/s41598-020-65015-y" TargetMode="External" /><Relationship Type="http://schemas.openxmlformats.org/officeDocument/2006/relationships/hyperlink" Id="rId116" Target="https://doi.org/10.1038/s41598-022-09432-1" TargetMode="External" /><Relationship Type="http://schemas.openxmlformats.org/officeDocument/2006/relationships/hyperlink" Id="rId72" Target="https://doi.org/10.1074/mcp.O111.011379" TargetMode="External" /><Relationship Type="http://schemas.openxmlformats.org/officeDocument/2006/relationships/hyperlink" Id="rId82" Target="https://doi.org/10.1074/mcp.O114.039115" TargetMode="External" /><Relationship Type="http://schemas.openxmlformats.org/officeDocument/2006/relationships/hyperlink" Id="rId66" Target="https://doi.org/10.1074/mcp.O114.047035" TargetMode="External" /><Relationship Type="http://schemas.openxmlformats.org/officeDocument/2006/relationships/hyperlink" Id="rId62" Target="https://doi.org/10.1074/mcp.R110.000133" TargetMode="External" /><Relationship Type="http://schemas.openxmlformats.org/officeDocument/2006/relationships/hyperlink" Id="rId86" Target="https://doi.org/10.1093/bioinformatics/btac098" TargetMode="External" /><Relationship Type="http://schemas.openxmlformats.org/officeDocument/2006/relationships/hyperlink" Id="rId102" Target="https://doi.org/10.1093/nar/gkv1042" TargetMode="External" /><Relationship Type="http://schemas.openxmlformats.org/officeDocument/2006/relationships/hyperlink" Id="rId110" Target="https://doi.org/10.1093/nar/gkz1019" TargetMode="External" /><Relationship Type="http://schemas.openxmlformats.org/officeDocument/2006/relationships/hyperlink" Id="rId104" Target="https://doi.org/10.1101/2022.08.06.503000" TargetMode="External" /><Relationship Type="http://schemas.openxmlformats.org/officeDocument/2006/relationships/hyperlink" Id="rId88" Target="https://doi.org/10.1109/e-Science.2009.18" TargetMode="External" /><Relationship Type="http://schemas.openxmlformats.org/officeDocument/2006/relationships/hyperlink" Id="rId106" Target="https://doi.org/10.1145/3299869.3320212" TargetMode="External" /><Relationship Type="http://schemas.openxmlformats.org/officeDocument/2006/relationships/hyperlink" Id="rId96" Target="https://doi.org/10.1145/362384.362685" TargetMode="External" /><Relationship Type="http://schemas.openxmlformats.org/officeDocument/2006/relationships/hyperlink" Id="rId92" Target="https://doi.org/10.1186/s12859-021-04490-0" TargetMode="External" /><Relationship Type="http://schemas.openxmlformats.org/officeDocument/2006/relationships/hyperlink" Id="rId68" Target="https://doi.org/10.1371/journal.pone.0125108" TargetMode="External" /><Relationship Type="http://schemas.openxmlformats.org/officeDocument/2006/relationships/hyperlink" Id="rId84" Target="https://doi.org/10.1371/journal.pone.0188059" TargetMode="External" /><Relationship Type="http://schemas.openxmlformats.org/officeDocument/2006/relationships/hyperlink" Id="rId108" Target="https://doi.org/10.32614/RJ-2022-050" TargetMode="External" /><Relationship Type="http://schemas.openxmlformats.org/officeDocument/2006/relationships/hyperlink" Id="rId100" Target="https://doi.org/10.3390/metabo12020173" TargetMode="External" /><Relationship Type="http://schemas.openxmlformats.org/officeDocument/2006/relationships/hyperlink" Id="rId114"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60" Target="https://github.com/wkumler/mzsql"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2025-06-11T01:29:55Z</dcterms:created>
  <dcterms:modified xsi:type="dcterms:W3CDTF">2025-06-11T01:29:55Z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