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FFFE8" w14:textId="3F5BF5FE" w:rsidR="007D690A" w:rsidRPr="007D690A" w:rsidRDefault="007D690A" w:rsidP="007D690A">
      <w:r>
        <w:rPr>
          <w:rFonts w:hint="eastAsia"/>
        </w:rPr>
        <w:t>P1：</w:t>
      </w:r>
      <w:r w:rsidRPr="007D690A">
        <w:t>各位老师下午好，我今天汇报的主题是“全球海洋生态系统气候变化信号出现时间”。</w:t>
      </w:r>
    </w:p>
    <w:p w14:paraId="5A1796FE" w14:textId="77777777" w:rsidR="007D690A" w:rsidRPr="007D690A" w:rsidRDefault="007D690A" w:rsidP="007D690A">
      <w:r>
        <w:rPr>
          <w:rFonts w:hint="eastAsia"/>
        </w:rPr>
        <w:t>P2：</w:t>
      </w:r>
      <w:r w:rsidRPr="007D690A">
        <w:t>汇报内容分为以下几个部分：</w:t>
      </w:r>
    </w:p>
    <w:p w14:paraId="56FCFC99" w14:textId="21281A28" w:rsidR="007D690A" w:rsidRPr="007D690A" w:rsidRDefault="007D690A" w:rsidP="007D690A">
      <w:r>
        <w:rPr>
          <w:rFonts w:hint="eastAsia"/>
        </w:rPr>
        <w:t>P3：</w:t>
      </w:r>
      <w:r w:rsidRPr="007D690A">
        <w:t>首先是研究背景，这是气候变化影响海洋生态系统示意图，可以看到气候变化引起的海洋系统变化并非单一物理或化学状态的线形演变，还会进一步影响海洋生态系统结构与功能。然而海洋生态系统还会受到厄尔尼诺-南方涛动，太平洋年代际振荡等内部自然变率影响，仅看长期趋势不足以判断某一生态变量是否已经受到人为气候变化影响。</w:t>
      </w:r>
    </w:p>
    <w:p w14:paraId="60146838" w14:textId="1A8045F4" w:rsidR="007D690A" w:rsidRDefault="007D690A" w:rsidP="007D690A">
      <w:r w:rsidRPr="007D690A">
        <w:t>因此人为气候变化信号何时从内部自然变率背景中显现出来，成为当前海洋生态系统研究的重要科学问题。针对这一研究需求，霍金和萨顿提出了气候变化信号的出现时间概念。</w:t>
      </w:r>
    </w:p>
    <w:p w14:paraId="32682D63" w14:textId="77777777" w:rsidR="007D690A" w:rsidRPr="007D690A" w:rsidRDefault="007D690A" w:rsidP="007D690A">
      <w:r>
        <w:rPr>
          <w:rFonts w:hint="eastAsia"/>
        </w:rPr>
        <w:t>P4：</w:t>
      </w:r>
      <w:r w:rsidRPr="007D690A">
        <w:t>关于ToE方法在海洋生物地球化学中应用，国际上已开展了一系列研究，部分研究借助于长时间观测数据，如图1-4，但大多数研究需借助于地球系统模式集合模拟开展，如图1-2和图1-3</w:t>
      </w:r>
    </w:p>
    <w:p w14:paraId="47018E31" w14:textId="77777777" w:rsidR="007D690A" w:rsidRPr="007D690A" w:rsidRDefault="007D690A" w:rsidP="007D690A">
      <w:r>
        <w:rPr>
          <w:rFonts w:hint="eastAsia"/>
        </w:rPr>
        <w:t>P5：</w:t>
      </w:r>
      <w:r w:rsidRPr="007D690A">
        <w:t>其中基于通用地球系统模式开展的ToE方法研究可归纳为三个方向：海洋脱氧、海洋碳循环和酸化以及海洋生态系统气候变化信号的传播过程及生态响应。</w:t>
      </w:r>
    </w:p>
    <w:p w14:paraId="21B8B56F" w14:textId="77777777" w:rsidR="007D690A" w:rsidRPr="007D690A" w:rsidRDefault="007D690A" w:rsidP="007D690A">
      <w:r w:rsidRPr="007D690A">
        <w:t>从国内外的研究进展可以看出，现有的ToE研究已经覆盖海洋物理、生物地球化学和部分生态系统变量，但将环境变量、低营养级变量和高营养级变量统一纳入全球海洋生态系统框架进行系统分析的研究仍相对有限；且多数研究主要聚焦于单一变量或单一生态层级，不同营养级之间气候变化信号如何传递、放大以及产生区域差异，也缺乏系统讨论，</w:t>
      </w:r>
    </w:p>
    <w:p w14:paraId="0F493E0E" w14:textId="77777777" w:rsidR="007D690A" w:rsidRPr="007D690A" w:rsidRDefault="007D690A" w:rsidP="007D690A">
      <w:r>
        <w:rPr>
          <w:rFonts w:hint="eastAsia"/>
        </w:rPr>
        <w:t>P6：</w:t>
      </w:r>
      <w:r w:rsidRPr="007D690A">
        <w:t>针对现有研究不足之处，本研究采取以下研究思路：利用CESM2-LE中的环境变量和低营养级变量以及 CESM2-FEISTY模型的鱼类功能群变量结果，系统计算不同变量的气候变化信号及其出现时间，并结合信噪比分析比较不同生态层级之间ToE的时间与空间差异</w:t>
      </w:r>
    </w:p>
    <w:p w14:paraId="07DE6140" w14:textId="77777777" w:rsidR="007D690A" w:rsidRPr="007D690A" w:rsidRDefault="007D690A" w:rsidP="007D690A">
      <w:r w:rsidRPr="007D690A">
        <w:t>拟解决以下两个科学问题：</w:t>
      </w:r>
    </w:p>
    <w:p w14:paraId="69898D3E" w14:textId="77777777" w:rsidR="007D690A" w:rsidRPr="007D690A" w:rsidRDefault="007D690A" w:rsidP="007D690A">
      <w:r>
        <w:rPr>
          <w:rFonts w:hint="eastAsia"/>
        </w:rPr>
        <w:t>P7：</w:t>
      </w:r>
      <w:r w:rsidRPr="007D690A">
        <w:t>接着介绍数据与研究方法，展示的是CESM2模型结构图，CESM2-LE的数据来源于POP2和MARBL，基于共享社会经济路径SSP3-7.0情景，所有集合成员设置仅在初始条件上存在微小差异。</w:t>
      </w:r>
    </w:p>
    <w:p w14:paraId="3876FB2E" w14:textId="77777777" w:rsidR="007D690A" w:rsidRPr="007D690A" w:rsidRDefault="007D690A" w:rsidP="007D690A">
      <w:r>
        <w:rPr>
          <w:rFonts w:hint="eastAsia"/>
        </w:rPr>
        <w:t>P8：</w:t>
      </w:r>
      <w:r w:rsidRPr="007D690A">
        <w:t>展示的是CESM-FEISTY模型运行示意图，CESM2-FEISTY 模型区分饵料鱼类、浮泳鱼类和底栖鱼类三种功能类型。</w:t>
      </w:r>
    </w:p>
    <w:p w14:paraId="21FE2597" w14:textId="77777777" w:rsidR="007D690A" w:rsidRPr="007D690A" w:rsidRDefault="007D690A" w:rsidP="007D690A">
      <w:r>
        <w:rPr>
          <w:rFonts w:hint="eastAsia"/>
        </w:rPr>
        <w:t>P9：</w:t>
      </w:r>
      <w:r w:rsidRPr="007D690A">
        <w:t>展示的是本研究的主要变量分组，三类变量共同构成从物理与化学环境变量到低营养级生产，再经食物网过程传递到鱼类生物量的分析链条</w:t>
      </w:r>
    </w:p>
    <w:p w14:paraId="03AAAE1A" w14:textId="77777777" w:rsidR="007D690A" w:rsidRPr="007D690A" w:rsidRDefault="007D690A" w:rsidP="007D690A">
      <w:r>
        <w:rPr>
          <w:rFonts w:hint="eastAsia"/>
        </w:rPr>
        <w:t>P10：</w:t>
      </w:r>
      <w:r w:rsidRPr="007D690A">
        <w:t>再介绍下本研究采取的ToE方法，以某格点的饵料鱼类生物量时间序列图为例。左边为各集合成员和集合成员平均值完整时间序列，中间是基准期的时间序列，利用该时期所有集合成员数据计算得到平均值和标准差，设置ToE阈值范围为平均值±2倍标准差，也就是灰色区域，右边是ToE年份计算，集合成员平均值时间序列第一次超过阈值且持续五年的年份确定为ToE,上升和下降ToE分别记录。</w:t>
      </w:r>
    </w:p>
    <w:p w14:paraId="45E5CD6C" w14:textId="77777777" w:rsidR="007D690A" w:rsidRPr="007D690A" w:rsidRDefault="007D690A" w:rsidP="007D690A">
      <w:r w:rsidRPr="007D690A">
        <w:t>同时为解释不同区域 ToE 出现早晚的强度差异，采用信噪比作为辅助指标，选取最后三十年数据计算得到平均值减去基准期平均值记为信号，基准期标准差作为噪声，信号绝对值除于噪声得到信噪比。比如开阔大洋信号变化不明显但ToE年份过早，通过信噪比指标发现是由于自然变率太小导致；或者上升流区域信号变化明显但是没有识别到ToE，通过信噪比指标发现是由于自然变率太大导致。</w:t>
      </w:r>
    </w:p>
    <w:p w14:paraId="40335B9C" w14:textId="0F24DB3D" w:rsidR="007D690A" w:rsidRPr="007D690A" w:rsidRDefault="007D690A" w:rsidP="007D690A">
      <w:r>
        <w:rPr>
          <w:rFonts w:hint="eastAsia"/>
        </w:rPr>
        <w:t>P11:</w:t>
      </w:r>
      <w:r w:rsidRPr="007D690A">
        <w:rPr>
          <w:rFonts w:hAnsi="DengXian"/>
          <w:color w:val="000000" w:themeColor="text1"/>
          <w:kern w:val="24"/>
          <w:sz w:val="24"/>
          <w:szCs w:val="24"/>
        </w:rPr>
        <w:t xml:space="preserve"> </w:t>
      </w:r>
      <w:r w:rsidRPr="007D690A">
        <w:t>结果部分介绍几个代表区域，形成环境变量到低营养级变量，再到鱼类功能群变量的完整分析链条。左边是环境变量上升与下降方向ToE空间分布图，右边是环境变量信噪比结果图。可以看到上层海洋温度升温很早超过自然变率，在赤道印度洋和南极绕极流识别到ToE为2000-2020年，硅酸盐和铁在赤道印度洋部分识别下降ToE在2020-2040年，硝酸盐由于自然变率较大未识别到ToE，硝酸盐在南极绕极流识别到下降ToE，铁识别到上升ToE，均为2020-2040年，硅酸盐较早识别到下降ToE为2000-2020年，硝酸盐、铁和硅酸盐在</w:t>
      </w:r>
      <w:r w:rsidRPr="007D690A">
        <w:lastRenderedPageBreak/>
        <w:t>南极大陆架边缘识别到下降ToE均为2020-2040年,底层海洋温度由于热量传播滞后于上层海洋温度，识别到上升ToE为2020-2040年。</w:t>
      </w:r>
    </w:p>
    <w:p w14:paraId="7DE031A2" w14:textId="51F61646" w:rsidR="007D690A" w:rsidRPr="007D690A" w:rsidRDefault="007D690A" w:rsidP="007D690A">
      <w:r>
        <w:rPr>
          <w:rFonts w:hint="eastAsia"/>
        </w:rPr>
        <w:t>P12:</w:t>
      </w:r>
      <w:r w:rsidRPr="007D690A">
        <w:rPr>
          <w:rFonts w:hAnsi="DengXian"/>
          <w:color w:val="000000" w:themeColor="text1"/>
          <w:kern w:val="24"/>
          <w:sz w:val="24"/>
          <w:szCs w:val="24"/>
        </w:rPr>
        <w:t xml:space="preserve"> </w:t>
      </w:r>
      <w:r w:rsidRPr="007D690A">
        <w:t>对于低营养级变量来说，赤道印度洋区域的净初级生产力上升信号，小型浮游植物生物量略微上升，硅藻和中型浮游动物生物量出现下降信号，由于自然变率大，仅识别到零散ToE；南极绕极流区域由于铁限制减缓和生长季延长，净初级生产力、硅藻生物量和中型浮游动物生物量识别到上升ToE为2040-2060年，小型浮游植物生物量识别到下降ToE为2020-2060年，南极大陆架边缘本身为高营养盐区域，因此营养盐虽然出现下降信号，但由于海冰消退和升温，使得生产力明显上升，表层高净初级生产力影响底层颗粒有机碳通量的变化，识别到ToE为2040-2060年</w:t>
      </w:r>
    </w:p>
    <w:p w14:paraId="7015CA72" w14:textId="3950FB70" w:rsidR="007D690A" w:rsidRPr="007D690A" w:rsidRDefault="007D690A" w:rsidP="007D690A">
      <w:r>
        <w:rPr>
          <w:rFonts w:hint="eastAsia"/>
        </w:rPr>
        <w:t>P13:</w:t>
      </w:r>
      <w:r w:rsidRPr="007D690A">
        <w:rPr>
          <w:rFonts w:hAnsi="DengXian"/>
          <w:color w:val="000000" w:themeColor="text1"/>
          <w:kern w:val="24"/>
          <w:sz w:val="24"/>
          <w:szCs w:val="24"/>
        </w:rPr>
        <w:t xml:space="preserve"> </w:t>
      </w:r>
      <w:r w:rsidRPr="007D690A">
        <w:t>对于鱼类功能群变量来说，鱼类会同时受到食物供给和热适宜性下降双重压力，其气候变化信号会在营养级传递过程中进一步放大，赤道印度洋区域，饵料鱼和浮泳鱼都出现下降信号，饵料鱼受到中型浮游动物食物来源和上层热环境共同限制，ToE为2000-2020年，浮泳鱼受到饵料鱼、中型浮游动物和上层升温多重压力，ToE为1980-2000年，南极绕流区域由于净生产力的增加，食物供给中型浮游动物增加，饵料鱼和浮泳鱼上升ToE为2000-2020年；南极大陆架边缘主要为底栖鱼类生活环境，受到底层颗粒有机碳输入和底层海洋温度调控，上升ToE为2000-2020年</w:t>
      </w:r>
    </w:p>
    <w:p w14:paraId="7CF19968" w14:textId="77777777" w:rsidR="007D690A" w:rsidRDefault="007D690A" w:rsidP="007D690A">
      <w:r>
        <w:rPr>
          <w:rFonts w:hint="eastAsia"/>
        </w:rPr>
        <w:t>P14:</w:t>
      </w:r>
      <w:r w:rsidRPr="007D690A">
        <w:rPr>
          <w:rFonts w:ascii="宋体" w:eastAsia="宋体" w:hAnsi="宋体"/>
          <w:color w:val="000000" w:themeColor="text1"/>
          <w:kern w:val="24"/>
          <w:sz w:val="24"/>
          <w:szCs w:val="24"/>
        </w:rPr>
        <w:t xml:space="preserve"> </w:t>
      </w:r>
      <w:r w:rsidRPr="007D690A">
        <w:rPr>
          <w:rFonts w:ascii="DengXian" w:eastAsia="DengXian" w:hAnsi="DengXian" w:hint="eastAsia"/>
          <w:color w:val="000000" w:themeColor="text1"/>
          <w:kern w:val="24"/>
          <w:szCs w:val="21"/>
        </w:rPr>
        <w:t>对于</w:t>
      </w:r>
      <w:r>
        <w:rPr>
          <w:rFonts w:ascii="DengXian" w:eastAsia="DengXian" w:hAnsi="DengXian" w:hint="eastAsia"/>
          <w:color w:val="000000" w:themeColor="text1"/>
          <w:kern w:val="24"/>
          <w:szCs w:val="21"/>
        </w:rPr>
        <w:t>第一个科学问题，本文结论是</w:t>
      </w:r>
      <w:r w:rsidRPr="007D690A">
        <w:t>鱼类功能群变量通常会更早从自然变率中显现出人为气候变化信号，环境变量次之，低营养级变量最晚</w:t>
      </w:r>
      <w:r>
        <w:rPr>
          <w:rFonts w:hint="eastAsia"/>
        </w:rPr>
        <w:t>；对于第二个科学问题，本文结论是</w:t>
      </w:r>
      <w:r w:rsidRPr="007D690A">
        <w:t>环境变量首先响应气候强迫，改变浮游植物群落结构，净初级生产力、浮游动物以及底层颗粒有机碳通量进一步通过食物网影响高级营养级生物，而鱼类功能群则在食物供给变化、温度升高以及栖息地变化等多重生态压力共同作用下表现出更加复杂且具有放大效应的响应特征</w:t>
      </w:r>
    </w:p>
    <w:p w14:paraId="35E458A4" w14:textId="0DDD8DED" w:rsidR="007D690A" w:rsidRPr="007D690A" w:rsidRDefault="007D690A" w:rsidP="007D690A">
      <w:r>
        <w:rPr>
          <w:rFonts w:hint="eastAsia"/>
        </w:rPr>
        <w:t>P15：</w:t>
      </w:r>
      <w:r w:rsidRPr="007D690A">
        <w:t>研究只选取CESM2-LE中10个集合成员的模拟数据，并未覆盖全部可用集合成员，对内部自然变率的估计仍不够充分</w:t>
      </w:r>
    </w:p>
    <w:p w14:paraId="14295323" w14:textId="77777777" w:rsidR="007D690A" w:rsidRPr="007D690A" w:rsidRDefault="007D690A" w:rsidP="007D690A">
      <w:r w:rsidRPr="007D690A">
        <w:t>CESM2-FEISTY模型为离线模拟，鱼类功能群与强迫变量之间缺乏双向耦合关系，难以完全真实反映海洋生态系统中鱼类与环境之间复杂的反馈过程</w:t>
      </w:r>
    </w:p>
    <w:p w14:paraId="10672B1A" w14:textId="77777777" w:rsidR="007D690A" w:rsidRPr="007D690A" w:rsidRDefault="007D690A" w:rsidP="007D690A">
      <w:r w:rsidRPr="007D690A">
        <w:t>本研究ToE采用“超过阈值并持续5年”的判定标准，对于自然变率较强的海区难以识别到ToE，而在自然变率较弱海区，较小的长期趋势也可能较早越过阈值</w:t>
      </w:r>
    </w:p>
    <w:p w14:paraId="099BB175" w14:textId="60ED3F90" w:rsidR="007D690A" w:rsidRPr="007D690A" w:rsidRDefault="007D690A" w:rsidP="007D690A">
      <w:pPr>
        <w:rPr>
          <w:rFonts w:hint="eastAsia"/>
        </w:rPr>
      </w:pPr>
      <w:r w:rsidRPr="007D690A">
        <w:t>尚未充分考虑物种迁移、生态适应以及渔业开发活动等过程对海洋生态系统的影响，未来仍需结合渔业开发情景，对海洋生态系统气候风险进行更综合、更高分辨率的评估</w:t>
      </w:r>
    </w:p>
    <w:p w14:paraId="251BFCA3" w14:textId="77777777" w:rsidR="007D690A" w:rsidRPr="007D690A" w:rsidRDefault="007D690A" w:rsidP="007D690A">
      <w:r>
        <w:rPr>
          <w:rFonts w:hint="eastAsia"/>
        </w:rPr>
        <w:t>P16：</w:t>
      </w:r>
      <w:r w:rsidRPr="007D690A">
        <w:t>最后，衷心感谢各位老师对本论文的评阅与指导，感谢导师在论文选题、研究开展和修改过程中给予的悉心帮助，也感谢课题组师兄师姐和家人朋友一直以来的支持与鼓励</w:t>
      </w:r>
    </w:p>
    <w:p w14:paraId="4FA77487" w14:textId="77777777" w:rsidR="007D690A" w:rsidRPr="007D690A" w:rsidRDefault="007D690A" w:rsidP="007D690A">
      <w:r>
        <w:rPr>
          <w:rFonts w:hint="eastAsia"/>
        </w:rPr>
        <w:t>P17：</w:t>
      </w:r>
      <w:r w:rsidRPr="007D690A">
        <w:t>我的汇报到此结束，恳请各位老师批评指正。</w:t>
      </w:r>
    </w:p>
    <w:p w14:paraId="1C1FA83A" w14:textId="662E2C84" w:rsidR="007D690A" w:rsidRPr="007D690A" w:rsidRDefault="007D690A" w:rsidP="007D690A">
      <w:pPr>
        <w:rPr>
          <w:rFonts w:hint="eastAsia"/>
        </w:rPr>
      </w:pPr>
    </w:p>
    <w:p w14:paraId="491DACEA" w14:textId="05858B32" w:rsidR="007D690A" w:rsidRPr="007D690A" w:rsidRDefault="007D690A" w:rsidP="007D690A">
      <w:pPr>
        <w:rPr>
          <w:rFonts w:hint="eastAsia"/>
        </w:rPr>
      </w:pPr>
    </w:p>
    <w:p w14:paraId="75C5B034" w14:textId="09EF1FE3" w:rsidR="004E3029" w:rsidRPr="007D690A" w:rsidRDefault="004E3029">
      <w:pPr>
        <w:rPr>
          <w:rFonts w:hint="eastAsia"/>
        </w:rPr>
      </w:pPr>
    </w:p>
    <w:sectPr w:rsidR="004E3029" w:rsidRPr="007D69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5DF33" w14:textId="77777777" w:rsidR="00A7153D" w:rsidRDefault="00A7153D" w:rsidP="007D690A">
      <w:r>
        <w:separator/>
      </w:r>
    </w:p>
  </w:endnote>
  <w:endnote w:type="continuationSeparator" w:id="0">
    <w:p w14:paraId="0C1A6BAB" w14:textId="77777777" w:rsidR="00A7153D" w:rsidRDefault="00A7153D" w:rsidP="007D6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EE0BD" w14:textId="77777777" w:rsidR="00A7153D" w:rsidRDefault="00A7153D" w:rsidP="007D690A">
      <w:r>
        <w:separator/>
      </w:r>
    </w:p>
  </w:footnote>
  <w:footnote w:type="continuationSeparator" w:id="0">
    <w:p w14:paraId="0172367D" w14:textId="77777777" w:rsidR="00A7153D" w:rsidRDefault="00A7153D" w:rsidP="007D6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A3A49"/>
    <w:multiLevelType w:val="hybridMultilevel"/>
    <w:tmpl w:val="73FE6C28"/>
    <w:lvl w:ilvl="0" w:tplc="C03E7DC0">
      <w:start w:val="1"/>
      <w:numFmt w:val="bullet"/>
      <w:lvlText w:val="•"/>
      <w:lvlJc w:val="left"/>
      <w:pPr>
        <w:tabs>
          <w:tab w:val="num" w:pos="720"/>
        </w:tabs>
        <w:ind w:left="720" w:hanging="360"/>
      </w:pPr>
      <w:rPr>
        <w:rFonts w:ascii="Arial" w:hAnsi="Arial" w:hint="default"/>
      </w:rPr>
    </w:lvl>
    <w:lvl w:ilvl="1" w:tplc="9C20E20C" w:tentative="1">
      <w:start w:val="1"/>
      <w:numFmt w:val="bullet"/>
      <w:lvlText w:val="•"/>
      <w:lvlJc w:val="left"/>
      <w:pPr>
        <w:tabs>
          <w:tab w:val="num" w:pos="1440"/>
        </w:tabs>
        <w:ind w:left="1440" w:hanging="360"/>
      </w:pPr>
      <w:rPr>
        <w:rFonts w:ascii="Arial" w:hAnsi="Arial" w:hint="default"/>
      </w:rPr>
    </w:lvl>
    <w:lvl w:ilvl="2" w:tplc="74380356" w:tentative="1">
      <w:start w:val="1"/>
      <w:numFmt w:val="bullet"/>
      <w:lvlText w:val="•"/>
      <w:lvlJc w:val="left"/>
      <w:pPr>
        <w:tabs>
          <w:tab w:val="num" w:pos="2160"/>
        </w:tabs>
        <w:ind w:left="2160" w:hanging="360"/>
      </w:pPr>
      <w:rPr>
        <w:rFonts w:ascii="Arial" w:hAnsi="Arial" w:hint="default"/>
      </w:rPr>
    </w:lvl>
    <w:lvl w:ilvl="3" w:tplc="7038B1F2" w:tentative="1">
      <w:start w:val="1"/>
      <w:numFmt w:val="bullet"/>
      <w:lvlText w:val="•"/>
      <w:lvlJc w:val="left"/>
      <w:pPr>
        <w:tabs>
          <w:tab w:val="num" w:pos="2880"/>
        </w:tabs>
        <w:ind w:left="2880" w:hanging="360"/>
      </w:pPr>
      <w:rPr>
        <w:rFonts w:ascii="Arial" w:hAnsi="Arial" w:hint="default"/>
      </w:rPr>
    </w:lvl>
    <w:lvl w:ilvl="4" w:tplc="20EA0934" w:tentative="1">
      <w:start w:val="1"/>
      <w:numFmt w:val="bullet"/>
      <w:lvlText w:val="•"/>
      <w:lvlJc w:val="left"/>
      <w:pPr>
        <w:tabs>
          <w:tab w:val="num" w:pos="3600"/>
        </w:tabs>
        <w:ind w:left="3600" w:hanging="360"/>
      </w:pPr>
      <w:rPr>
        <w:rFonts w:ascii="Arial" w:hAnsi="Arial" w:hint="default"/>
      </w:rPr>
    </w:lvl>
    <w:lvl w:ilvl="5" w:tplc="84BA3666" w:tentative="1">
      <w:start w:val="1"/>
      <w:numFmt w:val="bullet"/>
      <w:lvlText w:val="•"/>
      <w:lvlJc w:val="left"/>
      <w:pPr>
        <w:tabs>
          <w:tab w:val="num" w:pos="4320"/>
        </w:tabs>
        <w:ind w:left="4320" w:hanging="360"/>
      </w:pPr>
      <w:rPr>
        <w:rFonts w:ascii="Arial" w:hAnsi="Arial" w:hint="default"/>
      </w:rPr>
    </w:lvl>
    <w:lvl w:ilvl="6" w:tplc="4C48CAA2" w:tentative="1">
      <w:start w:val="1"/>
      <w:numFmt w:val="bullet"/>
      <w:lvlText w:val="•"/>
      <w:lvlJc w:val="left"/>
      <w:pPr>
        <w:tabs>
          <w:tab w:val="num" w:pos="5040"/>
        </w:tabs>
        <w:ind w:left="5040" w:hanging="360"/>
      </w:pPr>
      <w:rPr>
        <w:rFonts w:ascii="Arial" w:hAnsi="Arial" w:hint="default"/>
      </w:rPr>
    </w:lvl>
    <w:lvl w:ilvl="7" w:tplc="2160CE64" w:tentative="1">
      <w:start w:val="1"/>
      <w:numFmt w:val="bullet"/>
      <w:lvlText w:val="•"/>
      <w:lvlJc w:val="left"/>
      <w:pPr>
        <w:tabs>
          <w:tab w:val="num" w:pos="5760"/>
        </w:tabs>
        <w:ind w:left="5760" w:hanging="360"/>
      </w:pPr>
      <w:rPr>
        <w:rFonts w:ascii="Arial" w:hAnsi="Arial" w:hint="default"/>
      </w:rPr>
    </w:lvl>
    <w:lvl w:ilvl="8" w:tplc="63122F2A" w:tentative="1">
      <w:start w:val="1"/>
      <w:numFmt w:val="bullet"/>
      <w:lvlText w:val="•"/>
      <w:lvlJc w:val="left"/>
      <w:pPr>
        <w:tabs>
          <w:tab w:val="num" w:pos="6480"/>
        </w:tabs>
        <w:ind w:left="6480" w:hanging="360"/>
      </w:pPr>
      <w:rPr>
        <w:rFonts w:ascii="Arial" w:hAnsi="Arial" w:hint="default"/>
      </w:rPr>
    </w:lvl>
  </w:abstractNum>
  <w:num w:numId="1" w16cid:durableId="1776242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31D"/>
    <w:rsid w:val="0005431D"/>
    <w:rsid w:val="000F4BFA"/>
    <w:rsid w:val="001029EC"/>
    <w:rsid w:val="00137D65"/>
    <w:rsid w:val="004326FF"/>
    <w:rsid w:val="004E3029"/>
    <w:rsid w:val="00691B42"/>
    <w:rsid w:val="006C75A7"/>
    <w:rsid w:val="006F5B1F"/>
    <w:rsid w:val="00746159"/>
    <w:rsid w:val="007D690A"/>
    <w:rsid w:val="0083075E"/>
    <w:rsid w:val="00864E6D"/>
    <w:rsid w:val="00A7153D"/>
    <w:rsid w:val="00EA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E2BF5"/>
  <w15:chartTrackingRefBased/>
  <w15:docId w15:val="{117E61D3-C951-41C8-A7C8-FFCA43FCF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543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43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43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43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43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43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43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43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431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6C75A7"/>
    <w:rPr>
      <w:rFonts w:eastAsia="DengXian"/>
      <w:kern w:val="0"/>
      <w:sz w:val="22"/>
      <w:lang w:eastAsia="en-US"/>
    </w:rPr>
    <w:tblPr>
      <w:tblBorders>
        <w:top w:val="single" w:sz="4" w:space="0" w:color="auto"/>
        <w:bottom w:val="single" w:sz="4" w:space="0" w:color="auto"/>
      </w:tblBorders>
    </w:tblPr>
    <w:tblStylePr w:type="firstRow">
      <w:tblPr/>
      <w:tcPr>
        <w:tcBorders>
          <w:bottom w:val="single" w:sz="4" w:space="0" w:color="auto"/>
        </w:tcBorders>
        <w:shd w:val="clear" w:color="auto" w:fill="FFFFFF" w:themeFill="background1"/>
      </w:tcPr>
    </w:tblStylePr>
  </w:style>
  <w:style w:type="table" w:customStyle="1" w:styleId="11">
    <w:name w:val="样式1"/>
    <w:basedOn w:val="a1"/>
    <w:uiPriority w:val="99"/>
    <w:rsid w:val="006F5B1F"/>
    <w:rPr>
      <w:rFonts w:eastAsia="DengXian"/>
      <w:szCs w:val="24"/>
      <w14:ligatures w14:val="standardContextual"/>
    </w:rPr>
    <w:tblPr>
      <w:tblBorders>
        <w:top w:val="single" w:sz="4" w:space="0" w:color="auto"/>
        <w:bottom w:val="single" w:sz="12" w:space="0" w:color="auto"/>
      </w:tblBorders>
    </w:tblPr>
    <w:tcPr>
      <w:shd w:val="clear" w:color="auto" w:fill="FFFFFF" w:themeFill="background1"/>
    </w:tcPr>
    <w:tblStylePr w:type="firstRow">
      <w:tblPr/>
      <w:tcPr>
        <w:tcBorders>
          <w:top w:val="single" w:sz="6" w:space="0" w:color="auto"/>
          <w:left w:val="nil"/>
          <w:bottom w:val="single" w:sz="4" w:space="0" w:color="auto"/>
          <w:right w:val="nil"/>
          <w:insideH w:val="nil"/>
          <w:insideV w:val="nil"/>
        </w:tcBorders>
      </w:tcPr>
    </w:tblStylePr>
  </w:style>
  <w:style w:type="table" w:styleId="a4">
    <w:name w:val="Table Grid"/>
    <w:basedOn w:val="a1"/>
    <w:uiPriority w:val="39"/>
    <w:rsid w:val="00EA73EC"/>
    <w:tblPr>
      <w:tblBorders>
        <w:top w:val="single" w:sz="12" w:space="0" w:color="auto"/>
        <w:bottom w:val="single" w:sz="12" w:space="0" w:color="auto"/>
      </w:tblBorders>
    </w:tblPr>
    <w:tblStylePr w:type="firstRow">
      <w:tblPr/>
      <w:tcPr>
        <w:tcBorders>
          <w:bottom w:val="single" w:sz="4" w:space="0" w:color="auto"/>
        </w:tcBorders>
      </w:tcPr>
    </w:tblStylePr>
  </w:style>
  <w:style w:type="character" w:customStyle="1" w:styleId="10">
    <w:name w:val="标题 1 字符"/>
    <w:basedOn w:val="a0"/>
    <w:link w:val="1"/>
    <w:uiPriority w:val="9"/>
    <w:rsid w:val="000543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43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43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431D"/>
    <w:rPr>
      <w:rFonts w:cstheme="majorBidi"/>
      <w:color w:val="0F4761" w:themeColor="accent1" w:themeShade="BF"/>
      <w:sz w:val="28"/>
      <w:szCs w:val="28"/>
    </w:rPr>
  </w:style>
  <w:style w:type="character" w:customStyle="1" w:styleId="50">
    <w:name w:val="标题 5 字符"/>
    <w:basedOn w:val="a0"/>
    <w:link w:val="5"/>
    <w:uiPriority w:val="9"/>
    <w:semiHidden/>
    <w:rsid w:val="0005431D"/>
    <w:rPr>
      <w:rFonts w:cstheme="majorBidi"/>
      <w:color w:val="0F4761" w:themeColor="accent1" w:themeShade="BF"/>
      <w:sz w:val="24"/>
      <w:szCs w:val="24"/>
    </w:rPr>
  </w:style>
  <w:style w:type="character" w:customStyle="1" w:styleId="60">
    <w:name w:val="标题 6 字符"/>
    <w:basedOn w:val="a0"/>
    <w:link w:val="6"/>
    <w:uiPriority w:val="9"/>
    <w:semiHidden/>
    <w:rsid w:val="0005431D"/>
    <w:rPr>
      <w:rFonts w:cstheme="majorBidi"/>
      <w:b/>
      <w:bCs/>
      <w:color w:val="0F4761" w:themeColor="accent1" w:themeShade="BF"/>
    </w:rPr>
  </w:style>
  <w:style w:type="character" w:customStyle="1" w:styleId="70">
    <w:name w:val="标题 7 字符"/>
    <w:basedOn w:val="a0"/>
    <w:link w:val="7"/>
    <w:uiPriority w:val="9"/>
    <w:semiHidden/>
    <w:rsid w:val="0005431D"/>
    <w:rPr>
      <w:rFonts w:cstheme="majorBidi"/>
      <w:b/>
      <w:bCs/>
      <w:color w:val="595959" w:themeColor="text1" w:themeTint="A6"/>
    </w:rPr>
  </w:style>
  <w:style w:type="character" w:customStyle="1" w:styleId="80">
    <w:name w:val="标题 8 字符"/>
    <w:basedOn w:val="a0"/>
    <w:link w:val="8"/>
    <w:uiPriority w:val="9"/>
    <w:semiHidden/>
    <w:rsid w:val="0005431D"/>
    <w:rPr>
      <w:rFonts w:cstheme="majorBidi"/>
      <w:color w:val="595959" w:themeColor="text1" w:themeTint="A6"/>
    </w:rPr>
  </w:style>
  <w:style w:type="character" w:customStyle="1" w:styleId="90">
    <w:name w:val="标题 9 字符"/>
    <w:basedOn w:val="a0"/>
    <w:link w:val="9"/>
    <w:uiPriority w:val="9"/>
    <w:semiHidden/>
    <w:rsid w:val="0005431D"/>
    <w:rPr>
      <w:rFonts w:eastAsiaTheme="majorEastAsia" w:cstheme="majorBidi"/>
      <w:color w:val="595959" w:themeColor="text1" w:themeTint="A6"/>
    </w:rPr>
  </w:style>
  <w:style w:type="paragraph" w:styleId="a5">
    <w:name w:val="Title"/>
    <w:basedOn w:val="a"/>
    <w:next w:val="a"/>
    <w:link w:val="a6"/>
    <w:uiPriority w:val="10"/>
    <w:qFormat/>
    <w:rsid w:val="0005431D"/>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05431D"/>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0543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05431D"/>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05431D"/>
    <w:pPr>
      <w:spacing w:before="160" w:after="160"/>
      <w:jc w:val="center"/>
    </w:pPr>
    <w:rPr>
      <w:i/>
      <w:iCs/>
      <w:color w:val="404040" w:themeColor="text1" w:themeTint="BF"/>
    </w:rPr>
  </w:style>
  <w:style w:type="character" w:customStyle="1" w:styleId="aa">
    <w:name w:val="引用 字符"/>
    <w:basedOn w:val="a0"/>
    <w:link w:val="a9"/>
    <w:uiPriority w:val="29"/>
    <w:rsid w:val="0005431D"/>
    <w:rPr>
      <w:i/>
      <w:iCs/>
      <w:color w:val="404040" w:themeColor="text1" w:themeTint="BF"/>
    </w:rPr>
  </w:style>
  <w:style w:type="paragraph" w:styleId="ab">
    <w:name w:val="List Paragraph"/>
    <w:basedOn w:val="a"/>
    <w:uiPriority w:val="34"/>
    <w:qFormat/>
    <w:rsid w:val="0005431D"/>
    <w:pPr>
      <w:ind w:left="720"/>
      <w:contextualSpacing/>
    </w:pPr>
  </w:style>
  <w:style w:type="character" w:styleId="ac">
    <w:name w:val="Intense Emphasis"/>
    <w:basedOn w:val="a0"/>
    <w:uiPriority w:val="21"/>
    <w:qFormat/>
    <w:rsid w:val="0005431D"/>
    <w:rPr>
      <w:i/>
      <w:iCs/>
      <w:color w:val="0F4761" w:themeColor="accent1" w:themeShade="BF"/>
    </w:rPr>
  </w:style>
  <w:style w:type="paragraph" w:styleId="ad">
    <w:name w:val="Intense Quote"/>
    <w:basedOn w:val="a"/>
    <w:next w:val="a"/>
    <w:link w:val="ae"/>
    <w:uiPriority w:val="30"/>
    <w:qFormat/>
    <w:rsid w:val="00054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05431D"/>
    <w:rPr>
      <w:i/>
      <w:iCs/>
      <w:color w:val="0F4761" w:themeColor="accent1" w:themeShade="BF"/>
    </w:rPr>
  </w:style>
  <w:style w:type="character" w:styleId="af">
    <w:name w:val="Intense Reference"/>
    <w:basedOn w:val="a0"/>
    <w:uiPriority w:val="32"/>
    <w:qFormat/>
    <w:rsid w:val="0005431D"/>
    <w:rPr>
      <w:b/>
      <w:bCs/>
      <w:smallCaps/>
      <w:color w:val="0F4761" w:themeColor="accent1" w:themeShade="BF"/>
      <w:spacing w:val="5"/>
    </w:rPr>
  </w:style>
  <w:style w:type="paragraph" w:styleId="af0">
    <w:name w:val="header"/>
    <w:basedOn w:val="a"/>
    <w:link w:val="af1"/>
    <w:uiPriority w:val="99"/>
    <w:unhideWhenUsed/>
    <w:rsid w:val="007D690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7D690A"/>
    <w:rPr>
      <w:sz w:val="18"/>
      <w:szCs w:val="18"/>
    </w:rPr>
  </w:style>
  <w:style w:type="paragraph" w:styleId="af2">
    <w:name w:val="footer"/>
    <w:basedOn w:val="a"/>
    <w:link w:val="af3"/>
    <w:uiPriority w:val="99"/>
    <w:unhideWhenUsed/>
    <w:rsid w:val="007D690A"/>
    <w:pPr>
      <w:tabs>
        <w:tab w:val="center" w:pos="4153"/>
        <w:tab w:val="right" w:pos="8306"/>
      </w:tabs>
      <w:snapToGrid w:val="0"/>
      <w:jc w:val="left"/>
    </w:pPr>
    <w:rPr>
      <w:sz w:val="18"/>
      <w:szCs w:val="18"/>
    </w:rPr>
  </w:style>
  <w:style w:type="character" w:customStyle="1" w:styleId="af3">
    <w:name w:val="页脚 字符"/>
    <w:basedOn w:val="a0"/>
    <w:link w:val="af2"/>
    <w:uiPriority w:val="99"/>
    <w:rsid w:val="007D690A"/>
    <w:rPr>
      <w:sz w:val="18"/>
      <w:szCs w:val="18"/>
    </w:rPr>
  </w:style>
  <w:style w:type="paragraph" w:styleId="af4">
    <w:name w:val="Normal (Web)"/>
    <w:basedOn w:val="a"/>
    <w:uiPriority w:val="99"/>
    <w:semiHidden/>
    <w:unhideWhenUsed/>
    <w:rsid w:val="007D690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锴烨 吴</dc:creator>
  <cp:keywords/>
  <dc:description/>
  <cp:lastModifiedBy>锴烨 吴</cp:lastModifiedBy>
  <cp:revision>2</cp:revision>
  <dcterms:created xsi:type="dcterms:W3CDTF">2026-05-25T03:10:00Z</dcterms:created>
  <dcterms:modified xsi:type="dcterms:W3CDTF">2026-05-25T03:15:00Z</dcterms:modified>
</cp:coreProperties>
</file>