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Title"/>
        <w:spacing w:before="180" w:after="120"/>
      </w:pPr>
      <w:r>
        <w:rPr>
          <w:rFonts w:ascii="Times New Roman" w:eastAsia="宋体"/>
        </w:rPr>
        <w:t xml:space="preserve">全球海洋生态系统气候变化信号出现时间研究</w:t>
      </w:r>
    </w:p>
    <w:p>
      <w:pPr>
        <w:pStyle w:val="Subtitle"/>
        <w:spacing w:before="180" w:after="120"/>
      </w:pPr>
      <w:r>
        <w:rPr>
          <w:rFonts w:ascii="Times New Roman" w:eastAsia="宋体"/>
        </w:rPr>
        <w:t xml:space="preserve">答辩口头稿（润色版）</w:t>
      </w:r>
    </w:p>
    <w:p>
      <w:pPr>
        <w:pStyle w:val="Heading1"/>
        <w:spacing w:before="180" w:after="120"/>
      </w:pPr>
      <w:r>
        <w:rPr>
          <w:rFonts w:ascii="Times New Roman" w:eastAsia="宋体"/>
        </w:rPr>
        <w:t xml:space="preserve">P1 封面</w:t>
      </w:r>
    </w:p>
    <w:p>
      <w:pPr>
        <w:pStyle w:val="Normal"/>
        <w:spacing w:after="120" w:line="360" w:lineRule="auto"/>
        <w:ind w:firstLine="480"/>
      </w:pPr>
      <w:r>
        <w:rPr>
          <w:rFonts w:ascii="Times New Roman" w:eastAsia="宋体"/>
        </w:rPr>
        <w:t xml:space="preserve">各位老师下午好！我是海洋科学专业22级5班的吴锴烨。今天我汇报的题目是《全球海洋生态系统气候变化信号出现时间研究》。接下来，我将围绕研究背景、数据与方法、主要结果，以及结论与不足四个方面展开汇报，恳请各位老师批评指正。</w:t>
      </w:r>
    </w:p>
    <w:p>
      <w:pPr>
        <w:pStyle w:val="Heading1"/>
        <w:spacing w:before="180" w:after="120"/>
      </w:pPr>
      <w:r>
        <w:rPr>
          <w:rFonts w:ascii="Times New Roman" w:eastAsia="宋体"/>
        </w:rPr>
        <w:t xml:space="preserve">P2 目录</w:t>
      </w:r>
    </w:p>
    <w:p>
      <w:pPr>
        <w:pStyle w:val="Normal"/>
        <w:spacing w:after="120" w:line="360" w:lineRule="auto"/>
        <w:ind w:firstLine="480"/>
      </w:pPr>
      <w:r>
        <w:rPr>
          <w:rFonts w:ascii="Times New Roman" w:eastAsia="宋体"/>
        </w:rPr>
        <w:t xml:space="preserve">本次汇报主要包括五个部分：第一，介绍研究背景和国内外研究进展；第二，说明本文所用数据与研究方法；第三，重点展示气候变化信号出现时间及其信噪比特征；第四，总结本文结论与不足；最后是致谢。</w:t>
      </w:r>
    </w:p>
    <w:p>
      <w:pPr>
        <w:pStyle w:val="Heading1"/>
        <w:spacing w:before="180" w:after="120"/>
      </w:pPr>
      <w:r>
        <w:rPr>
          <w:rFonts w:ascii="Times New Roman" w:eastAsia="宋体"/>
        </w:rPr>
        <w:t xml:space="preserve">P3 研究背景</w:t>
      </w:r>
    </w:p>
    <w:p>
      <w:pPr>
        <w:pStyle w:val="Normal"/>
        <w:spacing w:after="120" w:line="360" w:lineRule="auto"/>
        <w:ind w:firstLine="480"/>
      </w:pPr>
      <w:r>
        <w:rPr>
          <w:rFonts w:ascii="Times New Roman" w:eastAsia="宋体"/>
        </w:rPr>
        <w:t xml:space="preserve">首先来看研究背景。气候变化对海洋生态系统的影响并不是单一物理或化学变量的线性变化，而是会通过海水温度、营养盐、酸化和脱氧等过程，进一步影响初级生产、食物网结构以及高营养级生物。</w:t>
      </w:r>
    </w:p>
    <w:p>
      <w:pPr>
        <w:pStyle w:val="Normal"/>
        <w:spacing w:after="120" w:line="360" w:lineRule="auto"/>
        <w:ind w:firstLine="480"/>
      </w:pPr>
      <w:r>
        <w:rPr>
          <w:rFonts w:ascii="Times New Roman" w:eastAsia="宋体"/>
        </w:rPr>
        <w:t xml:space="preserve">与此同时，海洋生态系统本身还受到厄尔尼诺—南方涛动、太平洋年代际振荡等内部自然变率的影响。因此，仅仅观察某一变量的长期趋势，并不足以判断它是否已经表现出稳定的人为气候变化影响。</w:t>
      </w:r>
    </w:p>
    <w:p>
      <w:pPr>
        <w:pStyle w:val="Normal"/>
        <w:spacing w:after="120" w:line="360" w:lineRule="auto"/>
        <w:ind w:firstLine="480"/>
      </w:pPr>
      <w:r>
        <w:rPr>
          <w:rFonts w:ascii="Times New Roman" w:eastAsia="宋体"/>
        </w:rPr>
        <w:t xml:space="preserve">基于这一问题，Hawkins和Sutton提出了气候变化信号出现时间，也就是Time of Emergence，简称ToE的概念，用来描述外部强迫信号相对于内部自然变率变得可识别的时间。本文正是围绕“人为气候变化信号何时从自然变率背景中显现出来”这一核心问题展开。</w:t>
      </w:r>
    </w:p>
    <w:p>
      <w:pPr>
        <w:pStyle w:val="Heading1"/>
        <w:spacing w:before="180" w:after="120"/>
      </w:pPr>
      <w:r>
        <w:rPr>
          <w:rFonts w:ascii="Times New Roman" w:eastAsia="宋体"/>
        </w:rPr>
        <w:t xml:space="preserve">P4 国内外研究进展：ToE方法在海洋生物地球化学中的应用</w:t>
      </w:r>
    </w:p>
    <w:p>
      <w:pPr>
        <w:pStyle w:val="Normal"/>
        <w:spacing w:after="120" w:line="360" w:lineRule="auto"/>
        <w:ind w:firstLine="480"/>
      </w:pPr>
      <w:r>
        <w:rPr>
          <w:rFonts w:ascii="Times New Roman" w:eastAsia="宋体"/>
        </w:rPr>
        <w:t xml:space="preserve">关于ToE方法在海洋生物地球化学领域的应用，国际上已经开展了一系列研究。有些研究依托较长时间序列的观测资料，例如海表二氧化碳分压等指标；也有大量研究借助地球系统模式的大集合模拟，分析生态系统驱动因子、鱼类生物量等变量的出现时间。</w:t>
      </w:r>
    </w:p>
    <w:p>
      <w:pPr>
        <w:pStyle w:val="Normal"/>
        <w:spacing w:after="120" w:line="360" w:lineRule="auto"/>
        <w:ind w:firstLine="480"/>
      </w:pPr>
      <w:r>
        <w:rPr>
          <w:rFonts w:ascii="Times New Roman" w:eastAsia="宋体"/>
        </w:rPr>
        <w:t xml:space="preserve">这些研究说明，ToE方法能够把长期变化趋势与自然变率背景联系起来，从而更清晰地判断气候变化信号何时具有可识别性。</w:t>
      </w:r>
    </w:p>
    <w:p>
      <w:pPr>
        <w:pStyle w:val="Heading1"/>
        <w:spacing w:before="180" w:after="120"/>
      </w:pPr>
      <w:r>
        <w:rPr>
          <w:rFonts w:ascii="Times New Roman" w:eastAsia="宋体"/>
        </w:rPr>
        <w:t xml:space="preserve">P5 国内外研究进展：基于通用地球系统模式的ToE研究</w:t>
      </w:r>
    </w:p>
    <w:p>
      <w:pPr>
        <w:pStyle w:val="Normal"/>
        <w:spacing w:after="120" w:line="360" w:lineRule="auto"/>
        <w:ind w:firstLine="480"/>
      </w:pPr>
      <w:r>
        <w:rPr>
          <w:rFonts w:ascii="Times New Roman" w:eastAsia="宋体"/>
        </w:rPr>
        <w:t xml:space="preserve">进一步梳理基于通用地球系统模式的ToE研究，可以概括为三个主要方向：第一是海洋脱氧，关注溶解氧变化及其可检测时间；第二是海洋碳循环和酸化，关注碳汇、pH和相关碳酸盐系统变量；第三是海洋生态系统气候变化信号的传播过程及生态响应。</w:t>
      </w:r>
    </w:p>
    <w:p>
      <w:pPr>
        <w:pStyle w:val="Normal"/>
        <w:spacing w:after="120" w:line="360" w:lineRule="auto"/>
        <w:ind w:firstLine="480"/>
      </w:pPr>
      <w:r>
        <w:rPr>
          <w:rFonts w:ascii="Times New Roman" w:eastAsia="宋体"/>
        </w:rPr>
        <w:t xml:space="preserve">总体来看，已有研究已经覆盖了海洋物理、生物地球化学以及部分生态系统变量，但仍存在两个不足：一是多数研究聚焦于单一变量或单一生态层级，二是较少将环境变量、低营养级变量和高营养级鱼类功能群统一放在全球海洋生态系统框架下进行比较。因此，不同营养级之间气候变化信号如何传递、是否会被放大，以及这种过程是否存在明显区域差异，仍需要进一步系统分析。</w:t>
      </w:r>
    </w:p>
    <w:p>
      <w:pPr>
        <w:pStyle w:val="Heading1"/>
        <w:spacing w:before="180" w:after="120"/>
      </w:pPr>
      <w:r>
        <w:rPr>
          <w:rFonts w:ascii="Times New Roman" w:eastAsia="宋体"/>
        </w:rPr>
        <w:t xml:space="preserve">P6 研究思路和科学问题</w:t>
      </w:r>
    </w:p>
    <w:p>
      <w:pPr>
        <w:pStyle w:val="Normal"/>
        <w:spacing w:after="120" w:line="360" w:lineRule="auto"/>
        <w:ind w:firstLine="480"/>
      </w:pPr>
      <w:r>
        <w:rPr>
          <w:rFonts w:ascii="Times New Roman" w:eastAsia="宋体"/>
        </w:rPr>
        <w:t xml:space="preserve">针对上述不足，本文的研究思路是：首先利用CESM2-LE中的环境变量和低营养级变量，刻画海洋物理化学背景和食物网底部过程；随后结合CESM2-FEISTY模型输出的鱼类功能群变量，构建从环境变化到低营养级生产、再到鱼类生物量响应的分析链条；最后统一计算不同变量的气候变化信号出现时间，并结合信噪比分析比较不同生态层级之间ToE的时间和空间差异。</w:t>
      </w:r>
    </w:p>
    <w:p>
      <w:pPr>
        <w:pStyle w:val="Normal"/>
        <w:spacing w:after="120" w:line="360" w:lineRule="auto"/>
        <w:ind w:firstLine="480"/>
      </w:pPr>
      <w:r>
        <w:rPr>
          <w:rFonts w:ascii="Times New Roman" w:eastAsia="宋体"/>
        </w:rPr>
        <w:t xml:space="preserve">本文主要回答两个科学问题：第一，哪些变量会更早从自然变率中显现出人为气候变化信号？第二，不同生态层级的ToE是否能够反映气候变化信号在海洋生态系统中的传播机制及其营养级放大过程？</w:t>
      </w:r>
    </w:p>
    <w:p>
      <w:pPr>
        <w:pStyle w:val="Heading1"/>
        <w:spacing w:before="180" w:after="120"/>
      </w:pPr>
      <w:r>
        <w:rPr>
          <w:rFonts w:ascii="Times New Roman" w:eastAsia="宋体"/>
        </w:rPr>
        <w:t xml:space="preserve">P7 数据与研究方法：CESM2-LE</w:t>
      </w:r>
    </w:p>
    <w:p>
      <w:pPr>
        <w:pStyle w:val="Normal"/>
        <w:spacing w:after="120" w:line="360" w:lineRule="auto"/>
        <w:ind w:firstLine="480"/>
      </w:pPr>
      <w:r>
        <w:rPr>
          <w:rFonts w:ascii="Times New Roman" w:eastAsia="宋体"/>
        </w:rPr>
        <w:t xml:space="preserve">接下来介绍数据与研究方法。本文使用的CESM2-LE是基于CESM2开展的大集合模拟。模式包括大气、海洋、海冰、陆面和陆冰等多个组成部分，其中海洋部分主要由POP2提供动力过程，MARBL提供海洋生物地球化学过程。</w:t>
      </w:r>
    </w:p>
    <w:p>
      <w:pPr>
        <w:pStyle w:val="Normal"/>
        <w:spacing w:after="120" w:line="360" w:lineRule="auto"/>
        <w:ind w:firstLine="480"/>
      </w:pPr>
      <w:r>
        <w:rPr>
          <w:rFonts w:ascii="Times New Roman" w:eastAsia="宋体"/>
        </w:rPr>
        <w:t xml:space="preserve">CESM2-LE在未来情景下采用SSP3-7.0路径，不同集合成员之间仅在初始条件上存在微小差异。因此，大集合模拟能够较好地区分外部强迫导致的长期变化信号与内部自然变率背景。</w:t>
      </w:r>
    </w:p>
    <w:p>
      <w:pPr>
        <w:pStyle w:val="Heading1"/>
        <w:spacing w:before="180" w:after="120"/>
      </w:pPr>
      <w:r>
        <w:rPr>
          <w:rFonts w:ascii="Times New Roman" w:eastAsia="宋体"/>
        </w:rPr>
        <w:t xml:space="preserve">P8 数据与研究方法：CESM2-FEISTY</w:t>
      </w:r>
    </w:p>
    <w:p>
      <w:pPr>
        <w:pStyle w:val="Normal"/>
        <w:spacing w:after="120" w:line="360" w:lineRule="auto"/>
        <w:ind w:firstLine="480"/>
      </w:pPr>
      <w:r>
        <w:rPr>
          <w:rFonts w:ascii="Times New Roman" w:eastAsia="宋体"/>
        </w:rPr>
        <w:t xml:space="preserve">鱼类功能群数据来自CESM2-FEISTY离线模拟。FEISTY模型将鱼类划分为饵料鱼类、浮泳鱼类和底栖鱼类三类功能群，并利用CESM2提供的温度、生产力和食物供给等变量作为驱动，模拟不同功能群的潜在生物量变化。</w:t>
      </w:r>
    </w:p>
    <w:p>
      <w:pPr>
        <w:pStyle w:val="Normal"/>
        <w:spacing w:after="120" w:line="360" w:lineRule="auto"/>
        <w:ind w:firstLine="480"/>
      </w:pPr>
      <w:r>
        <w:rPr>
          <w:rFonts w:ascii="Times New Roman" w:eastAsia="宋体"/>
        </w:rPr>
        <w:t xml:space="preserve">这种设置使本文能够进一步分析气候变化信号是否会从环境层级和低营养级层级传递到高营养级鱼类功能群。</w:t>
      </w:r>
    </w:p>
    <w:p>
      <w:pPr>
        <w:pStyle w:val="Heading1"/>
        <w:spacing w:before="180" w:after="120"/>
      </w:pPr>
      <w:r>
        <w:rPr>
          <w:rFonts w:ascii="Times New Roman" w:eastAsia="宋体"/>
        </w:rPr>
        <w:t xml:space="preserve">P9 研究变量分组</w:t>
      </w:r>
    </w:p>
    <w:p>
      <w:pPr>
        <w:pStyle w:val="Normal"/>
        <w:spacing w:after="120" w:line="360" w:lineRule="auto"/>
        <w:ind w:firstLine="480"/>
      </w:pPr>
      <w:r>
        <w:rPr>
          <w:rFonts w:ascii="Times New Roman" w:eastAsia="宋体"/>
        </w:rPr>
        <w:t xml:space="preserve">本文将研究变量分为三类。第一类是环境变量，包括海水温度、硝酸盐、铁和硅酸盐浓度，用于反映海洋生态系统的物理化学背景。第二类是低营养级变量，包括净初级生产力、硅藻、小型浮游植物、中型浮游动物生物量以及颗粒有机碳通量，用于反映初级生产和食物网底部过程。第三类是鱼类功能群变量，包括浮泳鱼、底栖鱼和饵料鱼潜在生物量，用于反映高营养级生物量变化。</w:t>
      </w:r>
    </w:p>
    <w:p>
      <w:pPr>
        <w:pStyle w:val="Normal"/>
        <w:spacing w:after="120" w:line="360" w:lineRule="auto"/>
        <w:ind w:firstLine="480"/>
      </w:pPr>
      <w:r>
        <w:rPr>
          <w:rFonts w:ascii="Times New Roman" w:eastAsia="宋体"/>
        </w:rPr>
        <w:t xml:space="preserve">这三类变量共同构成了从物理化学环境，到低营养级生产，再经食物网过程影响鱼类生物量的完整分析链条。</w:t>
      </w:r>
    </w:p>
    <w:p>
      <w:pPr>
        <w:pStyle w:val="Heading1"/>
        <w:spacing w:before="180" w:after="120"/>
      </w:pPr>
      <w:r>
        <w:rPr>
          <w:rFonts w:ascii="Times New Roman" w:eastAsia="宋体"/>
        </w:rPr>
        <w:t xml:space="preserve">P10 出现时间与信噪比方法</w:t>
      </w:r>
    </w:p>
    <w:p>
      <w:pPr>
        <w:pStyle w:val="Normal"/>
        <w:spacing w:after="120" w:line="360" w:lineRule="auto"/>
        <w:ind w:firstLine="480"/>
      </w:pPr>
      <w:r>
        <w:rPr>
          <w:rFonts w:ascii="Times New Roman" w:eastAsia="宋体"/>
        </w:rPr>
        <w:t xml:space="preserve">本文的ToE计算方法可以用这张饵料鱼类生物量时间序列图来说明。首先选取1920—1949年连续30年作为基准期，利用该时期所有集合成员的数据计算平均值和标准差，并将自然变率范围设定为基准期平均值加减2倍标准差。</w:t>
      </w:r>
    </w:p>
    <w:p>
      <w:pPr>
        <w:pStyle w:val="Normal"/>
        <w:spacing w:after="120" w:line="360" w:lineRule="auto"/>
        <w:ind w:firstLine="480"/>
      </w:pPr>
      <w:r>
        <w:rPr>
          <w:rFonts w:ascii="Times New Roman" w:eastAsia="宋体"/>
        </w:rPr>
        <w:t xml:space="preserve">随后，对每一年集合平均值进行判断：如果时间序列首次超过上阈值，并且能够持续满足判定条件，则记录为上升方向ToE；如果首次低于下阈值，则记录为下降方向ToE。这样可以避免单一年份异常波动造成误判。</w:t>
      </w:r>
    </w:p>
    <w:p>
      <w:pPr>
        <w:pStyle w:val="Normal"/>
        <w:spacing w:after="120" w:line="360" w:lineRule="auto"/>
        <w:ind w:firstLine="480"/>
      </w:pPr>
      <w:r>
        <w:rPr>
          <w:rFonts w:ascii="Times New Roman" w:eastAsia="宋体"/>
        </w:rPr>
        <w:t xml:space="preserve">此外，为了解释不同区域ToE出现早晚的原因，本文引入信噪比作为辅助指标。具体而言，以分析末期连续30年的平均值与基准期平均值之差作为信号，以基准期标准差作为噪声，二者相除得到信噪比。信噪比可以帮助判断某些区域是由于信号本身较强而较早出现ToE，还是由于自然变率较小而较容易越过阈值；也可以解释某些变化明显但由于自然变率过大而没有识别到ToE的情况。</w:t>
      </w:r>
    </w:p>
    <w:p>
      <w:pPr>
        <w:pStyle w:val="Heading1"/>
        <w:spacing w:before="180" w:after="120"/>
      </w:pPr>
      <w:r>
        <w:rPr>
          <w:rFonts w:ascii="Times New Roman" w:eastAsia="宋体"/>
        </w:rPr>
        <w:t xml:space="preserve">P11 结果：环境变量ToE分析</w:t>
      </w:r>
    </w:p>
    <w:p>
      <w:pPr>
        <w:pStyle w:val="Normal"/>
        <w:spacing w:after="120" w:line="360" w:lineRule="auto"/>
        <w:ind w:firstLine="480"/>
      </w:pPr>
      <w:r>
        <w:rPr>
          <w:rFonts w:ascii="Times New Roman" w:eastAsia="宋体"/>
        </w:rPr>
        <w:t xml:space="preserve">结果部分主要选取赤道印度洋、南极绕极流和南极大陆架边缘三个代表性区域，展示从环境变量到低营养级变量，再到鱼类功能群变量的完整响应链条。</w:t>
      </w:r>
    </w:p>
    <w:p>
      <w:pPr>
        <w:pStyle w:val="Normal"/>
        <w:spacing w:after="120" w:line="360" w:lineRule="auto"/>
        <w:ind w:firstLine="480"/>
      </w:pPr>
      <w:r>
        <w:rPr>
          <w:rFonts w:ascii="Times New Roman" w:eastAsia="宋体"/>
        </w:rPr>
        <w:t xml:space="preserve">首先看环境变量。上层海洋温度对气候强迫响应最直接，因此在赤道印度洋和南极绕极流区域较早超过自然变率范围，ToE主要出现在2000—2020年。营养盐变量的响应则更具有区域差异：在赤道印度洋，硅酸盐和铁浓度的下降ToE多出现在2020—2040年，而硝酸盐由于自然变率较大，未能稳定识别到ToE。</w:t>
      </w:r>
    </w:p>
    <w:p>
      <w:pPr>
        <w:pStyle w:val="Normal"/>
        <w:spacing w:after="120" w:line="360" w:lineRule="auto"/>
        <w:ind w:firstLine="480"/>
      </w:pPr>
      <w:r>
        <w:rPr>
          <w:rFonts w:ascii="Times New Roman" w:eastAsia="宋体"/>
        </w:rPr>
        <w:t xml:space="preserve">在南极绕极流区域，硝酸盐和铁的ToE主要出现在2020—2040年，硅酸盐下降信号更早，约为2000—2020年。南极大陆架边缘区域中，硅酸盐、硝酸盐和铁均表现出2020—2040年的下降ToE；同时，由于热量向深层传播存在滞后，底层海洋温度的上升ToE也主要出现在2020—2040年。</w:t>
      </w:r>
    </w:p>
    <w:p>
      <w:pPr>
        <w:pStyle w:val="Heading1"/>
        <w:spacing w:before="180" w:after="120"/>
      </w:pPr>
      <w:r>
        <w:rPr>
          <w:rFonts w:ascii="Times New Roman" w:eastAsia="宋体"/>
        </w:rPr>
        <w:t xml:space="preserve">P12 结果：低营养级变量ToE分析</w:t>
      </w:r>
    </w:p>
    <w:p>
      <w:pPr>
        <w:pStyle w:val="Normal"/>
        <w:spacing w:after="120" w:line="360" w:lineRule="auto"/>
        <w:ind w:firstLine="480"/>
      </w:pPr>
      <w:r>
        <w:rPr>
          <w:rFonts w:ascii="Times New Roman" w:eastAsia="宋体"/>
        </w:rPr>
        <w:t xml:space="preserve">再来看低营养级变量。赤道印度洋区域虽然净初级生产力和小型浮游植物生物量局部表现为上升，硅藻和中型浮游动物生物量则存在下降信号，但由于该区域自然变率较强，因此ToE识别较为零散，难以形成连续稳定的空间分布。</w:t>
      </w:r>
    </w:p>
    <w:p>
      <w:pPr>
        <w:pStyle w:val="Normal"/>
        <w:spacing w:after="120" w:line="360" w:lineRule="auto"/>
        <w:ind w:firstLine="480"/>
      </w:pPr>
      <w:r>
        <w:rPr>
          <w:rFonts w:ascii="Times New Roman" w:eastAsia="宋体"/>
        </w:rPr>
        <w:t xml:space="preserve">南极绕极流区域的响应更加清晰。受铁限制减弱、生长季延长等因素影响，净初级生产力、硅藻生物量和中型浮游动物生物量的上升ToE主要出现在2040—2060年；小型浮游植物生物量则在2020—2060年间出现下降ToE，反映出浮游植物群落结构的改变。</w:t>
      </w:r>
    </w:p>
    <w:p>
      <w:pPr>
        <w:pStyle w:val="Normal"/>
        <w:spacing w:after="120" w:line="360" w:lineRule="auto"/>
        <w:ind w:firstLine="480"/>
      </w:pPr>
      <w:r>
        <w:rPr>
          <w:rFonts w:ascii="Times New Roman" w:eastAsia="宋体"/>
        </w:rPr>
        <w:t xml:space="preserve">在南极大陆架边缘，虽然营养盐整体出现下降信号，但该区域本身营养盐较丰富，同时受海冰消退和升温影响，生产力增强，进一步影响底层颗粒有机碳通量，其ToE主要出现在2040—2060年。</w:t>
      </w:r>
    </w:p>
    <w:p>
      <w:pPr>
        <w:pStyle w:val="Heading1"/>
        <w:spacing w:before="180" w:after="120"/>
      </w:pPr>
      <w:r>
        <w:rPr>
          <w:rFonts w:ascii="Times New Roman" w:eastAsia="宋体"/>
        </w:rPr>
        <w:t xml:space="preserve">P13 结果：鱼类功能群变量ToE分析</w:t>
      </w:r>
    </w:p>
    <w:p>
      <w:pPr>
        <w:pStyle w:val="Normal"/>
        <w:spacing w:after="120" w:line="360" w:lineRule="auto"/>
        <w:ind w:firstLine="480"/>
      </w:pPr>
      <w:r>
        <w:rPr>
          <w:rFonts w:ascii="Times New Roman" w:eastAsia="宋体"/>
        </w:rPr>
        <w:t xml:space="preserve">最后看鱼类功能群变量。与环境变量和低营养级变量相比，鱼类功能群会同时受到食物供给、温度适宜性和栖息地变化等多重压力影响，因此其气候变化信号在营养级传递过程中可能被进一步放大。</w:t>
      </w:r>
    </w:p>
    <w:p>
      <w:pPr>
        <w:pStyle w:val="Normal"/>
        <w:spacing w:after="120" w:line="360" w:lineRule="auto"/>
        <w:ind w:firstLine="480"/>
      </w:pPr>
      <w:r>
        <w:rPr>
          <w:rFonts w:ascii="Times New Roman" w:eastAsia="宋体"/>
        </w:rPr>
        <w:t xml:space="preserve">在赤道印度洋区域，饵料鱼和浮泳鱼生物量均表现为下降信号。饵料鱼主要受到中型浮游动物食物来源减少以及上层海水升温的共同限制，下降ToE约为2000—2020年；浮泳鱼还会受到饵料鱼减少、中型浮游动物变化和上层热环境压力的共同影响，因此下降ToE更早，约为1980—2000年。</w:t>
      </w:r>
    </w:p>
    <w:p>
      <w:pPr>
        <w:pStyle w:val="Normal"/>
        <w:spacing w:after="120" w:line="360" w:lineRule="auto"/>
        <w:ind w:firstLine="480"/>
      </w:pPr>
      <w:r>
        <w:rPr>
          <w:rFonts w:ascii="Times New Roman" w:eastAsia="宋体"/>
        </w:rPr>
        <w:t xml:space="preserve">在南极绕极流区域，净初级生产力和中型浮游动物供给增加，为饵料鱼和浮泳鱼提供了更有利的食物条件，因此二者均识别到2000—2020年的上升ToE。南极大陆架边缘则主要体现为底栖鱼生物量上升，这与底层颗粒有机碳输入增加以及底层海洋温度变化有关，其上升ToE也主要出现在2000—2020年。</w:t>
      </w:r>
    </w:p>
    <w:p>
      <w:pPr>
        <w:pStyle w:val="Heading1"/>
        <w:spacing w:before="180" w:after="120"/>
      </w:pPr>
      <w:r>
        <w:rPr>
          <w:rFonts w:ascii="Times New Roman" w:eastAsia="宋体"/>
        </w:rPr>
        <w:t xml:space="preserve">P14 结论</w:t>
      </w:r>
    </w:p>
    <w:p>
      <w:pPr>
        <w:pStyle w:val="Normal"/>
        <w:spacing w:after="120" w:line="360" w:lineRule="auto"/>
        <w:ind w:firstLine="480"/>
      </w:pPr>
      <w:r>
        <w:rPr>
          <w:rFonts w:ascii="Times New Roman" w:eastAsia="宋体"/>
        </w:rPr>
        <w:t xml:space="preserve">针对第一个科学问题，本文发现鱼类功能群变量通常更早从自然变率中显现出人为气候变化信号，环境变量次之，低营养级变量最晚。这说明高营养级生物虽然处于生态链末端，但并不一定最晚表现出可识别变化，反而可能因多重压力叠加而更早越过自然变率阈值。</w:t>
      </w:r>
    </w:p>
    <w:p>
      <w:pPr>
        <w:pStyle w:val="Normal"/>
        <w:spacing w:after="120" w:line="360" w:lineRule="auto"/>
        <w:ind w:firstLine="480"/>
      </w:pPr>
      <w:r>
        <w:rPr>
          <w:rFonts w:ascii="Times New Roman" w:eastAsia="宋体"/>
        </w:rPr>
        <w:t xml:space="preserve">针对第二个科学问题，本文认为不同生态层级的ToE能够反映气候变化信号在海洋生态系统中的传播过程。环境变量首先响应气候强迫，并通过温度、营养盐等变化改变浮游植物群落结构；随后净初级生产力、浮游动物和底层颗粒有机碳通量进一步通过食物网影响高营养级生物；最终，鱼类功能群在食物供给变化、温度升高和栖息地变化等多重因素共同作用下，表现出更复杂且具有放大效应的响应特征。</w:t>
      </w:r>
    </w:p>
    <w:p>
      <w:pPr>
        <w:pStyle w:val="Heading1"/>
        <w:spacing w:before="180" w:after="120"/>
      </w:pPr>
      <w:r>
        <w:rPr>
          <w:rFonts w:ascii="Times New Roman" w:eastAsia="宋体"/>
        </w:rPr>
        <w:t xml:space="preserve">P15 研究不足</w:t>
      </w:r>
    </w:p>
    <w:p>
      <w:pPr>
        <w:pStyle w:val="Normal"/>
        <w:spacing w:after="120" w:line="360" w:lineRule="auto"/>
        <w:ind w:firstLine="480"/>
      </w:pPr>
      <w:r>
        <w:rPr>
          <w:rFonts w:ascii="Times New Roman" w:eastAsia="宋体"/>
        </w:rPr>
        <w:t xml:space="preserve">当然，本文仍存在一些不足。第一，研究仅选取CESM2-LE中的10个集合成员，尚未覆盖全部可用集合成员，因此对内部自然变率的估计仍不够充分。第二，CESM2-FEISTY为离线模拟，鱼类功能群与环境强迫变量之间缺乏双向耦合，难以完全反映真实海洋生态系统中的复杂反馈。</w:t>
      </w:r>
    </w:p>
    <w:p>
      <w:pPr>
        <w:pStyle w:val="Normal"/>
        <w:spacing w:after="120" w:line="360" w:lineRule="auto"/>
        <w:ind w:firstLine="480"/>
      </w:pPr>
      <w:r>
        <w:rPr>
          <w:rFonts w:ascii="Times New Roman" w:eastAsia="宋体"/>
        </w:rPr>
        <w:t xml:space="preserve">第三，本文ToE采用“超过阈值并持续满足判定条件”的标准。对于自然变率较强的海区，即使长期趋势明显，也可能难以识别到ToE；而在自然变率较弱的海区，较小的长期变化也可能较早越过阈值。第四，本文尚未充分考虑物种迁移、生态适应和渔业开发活动等过程。未来可以进一步结合渔业开发情景和更高分辨率模型，对海洋生态系统气候风险开展更综合的评估。</w:t>
      </w:r>
    </w:p>
    <w:p>
      <w:pPr>
        <w:pStyle w:val="Heading1"/>
        <w:spacing w:before="180" w:after="120"/>
      </w:pPr>
      <w:r>
        <w:rPr>
          <w:rFonts w:ascii="Times New Roman" w:eastAsia="宋体"/>
        </w:rPr>
        <w:t xml:space="preserve">P16 致谢</w:t>
      </w:r>
    </w:p>
    <w:p>
      <w:pPr>
        <w:pStyle w:val="Normal"/>
        <w:spacing w:after="120" w:line="360" w:lineRule="auto"/>
        <w:ind w:firstLine="480"/>
      </w:pPr>
      <w:r>
        <w:rPr>
          <w:rFonts w:ascii="Times New Roman" w:eastAsia="宋体"/>
        </w:rPr>
        <w:t xml:space="preserve">最后，我要衷心感谢各位老师在论文评阅和答辩过程中提出的宝贵意见；感谢导师王杉霖教授在论文选题、研究开展和论文修改过程中给予的悉心指导；也感谢课题组师兄师姐在学习和科研中的帮助与支持，感谢家人和朋友一直以来的理解、鼓励与陪伴。</w:t>
      </w:r>
    </w:p>
    <w:p>
      <w:pPr>
        <w:pStyle w:val="Heading1"/>
        <w:spacing w:before="180" w:after="120"/>
      </w:pPr>
      <w:r>
        <w:rPr>
          <w:rFonts w:ascii="Times New Roman" w:eastAsia="宋体"/>
        </w:rPr>
        <w:t xml:space="preserve">P17 结束页</w:t>
      </w:r>
    </w:p>
    <w:p>
      <w:pPr>
        <w:pStyle w:val="Normal"/>
        <w:spacing w:after="120" w:line="360" w:lineRule="auto"/>
        <w:ind w:firstLine="480"/>
      </w:pPr>
      <w:r>
        <w:rPr>
          <w:rFonts w:ascii="Times New Roman" w:eastAsia="宋体"/>
        </w:rPr>
        <w:t xml:space="preserve">我的汇报到此结束，恳请各位老师批评指正。谢谢大家！</w:t>
      </w:r>
    </w:p>
    <w:p>
      <w:pPr>
        <w:pStyle w:val="Heading1"/>
        <w:spacing w:before="180" w:after="120"/>
      </w:pPr>
      <w:r>
        <w:rPr>
          <w:rFonts w:ascii="Times New Roman" w:eastAsia="宋体"/>
        </w:rPr>
        <w:t xml:space="preserve">附：原口头稿存在的问题及修改建议</w:t>
      </w:r>
    </w:p>
    <w:p>
      <w:pPr>
        <w:pStyle w:val="Heading2"/>
        <w:spacing w:before="180" w:after="120"/>
      </w:pPr>
      <w:r>
        <w:rPr>
          <w:rFonts w:ascii="Times New Roman" w:eastAsia="宋体"/>
        </w:rPr>
        <w:t xml:space="preserve">1. 句子偏长，信息堆叠较多</w:t>
      </w:r>
    </w:p>
    <w:p>
      <w:pPr>
        <w:pStyle w:val="Normal"/>
        <w:spacing w:after="120" w:line="360" w:lineRule="auto"/>
        <w:ind w:firstLine="480"/>
      </w:pPr>
      <w:r>
        <w:rPr>
          <w:rFonts w:ascii="Times New Roman" w:eastAsia="宋体"/>
        </w:rPr>
        <w:t xml:space="preserve">原稿中部分段落把背景、方法和结果连续放在一个长句中，听众需要同时处理多个信息点，容易影响理解。修改时应将长句拆分为“先说明现象—再解释原因—最后指出意义”的结构，让口头表达更自然。</w:t>
      </w:r>
    </w:p>
    <w:p>
      <w:pPr>
        <w:pStyle w:val="Heading2"/>
        <w:spacing w:before="180" w:after="120"/>
      </w:pPr>
      <w:r>
        <w:rPr>
          <w:rFonts w:ascii="Times New Roman" w:eastAsia="宋体"/>
        </w:rPr>
        <w:t xml:space="preserve">2. 过渡语不足，章节之间衔接略显突然</w:t>
      </w:r>
    </w:p>
    <w:p>
      <w:pPr>
        <w:pStyle w:val="Normal"/>
        <w:spacing w:after="120" w:line="360" w:lineRule="auto"/>
        <w:ind w:firstLine="480"/>
      </w:pPr>
      <w:r>
        <w:rPr>
          <w:rFonts w:ascii="Times New Roman" w:eastAsia="宋体"/>
        </w:rPr>
        <w:t xml:space="preserve">例如从研究进展进入研究思路、从方法进入结果时，原稿衔接较直接。修改时加入“针对上述不足”“接下来介绍”“结果部分主要选取”等过渡语，可以帮助评委更清楚地把握汇报逻辑。</w:t>
      </w:r>
    </w:p>
    <w:p>
      <w:pPr>
        <w:pStyle w:val="Heading2"/>
        <w:spacing w:before="180" w:after="120"/>
      </w:pPr>
      <w:r>
        <w:rPr>
          <w:rFonts w:ascii="Times New Roman" w:eastAsia="宋体"/>
        </w:rPr>
        <w:t xml:space="preserve">3. 方法部分需要突出判定逻辑</w:t>
      </w:r>
    </w:p>
    <w:p>
      <w:pPr>
        <w:pStyle w:val="Normal"/>
        <w:spacing w:after="120" w:line="360" w:lineRule="auto"/>
        <w:ind w:firstLine="480"/>
      </w:pPr>
      <w:r>
        <w:rPr>
          <w:rFonts w:ascii="Times New Roman" w:eastAsia="宋体"/>
        </w:rPr>
        <w:t xml:space="preserve">原稿已经说明了阈值和信噪比公式，但口头表达中应进一步强调“为什么要这样判定”：ToE用于区分外部强迫信号与内部自然变率，持续判定用于避免单年异常波动造成误判，信噪比用于解释ToE早晚背后的信号强度和噪声大小。</w:t>
      </w:r>
    </w:p>
    <w:p>
      <w:pPr>
        <w:pStyle w:val="Heading2"/>
        <w:spacing w:before="180" w:after="120"/>
      </w:pPr>
      <w:r>
        <w:rPr>
          <w:rFonts w:ascii="Times New Roman" w:eastAsia="宋体"/>
        </w:rPr>
        <w:t xml:space="preserve">4. 结果部分应避免只罗列年份</w:t>
      </w:r>
    </w:p>
    <w:p>
      <w:pPr>
        <w:pStyle w:val="Normal"/>
        <w:spacing w:after="120" w:line="360" w:lineRule="auto"/>
        <w:ind w:firstLine="480"/>
      </w:pPr>
      <w:r>
        <w:rPr>
          <w:rFonts w:ascii="Times New Roman" w:eastAsia="宋体"/>
        </w:rPr>
        <w:t xml:space="preserve">原稿对各区域ToE年份列举较完整，但如果只罗列时间段，逻辑会显得散。修改时应把年份与生态机制结合起来，例如“温度响应最直接”“低营养级受自然变率影响更强”“鱼类受到食物和温度多重压力”，这样结论更有解释力。</w:t>
      </w:r>
    </w:p>
    <w:p>
      <w:pPr>
        <w:pStyle w:val="Heading2"/>
        <w:spacing w:before="180" w:after="120"/>
      </w:pPr>
      <w:r>
        <w:rPr>
          <w:rFonts w:ascii="Times New Roman" w:eastAsia="宋体"/>
        </w:rPr>
        <w:t xml:space="preserve">5. 术语和措辞可更规范</w:t>
      </w:r>
    </w:p>
    <w:p>
      <w:pPr>
        <w:pStyle w:val="Normal"/>
        <w:spacing w:after="120" w:line="360" w:lineRule="auto"/>
        <w:ind w:firstLine="480"/>
      </w:pPr>
      <w:r>
        <w:rPr>
          <w:rFonts w:ascii="Times New Roman" w:eastAsia="宋体"/>
        </w:rPr>
        <w:t xml:space="preserve">原稿中个别表述如“除于”“线形演变”“南极绕流”等不够规范，建议分别改为“除以”“线性演变”“南极绕极流”。同时，口头稿中尽量统一使用“ToE”“信噪比”“集合成员平均值”等术语，避免前后表述不一致。</w:t>
      </w:r>
    </w:p>
    <w:p>
      <w:pPr>
        <w:pStyle w:val="Heading2"/>
        <w:spacing w:before="180" w:after="120"/>
      </w:pPr>
      <w:r>
        <w:rPr>
          <w:rFonts w:ascii="Times New Roman" w:eastAsia="宋体"/>
        </w:rPr>
        <w:t xml:space="preserve">6. 结论部分需要回扣科学问题</w:t>
      </w:r>
    </w:p>
    <w:p>
      <w:pPr>
        <w:pStyle w:val="Normal"/>
        <w:spacing w:after="120" w:line="360" w:lineRule="auto"/>
        <w:ind w:firstLine="480"/>
      </w:pPr>
      <w:r>
        <w:rPr>
          <w:rFonts w:ascii="Times New Roman" w:eastAsia="宋体"/>
        </w:rPr>
        <w:t xml:space="preserve">原稿结论内容较完整，但可以更明确地对应前面提出的两个科学问题。修改后先回答“哪些变量更早出现”，再回答“ToE是否反映传播和放大过程”，能够形成从问题提出到结果解释再到结论回应的闭环。</w:t>
      </w:r>
    </w:p>
    <w:sectPr>
      <w:pgSz w:w="11906" w:h="16838"/>
      <w:pgMar w:top="1440" w:right="1440" w:bottom="1440" w:left="1440" w:header="720" w:footer="720" w:gutter="0"/>
    </w:sectPr>
  </w:body>
</w:document>
</file>

<file path=word/styles.xml><?xml version="1.0" encoding="utf-8"?>
<w:styles xmlns:w="http://schemas.openxmlformats.org/wordprocessingml/2006/main">
  <w:style w:type="paragraph" w:styleId="Normal">
    <w:name w:val="Normal"/>
    <w:rPr>
      <w:rFonts w:ascii="Times New Roman" w:eastAsia="宋体"/>
      <w:sz w:val="24"/>
    </w:rPr>
  </w:style>
  <w:style w:type="paragraph" w:styleId="Title">
    <w:name w:val="Title"/>
    <w:pPr>
      <w:jc w:val="center"/>
    </w:pPr>
    <w:rPr>
      <w:rFonts w:ascii="Times New Roman" w:eastAsia="黑体"/>
      <w:b/>
      <w:sz w:val="32"/>
    </w:rPr>
  </w:style>
  <w:style w:type="paragraph" w:styleId="Subtitle">
    <w:name w:val="Subtitle"/>
    <w:pPr>
      <w:jc w:val="center"/>
    </w:pPr>
    <w:rPr>
      <w:rFonts w:ascii="Times New Roman" w:eastAsia="宋体"/>
      <w:sz w:val="26"/>
    </w:rPr>
  </w:style>
  <w:style w:type="paragraph" w:styleId="Heading1">
    <w:name w:val="heading 1"/>
    <w:basedOn w:val="Normal"/>
    <w:next w:val="Normal"/>
    <w:rPr>
      <w:rFonts w:ascii="Times New Roman" w:eastAsia="黑体"/>
      <w:b/>
      <w:sz w:val="28"/>
    </w:rPr>
  </w:style>
  <w:style w:type="paragraph" w:styleId="Heading2">
    <w:name w:val="heading 2"/>
    <w:basedOn w:val="Normal"/>
    <w:next w:val="Normal"/>
    <w:rPr>
      <w:rFonts w:ascii="Times New Roman" w:eastAsia="黑体"/>
      <w:b/>
      <w:sz w:val="24"/>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