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多协议数据采集管理软件 V1.0</w:t>
      </w:r>
    </w:p>
    <w:p>
      <w:pPr>
        <w:pStyle w:val="Subtitle"/>
      </w:pPr>
      <w:r>
        <w:t>设计说明书</w:t>
      </w:r>
    </w:p>
    <w:p>
      <w:pPr>
        <w:ind w:firstLine="420"/>
      </w:pPr>
      <w:r>
        <w:t>本软件用于管理试验任务下的数据接入。它将采集配置转换为网络监听任务，接收PDXP遥测报文与FEP文件，并记录接入状态、统计信息及文件后续处理结果。本文说明软件的功能组织、接口、数据模型、运行流程和部署维护方法。</w:t>
      </w:r>
    </w:p>
    <w:tbl>
      <w:tblPr>
        <w:tblW w:type="auto" w:w="0"/>
        <w:tblLayout w:type="fixed"/>
        <w:tblLook w:firstColumn="1" w:firstRow="1" w:lastColumn="0" w:lastRow="0" w:noHBand="0" w:noVBand="1" w:val="04A0"/>
      </w:tblPr>
      <w:tblGrid>
        <w:gridCol w:w="1928"/>
        <w:gridCol w:w="7824"/>
      </w:tblGrid>
      <w:tr>
        <w:trPr>
          <w:cantSplit/>
          <w:tblHeader/>
        </w:trPr>
        <w:tc>
          <w:tcPr>
            <w:tcW w:type="dxa" w:w="1928"/>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280" w:lineRule="exact"/>
            </w:pPr>
            <w:r>
              <w:rPr>
                <w:b/>
                <w:sz w:val="18"/>
              </w:rPr>
              <w:t>项目</w:t>
            </w:r>
          </w:p>
        </w:tc>
        <w:tc>
          <w:tcPr>
            <w:tcW w:type="dxa" w:w="7824"/>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280" w:lineRule="exact"/>
            </w:pPr>
            <w:r>
              <w:rPr>
                <w:b/>
                <w:sz w:val="18"/>
              </w:rPr>
              <w:t>说明</w:t>
            </w:r>
          </w:p>
        </w:tc>
      </w:tr>
      <w:tr>
        <w:trPr>
          <w:cantSplit/>
        </w:trPr>
        <w:tc>
          <w:tcPr>
            <w:tcW w:type="dxa" w:w="192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软件名称</w:t>
            </w:r>
          </w:p>
        </w:tc>
        <w:tc>
          <w:tcPr>
            <w:tcW w:type="dxa" w:w="7824"/>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多协议数据采集管理软件</w:t>
            </w:r>
          </w:p>
        </w:tc>
      </w:tr>
      <w:tr>
        <w:trPr>
          <w:cantSplit/>
        </w:trPr>
        <w:tc>
          <w:tcPr>
            <w:tcW w:type="dxa" w:w="192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版本</w:t>
            </w:r>
          </w:p>
        </w:tc>
        <w:tc>
          <w:tcPr>
            <w:tcW w:type="dxa" w:w="7824"/>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V1.0</w:t>
            </w:r>
          </w:p>
        </w:tc>
      </w:tr>
      <w:tr>
        <w:trPr>
          <w:cantSplit/>
        </w:trPr>
        <w:tc>
          <w:tcPr>
            <w:tcW w:type="dxa" w:w="192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文档类别</w:t>
            </w:r>
          </w:p>
        </w:tc>
        <w:tc>
          <w:tcPr>
            <w:tcW w:type="dxa" w:w="7824"/>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软件设计说明书</w:t>
            </w:r>
          </w:p>
        </w:tc>
      </w:tr>
      <w:tr>
        <w:trPr>
          <w:cantSplit/>
        </w:trPr>
        <w:tc>
          <w:tcPr>
            <w:tcW w:type="dxa" w:w="192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服务形态</w:t>
            </w:r>
          </w:p>
        </w:tc>
        <w:tc>
          <w:tcPr>
            <w:tcW w:type="dxa" w:w="7824"/>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Java后端服务，通过HTTP接口提供管理能力</w:t>
            </w:r>
          </w:p>
        </w:tc>
      </w:tr>
      <w:tr>
        <w:trPr>
          <w:cantSplit/>
        </w:trPr>
        <w:tc>
          <w:tcPr>
            <w:tcW w:type="dxa" w:w="192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部署关系</w:t>
            </w:r>
          </w:p>
        </w:tc>
        <w:tc>
          <w:tcPr>
            <w:tcW w:type="dxa" w:w="7824"/>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管理能力运行于data-admin-service，接收或计算能力运行于data-process-service；公共基础设施共用</w:t>
            </w:r>
          </w:p>
        </w:tc>
      </w:tr>
      <w:tr>
        <w:trPr>
          <w:cantSplit/>
        </w:trPr>
        <w:tc>
          <w:tcPr>
            <w:tcW w:type="dxa" w:w="192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主要调用方</w:t>
            </w:r>
          </w:p>
        </w:tc>
        <w:tc>
          <w:tcPr>
            <w:tcW w:type="dxa" w:w="7824"/>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业务前端、接口调用程序及试验数据处理链路</w:t>
            </w:r>
          </w:p>
        </w:tc>
      </w:tr>
    </w:tbl>
    <w:p>
      <w:pPr>
        <w:spacing w:after="0"/>
      </w:pPr>
    </w:p>
    <w:p>
      <w:pPr>
        <w:pStyle w:val="Heading1"/>
      </w:pPr>
      <w:r>
        <w:t>业务范围与功能组织</w:t>
      </w:r>
    </w:p>
    <w:p>
      <w:pPr>
        <w:ind w:firstLine="420"/>
      </w:pPr>
      <w:r>
        <w:t>软件以试验任务为配置组织单位。使用者先确定数据来源与协议，再维护协议配置、监听地址和端口。运行端依据启用列表维护接收任务，接收后的遥测数据交给处理链路，完整文件则进入对象上传与消息发布流程。管理端通过总览和事件接口反映接入过程。</w:t>
      </w:r>
    </w:p>
    <w:p>
      <w:pPr>
        <w:ind w:firstLine="420"/>
      </w:pPr>
      <w:r>
        <w:t>当前实际注册的业务协议处理器包括PDXP和FEP。接口枚举还保留JSON、Protobuf以及HTTP等配置选项，但枚举存在并不表示对应接收处理器已经实现。PDXP可经UDP或TCP接收，FEP使用TCP会话。对未注册协议或不支持的传输组合，运行端拒绝建立处理会话。</w:t>
      </w:r>
    </w:p>
    <w:tbl>
      <w:tblPr>
        <w:tblW w:type="auto" w:w="0"/>
        <w:tblLayout w:type="fixed"/>
        <w:tblLook w:firstColumn="1" w:firstRow="1" w:lastColumn="0" w:lastRow="0" w:noHBand="0" w:noVBand="1" w:val="04A0"/>
      </w:tblPr>
      <w:tblGrid>
        <w:gridCol w:w="1701"/>
        <w:gridCol w:w="4025"/>
        <w:gridCol w:w="4025"/>
      </w:tblGrid>
      <w:tr>
        <w:trPr>
          <w:cantSplit/>
          <w:tblHeader/>
        </w:trPr>
        <w:tc>
          <w:tcPr>
            <w:tcW w:type="dxa" w:w="1701"/>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280" w:lineRule="exact"/>
            </w:pPr>
            <w:r>
              <w:rPr>
                <w:b/>
                <w:sz w:val="18"/>
              </w:rPr>
              <w:t>功能模块</w:t>
            </w:r>
          </w:p>
        </w:tc>
        <w:tc>
          <w:tcPr>
            <w:tcW w:type="dxa" w:w="4025"/>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280" w:lineRule="exact"/>
            </w:pPr>
            <w:r>
              <w:rPr>
                <w:b/>
                <w:sz w:val="18"/>
              </w:rPr>
              <w:t>职责</w:t>
            </w:r>
          </w:p>
        </w:tc>
        <w:tc>
          <w:tcPr>
            <w:tcW w:type="dxa" w:w="4025"/>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280" w:lineRule="exact"/>
            </w:pPr>
            <w:r>
              <w:rPr>
                <w:b/>
                <w:sz w:val="18"/>
              </w:rPr>
              <w:t>主要输出</w:t>
            </w:r>
          </w:p>
        </w:tc>
      </w:tr>
      <w:tr>
        <w:trPr>
          <w:cantSplit/>
        </w:trPr>
        <w:tc>
          <w:tcPr>
            <w:tcW w:type="dxa" w:w="170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采集配置</w:t>
            </w:r>
          </w:p>
        </w:tc>
        <w:tc>
          <w:tcPr>
            <w:tcW w:type="dxa" w:w="402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维护任务、接口、地址、协议关联与启用开关</w:t>
            </w:r>
          </w:p>
        </w:tc>
        <w:tc>
          <w:tcPr>
            <w:tcW w:type="dxa" w:w="402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配置记录和接口详情</w:t>
            </w:r>
          </w:p>
        </w:tc>
      </w:tr>
      <w:tr>
        <w:trPr>
          <w:cantSplit/>
        </w:trPr>
        <w:tc>
          <w:tcPr>
            <w:tcW w:type="dxa" w:w="170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协议配置</w:t>
            </w:r>
          </w:p>
        </w:tc>
        <w:tc>
          <w:tcPr>
            <w:tcW w:type="dxa" w:w="402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保存PDXP设备关联或RPC固定字段</w:t>
            </w:r>
          </w:p>
        </w:tc>
        <w:tc>
          <w:tcPr>
            <w:tcW w:type="dxa" w:w="402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运行期协议快照</w:t>
            </w:r>
          </w:p>
        </w:tc>
      </w:tr>
      <w:tr>
        <w:trPr>
          <w:cantSplit/>
        </w:trPr>
        <w:tc>
          <w:tcPr>
            <w:tcW w:type="dxa" w:w="170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运行同步</w:t>
            </w:r>
          </w:p>
        </w:tc>
        <w:tc>
          <w:tcPr>
            <w:tcW w:type="dxa" w:w="402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按完整启用列表增停接收任务</w:t>
            </w:r>
          </w:p>
        </w:tc>
        <w:tc>
          <w:tcPr>
            <w:tcW w:type="dxa" w:w="402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内存运行集合及日志</w:t>
            </w:r>
          </w:p>
        </w:tc>
      </w:tr>
      <w:tr>
        <w:trPr>
          <w:cantSplit/>
        </w:trPr>
        <w:tc>
          <w:tcPr>
            <w:tcW w:type="dxa" w:w="170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网络接收</w:t>
            </w:r>
          </w:p>
        </w:tc>
        <w:tc>
          <w:tcPr>
            <w:tcW w:type="dxa" w:w="402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UDP单播组播、TCP连接接收</w:t>
            </w:r>
          </w:p>
        </w:tc>
        <w:tc>
          <w:tcPr>
            <w:tcW w:type="dxa" w:w="402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完整协议包</w:t>
            </w:r>
          </w:p>
        </w:tc>
      </w:tr>
      <w:tr>
        <w:trPr>
          <w:cantSplit/>
        </w:trPr>
        <w:tc>
          <w:tcPr>
            <w:tcW w:type="dxa" w:w="170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文件接入</w:t>
            </w:r>
          </w:p>
        </w:tc>
        <w:tc>
          <w:tcPr>
            <w:tcW w:type="dxa" w:w="402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FEP会话、续传、结束校验</w:t>
            </w:r>
          </w:p>
        </w:tc>
        <w:tc>
          <w:tcPr>
            <w:tcW w:type="dxa" w:w="402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本地完整文件及接收记录</w:t>
            </w:r>
          </w:p>
        </w:tc>
      </w:tr>
      <w:tr>
        <w:trPr>
          <w:cantSplit/>
        </w:trPr>
        <w:tc>
          <w:tcPr>
            <w:tcW w:type="dxa" w:w="170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结果处理</w:t>
            </w:r>
          </w:p>
        </w:tc>
        <w:tc>
          <w:tcPr>
            <w:tcW w:type="dxa" w:w="402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对象上传、消息发布与失败重试</w:t>
            </w:r>
          </w:p>
        </w:tc>
        <w:tc>
          <w:tcPr>
            <w:tcW w:type="dxa" w:w="402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对象地址、消息及状态</w:t>
            </w:r>
          </w:p>
        </w:tc>
      </w:tr>
      <w:tr>
        <w:trPr>
          <w:cantSplit/>
        </w:trPr>
        <w:tc>
          <w:tcPr>
            <w:tcW w:type="dxa" w:w="170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监控查询</w:t>
            </w:r>
          </w:p>
        </w:tc>
        <w:tc>
          <w:tcPr>
            <w:tcW w:type="dxa" w:w="402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采集数量、速率、事件及日志</w:t>
            </w:r>
          </w:p>
        </w:tc>
        <w:tc>
          <w:tcPr>
            <w:tcW w:type="dxa" w:w="402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分页与汇总响应</w:t>
            </w:r>
          </w:p>
        </w:tc>
      </w:tr>
    </w:tbl>
    <w:p>
      <w:pPr>
        <w:spacing w:after="0"/>
      </w:pPr>
    </w:p>
    <w:p>
      <w:pPr>
        <w:pStyle w:val="Heading1"/>
      </w:pPr>
      <w:r>
        <w:t>总体架构与协作关系</w:t>
      </w:r>
    </w:p>
    <w:p>
      <w:pPr>
        <w:keepNext/>
        <w:spacing w:line="240" w:lineRule="auto"/>
        <w:jc w:val="center"/>
      </w:pPr>
      <w:r>
        <w:drawing>
          <wp:inline xmlns:a="http://schemas.openxmlformats.org/drawingml/2006/main" xmlns:pic="http://schemas.openxmlformats.org/drawingml/2006/picture">
            <wp:extent cx="6120000" cy="1476000"/>
            <wp:docPr id="1" name="Picture 1"/>
            <wp:cNvGraphicFramePr>
              <a:graphicFrameLocks noChangeAspect="1"/>
            </wp:cNvGraphicFramePr>
            <a:graphic>
              <a:graphicData uri="http://schemas.openxmlformats.org/drawingml/2006/picture">
                <pic:pic>
                  <pic:nvPicPr>
                    <pic:cNvPr id="0" name="c-architecture.png"/>
                    <pic:cNvPicPr/>
                  </pic:nvPicPr>
                  <pic:blipFill>
                    <a:blip r:embed="rId10"/>
                    <a:stretch>
                      <a:fillRect/>
                    </a:stretch>
                  </pic:blipFill>
                  <pic:spPr>
                    <a:xfrm>
                      <a:off x="0" y="0"/>
                      <a:ext cx="6120000" cy="1476000"/>
                    </a:xfrm>
                    <a:prstGeom prst="rect"/>
                  </pic:spPr>
                </pic:pic>
              </a:graphicData>
            </a:graphic>
          </wp:inline>
        </w:drawing>
      </w:r>
    </w:p>
    <w:p>
      <w:pPr>
        <w:pStyle w:val="Caption"/>
        <w:jc w:val="center"/>
      </w:pPr>
      <w:r>
        <w:t>图1 采集软件主要调用关系</w:t>
      </w:r>
    </w:p>
    <w:p>
      <w:pPr>
        <w:ind w:firstLine="420"/>
      </w:pPr>
      <w:r>
        <w:t>DataCollectionController暴露采集接口、协议和事件管理入口。DataCollectionServiceImpl负责业务校验与事务写入，配置同步服务在事务提交后调用运行端内部接口。CollectInterfaceManager读取数据库配置并维护接收任务。ProtocolHandlerRegistry根据传输协议选择处理器，网络层不用为每种协议重复编写监听逻辑。</w:t>
      </w:r>
    </w:p>
    <w:p>
      <w:pPr>
        <w:ind w:firstLine="420"/>
      </w:pPr>
      <w:r>
        <w:t>运行快照包括任务、接口、协议、设备身份以及后续处理所需的规则信息。采集侧负责快照的装载和传递；具体参数转换由协作处理器执行。FEP文件后续处理使用独立线程池，网络会话无需等待对象上传或消息发布完成。</w:t>
      </w:r>
    </w:p>
    <w:p>
      <w:pPr>
        <w:pStyle w:val="Heading1"/>
      </w:pPr>
      <w:r>
        <w:t>采集接口与协议配置设计</w:t>
      </w:r>
    </w:p>
    <w:p>
      <w:pPr>
        <w:pStyle w:val="Heading2"/>
      </w:pPr>
      <w:r>
        <w:t>采集接口字段</w:t>
      </w:r>
    </w:p>
    <w:tbl>
      <w:tblPr>
        <w:tblW w:type="auto" w:w="0"/>
        <w:tblLayout w:type="fixed"/>
        <w:tblLook w:firstColumn="1" w:firstRow="1" w:lastColumn="0" w:lastRow="0" w:noHBand="0" w:noVBand="1" w:val="04A0"/>
      </w:tblPr>
      <w:tblGrid>
        <w:gridCol w:w="2324"/>
        <w:gridCol w:w="4025"/>
        <w:gridCol w:w="3402"/>
      </w:tblGrid>
      <w:tr>
        <w:trPr>
          <w:cantSplit/>
          <w:tblHeader/>
        </w:trPr>
        <w:tc>
          <w:tcPr>
            <w:tcW w:type="dxa" w:w="2324"/>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280" w:lineRule="exact"/>
            </w:pPr>
            <w:r>
              <w:rPr>
                <w:b/>
                <w:sz w:val="18"/>
              </w:rPr>
              <w:t>字段</w:t>
            </w:r>
          </w:p>
        </w:tc>
        <w:tc>
          <w:tcPr>
            <w:tcW w:type="dxa" w:w="4025"/>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280" w:lineRule="exact"/>
            </w:pPr>
            <w:r>
              <w:rPr>
                <w:b/>
                <w:sz w:val="18"/>
              </w:rPr>
              <w:t>规则</w:t>
            </w:r>
          </w:p>
        </w:tc>
        <w:tc>
          <w:tcPr>
            <w:tcW w:type="dxa" w:w="3402"/>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280" w:lineRule="exact"/>
            </w:pPr>
            <w:r>
              <w:rPr>
                <w:b/>
                <w:sz w:val="18"/>
              </w:rPr>
              <w:t>用途</w:t>
            </w:r>
          </w:p>
        </w:tc>
      </w:tr>
      <w:tr>
        <w:trPr>
          <w:cantSplit/>
        </w:trPr>
        <w:tc>
          <w:tcPr>
            <w:tcW w:type="dxa" w:w="2324"/>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taskId</w:t>
            </w:r>
          </w:p>
        </w:tc>
        <w:tc>
          <w:tcPr>
            <w:tcW w:type="dxa" w:w="402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必填字符串，最长100字符</w:t>
            </w:r>
          </w:p>
        </w:tc>
        <w:tc>
          <w:tcPr>
            <w:tcW w:type="dxa" w:w="3402"/>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限定试验任务</w:t>
            </w:r>
          </w:p>
        </w:tc>
      </w:tr>
      <w:tr>
        <w:trPr>
          <w:cantSplit/>
        </w:trPr>
        <w:tc>
          <w:tcPr>
            <w:tcW w:type="dxa" w:w="2324"/>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interfaceName</w:t>
            </w:r>
          </w:p>
        </w:tc>
        <w:tc>
          <w:tcPr>
            <w:tcW w:type="dxa" w:w="402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必填，最长100字符</w:t>
            </w:r>
          </w:p>
        </w:tc>
        <w:tc>
          <w:tcPr>
            <w:tcW w:type="dxa" w:w="3402"/>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接口展示名称</w:t>
            </w:r>
          </w:p>
        </w:tc>
      </w:tr>
      <w:tr>
        <w:trPr>
          <w:cantSplit/>
        </w:trPr>
        <w:tc>
          <w:tcPr>
            <w:tcW w:type="dxa" w:w="2324"/>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interfaceType</w:t>
            </w:r>
          </w:p>
        </w:tc>
        <w:tc>
          <w:tcPr>
            <w:tcW w:type="dxa" w:w="402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外部或内部接口编码</w:t>
            </w:r>
          </w:p>
        </w:tc>
        <w:tc>
          <w:tcPr>
            <w:tcW w:type="dxa" w:w="3402"/>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来源类别</w:t>
            </w:r>
          </w:p>
        </w:tc>
      </w:tr>
      <w:tr>
        <w:trPr>
          <w:cantSplit/>
        </w:trPr>
        <w:tc>
          <w:tcPr>
            <w:tcW w:type="dxa" w:w="2324"/>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transferType</w:t>
            </w:r>
          </w:p>
        </w:tc>
        <w:tc>
          <w:tcPr>
            <w:tcW w:type="dxa" w:w="402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UDP或TCP用于当前接收实现</w:t>
            </w:r>
          </w:p>
        </w:tc>
        <w:tc>
          <w:tcPr>
            <w:tcW w:type="dxa" w:w="3402"/>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传输方式</w:t>
            </w:r>
          </w:p>
        </w:tc>
      </w:tr>
      <w:tr>
        <w:trPr>
          <w:cantSplit/>
        </w:trPr>
        <w:tc>
          <w:tcPr>
            <w:tcW w:type="dxa" w:w="2324"/>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transferProtocol</w:t>
            </w:r>
          </w:p>
        </w:tc>
        <w:tc>
          <w:tcPr>
            <w:tcW w:type="dxa" w:w="402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PDXP为2，FEP为4</w:t>
            </w:r>
          </w:p>
        </w:tc>
        <w:tc>
          <w:tcPr>
            <w:tcW w:type="dxa" w:w="3402"/>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选择运行处理器</w:t>
            </w:r>
          </w:p>
        </w:tc>
      </w:tr>
      <w:tr>
        <w:trPr>
          <w:cantSplit/>
        </w:trPr>
        <w:tc>
          <w:tcPr>
            <w:tcW w:type="dxa" w:w="2324"/>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protocolConfigId</w:t>
            </w:r>
          </w:p>
        </w:tc>
        <w:tc>
          <w:tcPr>
            <w:tcW w:type="dxa" w:w="402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必须关联已有协议配置</w:t>
            </w:r>
          </w:p>
        </w:tc>
        <w:tc>
          <w:tcPr>
            <w:tcW w:type="dxa" w:w="3402"/>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装载协议参数</w:t>
            </w:r>
          </w:p>
        </w:tc>
      </w:tr>
      <w:tr>
        <w:trPr>
          <w:cantSplit/>
        </w:trPr>
        <w:tc>
          <w:tcPr>
            <w:tcW w:type="dxa" w:w="2324"/>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host 与 port</w:t>
            </w:r>
          </w:p>
        </w:tc>
        <w:tc>
          <w:tcPr>
            <w:tcW w:type="dxa" w:w="402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本机监听地址；端口1至65535</w:t>
            </w:r>
          </w:p>
        </w:tc>
        <w:tc>
          <w:tcPr>
            <w:tcW w:type="dxa" w:w="3402"/>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网络监听位置</w:t>
            </w:r>
          </w:p>
        </w:tc>
      </w:tr>
      <w:tr>
        <w:trPr>
          <w:cantSplit/>
        </w:trPr>
        <w:tc>
          <w:tcPr>
            <w:tcW w:type="dxa" w:w="2324"/>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multicastIp</w:t>
            </w:r>
          </w:p>
        </w:tc>
        <w:tc>
          <w:tcPr>
            <w:tcW w:type="dxa" w:w="402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可空，仅UDP允许且须为组播地址</w:t>
            </w:r>
          </w:p>
        </w:tc>
        <w:tc>
          <w:tcPr>
            <w:tcW w:type="dxa" w:w="3402"/>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加入组播组</w:t>
            </w:r>
          </w:p>
        </w:tc>
      </w:tr>
      <w:tr>
        <w:trPr>
          <w:cantSplit/>
        </w:trPr>
        <w:tc>
          <w:tcPr>
            <w:tcW w:type="dxa" w:w="2324"/>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enabled</w:t>
            </w:r>
          </w:p>
        </w:tc>
        <w:tc>
          <w:tcPr>
            <w:tcW w:type="dxa" w:w="402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0禁用，1启用；省略时默认启用</w:t>
            </w:r>
          </w:p>
        </w:tc>
        <w:tc>
          <w:tcPr>
            <w:tcW w:type="dxa" w:w="3402"/>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决定是否建立接收任务</w:t>
            </w:r>
          </w:p>
        </w:tc>
      </w:tr>
      <w:tr>
        <w:trPr>
          <w:cantSplit/>
        </w:trPr>
        <w:tc>
          <w:tcPr>
            <w:tcW w:type="dxa" w:w="2324"/>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rpcEnabled</w:t>
            </w:r>
          </w:p>
        </w:tc>
        <w:tc>
          <w:tcPr>
            <w:tcW w:type="dxa" w:w="402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0本地处理，1远程处理；默认0</w:t>
            </w:r>
          </w:p>
        </w:tc>
        <w:tc>
          <w:tcPr>
            <w:tcW w:type="dxa" w:w="3402"/>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选择PDXP后续处理分支</w:t>
            </w:r>
          </w:p>
        </w:tc>
      </w:tr>
    </w:tbl>
    <w:p>
      <w:pPr>
        <w:spacing w:after="0"/>
      </w:pPr>
    </w:p>
    <w:p>
      <w:pPr>
        <w:ind w:firstLine="420"/>
      </w:pPr>
      <w:r>
        <w:t>新增接口应先关联协议配置。地址与组播字段会规范空白，避免同一监听配置以不同字符串形式保存。启用状态与运行状态分开保存，接口保存成功仅表示配置已提交，实际是否开始监听还应检查运行日志。删除操作要求接口先禁用，避免直接删除正在使用的配置。</w:t>
      </w:r>
    </w:p>
    <w:p>
      <w:pPr>
        <w:pStyle w:val="Heading2"/>
      </w:pPr>
      <w:r>
        <w:t>PDXP设备关联与RPC固定字段</w:t>
      </w:r>
    </w:p>
    <w:p>
      <w:pPr>
        <w:ind w:firstLine="420"/>
      </w:pPr>
      <w:r>
        <w:t>PDXP协议配置以configParams.deviceSatelliteId关联当前任务内的有效设备卫星，另可保留pdxphead包头信息。当前本地解析字段从设备的遥测参数规则表加载，不再以旧接口文档中的configParams.fields作为本地字段来源。保存PDXP配置时会规范保留包头与设备主键。</w:t>
      </w:r>
    </w:p>
    <w:p>
      <w:pPr>
        <w:ind w:firstLine="420"/>
      </w:pPr>
      <w:r>
        <w:t>RPC相关配置仍可使用fields保存sat_code、channel和data_source等固定值，实际请求的数据、序号、时间及长度来自接收帧。rpcEnabled只选择完整PDXP帧后的业务处理分支，不把接收链路改成另一个传输协议。设备主键必须能够在运行快照中取得，以供处理和时序结果归属使用。</w:t>
      </w:r>
    </w:p>
    <w:p>
      <w:pPr>
        <w:pStyle w:val="Heading1"/>
      </w:pPr>
      <w:r>
        <w:t>配置提交与运行同步</w:t>
      </w:r>
    </w:p>
    <w:p>
      <w:pPr>
        <w:keepNext/>
        <w:spacing w:line="240" w:lineRule="auto"/>
        <w:jc w:val="center"/>
      </w:pPr>
      <w:r>
        <w:drawing>
          <wp:inline xmlns:a="http://schemas.openxmlformats.org/drawingml/2006/main" xmlns:pic="http://schemas.openxmlformats.org/drawingml/2006/picture">
            <wp:extent cx="6120000" cy="1476000"/>
            <wp:docPr id="2" name="Picture 2"/>
            <wp:cNvGraphicFramePr>
              <a:graphicFrameLocks noChangeAspect="1"/>
            </wp:cNvGraphicFramePr>
            <a:graphic>
              <a:graphicData uri="http://schemas.openxmlformats.org/drawingml/2006/picture">
                <pic:pic>
                  <pic:nvPicPr>
                    <pic:cNvPr id="0" name="c-sync.png"/>
                    <pic:cNvPicPr/>
                  </pic:nvPicPr>
                  <pic:blipFill>
                    <a:blip r:embed="rId11"/>
                    <a:stretch>
                      <a:fillRect/>
                    </a:stretch>
                  </pic:blipFill>
                  <pic:spPr>
                    <a:xfrm>
                      <a:off x="0" y="0"/>
                      <a:ext cx="6120000" cy="1476000"/>
                    </a:xfrm>
                    <a:prstGeom prst="rect"/>
                  </pic:spPr>
                </pic:pic>
              </a:graphicData>
            </a:graphic>
          </wp:inline>
        </w:drawing>
      </w:r>
    </w:p>
    <w:p>
      <w:pPr>
        <w:pStyle w:val="Caption"/>
        <w:jc w:val="center"/>
      </w:pPr>
      <w:r>
        <w:t>图2 配置同步与接收任务更新</w:t>
      </w:r>
    </w:p>
    <w:p>
      <w:pPr>
        <w:ind w:firstLine="420"/>
      </w:pPr>
      <w:r>
        <w:t>配置写入发生在关系数据库事务中。同步组件注册事务提交回调，提交成功后读取全部启用接口主键，并通过内部HTTP接口发送完整列表。这样运行端读取的是已提交数据，避免事务内网络通知导致旧配置被提前加载。内部通知失败会记录日志，已提交配置不会伪装成回滚。</w:t>
      </w:r>
    </w:p>
    <w:p>
      <w:pPr>
        <w:ind w:firstLine="420"/>
      </w:pPr>
      <w:r>
        <w:t>运行端先去除空主键和重复主键，再查询仍启用且未删除的配置。空列表不执行无意义的IN查询，而是形成空目标集合并停止现有接口。当前批次启用接口要求属于同一个试验任务；不同任务混合时会拒绝装载。</w:t>
      </w:r>
    </w:p>
    <w:p>
      <w:pPr>
        <w:ind w:firstLine="420"/>
      </w:pPr>
      <w:r>
        <w:t>运行集合以接口主键管理。新增接口创建接收任务，关键监听配置变化时先停止旧任务再启动新任务；仅校准规则等可替换快照发生变化时更新内存配置。数据库中已禁用、已删除或不在通知列表中的接口被停止。服务启动完成后按相同机制恢复启用接口。</w:t>
      </w:r>
    </w:p>
    <w:p>
      <w:pPr>
        <w:pStyle w:val="Heading1"/>
      </w:pPr>
      <w:r>
        <w:t>网络接收与线程模型</w:t>
      </w:r>
    </w:p>
    <w:p>
      <w:pPr>
        <w:ind w:firstLine="420"/>
      </w:pPr>
      <w:r>
        <w:t>采集线程池承载长期网络接收任务，使用直接交接队列，不把无法立即执行的长期监听无限排队。数据处理线程池使用固定线程数和有界队列，接收线程提交完整报文后继续监听。队列拒绝会产生明确日志，因此容量不足可能导致当前报文未处理，不能把有界队列描述为无损缓存。</w:t>
      </w:r>
    </w:p>
    <w:p>
      <w:pPr>
        <w:ind w:firstLine="420"/>
      </w:pPr>
      <w:r>
        <w:t>UDP接收器根据multicastIp是否为空选择单播或组播接收模式，将收到的报文字节与接口配置一起传递给协议会话。TCP接收器建立连接后由协议会话读取数据；PDXP会话从字节流恢复完整包，FEP会话根据包类型处理文件请求和数据单元。停止接口时关闭网络资源并退出接收循环。</w:t>
      </w:r>
    </w:p>
    <w:tbl>
      <w:tblPr>
        <w:tblW w:type="auto" w:w="0"/>
        <w:tblLayout w:type="fixed"/>
        <w:tblLook w:firstColumn="1" w:firstRow="1" w:lastColumn="0" w:lastRow="0" w:noHBand="0" w:noVBand="1" w:val="04A0"/>
      </w:tblPr>
      <w:tblGrid>
        <w:gridCol w:w="2268"/>
        <w:gridCol w:w="3402"/>
        <w:gridCol w:w="4082"/>
      </w:tblGrid>
      <w:tr>
        <w:trPr>
          <w:cantSplit/>
          <w:tblHeader/>
        </w:trPr>
        <w:tc>
          <w:tcPr>
            <w:tcW w:type="dxa" w:w="2268"/>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280" w:lineRule="exact"/>
            </w:pPr>
            <w:r>
              <w:rPr>
                <w:b/>
                <w:sz w:val="18"/>
              </w:rPr>
              <w:t>执行资源</w:t>
            </w:r>
          </w:p>
        </w:tc>
        <w:tc>
          <w:tcPr>
            <w:tcW w:type="dxa" w:w="3402"/>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280" w:lineRule="exact"/>
            </w:pPr>
            <w:r>
              <w:rPr>
                <w:b/>
                <w:sz w:val="18"/>
              </w:rPr>
              <w:t>主要任务</w:t>
            </w:r>
          </w:p>
        </w:tc>
        <w:tc>
          <w:tcPr>
            <w:tcW w:type="dxa" w:w="4082"/>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280" w:lineRule="exact"/>
            </w:pPr>
            <w:r>
              <w:rPr>
                <w:b/>
                <w:sz w:val="18"/>
              </w:rPr>
              <w:t>饱和或异常时行为</w:t>
            </w:r>
          </w:p>
        </w:tc>
      </w:tr>
      <w:tr>
        <w:trPr>
          <w:cantSplit/>
        </w:trPr>
        <w:tc>
          <w:tcPr>
            <w:tcW w:type="dxa" w:w="226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采集线程池</w:t>
            </w:r>
          </w:p>
        </w:tc>
        <w:tc>
          <w:tcPr>
            <w:tcW w:type="dxa" w:w="3402"/>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长期UDP或TCP监听</w:t>
            </w:r>
          </w:p>
        </w:tc>
        <w:tc>
          <w:tcPr>
            <w:tcW w:type="dxa" w:w="4082"/>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启动失败记录日志，需核对线程容量</w:t>
            </w:r>
          </w:p>
        </w:tc>
      </w:tr>
      <w:tr>
        <w:trPr>
          <w:cantSplit/>
        </w:trPr>
        <w:tc>
          <w:tcPr>
            <w:tcW w:type="dxa" w:w="226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数据处理线程池</w:t>
            </w:r>
          </w:p>
        </w:tc>
        <w:tc>
          <w:tcPr>
            <w:tcW w:type="dxa" w:w="3402"/>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PDXP结构解析及后续处理</w:t>
            </w:r>
          </w:p>
        </w:tc>
        <w:tc>
          <w:tcPr>
            <w:tcW w:type="dxa" w:w="4082"/>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队列满时拒绝当前提交并记录日志</w:t>
            </w:r>
          </w:p>
        </w:tc>
      </w:tr>
      <w:tr>
        <w:trPr>
          <w:cantSplit/>
        </w:trPr>
        <w:tc>
          <w:tcPr>
            <w:tcW w:type="dxa" w:w="226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文件结果线程池</w:t>
            </w:r>
          </w:p>
        </w:tc>
        <w:tc>
          <w:tcPr>
            <w:tcW w:type="dxa" w:w="3402"/>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MinIO上传及文件消息发布</w:t>
            </w:r>
          </w:p>
        </w:tc>
        <w:tc>
          <w:tcPr>
            <w:tcW w:type="dxa" w:w="4082"/>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持久化记录供后续扫描重试</w:t>
            </w:r>
          </w:p>
        </w:tc>
      </w:tr>
      <w:tr>
        <w:trPr>
          <w:cantSplit/>
        </w:trPr>
        <w:tc>
          <w:tcPr>
            <w:tcW w:type="dxa" w:w="226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定时任务</w:t>
            </w:r>
          </w:p>
        </w:tc>
        <w:tc>
          <w:tcPr>
            <w:tcW w:type="dxa" w:w="3402"/>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统计写入和文件重试</w:t>
            </w:r>
          </w:p>
        </w:tc>
        <w:tc>
          <w:tcPr>
            <w:tcW w:type="dxa" w:w="4082"/>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独立检查数据源与外部服务</w:t>
            </w:r>
          </w:p>
        </w:tc>
      </w:tr>
    </w:tbl>
    <w:p>
      <w:pPr>
        <w:spacing w:after="0"/>
      </w:pPr>
    </w:p>
    <w:p>
      <w:pPr>
        <w:pStyle w:val="Heading1"/>
      </w:pPr>
      <w:r>
        <w:t>PDXP报文接入流程</w:t>
      </w:r>
    </w:p>
    <w:p>
      <w:pPr>
        <w:keepNext/>
        <w:spacing w:line="240" w:lineRule="auto"/>
        <w:jc w:val="center"/>
      </w:pPr>
      <w:r>
        <w:drawing>
          <wp:inline xmlns:a="http://schemas.openxmlformats.org/drawingml/2006/main" xmlns:pic="http://schemas.openxmlformats.org/drawingml/2006/picture">
            <wp:extent cx="6120000" cy="1476000"/>
            <wp:docPr id="3" name="Picture 3"/>
            <wp:cNvGraphicFramePr>
              <a:graphicFrameLocks noChangeAspect="1"/>
            </wp:cNvGraphicFramePr>
            <a:graphic>
              <a:graphicData uri="http://schemas.openxmlformats.org/drawingml/2006/picture">
                <pic:pic>
                  <pic:nvPicPr>
                    <pic:cNvPr id="0" name="c-pdxp.png"/>
                    <pic:cNvPicPr/>
                  </pic:nvPicPr>
                  <pic:blipFill>
                    <a:blip r:embed="rId12"/>
                    <a:stretch>
                      <a:fillRect/>
                    </a:stretch>
                  </pic:blipFill>
                  <pic:spPr>
                    <a:xfrm>
                      <a:off x="0" y="0"/>
                      <a:ext cx="6120000" cy="1476000"/>
                    </a:xfrm>
                    <a:prstGeom prst="rect"/>
                  </pic:spPr>
                </pic:pic>
              </a:graphicData>
            </a:graphic>
          </wp:inline>
        </w:drawing>
      </w:r>
    </w:p>
    <w:p>
      <w:pPr>
        <w:pStyle w:val="Caption"/>
        <w:jc w:val="center"/>
      </w:pPr>
      <w:r>
        <w:t>图3 PDXP报文到处理入口</w:t>
      </w:r>
    </w:p>
    <w:p>
      <w:pPr>
        <w:ind w:firstLine="420"/>
      </w:pPr>
      <w:r>
        <w:t>PDXP处理器先记录传输字节数，再把接收内容提交到处理线程池。一个UDP传输报文可能包含多个PDXP包，解析后逐包累计完整采集帧数量。接收字节数量与完整采集帧数量口径不同，不能用UDP报文个数直接替代采集帧数。</w:t>
      </w:r>
    </w:p>
    <w:p>
      <w:pPr>
        <w:ind w:firstLine="420"/>
      </w:pPr>
      <w:r>
        <w:t>协议数据域按前5字节自定义数据、中间遥测数据和末尾4字节遥测帧头拆分。数据域不足9字节时拒绝拆分。以默认512字节原始帧为例，帧头4字节、遥测数据508字节；接入侧不支持随模拟源配置自动改变这两个固定字段长度。发送端配置必须与接收规则一致。</w:t>
      </w:r>
    </w:p>
    <w:p>
      <w:pPr>
        <w:ind w:firstLine="420"/>
      </w:pPr>
      <w:r>
        <w:t>采集侧将完整包、接口运行快照与拆分结果交给本地或RPC处理器。处理未生成有效遥测消息时，当前实现不建立缺少设备身份的IoTDB回退帧。结构解析失败及不完整报文主要由日志反映；说明书中的异常帧查询不能理解为已经保存所有丢弃报文。</w:t>
      </w:r>
    </w:p>
    <w:p>
      <w:pPr>
        <w:pStyle w:val="Heading1"/>
      </w:pPr>
      <w:r>
        <w:t>FEP文件接收与断点恢复</w:t>
      </w:r>
    </w:p>
    <w:p>
      <w:pPr>
        <w:keepNext/>
        <w:spacing w:line="240" w:lineRule="auto"/>
        <w:jc w:val="center"/>
      </w:pPr>
      <w:r>
        <w:drawing>
          <wp:inline xmlns:a="http://schemas.openxmlformats.org/drawingml/2006/main" xmlns:pic="http://schemas.openxmlformats.org/drawingml/2006/picture">
            <wp:extent cx="6120000" cy="1476000"/>
            <wp:docPr id="4" name="Picture 4"/>
            <wp:cNvGraphicFramePr>
              <a:graphicFrameLocks noChangeAspect="1"/>
            </wp:cNvGraphicFramePr>
            <a:graphic>
              <a:graphicData uri="http://schemas.openxmlformats.org/drawingml/2006/picture">
                <pic:pic>
                  <pic:nvPicPr>
                    <pic:cNvPr id="0" name="c-fep.png"/>
                    <pic:cNvPicPr/>
                  </pic:nvPicPr>
                  <pic:blipFill>
                    <a:blip r:embed="rId13"/>
                    <a:stretch>
                      <a:fillRect/>
                    </a:stretch>
                  </pic:blipFill>
                  <pic:spPr>
                    <a:xfrm>
                      <a:off x="0" y="0"/>
                      <a:ext cx="6120000" cy="1476000"/>
                    </a:xfrm>
                    <a:prstGeom prst="rect"/>
                  </pic:spPr>
                </pic:pic>
              </a:graphicData>
            </a:graphic>
          </wp:inline>
        </w:drawing>
      </w:r>
    </w:p>
    <w:p>
      <w:pPr>
        <w:pStyle w:val="Caption"/>
        <w:jc w:val="center"/>
      </w:pPr>
      <w:r>
        <w:t>图4 FEP文件接收顺序</w:t>
      </w:r>
    </w:p>
    <w:p>
      <w:pPr>
        <w:ind w:firstLine="420"/>
      </w:pPr>
      <w:r>
        <w:t>发送方提出文件名和声明长度后，接收端检查文件名安全性、接收目录及磁盘可用空间，分配本次会话的两字节文件标识。已完整接收的文件可返回完成状态，临时文件则按完整数据单元数计算续传点。正式文件存在但长度不符时，不直接覆盖来源不明的数据。</w:t>
      </w:r>
    </w:p>
    <w:p>
      <w:pPr>
        <w:ind w:firstLine="420"/>
      </w:pPr>
      <w:r>
        <w:t>数据单元到达后依据文件标识找到会话，并在同一会话内串行校验和写入。单元号必须等于预期的下一单元号；写入偏移等于单元号乘配置的数据单元长度。数据不得超出声明文件长度，短单元或整倍数文件后的空结束单元用于确认传输结束。</w:t>
      </w:r>
    </w:p>
    <w:p>
      <w:pPr>
        <w:ind w:firstLine="420"/>
      </w:pPr>
      <w:r>
        <w:t>例如数据单元长度为4096字节，临时文件已保存9000字节时，续传位置按两个完整单元计算，即从第2号单元开始，偏移8192字节。尾部不足一个完整单元的片段先规范到边界再重传，防止把不完整单元当作成功接收。</w:t>
      </w:r>
    </w:p>
    <w:p>
      <w:pPr>
        <w:ind w:firstLine="420"/>
      </w:pPr>
      <w:r>
        <w:t>接收完成后再次校验实际长度，将临时文件转为正式文件，移除会话并生成结束确认。该确认只表示本地文件阶段完成，MinIO上传和文件完成消息在后续线程池执行。发送端收到结束确认时，不应据此断定所有下游业务已经完成。</w:t>
      </w:r>
    </w:p>
    <w:p>
      <w:pPr>
        <w:pStyle w:val="Heading1"/>
      </w:pPr>
      <w:r>
        <w:t>文件结果状态与失败重试</w:t>
      </w:r>
    </w:p>
    <w:p>
      <w:pPr>
        <w:keepNext/>
        <w:spacing w:line="240" w:lineRule="auto"/>
        <w:jc w:val="center"/>
      </w:pPr>
      <w:r>
        <w:drawing>
          <wp:inline xmlns:a="http://schemas.openxmlformats.org/drawingml/2006/main" xmlns:pic="http://schemas.openxmlformats.org/drawingml/2006/picture">
            <wp:extent cx="6120000" cy="1476000"/>
            <wp:docPr id="5" name="Picture 5"/>
            <wp:cNvGraphicFramePr>
              <a:graphicFrameLocks noChangeAspect="1"/>
            </wp:cNvGraphicFramePr>
            <a:graphic>
              <a:graphicData uri="http://schemas.openxmlformats.org/drawingml/2006/picture">
                <pic:pic>
                  <pic:nvPicPr>
                    <pic:cNvPr id="0" name="c-result.png"/>
                    <pic:cNvPicPr/>
                  </pic:nvPicPr>
                  <pic:blipFill>
                    <a:blip r:embed="rId14"/>
                    <a:stretch>
                      <a:fillRect/>
                    </a:stretch>
                  </pic:blipFill>
                  <pic:spPr>
                    <a:xfrm>
                      <a:off x="0" y="0"/>
                      <a:ext cx="6120000" cy="1476000"/>
                    </a:xfrm>
                    <a:prstGeom prst="rect"/>
                  </pic:spPr>
                </pic:pic>
              </a:graphicData>
            </a:graphic>
          </wp:inline>
        </w:drawing>
      </w:r>
    </w:p>
    <w:p>
      <w:pPr>
        <w:pStyle w:val="Caption"/>
        <w:jc w:val="center"/>
      </w:pPr>
      <w:r>
        <w:t>图5 文件结果持久化状态</w:t>
      </w:r>
    </w:p>
    <w:p>
      <w:pPr>
        <w:ind w:firstLine="420"/>
      </w:pPr>
      <w:r>
        <w:t>文件结果记录使用任务编号、接口主键、文件名和文件长度定位重复传输。这个身份组合不包含内容摘要，因此同名同长度文件的内容差异不能由该机制直接识别。对象名称在建记录时固定，上传重试沿用名称，避免每次重试都生成新的业务对象地址。</w:t>
      </w:r>
    </w:p>
    <w:p>
      <w:pPr>
        <w:ind w:firstLine="420"/>
      </w:pPr>
      <w:r>
        <w:t>文件完整写入本地后登记为已接收，上传成功后更新为已上传，消息发布成功后进入已发布。失败保留异常原因、尝试次数与下次重试时间，定时扫描继续执行。当前进程使用正在提交的记录集合防止同一记录重复进入结果线程池。</w:t>
      </w:r>
    </w:p>
    <w:p>
      <w:pPr>
        <w:ind w:firstLine="420"/>
      </w:pPr>
      <w:r>
        <w:t>查询到已接收记录时还要确认本地完整文件存在；本地文件丢失则允许发送端重新传输。已上传或已发布记录不要求重新传文件。数据库提交、对象存储和消息发布属于不同系统的操作，说明书不把它们描述为跨系统原子事务或严格一次投递。</w:t>
      </w:r>
    </w:p>
    <w:p>
      <w:pPr>
        <w:pStyle w:val="Heading1"/>
      </w:pPr>
      <w:r>
        <w:t>数据库与核心数据字典</w:t>
      </w:r>
    </w:p>
    <w:p>
      <w:pPr>
        <w:ind w:firstLine="420"/>
      </w:pPr>
      <w:r>
        <w:t>配置和记录使用关系数据库保存，查询通过Mapper接口和XML映射组织。接口关联协议配置，统计记录按任务和接口归集；文件传输记录保存本地文件、对象地址和结果状态。试验任务与设备目录是共享业务数据，不在采集软件中重复建立另一套身份体系。</w:t>
      </w:r>
    </w:p>
    <w:p>
      <w:pPr>
        <w:pStyle w:val="Heading2"/>
      </w:pPr>
      <w:r>
        <w:t>采集接口配置</w:t>
      </w:r>
    </w:p>
    <w:tbl>
      <w:tblPr>
        <w:tblW w:type="auto" w:w="0"/>
        <w:tblLayout w:type="fixed"/>
        <w:tblLook w:firstColumn="1" w:firstRow="1" w:lastColumn="0" w:lastRow="0" w:noHBand="0" w:noVBand="1" w:val="04A0"/>
      </w:tblPr>
      <w:tblGrid>
        <w:gridCol w:w="3005"/>
        <w:gridCol w:w="1701"/>
        <w:gridCol w:w="5046"/>
      </w:tblGrid>
      <w:tr>
        <w:trPr>
          <w:cantSplit/>
          <w:tblHeader/>
        </w:trPr>
        <w:tc>
          <w:tcPr>
            <w:tcW w:type="dxa" w:w="3005"/>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280" w:lineRule="exact"/>
            </w:pPr>
            <w:r>
              <w:rPr>
                <w:b/>
                <w:sz w:val="18"/>
              </w:rPr>
              <w:t>字段</w:t>
            </w:r>
          </w:p>
        </w:tc>
        <w:tc>
          <w:tcPr>
            <w:tcW w:type="dxa" w:w="1701"/>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280" w:lineRule="exact"/>
            </w:pPr>
            <w:r>
              <w:rPr>
                <w:b/>
                <w:sz w:val="18"/>
              </w:rPr>
              <w:t>类型</w:t>
            </w:r>
          </w:p>
        </w:tc>
        <w:tc>
          <w:tcPr>
            <w:tcW w:type="dxa" w:w="5046"/>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280" w:lineRule="exact"/>
            </w:pPr>
            <w:r>
              <w:rPr>
                <w:b/>
                <w:sz w:val="18"/>
              </w:rPr>
              <w:t>含义</w:t>
            </w:r>
          </w:p>
        </w:tc>
      </w:tr>
      <w:tr>
        <w:trPr>
          <w:cantSplit/>
        </w:trPr>
        <w:tc>
          <w:tcPr>
            <w:tcW w:type="dxa" w:w="300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id</w:t>
            </w:r>
          </w:p>
        </w:tc>
        <w:tc>
          <w:tcPr>
            <w:tcW w:type="dxa" w:w="170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BIGSERIAL</w:t>
            </w:r>
          </w:p>
        </w:tc>
        <w:tc>
          <w:tcPr>
            <w:tcW w:type="dxa" w:w="5046"/>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自增主键</w:t>
            </w:r>
          </w:p>
        </w:tc>
      </w:tr>
      <w:tr>
        <w:trPr>
          <w:cantSplit/>
        </w:trPr>
        <w:tc>
          <w:tcPr>
            <w:tcW w:type="dxa" w:w="300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task_id</w:t>
            </w:r>
          </w:p>
        </w:tc>
        <w:tc>
          <w:tcPr>
            <w:tcW w:type="dxa" w:w="170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VARCHAR(100)</w:t>
            </w:r>
          </w:p>
        </w:tc>
        <w:tc>
          <w:tcPr>
            <w:tcW w:type="dxa" w:w="5046"/>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外部试验任务编号</w:t>
            </w:r>
          </w:p>
        </w:tc>
      </w:tr>
      <w:tr>
        <w:trPr>
          <w:cantSplit/>
        </w:trPr>
        <w:tc>
          <w:tcPr>
            <w:tcW w:type="dxa" w:w="300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interface_name</w:t>
            </w:r>
          </w:p>
        </w:tc>
        <w:tc>
          <w:tcPr>
            <w:tcW w:type="dxa" w:w="170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VARCHAR(100)</w:t>
            </w:r>
          </w:p>
        </w:tc>
        <w:tc>
          <w:tcPr>
            <w:tcW w:type="dxa" w:w="5046"/>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接口名称</w:t>
            </w:r>
          </w:p>
        </w:tc>
      </w:tr>
      <w:tr>
        <w:trPr>
          <w:cantSplit/>
        </w:trPr>
        <w:tc>
          <w:tcPr>
            <w:tcW w:type="dxa" w:w="300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interface_type</w:t>
            </w:r>
          </w:p>
        </w:tc>
        <w:tc>
          <w:tcPr>
            <w:tcW w:type="dxa" w:w="170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SMALLINT</w:t>
            </w:r>
          </w:p>
        </w:tc>
        <w:tc>
          <w:tcPr>
            <w:tcW w:type="dxa" w:w="5046"/>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接口类型：1外部接口 2内部接口</w:t>
            </w:r>
          </w:p>
        </w:tc>
      </w:tr>
      <w:tr>
        <w:trPr>
          <w:cantSplit/>
        </w:trPr>
        <w:tc>
          <w:tcPr>
            <w:tcW w:type="dxa" w:w="300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transfer_type</w:t>
            </w:r>
          </w:p>
        </w:tc>
        <w:tc>
          <w:tcPr>
            <w:tcW w:type="dxa" w:w="170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SMALLINT</w:t>
            </w:r>
          </w:p>
        </w:tc>
        <w:tc>
          <w:tcPr>
            <w:tcW w:type="dxa" w:w="5046"/>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传输方式：1UDP 2TCP 3HTTP</w:t>
            </w:r>
          </w:p>
        </w:tc>
      </w:tr>
      <w:tr>
        <w:trPr>
          <w:cantSplit/>
        </w:trPr>
        <w:tc>
          <w:tcPr>
            <w:tcW w:type="dxa" w:w="300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transfer_protocol</w:t>
            </w:r>
          </w:p>
        </w:tc>
        <w:tc>
          <w:tcPr>
            <w:tcW w:type="dxa" w:w="170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SMALLINT</w:t>
            </w:r>
          </w:p>
        </w:tc>
        <w:tc>
          <w:tcPr>
            <w:tcW w:type="dxa" w:w="5046"/>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传输协议：1JSON 2PDXP 3Protobuf 4FEP</w:t>
            </w:r>
          </w:p>
        </w:tc>
      </w:tr>
      <w:tr>
        <w:trPr>
          <w:cantSplit/>
        </w:trPr>
        <w:tc>
          <w:tcPr>
            <w:tcW w:type="dxa" w:w="300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protocol_config_id</w:t>
            </w:r>
          </w:p>
        </w:tc>
        <w:tc>
          <w:tcPr>
            <w:tcW w:type="dxa" w:w="170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BIGINT</w:t>
            </w:r>
          </w:p>
        </w:tc>
        <w:tc>
          <w:tcPr>
            <w:tcW w:type="dxa" w:w="5046"/>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协议配置ID</w:t>
            </w:r>
          </w:p>
        </w:tc>
      </w:tr>
      <w:tr>
        <w:trPr>
          <w:cantSplit/>
        </w:trPr>
        <w:tc>
          <w:tcPr>
            <w:tcW w:type="dxa" w:w="300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host</w:t>
            </w:r>
          </w:p>
        </w:tc>
        <w:tc>
          <w:tcPr>
            <w:tcW w:type="dxa" w:w="170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VARCHAR(100)</w:t>
            </w:r>
          </w:p>
        </w:tc>
        <w:tc>
          <w:tcPr>
            <w:tcW w:type="dxa" w:w="5046"/>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数据处理服务本机监听网卡IP地址</w:t>
            </w:r>
          </w:p>
        </w:tc>
      </w:tr>
      <w:tr>
        <w:trPr>
          <w:cantSplit/>
        </w:trPr>
        <w:tc>
          <w:tcPr>
            <w:tcW w:type="dxa" w:w="300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port</w:t>
            </w:r>
          </w:p>
        </w:tc>
        <w:tc>
          <w:tcPr>
            <w:tcW w:type="dxa" w:w="170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INT</w:t>
            </w:r>
          </w:p>
        </w:tc>
        <w:tc>
          <w:tcPr>
            <w:tcW w:type="dxa" w:w="5046"/>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数据处理服务本机监听端口</w:t>
            </w:r>
          </w:p>
        </w:tc>
      </w:tr>
      <w:tr>
        <w:trPr>
          <w:cantSplit/>
        </w:trPr>
        <w:tc>
          <w:tcPr>
            <w:tcW w:type="dxa" w:w="300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multicast_ip</w:t>
            </w:r>
          </w:p>
        </w:tc>
        <w:tc>
          <w:tcPr>
            <w:tcW w:type="dxa" w:w="170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VARCHAR(100)</w:t>
            </w:r>
          </w:p>
        </w:tc>
        <w:tc>
          <w:tcPr>
            <w:tcW w:type="dxa" w:w="5046"/>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UDP组播地址，为空时按UDP单播接收</w:t>
            </w:r>
          </w:p>
        </w:tc>
      </w:tr>
      <w:tr>
        <w:trPr>
          <w:cantSplit/>
        </w:trPr>
        <w:tc>
          <w:tcPr>
            <w:tcW w:type="dxa" w:w="300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enabled</w:t>
            </w:r>
          </w:p>
        </w:tc>
        <w:tc>
          <w:tcPr>
            <w:tcW w:type="dxa" w:w="170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SMALLINT</w:t>
            </w:r>
          </w:p>
        </w:tc>
        <w:tc>
          <w:tcPr>
            <w:tcW w:type="dxa" w:w="5046"/>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启用状态：0禁用 1启用</w:t>
            </w:r>
          </w:p>
        </w:tc>
      </w:tr>
      <w:tr>
        <w:trPr>
          <w:cantSplit/>
        </w:trPr>
        <w:tc>
          <w:tcPr>
            <w:tcW w:type="dxa" w:w="300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rpc_enabled</w:t>
            </w:r>
          </w:p>
        </w:tc>
        <w:tc>
          <w:tcPr>
            <w:tcW w:type="dxa" w:w="170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SMALLINT</w:t>
            </w:r>
          </w:p>
        </w:tc>
        <w:tc>
          <w:tcPr>
            <w:tcW w:type="dxa" w:w="5046"/>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是否启用RPC处理：0否 1是</w:t>
            </w:r>
          </w:p>
        </w:tc>
      </w:tr>
      <w:tr>
        <w:trPr>
          <w:cantSplit/>
        </w:trPr>
        <w:tc>
          <w:tcPr>
            <w:tcW w:type="dxa" w:w="300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is_deleted</w:t>
            </w:r>
          </w:p>
        </w:tc>
        <w:tc>
          <w:tcPr>
            <w:tcW w:type="dxa" w:w="170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SMALLINT</w:t>
            </w:r>
          </w:p>
        </w:tc>
        <w:tc>
          <w:tcPr>
            <w:tcW w:type="dxa" w:w="5046"/>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是否删除：0否 1是</w:t>
            </w:r>
          </w:p>
        </w:tc>
      </w:tr>
    </w:tbl>
    <w:p>
      <w:pPr>
        <w:spacing w:after="0"/>
      </w:pPr>
    </w:p>
    <w:p>
      <w:pPr>
        <w:pStyle w:val="Heading2"/>
      </w:pPr>
      <w:r>
        <w:t>采集协议配置</w:t>
      </w:r>
    </w:p>
    <w:tbl>
      <w:tblPr>
        <w:tblW w:type="auto" w:w="0"/>
        <w:tblLayout w:type="fixed"/>
        <w:tblLook w:firstColumn="1" w:firstRow="1" w:lastColumn="0" w:lastRow="0" w:noHBand="0" w:noVBand="1" w:val="04A0"/>
      </w:tblPr>
      <w:tblGrid>
        <w:gridCol w:w="3005"/>
        <w:gridCol w:w="1701"/>
        <w:gridCol w:w="5046"/>
      </w:tblGrid>
      <w:tr>
        <w:trPr>
          <w:cantSplit/>
          <w:tblHeader/>
        </w:trPr>
        <w:tc>
          <w:tcPr>
            <w:tcW w:type="dxa" w:w="3005"/>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280" w:lineRule="exact"/>
            </w:pPr>
            <w:r>
              <w:rPr>
                <w:b/>
                <w:sz w:val="18"/>
              </w:rPr>
              <w:t>字段</w:t>
            </w:r>
          </w:p>
        </w:tc>
        <w:tc>
          <w:tcPr>
            <w:tcW w:type="dxa" w:w="1701"/>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280" w:lineRule="exact"/>
            </w:pPr>
            <w:r>
              <w:rPr>
                <w:b/>
                <w:sz w:val="18"/>
              </w:rPr>
              <w:t>类型</w:t>
            </w:r>
          </w:p>
        </w:tc>
        <w:tc>
          <w:tcPr>
            <w:tcW w:type="dxa" w:w="5046"/>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280" w:lineRule="exact"/>
            </w:pPr>
            <w:r>
              <w:rPr>
                <w:b/>
                <w:sz w:val="18"/>
              </w:rPr>
              <w:t>含义</w:t>
            </w:r>
          </w:p>
        </w:tc>
      </w:tr>
      <w:tr>
        <w:trPr>
          <w:cantSplit/>
        </w:trPr>
        <w:tc>
          <w:tcPr>
            <w:tcW w:type="dxa" w:w="300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id</w:t>
            </w:r>
          </w:p>
        </w:tc>
        <w:tc>
          <w:tcPr>
            <w:tcW w:type="dxa" w:w="170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BIGSERIAL</w:t>
            </w:r>
          </w:p>
        </w:tc>
        <w:tc>
          <w:tcPr>
            <w:tcW w:type="dxa" w:w="5046"/>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自增主键</w:t>
            </w:r>
          </w:p>
        </w:tc>
      </w:tr>
      <w:tr>
        <w:trPr>
          <w:cantSplit/>
        </w:trPr>
        <w:tc>
          <w:tcPr>
            <w:tcW w:type="dxa" w:w="300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task_id</w:t>
            </w:r>
          </w:p>
        </w:tc>
        <w:tc>
          <w:tcPr>
            <w:tcW w:type="dxa" w:w="170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VARCHAR(100)</w:t>
            </w:r>
          </w:p>
        </w:tc>
        <w:tc>
          <w:tcPr>
            <w:tcW w:type="dxa" w:w="5046"/>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外部试验任务编号</w:t>
            </w:r>
          </w:p>
        </w:tc>
      </w:tr>
      <w:tr>
        <w:trPr>
          <w:cantSplit/>
        </w:trPr>
        <w:tc>
          <w:tcPr>
            <w:tcW w:type="dxa" w:w="300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config_name</w:t>
            </w:r>
          </w:p>
        </w:tc>
        <w:tc>
          <w:tcPr>
            <w:tcW w:type="dxa" w:w="170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VARCHAR(100)</w:t>
            </w:r>
          </w:p>
        </w:tc>
        <w:tc>
          <w:tcPr>
            <w:tcW w:type="dxa" w:w="5046"/>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配置名称</w:t>
            </w:r>
          </w:p>
        </w:tc>
      </w:tr>
      <w:tr>
        <w:trPr>
          <w:cantSplit/>
        </w:trPr>
        <w:tc>
          <w:tcPr>
            <w:tcW w:type="dxa" w:w="300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protocol_type</w:t>
            </w:r>
          </w:p>
        </w:tc>
        <w:tc>
          <w:tcPr>
            <w:tcW w:type="dxa" w:w="170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SMALLINT</w:t>
            </w:r>
          </w:p>
        </w:tc>
        <w:tc>
          <w:tcPr>
            <w:tcW w:type="dxa" w:w="5046"/>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协议类型：1JSON 2PDXP 3Protobuf 4RPC</w:t>
            </w:r>
          </w:p>
        </w:tc>
      </w:tr>
      <w:tr>
        <w:trPr>
          <w:cantSplit/>
        </w:trPr>
        <w:tc>
          <w:tcPr>
            <w:tcW w:type="dxa" w:w="300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data_source_type</w:t>
            </w:r>
          </w:p>
        </w:tc>
        <w:tc>
          <w:tcPr>
            <w:tcW w:type="dxa" w:w="170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SMALLINT</w:t>
            </w:r>
          </w:p>
        </w:tc>
        <w:tc>
          <w:tcPr>
            <w:tcW w:type="dxa" w:w="5046"/>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数据源类型：1遥测 2遥感 3设备 4环境</w:t>
            </w:r>
          </w:p>
        </w:tc>
      </w:tr>
      <w:tr>
        <w:trPr>
          <w:cantSplit/>
        </w:trPr>
        <w:tc>
          <w:tcPr>
            <w:tcW w:type="dxa" w:w="300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config_params</w:t>
            </w:r>
          </w:p>
        </w:tc>
        <w:tc>
          <w:tcPr>
            <w:tcW w:type="dxa" w:w="170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TEXT</w:t>
            </w:r>
          </w:p>
        </w:tc>
        <w:tc>
          <w:tcPr>
            <w:tcW w:type="dxa" w:w="5046"/>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协议配置参数</w:t>
            </w:r>
          </w:p>
        </w:tc>
      </w:tr>
      <w:tr>
        <w:trPr>
          <w:cantSplit/>
        </w:trPr>
        <w:tc>
          <w:tcPr>
            <w:tcW w:type="dxa" w:w="300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parser_class</w:t>
            </w:r>
          </w:p>
        </w:tc>
        <w:tc>
          <w:tcPr>
            <w:tcW w:type="dxa" w:w="170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VARCHAR(200)</w:t>
            </w:r>
          </w:p>
        </w:tc>
        <w:tc>
          <w:tcPr>
            <w:tcW w:type="dxa" w:w="5046"/>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协议解析处理类</w:t>
            </w:r>
          </w:p>
        </w:tc>
      </w:tr>
      <w:tr>
        <w:trPr>
          <w:cantSplit/>
        </w:trPr>
        <w:tc>
          <w:tcPr>
            <w:tcW w:type="dxa" w:w="300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enabled</w:t>
            </w:r>
          </w:p>
        </w:tc>
        <w:tc>
          <w:tcPr>
            <w:tcW w:type="dxa" w:w="170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SMALLINT</w:t>
            </w:r>
          </w:p>
        </w:tc>
        <w:tc>
          <w:tcPr>
            <w:tcW w:type="dxa" w:w="5046"/>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启用状态：0禁用 1启用</w:t>
            </w:r>
          </w:p>
        </w:tc>
      </w:tr>
      <w:tr>
        <w:trPr>
          <w:cantSplit/>
        </w:trPr>
        <w:tc>
          <w:tcPr>
            <w:tcW w:type="dxa" w:w="300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is_deleted</w:t>
            </w:r>
          </w:p>
        </w:tc>
        <w:tc>
          <w:tcPr>
            <w:tcW w:type="dxa" w:w="170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SMALLINT</w:t>
            </w:r>
          </w:p>
        </w:tc>
        <w:tc>
          <w:tcPr>
            <w:tcW w:type="dxa" w:w="5046"/>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是否删除：0否 1是</w:t>
            </w:r>
          </w:p>
        </w:tc>
      </w:tr>
    </w:tbl>
    <w:p>
      <w:pPr>
        <w:spacing w:after="0"/>
      </w:pPr>
    </w:p>
    <w:p>
      <w:pPr>
        <w:pStyle w:val="Heading2"/>
      </w:pPr>
      <w:r>
        <w:t>文件传输结果</w:t>
      </w:r>
    </w:p>
    <w:tbl>
      <w:tblPr>
        <w:tblW w:type="auto" w:w="0"/>
        <w:tblLayout w:type="fixed"/>
        <w:tblLook w:firstColumn="1" w:firstRow="1" w:lastColumn="0" w:lastRow="0" w:noHBand="0" w:noVBand="1" w:val="04A0"/>
      </w:tblPr>
      <w:tblGrid>
        <w:gridCol w:w="3005"/>
        <w:gridCol w:w="1701"/>
        <w:gridCol w:w="5046"/>
      </w:tblGrid>
      <w:tr>
        <w:trPr>
          <w:cantSplit/>
          <w:tblHeader/>
        </w:trPr>
        <w:tc>
          <w:tcPr>
            <w:tcW w:type="dxa" w:w="3005"/>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280" w:lineRule="exact"/>
            </w:pPr>
            <w:r>
              <w:rPr>
                <w:b/>
                <w:sz w:val="18"/>
              </w:rPr>
              <w:t>字段</w:t>
            </w:r>
          </w:p>
        </w:tc>
        <w:tc>
          <w:tcPr>
            <w:tcW w:type="dxa" w:w="1701"/>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280" w:lineRule="exact"/>
            </w:pPr>
            <w:r>
              <w:rPr>
                <w:b/>
                <w:sz w:val="18"/>
              </w:rPr>
              <w:t>类型</w:t>
            </w:r>
          </w:p>
        </w:tc>
        <w:tc>
          <w:tcPr>
            <w:tcW w:type="dxa" w:w="5046"/>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280" w:lineRule="exact"/>
            </w:pPr>
            <w:r>
              <w:rPr>
                <w:b/>
                <w:sz w:val="18"/>
              </w:rPr>
              <w:t>含义</w:t>
            </w:r>
          </w:p>
        </w:tc>
      </w:tr>
      <w:tr>
        <w:trPr>
          <w:cantSplit/>
        </w:trPr>
        <w:tc>
          <w:tcPr>
            <w:tcW w:type="dxa" w:w="300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id</w:t>
            </w:r>
          </w:p>
        </w:tc>
        <w:tc>
          <w:tcPr>
            <w:tcW w:type="dxa" w:w="170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BIGSERIAL</w:t>
            </w:r>
          </w:p>
        </w:tc>
        <w:tc>
          <w:tcPr>
            <w:tcW w:type="dxa" w:w="5046"/>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记录主键ID</w:t>
            </w:r>
          </w:p>
        </w:tc>
      </w:tr>
      <w:tr>
        <w:trPr>
          <w:cantSplit/>
        </w:trPr>
        <w:tc>
          <w:tcPr>
            <w:tcW w:type="dxa" w:w="300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task_id</w:t>
            </w:r>
          </w:p>
        </w:tc>
        <w:tc>
          <w:tcPr>
            <w:tcW w:type="dxa" w:w="170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VARCHAR(100)</w:t>
            </w:r>
          </w:p>
        </w:tc>
        <w:tc>
          <w:tcPr>
            <w:tcW w:type="dxa" w:w="5046"/>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外部试验任务编号</w:t>
            </w:r>
          </w:p>
        </w:tc>
      </w:tr>
      <w:tr>
        <w:trPr>
          <w:cantSplit/>
        </w:trPr>
        <w:tc>
          <w:tcPr>
            <w:tcW w:type="dxa" w:w="300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interface_id</w:t>
            </w:r>
          </w:p>
        </w:tc>
        <w:tc>
          <w:tcPr>
            <w:tcW w:type="dxa" w:w="170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BIGINT</w:t>
            </w:r>
          </w:p>
        </w:tc>
        <w:tc>
          <w:tcPr>
            <w:tcW w:type="dxa" w:w="5046"/>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采集接口ID</w:t>
            </w:r>
          </w:p>
        </w:tc>
      </w:tr>
      <w:tr>
        <w:trPr>
          <w:cantSplit/>
        </w:trPr>
        <w:tc>
          <w:tcPr>
            <w:tcW w:type="dxa" w:w="300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file_name</w:t>
            </w:r>
          </w:p>
        </w:tc>
        <w:tc>
          <w:tcPr>
            <w:tcW w:type="dxa" w:w="170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VARCHAR(255)</w:t>
            </w:r>
          </w:p>
        </w:tc>
        <w:tc>
          <w:tcPr>
            <w:tcW w:type="dxa" w:w="5046"/>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发送方提供的文件名</w:t>
            </w:r>
          </w:p>
        </w:tc>
      </w:tr>
      <w:tr>
        <w:trPr>
          <w:cantSplit/>
        </w:trPr>
        <w:tc>
          <w:tcPr>
            <w:tcW w:type="dxa" w:w="300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file_length</w:t>
            </w:r>
          </w:p>
        </w:tc>
        <w:tc>
          <w:tcPr>
            <w:tcW w:type="dxa" w:w="170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BIGINT</w:t>
            </w:r>
          </w:p>
        </w:tc>
        <w:tc>
          <w:tcPr>
            <w:tcW w:type="dxa" w:w="5046"/>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文件字节长度</w:t>
            </w:r>
          </w:p>
        </w:tc>
      </w:tr>
      <w:tr>
        <w:trPr>
          <w:cantSplit/>
        </w:trPr>
        <w:tc>
          <w:tcPr>
            <w:tcW w:type="dxa" w:w="300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local_path</w:t>
            </w:r>
          </w:p>
        </w:tc>
        <w:tc>
          <w:tcPr>
            <w:tcW w:type="dxa" w:w="170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VARCHAR(1000)</w:t>
            </w:r>
          </w:p>
        </w:tc>
        <w:tc>
          <w:tcPr>
            <w:tcW w:type="dxa" w:w="5046"/>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本地完整文件路径</w:t>
            </w:r>
          </w:p>
        </w:tc>
      </w:tr>
      <w:tr>
        <w:trPr>
          <w:cantSplit/>
        </w:trPr>
        <w:tc>
          <w:tcPr>
            <w:tcW w:type="dxa" w:w="300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object_name</w:t>
            </w:r>
          </w:p>
        </w:tc>
        <w:tc>
          <w:tcPr>
            <w:tcW w:type="dxa" w:w="170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VARCHAR(1000)</w:t>
            </w:r>
          </w:p>
        </w:tc>
        <w:tc>
          <w:tcPr>
            <w:tcW w:type="dxa" w:w="5046"/>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对象存储中的对象名称</w:t>
            </w:r>
          </w:p>
        </w:tc>
      </w:tr>
      <w:tr>
        <w:trPr>
          <w:cantSplit/>
        </w:trPr>
        <w:tc>
          <w:tcPr>
            <w:tcW w:type="dxa" w:w="300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file_url</w:t>
            </w:r>
          </w:p>
        </w:tc>
        <w:tc>
          <w:tcPr>
            <w:tcW w:type="dxa" w:w="170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VARCHAR(2000)</w:t>
            </w:r>
          </w:p>
        </w:tc>
        <w:tc>
          <w:tcPr>
            <w:tcW w:type="dxa" w:w="5046"/>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文件对外访问地址</w:t>
            </w:r>
          </w:p>
        </w:tc>
      </w:tr>
      <w:tr>
        <w:trPr>
          <w:cantSplit/>
        </w:trPr>
        <w:tc>
          <w:tcPr>
            <w:tcW w:type="dxa" w:w="300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process_status</w:t>
            </w:r>
          </w:p>
        </w:tc>
        <w:tc>
          <w:tcPr>
            <w:tcW w:type="dxa" w:w="170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SMALLINT</w:t>
            </w:r>
          </w:p>
        </w:tc>
        <w:tc>
          <w:tcPr>
            <w:tcW w:type="dxa" w:w="5046"/>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处理状态：1已接收 2已上传 3已发布</w:t>
            </w:r>
          </w:p>
        </w:tc>
      </w:tr>
      <w:tr>
        <w:trPr>
          <w:cantSplit/>
        </w:trPr>
        <w:tc>
          <w:tcPr>
            <w:tcW w:type="dxa" w:w="300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retry_count</w:t>
            </w:r>
          </w:p>
        </w:tc>
        <w:tc>
          <w:tcPr>
            <w:tcW w:type="dxa" w:w="170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INT</w:t>
            </w:r>
          </w:p>
        </w:tc>
        <w:tc>
          <w:tcPr>
            <w:tcW w:type="dxa" w:w="5046"/>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后续处理失败次数</w:t>
            </w:r>
          </w:p>
        </w:tc>
      </w:tr>
      <w:tr>
        <w:trPr>
          <w:cantSplit/>
        </w:trPr>
        <w:tc>
          <w:tcPr>
            <w:tcW w:type="dxa" w:w="300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next_retry_time</w:t>
            </w:r>
          </w:p>
        </w:tc>
        <w:tc>
          <w:tcPr>
            <w:tcW w:type="dxa" w:w="170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TIMESTAMP</w:t>
            </w:r>
          </w:p>
        </w:tc>
        <w:tc>
          <w:tcPr>
            <w:tcW w:type="dxa" w:w="5046"/>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下次允许重试时间</w:t>
            </w:r>
          </w:p>
        </w:tc>
      </w:tr>
      <w:tr>
        <w:trPr>
          <w:cantSplit/>
        </w:trPr>
        <w:tc>
          <w:tcPr>
            <w:tcW w:type="dxa" w:w="300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last_error</w:t>
            </w:r>
          </w:p>
        </w:tc>
        <w:tc>
          <w:tcPr>
            <w:tcW w:type="dxa" w:w="170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VARCHAR(2000)</w:t>
            </w:r>
          </w:p>
        </w:tc>
        <w:tc>
          <w:tcPr>
            <w:tcW w:type="dxa" w:w="5046"/>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最近一次失败原因</w:t>
            </w:r>
          </w:p>
        </w:tc>
      </w:tr>
    </w:tbl>
    <w:p>
      <w:pPr>
        <w:spacing w:after="0"/>
      </w:pPr>
    </w:p>
    <w:p>
      <w:pPr>
        <w:pStyle w:val="Heading2"/>
      </w:pPr>
      <w:r>
        <w:t>采集统计</w:t>
      </w:r>
    </w:p>
    <w:tbl>
      <w:tblPr>
        <w:tblW w:type="auto" w:w="0"/>
        <w:tblLayout w:type="fixed"/>
        <w:tblLook w:firstColumn="1" w:firstRow="1" w:lastColumn="0" w:lastRow="0" w:noHBand="0" w:noVBand="1" w:val="04A0"/>
      </w:tblPr>
      <w:tblGrid>
        <w:gridCol w:w="3005"/>
        <w:gridCol w:w="1701"/>
        <w:gridCol w:w="5046"/>
      </w:tblGrid>
      <w:tr>
        <w:trPr>
          <w:cantSplit/>
          <w:tblHeader/>
        </w:trPr>
        <w:tc>
          <w:tcPr>
            <w:tcW w:type="dxa" w:w="3005"/>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280" w:lineRule="exact"/>
            </w:pPr>
            <w:r>
              <w:rPr>
                <w:b/>
                <w:sz w:val="18"/>
              </w:rPr>
              <w:t>字段</w:t>
            </w:r>
          </w:p>
        </w:tc>
        <w:tc>
          <w:tcPr>
            <w:tcW w:type="dxa" w:w="1701"/>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280" w:lineRule="exact"/>
            </w:pPr>
            <w:r>
              <w:rPr>
                <w:b/>
                <w:sz w:val="18"/>
              </w:rPr>
              <w:t>类型</w:t>
            </w:r>
          </w:p>
        </w:tc>
        <w:tc>
          <w:tcPr>
            <w:tcW w:type="dxa" w:w="5046"/>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280" w:lineRule="exact"/>
            </w:pPr>
            <w:r>
              <w:rPr>
                <w:b/>
                <w:sz w:val="18"/>
              </w:rPr>
              <w:t>含义</w:t>
            </w:r>
          </w:p>
        </w:tc>
      </w:tr>
      <w:tr>
        <w:trPr>
          <w:cantSplit/>
        </w:trPr>
        <w:tc>
          <w:tcPr>
            <w:tcW w:type="dxa" w:w="300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id</w:t>
            </w:r>
          </w:p>
        </w:tc>
        <w:tc>
          <w:tcPr>
            <w:tcW w:type="dxa" w:w="170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BIGSERIAL</w:t>
            </w:r>
          </w:p>
        </w:tc>
        <w:tc>
          <w:tcPr>
            <w:tcW w:type="dxa" w:w="5046"/>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统计记录主键ID</w:t>
            </w:r>
          </w:p>
        </w:tc>
      </w:tr>
      <w:tr>
        <w:trPr>
          <w:cantSplit/>
        </w:trPr>
        <w:tc>
          <w:tcPr>
            <w:tcW w:type="dxa" w:w="300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task_id</w:t>
            </w:r>
          </w:p>
        </w:tc>
        <w:tc>
          <w:tcPr>
            <w:tcW w:type="dxa" w:w="170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VARCHAR(100)</w:t>
            </w:r>
          </w:p>
        </w:tc>
        <w:tc>
          <w:tcPr>
            <w:tcW w:type="dxa" w:w="5046"/>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外部试验任务编号</w:t>
            </w:r>
          </w:p>
        </w:tc>
      </w:tr>
      <w:tr>
        <w:trPr>
          <w:cantSplit/>
        </w:trPr>
        <w:tc>
          <w:tcPr>
            <w:tcW w:type="dxa" w:w="300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interface_id</w:t>
            </w:r>
          </w:p>
        </w:tc>
        <w:tc>
          <w:tcPr>
            <w:tcW w:type="dxa" w:w="170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BIGINT</w:t>
            </w:r>
          </w:p>
        </w:tc>
        <w:tc>
          <w:tcPr>
            <w:tcW w:type="dxa" w:w="5046"/>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采集接口ID</w:t>
            </w:r>
          </w:p>
        </w:tc>
      </w:tr>
      <w:tr>
        <w:trPr>
          <w:cantSplit/>
        </w:trPr>
        <w:tc>
          <w:tcPr>
            <w:tcW w:type="dxa" w:w="300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statistics_time</w:t>
            </w:r>
          </w:p>
        </w:tc>
        <w:tc>
          <w:tcPr>
            <w:tcW w:type="dxa" w:w="170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TIMESTAMP</w:t>
            </w:r>
          </w:p>
        </w:tc>
        <w:tc>
          <w:tcPr>
            <w:tcW w:type="dxa" w:w="5046"/>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五秒统计窗口开始时间</w:t>
            </w:r>
          </w:p>
        </w:tc>
      </w:tr>
      <w:tr>
        <w:trPr>
          <w:cantSplit/>
        </w:trPr>
        <w:tc>
          <w:tcPr>
            <w:tcW w:type="dxa" w:w="300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collection_count</w:t>
            </w:r>
          </w:p>
        </w:tc>
        <w:tc>
          <w:tcPr>
            <w:tcW w:type="dxa" w:w="170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BIGINT</w:t>
            </w:r>
          </w:p>
        </w:tc>
        <w:tc>
          <w:tcPr>
            <w:tcW w:type="dxa" w:w="5046"/>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窗口内采集量，PDXP为帧数，FEP为文件数</w:t>
            </w:r>
          </w:p>
        </w:tc>
      </w:tr>
      <w:tr>
        <w:trPr>
          <w:cantSplit/>
        </w:trPr>
        <w:tc>
          <w:tcPr>
            <w:tcW w:type="dxa" w:w="300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interface_rate</w:t>
            </w:r>
          </w:p>
        </w:tc>
        <w:tc>
          <w:tcPr>
            <w:tcW w:type="dxa" w:w="170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NUMERIC(20, 4)</w:t>
            </w:r>
          </w:p>
        </w:tc>
        <w:tc>
          <w:tcPr>
            <w:tcW w:type="dxa" w:w="5046"/>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窗口内平均接口速率，单位B/s</w:t>
            </w:r>
          </w:p>
        </w:tc>
      </w:tr>
    </w:tbl>
    <w:p>
      <w:pPr>
        <w:spacing w:after="0"/>
      </w:pPr>
    </w:p>
    <w:p>
      <w:pPr>
        <w:pStyle w:val="Heading1"/>
      </w:pPr>
      <w:r>
        <w:t>管理接口与调用约定</w:t>
      </w:r>
    </w:p>
    <w:p>
      <w:pPr>
        <w:ind w:firstLine="420"/>
      </w:pPr>
      <w:r>
        <w:t>管理接口使用JSON响应，统一包含code、message及业务data。分页对象提供记录集合与总数。需鉴权的管理调用携带登录令牌；枚举选择项由findData接口获取，展示字段按接口返回的中文名称使用，不自行猜测数值含义。</w:t>
      </w:r>
    </w:p>
    <w:tbl>
      <w:tblPr>
        <w:tblW w:type="auto" w:w="0"/>
        <w:tblLayout w:type="fixed"/>
        <w:tblLook w:firstColumn="1" w:firstRow="1" w:lastColumn="0" w:lastRow="0" w:noHBand="0" w:noVBand="1" w:val="04A0"/>
      </w:tblPr>
      <w:tblGrid>
        <w:gridCol w:w="850"/>
        <w:gridCol w:w="5726"/>
        <w:gridCol w:w="3175"/>
      </w:tblGrid>
      <w:tr>
        <w:trPr>
          <w:cantSplit/>
          <w:tblHeader/>
        </w:trPr>
        <w:tc>
          <w:tcPr>
            <w:tcW w:type="dxa" w:w="850"/>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280" w:lineRule="exact"/>
            </w:pPr>
            <w:r>
              <w:rPr>
                <w:b/>
                <w:sz w:val="18"/>
              </w:rPr>
              <w:t>方法</w:t>
            </w:r>
          </w:p>
        </w:tc>
        <w:tc>
          <w:tcPr>
            <w:tcW w:type="dxa" w:w="5726"/>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280" w:lineRule="exact"/>
            </w:pPr>
            <w:r>
              <w:rPr>
                <w:b/>
                <w:sz w:val="18"/>
              </w:rPr>
              <w:t>路径</w:t>
            </w:r>
          </w:p>
        </w:tc>
        <w:tc>
          <w:tcPr>
            <w:tcW w:type="dxa" w:w="3175"/>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280" w:lineRule="exact"/>
            </w:pPr>
            <w:r>
              <w:rPr>
                <w:b/>
                <w:sz w:val="18"/>
              </w:rPr>
              <w:t>业务用途</w:t>
            </w:r>
          </w:p>
        </w:tc>
      </w:tr>
      <w:tr>
        <w:trPr>
          <w:cantSplit/>
        </w:trPr>
        <w:tc>
          <w:tcPr>
            <w:tcW w:type="dxa" w:w="850"/>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GET</w:t>
            </w:r>
          </w:p>
        </w:tc>
        <w:tc>
          <w:tcPr>
            <w:tcW w:type="dxa" w:w="5726"/>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/collection/findData</w:t>
            </w:r>
          </w:p>
        </w:tc>
        <w:tc>
          <w:tcPr>
            <w:tcW w:type="dxa" w:w="317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获取采集相关枚举</w:t>
            </w:r>
          </w:p>
        </w:tc>
      </w:tr>
      <w:tr>
        <w:trPr>
          <w:cantSplit/>
        </w:trPr>
        <w:tc>
          <w:tcPr>
            <w:tcW w:type="dxa" w:w="850"/>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GET</w:t>
            </w:r>
          </w:p>
        </w:tc>
        <w:tc>
          <w:tcPr>
            <w:tcW w:type="dxa" w:w="5726"/>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/collection/overview</w:t>
            </w:r>
          </w:p>
        </w:tc>
        <w:tc>
          <w:tcPr>
            <w:tcW w:type="dxa" w:w="317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按taskId查询采集总览</w:t>
            </w:r>
          </w:p>
        </w:tc>
      </w:tr>
      <w:tr>
        <w:trPr>
          <w:cantSplit/>
        </w:trPr>
        <w:tc>
          <w:tcPr>
            <w:tcW w:type="dxa" w:w="850"/>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GET</w:t>
            </w:r>
          </w:p>
        </w:tc>
        <w:tc>
          <w:tcPr>
            <w:tcW w:type="dxa" w:w="5726"/>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/collection/interfaces</w:t>
            </w:r>
          </w:p>
        </w:tc>
        <w:tc>
          <w:tcPr>
            <w:tcW w:type="dxa" w:w="317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组合筛选与分页查询接口</w:t>
            </w:r>
          </w:p>
        </w:tc>
      </w:tr>
      <w:tr>
        <w:trPr>
          <w:cantSplit/>
        </w:trPr>
        <w:tc>
          <w:tcPr>
            <w:tcW w:type="dxa" w:w="850"/>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GET</w:t>
            </w:r>
          </w:p>
        </w:tc>
        <w:tc>
          <w:tcPr>
            <w:tcW w:type="dxa" w:w="5726"/>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/collection/interfaces/{id}</w:t>
            </w:r>
          </w:p>
        </w:tc>
        <w:tc>
          <w:tcPr>
            <w:tcW w:type="dxa" w:w="317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查询协议关联及接口详情</w:t>
            </w:r>
          </w:p>
        </w:tc>
      </w:tr>
      <w:tr>
        <w:trPr>
          <w:cantSplit/>
        </w:trPr>
        <w:tc>
          <w:tcPr>
            <w:tcW w:type="dxa" w:w="850"/>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POST</w:t>
            </w:r>
          </w:p>
        </w:tc>
        <w:tc>
          <w:tcPr>
            <w:tcW w:type="dxa" w:w="5726"/>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/collection/interfaces/create</w:t>
            </w:r>
          </w:p>
        </w:tc>
        <w:tc>
          <w:tcPr>
            <w:tcW w:type="dxa" w:w="317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新增接口</w:t>
            </w:r>
          </w:p>
        </w:tc>
      </w:tr>
      <w:tr>
        <w:trPr>
          <w:cantSplit/>
        </w:trPr>
        <w:tc>
          <w:tcPr>
            <w:tcW w:type="dxa" w:w="850"/>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POST</w:t>
            </w:r>
          </w:p>
        </w:tc>
        <w:tc>
          <w:tcPr>
            <w:tcW w:type="dxa" w:w="5726"/>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/collection/interfaces/update</w:t>
            </w:r>
          </w:p>
        </w:tc>
        <w:tc>
          <w:tcPr>
            <w:tcW w:type="dxa" w:w="317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按id修改接口</w:t>
            </w:r>
          </w:p>
        </w:tc>
      </w:tr>
      <w:tr>
        <w:trPr>
          <w:cantSplit/>
        </w:trPr>
        <w:tc>
          <w:tcPr>
            <w:tcW w:type="dxa" w:w="850"/>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POST</w:t>
            </w:r>
          </w:p>
        </w:tc>
        <w:tc>
          <w:tcPr>
            <w:tcW w:type="dxa" w:w="5726"/>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/collection/interfaces/enabled</w:t>
            </w:r>
          </w:p>
        </w:tc>
        <w:tc>
          <w:tcPr>
            <w:tcW w:type="dxa" w:w="317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按id和enabled启停接口</w:t>
            </w:r>
          </w:p>
        </w:tc>
      </w:tr>
      <w:tr>
        <w:trPr>
          <w:cantSplit/>
        </w:trPr>
        <w:tc>
          <w:tcPr>
            <w:tcW w:type="dxa" w:w="850"/>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POST</w:t>
            </w:r>
          </w:p>
        </w:tc>
        <w:tc>
          <w:tcPr>
            <w:tcW w:type="dxa" w:w="5726"/>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/collection/interfaces/delete</w:t>
            </w:r>
          </w:p>
        </w:tc>
        <w:tc>
          <w:tcPr>
            <w:tcW w:type="dxa" w:w="317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删除已禁用接口</w:t>
            </w:r>
          </w:p>
        </w:tc>
      </w:tr>
      <w:tr>
        <w:trPr>
          <w:cantSplit/>
        </w:trPr>
        <w:tc>
          <w:tcPr>
            <w:tcW w:type="dxa" w:w="850"/>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GET</w:t>
            </w:r>
          </w:p>
        </w:tc>
        <w:tc>
          <w:tcPr>
            <w:tcW w:type="dxa" w:w="5726"/>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/collection/protocols</w:t>
            </w:r>
          </w:p>
        </w:tc>
        <w:tc>
          <w:tcPr>
            <w:tcW w:type="dxa" w:w="317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查询协议配置列表</w:t>
            </w:r>
          </w:p>
        </w:tc>
      </w:tr>
      <w:tr>
        <w:trPr>
          <w:cantSplit/>
        </w:trPr>
        <w:tc>
          <w:tcPr>
            <w:tcW w:type="dxa" w:w="850"/>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POST</w:t>
            </w:r>
          </w:p>
        </w:tc>
        <w:tc>
          <w:tcPr>
            <w:tcW w:type="dxa" w:w="5726"/>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/collection/protocols/create</w:t>
            </w:r>
          </w:p>
        </w:tc>
        <w:tc>
          <w:tcPr>
            <w:tcW w:type="dxa" w:w="317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保存协议配置</w:t>
            </w:r>
          </w:p>
        </w:tc>
      </w:tr>
      <w:tr>
        <w:trPr>
          <w:cantSplit/>
        </w:trPr>
        <w:tc>
          <w:tcPr>
            <w:tcW w:type="dxa" w:w="850"/>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POST</w:t>
            </w:r>
          </w:p>
        </w:tc>
        <w:tc>
          <w:tcPr>
            <w:tcW w:type="dxa" w:w="5726"/>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/collection/protocols/update</w:t>
            </w:r>
          </w:p>
        </w:tc>
        <w:tc>
          <w:tcPr>
            <w:tcW w:type="dxa" w:w="317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修改协议配置</w:t>
            </w:r>
          </w:p>
        </w:tc>
      </w:tr>
      <w:tr>
        <w:trPr>
          <w:cantSplit/>
        </w:trPr>
        <w:tc>
          <w:tcPr>
            <w:tcW w:type="dxa" w:w="850"/>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POST</w:t>
            </w:r>
          </w:p>
        </w:tc>
        <w:tc>
          <w:tcPr>
            <w:tcW w:type="dxa" w:w="5726"/>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/collection/protocols/enabled</w:t>
            </w:r>
          </w:p>
        </w:tc>
        <w:tc>
          <w:tcPr>
            <w:tcW w:type="dxa" w:w="317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修改协议启用状态</w:t>
            </w:r>
          </w:p>
        </w:tc>
      </w:tr>
      <w:tr>
        <w:trPr>
          <w:cantSplit/>
        </w:trPr>
        <w:tc>
          <w:tcPr>
            <w:tcW w:type="dxa" w:w="850"/>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POST</w:t>
            </w:r>
          </w:p>
        </w:tc>
        <w:tc>
          <w:tcPr>
            <w:tcW w:type="dxa" w:w="5726"/>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/collection/protocols/delete</w:t>
            </w:r>
          </w:p>
        </w:tc>
        <w:tc>
          <w:tcPr>
            <w:tcW w:type="dxa" w:w="317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删除协议配置</w:t>
            </w:r>
          </w:p>
        </w:tc>
      </w:tr>
      <w:tr>
        <w:trPr>
          <w:cantSplit/>
        </w:trPr>
        <w:tc>
          <w:tcPr>
            <w:tcW w:type="dxa" w:w="850"/>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GET</w:t>
            </w:r>
          </w:p>
        </w:tc>
        <w:tc>
          <w:tcPr>
            <w:tcW w:type="dxa" w:w="5726"/>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/collection/events/overview</w:t>
            </w:r>
          </w:p>
        </w:tc>
        <w:tc>
          <w:tcPr>
            <w:tcW w:type="dxa" w:w="317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查询事件统计</w:t>
            </w:r>
          </w:p>
        </w:tc>
      </w:tr>
      <w:tr>
        <w:trPr>
          <w:cantSplit/>
        </w:trPr>
        <w:tc>
          <w:tcPr>
            <w:tcW w:type="dxa" w:w="850"/>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GET</w:t>
            </w:r>
          </w:p>
        </w:tc>
        <w:tc>
          <w:tcPr>
            <w:tcW w:type="dxa" w:w="5726"/>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/collection/events</w:t>
            </w:r>
          </w:p>
        </w:tc>
        <w:tc>
          <w:tcPr>
            <w:tcW w:type="dxa" w:w="317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查询最近事件</w:t>
            </w:r>
          </w:p>
        </w:tc>
      </w:tr>
      <w:tr>
        <w:trPr>
          <w:cantSplit/>
        </w:trPr>
        <w:tc>
          <w:tcPr>
            <w:tcW w:type="dxa" w:w="850"/>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POST</w:t>
            </w:r>
          </w:p>
        </w:tc>
        <w:tc>
          <w:tcPr>
            <w:tcW w:type="dxa" w:w="5726"/>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/internal/collection/interfaces/sync</w:t>
            </w:r>
          </w:p>
        </w:tc>
        <w:tc>
          <w:tcPr>
            <w:tcW w:type="dxa" w:w="317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内部运行同步入口</w:t>
            </w:r>
          </w:p>
        </w:tc>
      </w:tr>
    </w:tbl>
    <w:p>
      <w:pPr>
        <w:spacing w:after="0"/>
      </w:pPr>
    </w:p>
    <w:p>
      <w:pPr>
        <w:pStyle w:val="Heading2"/>
      </w:pPr>
      <w:r>
        <w:t>一次PDXP接入的操作顺序</w:t>
      </w:r>
    </w:p>
    <w:p>
      <w:pPr>
        <w:ind w:firstLine="420"/>
      </w:pPr>
      <w:r>
        <w:t>先在共享任务和设备规则管理能力中准备有效设备。创建PDXP协议配置并保存deviceSatelliteId，再创建采集接口，设置本机地址、端口、transferProtocol为2和匹配的传输方式。配置enabled为0可先保存而不启动，准备完成后通过启用接口更新为1。</w:t>
      </w:r>
    </w:p>
    <w:p>
      <w:pPr>
        <w:ind w:firstLine="420"/>
      </w:pPr>
      <w:r>
        <w:t>运行日志确认监听成功后，由外部数据源发送与接收格式一致的报文。随后检查接收字节、完整帧数量与处理侧结果；如果只看到接收字节增加而没有完整帧，应优先检查协议结构。停用时先修改enabled为0，再查看接收任务退出，最后按需要删除配置。</w:t>
      </w:r>
    </w:p>
    <w:p>
      <w:pPr>
        <w:pStyle w:val="Heading1"/>
      </w:pPr>
      <w:r>
        <w:t>异常处理与验证场景</w:t>
      </w:r>
    </w:p>
    <w:tbl>
      <w:tblPr>
        <w:tblW w:type="auto" w:w="0"/>
        <w:tblLayout w:type="fixed"/>
        <w:tblLook w:firstColumn="1" w:firstRow="1" w:lastColumn="0" w:lastRow="0" w:noHBand="0" w:noVBand="1" w:val="04A0"/>
      </w:tblPr>
      <w:tblGrid>
        <w:gridCol w:w="2268"/>
        <w:gridCol w:w="4649"/>
        <w:gridCol w:w="2835"/>
      </w:tblGrid>
      <w:tr>
        <w:trPr>
          <w:cantSplit/>
          <w:tblHeader/>
        </w:trPr>
        <w:tc>
          <w:tcPr>
            <w:tcW w:type="dxa" w:w="2268"/>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280" w:lineRule="exact"/>
            </w:pPr>
            <w:r>
              <w:rPr>
                <w:b/>
                <w:sz w:val="18"/>
              </w:rPr>
              <w:t>场景</w:t>
            </w:r>
          </w:p>
        </w:tc>
        <w:tc>
          <w:tcPr>
            <w:tcW w:type="dxa" w:w="4649"/>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280" w:lineRule="exact"/>
            </w:pPr>
            <w:r>
              <w:rPr>
                <w:b/>
                <w:sz w:val="18"/>
              </w:rPr>
              <w:t>设计行为</w:t>
            </w:r>
          </w:p>
        </w:tc>
        <w:tc>
          <w:tcPr>
            <w:tcW w:type="dxa" w:w="2835"/>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280" w:lineRule="exact"/>
            </w:pPr>
            <w:r>
              <w:rPr>
                <w:b/>
                <w:sz w:val="18"/>
              </w:rPr>
              <w:t>核对位置</w:t>
            </w:r>
          </w:p>
        </w:tc>
      </w:tr>
      <w:tr>
        <w:trPr>
          <w:cantSplit/>
        </w:trPr>
        <w:tc>
          <w:tcPr>
            <w:tcW w:type="dxa" w:w="226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端口被占用</w:t>
            </w:r>
          </w:p>
        </w:tc>
        <w:tc>
          <w:tcPr>
            <w:tcW w:type="dxa" w:w="4649"/>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当前监听启动失败，记录原因</w:t>
            </w:r>
          </w:p>
        </w:tc>
        <w:tc>
          <w:tcPr>
            <w:tcW w:type="dxa" w:w="283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运行端启动日志</w:t>
            </w:r>
          </w:p>
        </w:tc>
      </w:tr>
      <w:tr>
        <w:trPr>
          <w:cantSplit/>
        </w:trPr>
        <w:tc>
          <w:tcPr>
            <w:tcW w:type="dxa" w:w="226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未注册协议</w:t>
            </w:r>
          </w:p>
        </w:tc>
        <w:tc>
          <w:tcPr>
            <w:tcW w:type="dxa" w:w="4649"/>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拒绝创建对应处理会话</w:t>
            </w:r>
          </w:p>
        </w:tc>
        <w:tc>
          <w:tcPr>
            <w:tcW w:type="dxa" w:w="283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协议注册与接口配置</w:t>
            </w:r>
          </w:p>
        </w:tc>
      </w:tr>
      <w:tr>
        <w:trPr>
          <w:cantSplit/>
        </w:trPr>
        <w:tc>
          <w:tcPr>
            <w:tcW w:type="dxa" w:w="226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同步HTTP失败</w:t>
            </w:r>
          </w:p>
        </w:tc>
        <w:tc>
          <w:tcPr>
            <w:tcW w:type="dxa" w:w="4649"/>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配置保留，记录同步失败</w:t>
            </w:r>
          </w:p>
        </w:tc>
        <w:tc>
          <w:tcPr>
            <w:tcW w:type="dxa" w:w="283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管理端提交后日志</w:t>
            </w:r>
          </w:p>
        </w:tc>
      </w:tr>
      <w:tr>
        <w:trPr>
          <w:cantSplit/>
        </w:trPr>
        <w:tc>
          <w:tcPr>
            <w:tcW w:type="dxa" w:w="226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处理队列饱和</w:t>
            </w:r>
          </w:p>
        </w:tc>
        <w:tc>
          <w:tcPr>
            <w:tcW w:type="dxa" w:w="4649"/>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拒绝当前报文提交</w:t>
            </w:r>
          </w:p>
        </w:tc>
        <w:tc>
          <w:tcPr>
            <w:tcW w:type="dxa" w:w="283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线程池拒绝日志</w:t>
            </w:r>
          </w:p>
        </w:tc>
      </w:tr>
      <w:tr>
        <w:trPr>
          <w:cantSplit/>
        </w:trPr>
        <w:tc>
          <w:tcPr>
            <w:tcW w:type="dxa" w:w="226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PDXP结构不完整</w:t>
            </w:r>
          </w:p>
        </w:tc>
        <w:tc>
          <w:tcPr>
            <w:tcW w:type="dxa" w:w="4649"/>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终止当前解析，不伪造正常帧</w:t>
            </w:r>
          </w:p>
        </w:tc>
        <w:tc>
          <w:tcPr>
            <w:tcW w:type="dxa" w:w="283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报文解析日志</w:t>
            </w:r>
          </w:p>
        </w:tc>
      </w:tr>
      <w:tr>
        <w:trPr>
          <w:cantSplit/>
        </w:trPr>
        <w:tc>
          <w:tcPr>
            <w:tcW w:type="dxa" w:w="226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FEP单元号不连续</w:t>
            </w:r>
          </w:p>
        </w:tc>
        <w:tc>
          <w:tcPr>
            <w:tcW w:type="dxa" w:w="4649"/>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拒绝当前错误单元</w:t>
            </w:r>
          </w:p>
        </w:tc>
        <w:tc>
          <w:tcPr>
            <w:tcW w:type="dxa" w:w="283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文件接收会话日志</w:t>
            </w:r>
          </w:p>
        </w:tc>
      </w:tr>
      <w:tr>
        <w:trPr>
          <w:cantSplit/>
        </w:trPr>
        <w:tc>
          <w:tcPr>
            <w:tcW w:type="dxa" w:w="226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对象上传失败</w:t>
            </w:r>
          </w:p>
        </w:tc>
        <w:tc>
          <w:tcPr>
            <w:tcW w:type="dxa" w:w="4649"/>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记录错误及重试状态</w:t>
            </w:r>
          </w:p>
        </w:tc>
        <w:tc>
          <w:tcPr>
            <w:tcW w:type="dxa" w:w="283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文件结果记录</w:t>
            </w:r>
          </w:p>
        </w:tc>
      </w:tr>
      <w:tr>
        <w:trPr>
          <w:cantSplit/>
        </w:trPr>
        <w:tc>
          <w:tcPr>
            <w:tcW w:type="dxa" w:w="2268"/>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消息发布失败</w:t>
            </w:r>
          </w:p>
        </w:tc>
        <w:tc>
          <w:tcPr>
            <w:tcW w:type="dxa" w:w="4649"/>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保留上传结果并重试发布</w:t>
            </w:r>
          </w:p>
        </w:tc>
        <w:tc>
          <w:tcPr>
            <w:tcW w:type="dxa" w:w="2835"/>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文件记录及消息服务</w:t>
            </w:r>
          </w:p>
        </w:tc>
      </w:tr>
    </w:tbl>
    <w:p>
      <w:pPr>
        <w:spacing w:after="0"/>
      </w:pPr>
    </w:p>
    <w:p>
      <w:pPr>
        <w:ind w:firstLine="420"/>
      </w:pPr>
      <w:r>
        <w:t>验证时分别执行单播、组播、TCP接收和FEP完整文件传输，核对配置、监听和数据结果。FEP还应覆盖中断续传、整倍数文件空结束单元、重复请求及对象服务不可用。上述项目是运行验证步骤，不能将文档中的预期行为当作已经执行的测试结果。</w:t>
      </w:r>
    </w:p>
    <w:p>
      <w:pPr>
        <w:pStyle w:val="Heading1"/>
      </w:pPr>
      <w:r>
        <w:t>关键接口输入输出详解</w:t>
      </w:r>
    </w:p>
    <w:p>
      <w:pPr>
        <w:ind w:firstLine="420"/>
      </w:pPr>
      <w:r>
        <w:t>以下字段对应当前服务端请求和响应对象。Java类型用于说明接口数据形态，JSON中的Long与Integer均按数值传递，Boolean按true或false传递。是否必填还应结合业务场景，例如修改操作必须提交有效主键，任务与组件归属校验由业务层继续执行。示例中的主键为说明用值，调用时应替换为当前环境的实际记录。</w:t>
      </w:r>
    </w:p>
    <w:p>
      <w:pPr>
        <w:pStyle w:val="Heading2"/>
      </w:pPr>
      <w:r>
        <w:t>协议保存请求</w:t>
      </w:r>
    </w:p>
    <w:tbl>
      <w:tblPr>
        <w:tblW w:type="auto" w:w="0"/>
        <w:tblLayout w:type="fixed"/>
        <w:tblLook w:firstColumn="1" w:firstRow="1" w:lastColumn="0" w:lastRow="0" w:noHBand="0" w:noVBand="1" w:val="04A0"/>
      </w:tblPr>
      <w:tblGrid>
        <w:gridCol w:w="2721"/>
        <w:gridCol w:w="1757"/>
        <w:gridCol w:w="5272"/>
      </w:tblGrid>
      <w:tr>
        <w:trPr>
          <w:cantSplit/>
          <w:tblHeader/>
        </w:trPr>
        <w:tc>
          <w:tcPr>
            <w:tcW w:type="dxa" w:w="2721"/>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280" w:lineRule="exact"/>
            </w:pPr>
            <w:r>
              <w:rPr>
                <w:b/>
                <w:sz w:val="18"/>
              </w:rPr>
              <w:t>字段</w:t>
            </w:r>
          </w:p>
        </w:tc>
        <w:tc>
          <w:tcPr>
            <w:tcW w:type="dxa" w:w="1757"/>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280" w:lineRule="exact"/>
            </w:pPr>
            <w:r>
              <w:rPr>
                <w:b/>
                <w:sz w:val="18"/>
              </w:rPr>
              <w:t>类型</w:t>
            </w:r>
          </w:p>
        </w:tc>
        <w:tc>
          <w:tcPr>
            <w:tcW w:type="dxa" w:w="5272"/>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280" w:lineRule="exact"/>
            </w:pPr>
            <w:r>
              <w:rPr>
                <w:b/>
                <w:sz w:val="18"/>
              </w:rPr>
              <w:t>含义与声明约束</w:t>
            </w:r>
          </w:p>
        </w:tc>
      </w:tr>
      <w:tr>
        <w:trPr>
          <w:cantSplit/>
        </w:trPr>
        <w:tc>
          <w:tcPr>
            <w:tcW w:type="dxa" w:w="272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id</w:t>
            </w:r>
          </w:p>
        </w:tc>
        <w:tc>
          <w:tcPr>
            <w:tcW w:type="dxa" w:w="1757"/>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Long</w:t>
            </w:r>
          </w:p>
        </w:tc>
        <w:tc>
          <w:tcPr>
            <w:tcW w:type="dxa" w:w="5272"/>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协议配置主键 ID；编辑时必填。</w:t>
            </w:r>
          </w:p>
        </w:tc>
      </w:tr>
      <w:tr>
        <w:trPr>
          <w:cantSplit/>
        </w:trPr>
        <w:tc>
          <w:tcPr>
            <w:tcW w:type="dxa" w:w="272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taskId</w:t>
            </w:r>
          </w:p>
        </w:tc>
        <w:tc>
          <w:tcPr>
            <w:tcW w:type="dxa" w:w="1757"/>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String</w:t>
            </w:r>
          </w:p>
        </w:tc>
        <w:tc>
          <w:tcPr>
            <w:tcW w:type="dxa" w:w="5272"/>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所属试验任务 ID。；必填、最多100</w:t>
            </w:r>
          </w:p>
        </w:tc>
      </w:tr>
      <w:tr>
        <w:trPr>
          <w:cantSplit/>
        </w:trPr>
        <w:tc>
          <w:tcPr>
            <w:tcW w:type="dxa" w:w="272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configName</w:t>
            </w:r>
          </w:p>
        </w:tc>
        <w:tc>
          <w:tcPr>
            <w:tcW w:type="dxa" w:w="1757"/>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String</w:t>
            </w:r>
          </w:p>
        </w:tc>
        <w:tc>
          <w:tcPr>
            <w:tcW w:type="dxa" w:w="5272"/>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协议配置名称。；必填、最多100</w:t>
            </w:r>
          </w:p>
        </w:tc>
      </w:tr>
      <w:tr>
        <w:trPr>
          <w:cantSplit/>
        </w:trPr>
        <w:tc>
          <w:tcPr>
            <w:tcW w:type="dxa" w:w="272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protocolType</w:t>
            </w:r>
          </w:p>
        </w:tc>
        <w:tc>
          <w:tcPr>
            <w:tcW w:type="dxa" w:w="1757"/>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Integer</w:t>
            </w:r>
          </w:p>
        </w:tc>
        <w:tc>
          <w:tcPr>
            <w:tcW w:type="dxa" w:w="5272"/>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协议类型：1 JSON，2 PDXP，3 Protobuf，4 RPC。；必填、最小1、最大4</w:t>
            </w:r>
          </w:p>
        </w:tc>
      </w:tr>
      <w:tr>
        <w:trPr>
          <w:cantSplit/>
        </w:trPr>
        <w:tc>
          <w:tcPr>
            <w:tcW w:type="dxa" w:w="272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dataSourceType</w:t>
            </w:r>
          </w:p>
        </w:tc>
        <w:tc>
          <w:tcPr>
            <w:tcW w:type="dxa" w:w="1757"/>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Integer</w:t>
            </w:r>
          </w:p>
        </w:tc>
        <w:tc>
          <w:tcPr>
            <w:tcW w:type="dxa" w:w="5272"/>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数据源类型：1 遥测，2 遥感，3 设备，4 环境。；必填、最小1、最大4</w:t>
            </w:r>
          </w:p>
        </w:tc>
      </w:tr>
      <w:tr>
        <w:trPr>
          <w:cantSplit/>
        </w:trPr>
        <w:tc>
          <w:tcPr>
            <w:tcW w:type="dxa" w:w="272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configDesc</w:t>
            </w:r>
          </w:p>
        </w:tc>
        <w:tc>
          <w:tcPr>
            <w:tcW w:type="dxa" w:w="1757"/>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String</w:t>
            </w:r>
          </w:p>
        </w:tc>
        <w:tc>
          <w:tcPr>
            <w:tcW w:type="dxa" w:w="5272"/>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配置说明。；最多500</w:t>
            </w:r>
          </w:p>
        </w:tc>
      </w:tr>
      <w:tr>
        <w:trPr>
          <w:cantSplit/>
        </w:trPr>
        <w:tc>
          <w:tcPr>
            <w:tcW w:type="dxa" w:w="272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configParams</w:t>
            </w:r>
          </w:p>
        </w:tc>
        <w:tc>
          <w:tcPr>
            <w:tcW w:type="dxa" w:w="1757"/>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Map&lt;String, Object&gt;</w:t>
            </w:r>
          </w:p>
        </w:tc>
        <w:tc>
          <w:tcPr>
            <w:tcW w:type="dxa" w:w="5272"/>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协议解析使用的动态配置参数。</w:t>
            </w:r>
          </w:p>
        </w:tc>
      </w:tr>
      <w:tr>
        <w:trPr>
          <w:cantSplit/>
        </w:trPr>
        <w:tc>
          <w:tcPr>
            <w:tcW w:type="dxa" w:w="272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parserClass</w:t>
            </w:r>
          </w:p>
        </w:tc>
        <w:tc>
          <w:tcPr>
            <w:tcW w:type="dxa" w:w="1757"/>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String</w:t>
            </w:r>
          </w:p>
        </w:tc>
        <w:tc>
          <w:tcPr>
            <w:tcW w:type="dxa" w:w="5272"/>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解析器实现类全限定名。；最多200</w:t>
            </w:r>
          </w:p>
        </w:tc>
      </w:tr>
      <w:tr>
        <w:trPr>
          <w:cantSplit/>
        </w:trPr>
        <w:tc>
          <w:tcPr>
            <w:tcW w:type="dxa" w:w="272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enabled</w:t>
            </w:r>
          </w:p>
        </w:tc>
        <w:tc>
          <w:tcPr>
            <w:tcW w:type="dxa" w:w="1757"/>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Integer</w:t>
            </w:r>
          </w:p>
        </w:tc>
        <w:tc>
          <w:tcPr>
            <w:tcW w:type="dxa" w:w="5272"/>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是否启用：0 否，1 是。</w:t>
            </w:r>
          </w:p>
        </w:tc>
      </w:tr>
    </w:tbl>
    <w:p>
      <w:pPr>
        <w:spacing w:after="0"/>
      </w:pPr>
    </w:p>
    <w:p>
      <w:pPr>
        <w:ind w:firstLine="420"/>
      </w:pPr>
      <w:r>
        <w:t>protocolType与transferProtocol是不同字段：前者描述协议配置类别，后者选择网络接收后的运行处理器。保存接口前先查询协议配置列表，避免把两个枚举当成同一组值。FEP接收处理器的选择依据采集接口传输协议，不能从配置类别4直接推断FEP。</w:t>
      </w:r>
    </w:p>
    <w:p>
      <w:pPr>
        <w:pStyle w:val="Heading2"/>
      </w:pPr>
      <w:r>
        <w:t>接口分页筛选请求</w:t>
      </w:r>
    </w:p>
    <w:tbl>
      <w:tblPr>
        <w:tblW w:type="auto" w:w="0"/>
        <w:tblLayout w:type="fixed"/>
        <w:tblLook w:firstColumn="1" w:firstRow="1" w:lastColumn="0" w:lastRow="0" w:noHBand="0" w:noVBand="1" w:val="04A0"/>
      </w:tblPr>
      <w:tblGrid>
        <w:gridCol w:w="2721"/>
        <w:gridCol w:w="1757"/>
        <w:gridCol w:w="5272"/>
      </w:tblGrid>
      <w:tr>
        <w:trPr>
          <w:cantSplit/>
          <w:tblHeader/>
        </w:trPr>
        <w:tc>
          <w:tcPr>
            <w:tcW w:type="dxa" w:w="2721"/>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280" w:lineRule="exact"/>
            </w:pPr>
            <w:r>
              <w:rPr>
                <w:b/>
                <w:sz w:val="18"/>
              </w:rPr>
              <w:t>字段</w:t>
            </w:r>
          </w:p>
        </w:tc>
        <w:tc>
          <w:tcPr>
            <w:tcW w:type="dxa" w:w="1757"/>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280" w:lineRule="exact"/>
            </w:pPr>
            <w:r>
              <w:rPr>
                <w:b/>
                <w:sz w:val="18"/>
              </w:rPr>
              <w:t>类型</w:t>
            </w:r>
          </w:p>
        </w:tc>
        <w:tc>
          <w:tcPr>
            <w:tcW w:type="dxa" w:w="5272"/>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280" w:lineRule="exact"/>
            </w:pPr>
            <w:r>
              <w:rPr>
                <w:b/>
                <w:sz w:val="18"/>
              </w:rPr>
              <w:t>含义与声明约束</w:t>
            </w:r>
          </w:p>
        </w:tc>
      </w:tr>
      <w:tr>
        <w:trPr>
          <w:cantSplit/>
        </w:trPr>
        <w:tc>
          <w:tcPr>
            <w:tcW w:type="dxa" w:w="272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taskId</w:t>
            </w:r>
          </w:p>
        </w:tc>
        <w:tc>
          <w:tcPr>
            <w:tcW w:type="dxa" w:w="1757"/>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String</w:t>
            </w:r>
          </w:p>
        </w:tc>
        <w:tc>
          <w:tcPr>
            <w:tcW w:type="dxa" w:w="5272"/>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按试验任务过滤。</w:t>
            </w:r>
          </w:p>
        </w:tc>
      </w:tr>
      <w:tr>
        <w:trPr>
          <w:cantSplit/>
        </w:trPr>
        <w:tc>
          <w:tcPr>
            <w:tcW w:type="dxa" w:w="272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interfaceType</w:t>
            </w:r>
          </w:p>
        </w:tc>
        <w:tc>
          <w:tcPr>
            <w:tcW w:type="dxa" w:w="1757"/>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Integer</w:t>
            </w:r>
          </w:p>
        </w:tc>
        <w:tc>
          <w:tcPr>
            <w:tcW w:type="dxa" w:w="5272"/>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按接口类型过滤：1 外部接口，2 内部接口。</w:t>
            </w:r>
          </w:p>
        </w:tc>
      </w:tr>
      <w:tr>
        <w:trPr>
          <w:cantSplit/>
        </w:trPr>
        <w:tc>
          <w:tcPr>
            <w:tcW w:type="dxa" w:w="272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transferType</w:t>
            </w:r>
          </w:p>
        </w:tc>
        <w:tc>
          <w:tcPr>
            <w:tcW w:type="dxa" w:w="1757"/>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Integer</w:t>
            </w:r>
          </w:p>
        </w:tc>
        <w:tc>
          <w:tcPr>
            <w:tcW w:type="dxa" w:w="5272"/>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按传输方式过滤：1 UDP，2 TCP，3 HTTP。</w:t>
            </w:r>
          </w:p>
        </w:tc>
      </w:tr>
      <w:tr>
        <w:trPr>
          <w:cantSplit/>
        </w:trPr>
        <w:tc>
          <w:tcPr>
            <w:tcW w:type="dxa" w:w="272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status</w:t>
            </w:r>
          </w:p>
        </w:tc>
        <w:tc>
          <w:tcPr>
            <w:tcW w:type="dxa" w:w="1757"/>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Integer</w:t>
            </w:r>
          </w:p>
        </w:tc>
        <w:tc>
          <w:tcPr>
            <w:tcW w:type="dxa" w:w="5272"/>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按运行状态过滤：0 离线，1 在线。</w:t>
            </w:r>
          </w:p>
        </w:tc>
      </w:tr>
      <w:tr>
        <w:trPr>
          <w:cantSplit/>
        </w:trPr>
        <w:tc>
          <w:tcPr>
            <w:tcW w:type="dxa" w:w="272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enabled</w:t>
            </w:r>
          </w:p>
        </w:tc>
        <w:tc>
          <w:tcPr>
            <w:tcW w:type="dxa" w:w="1757"/>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Integer</w:t>
            </w:r>
          </w:p>
        </w:tc>
        <w:tc>
          <w:tcPr>
            <w:tcW w:type="dxa" w:w="5272"/>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按启用状态过滤：0 禁用，1 启用。</w:t>
            </w:r>
          </w:p>
        </w:tc>
      </w:tr>
      <w:tr>
        <w:trPr>
          <w:cantSplit/>
        </w:trPr>
        <w:tc>
          <w:tcPr>
            <w:tcW w:type="dxa" w:w="272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pageNum</w:t>
            </w:r>
          </w:p>
        </w:tc>
        <w:tc>
          <w:tcPr>
            <w:tcW w:type="dxa" w:w="1757"/>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Integer</w:t>
            </w:r>
          </w:p>
        </w:tc>
        <w:tc>
          <w:tcPr>
            <w:tcW w:type="dxa" w:w="5272"/>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当前页码，从 1 开始。；必填、最小1</w:t>
            </w:r>
          </w:p>
        </w:tc>
      </w:tr>
      <w:tr>
        <w:trPr>
          <w:cantSplit/>
        </w:trPr>
        <w:tc>
          <w:tcPr>
            <w:tcW w:type="dxa" w:w="272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pageSize</w:t>
            </w:r>
          </w:p>
        </w:tc>
        <w:tc>
          <w:tcPr>
            <w:tcW w:type="dxa" w:w="1757"/>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Integer</w:t>
            </w:r>
          </w:p>
        </w:tc>
        <w:tc>
          <w:tcPr>
            <w:tcW w:type="dxa" w:w="5272"/>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每页记录数量。；必填、最小1、最大100</w:t>
            </w:r>
          </w:p>
        </w:tc>
      </w:tr>
    </w:tbl>
    <w:p>
      <w:pPr>
        <w:spacing w:after="0"/>
      </w:pPr>
    </w:p>
    <w:p>
      <w:pPr>
        <w:ind w:firstLine="420"/>
      </w:pPr>
      <w:r>
        <w:t>分页查询允许按任务、接口类型、传输方式、运行状态和启用开关组合筛选。未传的可选条件不应由调用方补成任意业务值。接口详情和列表中的协议名称用于展示，协议关联主键用于后续编辑。</w:t>
      </w:r>
    </w:p>
    <w:p>
      <w:pPr>
        <w:pStyle w:val="Heading2"/>
      </w:pPr>
      <w:r>
        <w:t>采集总览响应</w:t>
      </w:r>
    </w:p>
    <w:tbl>
      <w:tblPr>
        <w:tblW w:type="auto" w:w="0"/>
        <w:tblLayout w:type="fixed"/>
        <w:tblLook w:firstColumn="1" w:firstRow="1" w:lastColumn="0" w:lastRow="0" w:noHBand="0" w:noVBand="1" w:val="04A0"/>
      </w:tblPr>
      <w:tblGrid>
        <w:gridCol w:w="2721"/>
        <w:gridCol w:w="1757"/>
        <w:gridCol w:w="5272"/>
      </w:tblGrid>
      <w:tr>
        <w:trPr>
          <w:cantSplit/>
          <w:tblHeader/>
        </w:trPr>
        <w:tc>
          <w:tcPr>
            <w:tcW w:type="dxa" w:w="2721"/>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280" w:lineRule="exact"/>
            </w:pPr>
            <w:r>
              <w:rPr>
                <w:b/>
                <w:sz w:val="18"/>
              </w:rPr>
              <w:t>字段</w:t>
            </w:r>
          </w:p>
        </w:tc>
        <w:tc>
          <w:tcPr>
            <w:tcW w:type="dxa" w:w="1757"/>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280" w:lineRule="exact"/>
            </w:pPr>
            <w:r>
              <w:rPr>
                <w:b/>
                <w:sz w:val="18"/>
              </w:rPr>
              <w:t>类型</w:t>
            </w:r>
          </w:p>
        </w:tc>
        <w:tc>
          <w:tcPr>
            <w:tcW w:type="dxa" w:w="5272"/>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280" w:lineRule="exact"/>
            </w:pPr>
            <w:r>
              <w:rPr>
                <w:b/>
                <w:sz w:val="18"/>
              </w:rPr>
              <w:t>含义与声明约束</w:t>
            </w:r>
          </w:p>
        </w:tc>
      </w:tr>
      <w:tr>
        <w:trPr>
          <w:cantSplit/>
        </w:trPr>
        <w:tc>
          <w:tcPr>
            <w:tcW w:type="dxa" w:w="272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interfaceTotal</w:t>
            </w:r>
          </w:p>
        </w:tc>
        <w:tc>
          <w:tcPr>
            <w:tcW w:type="dxa" w:w="1757"/>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Long</w:t>
            </w:r>
          </w:p>
        </w:tc>
        <w:tc>
          <w:tcPr>
            <w:tcW w:type="dxa" w:w="5272"/>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采集接口总数。</w:t>
            </w:r>
          </w:p>
        </w:tc>
      </w:tr>
      <w:tr>
        <w:trPr>
          <w:cantSplit/>
        </w:trPr>
        <w:tc>
          <w:tcPr>
            <w:tcW w:type="dxa" w:w="272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onlineTotal</w:t>
            </w:r>
          </w:p>
        </w:tc>
        <w:tc>
          <w:tcPr>
            <w:tcW w:type="dxa" w:w="1757"/>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Long</w:t>
            </w:r>
          </w:p>
        </w:tc>
        <w:tc>
          <w:tcPr>
            <w:tcW w:type="dxa" w:w="5272"/>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已启用接口数。</w:t>
            </w:r>
          </w:p>
        </w:tc>
      </w:tr>
      <w:tr>
        <w:trPr>
          <w:cantSplit/>
        </w:trPr>
        <w:tc>
          <w:tcPr>
            <w:tcW w:type="dxa" w:w="272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todayCollectionCount</w:t>
            </w:r>
          </w:p>
        </w:tc>
        <w:tc>
          <w:tcPr>
            <w:tcW w:type="dxa" w:w="1757"/>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Long</w:t>
            </w:r>
          </w:p>
        </w:tc>
        <w:tc>
          <w:tcPr>
            <w:tcW w:type="dxa" w:w="5272"/>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今日采集量。</w:t>
            </w:r>
          </w:p>
        </w:tc>
      </w:tr>
    </w:tbl>
    <w:p>
      <w:pPr>
        <w:spacing w:after="0"/>
      </w:pPr>
    </w:p>
    <w:p>
      <w:pPr>
        <w:ind w:firstLine="420"/>
      </w:pPr>
      <w:r>
        <w:t>onlineTotal在当前总览对象中的含义是已启用接口数量，不等价于实时探测成功的套接字数量。todayCollectionCount按当前任务的统计记录汇总，其中PDXP以完整帧计数、FEP以完整文件计数。跨协议汇总是一项业务总量，不能直接作为同一种物理单位的吞吐指标。</w:t>
      </w:r>
    </w:p>
    <w:p>
      <w:pPr>
        <w:pStyle w:val="Heading2"/>
      </w:pPr>
      <w:r>
        <w:t>采集事件统计响应</w:t>
      </w:r>
    </w:p>
    <w:tbl>
      <w:tblPr>
        <w:tblW w:type="auto" w:w="0"/>
        <w:tblLayout w:type="fixed"/>
        <w:tblLook w:firstColumn="1" w:firstRow="1" w:lastColumn="0" w:lastRow="0" w:noHBand="0" w:noVBand="1" w:val="04A0"/>
      </w:tblPr>
      <w:tblGrid>
        <w:gridCol w:w="2721"/>
        <w:gridCol w:w="1757"/>
        <w:gridCol w:w="5272"/>
      </w:tblGrid>
      <w:tr>
        <w:trPr>
          <w:cantSplit/>
          <w:tblHeader/>
        </w:trPr>
        <w:tc>
          <w:tcPr>
            <w:tcW w:type="dxa" w:w="2721"/>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280" w:lineRule="exact"/>
            </w:pPr>
            <w:r>
              <w:rPr>
                <w:b/>
                <w:sz w:val="18"/>
              </w:rPr>
              <w:t>字段</w:t>
            </w:r>
          </w:p>
        </w:tc>
        <w:tc>
          <w:tcPr>
            <w:tcW w:type="dxa" w:w="1757"/>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280" w:lineRule="exact"/>
            </w:pPr>
            <w:r>
              <w:rPr>
                <w:b/>
                <w:sz w:val="18"/>
              </w:rPr>
              <w:t>类型</w:t>
            </w:r>
          </w:p>
        </w:tc>
        <w:tc>
          <w:tcPr>
            <w:tcW w:type="dxa" w:w="5272"/>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280" w:lineRule="exact"/>
            </w:pPr>
            <w:r>
              <w:rPr>
                <w:b/>
                <w:sz w:val="18"/>
              </w:rPr>
              <w:t>含义与声明约束</w:t>
            </w:r>
          </w:p>
        </w:tc>
      </w:tr>
      <w:tr>
        <w:trPr>
          <w:cantSplit/>
        </w:trPr>
        <w:tc>
          <w:tcPr>
            <w:tcW w:type="dxa" w:w="272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infoTotal</w:t>
            </w:r>
          </w:p>
        </w:tc>
        <w:tc>
          <w:tcPr>
            <w:tcW w:type="dxa" w:w="1757"/>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Long</w:t>
            </w:r>
          </w:p>
        </w:tc>
        <w:tc>
          <w:tcPr>
            <w:tcW w:type="dxa" w:w="5272"/>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信息事件数。</w:t>
            </w:r>
          </w:p>
        </w:tc>
      </w:tr>
      <w:tr>
        <w:trPr>
          <w:cantSplit/>
        </w:trPr>
        <w:tc>
          <w:tcPr>
            <w:tcW w:type="dxa" w:w="272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warningTotal</w:t>
            </w:r>
          </w:p>
        </w:tc>
        <w:tc>
          <w:tcPr>
            <w:tcW w:type="dxa" w:w="1757"/>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Long</w:t>
            </w:r>
          </w:p>
        </w:tc>
        <w:tc>
          <w:tcPr>
            <w:tcW w:type="dxa" w:w="5272"/>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警告事件数。</w:t>
            </w:r>
          </w:p>
        </w:tc>
      </w:tr>
      <w:tr>
        <w:trPr>
          <w:cantSplit/>
        </w:trPr>
        <w:tc>
          <w:tcPr>
            <w:tcW w:type="dxa" w:w="272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errorTotal</w:t>
            </w:r>
          </w:p>
        </w:tc>
        <w:tc>
          <w:tcPr>
            <w:tcW w:type="dxa" w:w="1757"/>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Long</w:t>
            </w:r>
          </w:p>
        </w:tc>
        <w:tc>
          <w:tcPr>
            <w:tcW w:type="dxa" w:w="5272"/>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错误事件数。</w:t>
            </w:r>
          </w:p>
        </w:tc>
      </w:tr>
      <w:tr>
        <w:trPr>
          <w:cantSplit/>
        </w:trPr>
        <w:tc>
          <w:tcPr>
            <w:tcW w:type="dxa" w:w="272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criticalTotal</w:t>
            </w:r>
          </w:p>
        </w:tc>
        <w:tc>
          <w:tcPr>
            <w:tcW w:type="dxa" w:w="1757"/>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Long</w:t>
            </w:r>
          </w:p>
        </w:tc>
        <w:tc>
          <w:tcPr>
            <w:tcW w:type="dxa" w:w="5272"/>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严重事件数。</w:t>
            </w:r>
          </w:p>
        </w:tc>
      </w:tr>
    </w:tbl>
    <w:p>
      <w:pPr>
        <w:spacing w:after="0"/>
      </w:pPr>
    </w:p>
    <w:p>
      <w:pPr>
        <w:pStyle w:val="Heading2"/>
      </w:pPr>
      <w:r>
        <w:t>PDXP协议配置示例</w:t>
      </w:r>
    </w:p>
    <w:p>
      <w:pPr>
        <w:keepNext/>
        <w:spacing w:after="0" w:line="280" w:lineRule="exact"/>
      </w:pPr>
      <w:r>
        <w:rPr>
          <w:rFonts w:ascii="Calibri" w:hAnsi="Calibri"/>
          <w:sz w:val="20"/>
        </w:rPr>
        <w:t>{</w:t>
      </w:r>
    </w:p>
    <w:p>
      <w:pPr>
        <w:keepNext/>
        <w:spacing w:after="0" w:line="280" w:lineRule="exact"/>
      </w:pPr>
      <w:r>
        <w:rPr>
          <w:rFonts w:ascii="Calibri" w:hAnsi="Calibri"/>
          <w:sz w:val="20"/>
        </w:rPr>
        <w:t xml:space="preserve">  "taskId": "TASK-DEMO",</w:t>
      </w:r>
    </w:p>
    <w:p>
      <w:pPr>
        <w:keepNext/>
        <w:spacing w:after="0" w:line="280" w:lineRule="exact"/>
      </w:pPr>
      <w:r>
        <w:rPr>
          <w:rFonts w:ascii="Calibri" w:hAnsi="Calibri"/>
          <w:sz w:val="20"/>
        </w:rPr>
        <w:t xml:space="preserve">  "configName": "设备遥测接入协议",</w:t>
      </w:r>
    </w:p>
    <w:p>
      <w:pPr>
        <w:keepNext/>
        <w:spacing w:after="0" w:line="280" w:lineRule="exact"/>
      </w:pPr>
      <w:r>
        <w:rPr>
          <w:rFonts w:ascii="Calibri" w:hAnsi="Calibri"/>
          <w:sz w:val="20"/>
        </w:rPr>
        <w:t xml:space="preserve">  "protocolType": 2,</w:t>
      </w:r>
    </w:p>
    <w:p>
      <w:pPr>
        <w:keepNext/>
        <w:spacing w:after="0" w:line="280" w:lineRule="exact"/>
      </w:pPr>
      <w:r>
        <w:rPr>
          <w:rFonts w:ascii="Calibri" w:hAnsi="Calibri"/>
          <w:sz w:val="20"/>
        </w:rPr>
        <w:t xml:space="preserve">  "dataSourceType": 1,</w:t>
      </w:r>
    </w:p>
    <w:p>
      <w:pPr>
        <w:keepNext/>
        <w:spacing w:after="0" w:line="280" w:lineRule="exact"/>
      </w:pPr>
      <w:r>
        <w:rPr>
          <w:rFonts w:ascii="Calibri" w:hAnsi="Calibri"/>
          <w:sz w:val="20"/>
        </w:rPr>
        <w:t xml:space="preserve">  "configDesc": "本地遥测接入",</w:t>
      </w:r>
    </w:p>
    <w:p>
      <w:pPr>
        <w:keepNext/>
        <w:spacing w:after="0" w:line="280" w:lineRule="exact"/>
      </w:pPr>
      <w:r>
        <w:rPr>
          <w:rFonts w:ascii="Calibri" w:hAnsi="Calibri"/>
          <w:sz w:val="20"/>
        </w:rPr>
        <w:t xml:space="preserve">  "configParams": {</w:t>
      </w:r>
    </w:p>
    <w:p>
      <w:pPr>
        <w:keepNext/>
        <w:spacing w:after="0" w:line="280" w:lineRule="exact"/>
      </w:pPr>
      <w:r>
        <w:rPr>
          <w:rFonts w:ascii="Calibri" w:hAnsi="Calibri"/>
          <w:sz w:val="20"/>
        </w:rPr>
        <w:t xml:space="preserve">    "deviceSatelliteId": 101</w:t>
      </w:r>
    </w:p>
    <w:p>
      <w:pPr>
        <w:keepNext/>
        <w:spacing w:after="0" w:line="280" w:lineRule="exact"/>
      </w:pPr>
      <w:r>
        <w:rPr>
          <w:rFonts w:ascii="Calibri" w:hAnsi="Calibri"/>
          <w:sz w:val="20"/>
        </w:rPr>
        <w:t xml:space="preserve">  },</w:t>
      </w:r>
    </w:p>
    <w:p>
      <w:pPr>
        <w:keepNext/>
        <w:spacing w:after="0" w:line="280" w:lineRule="exact"/>
      </w:pPr>
      <w:r>
        <w:rPr>
          <w:rFonts w:ascii="Calibri" w:hAnsi="Calibri"/>
          <w:sz w:val="20"/>
        </w:rPr>
        <w:t xml:space="preserve">  "enabled": 1</w:t>
      </w:r>
    </w:p>
    <w:p>
      <w:pPr>
        <w:keepNext/>
        <w:spacing w:after="0" w:line="280" w:lineRule="exact"/>
      </w:pPr>
      <w:r>
        <w:rPr>
          <w:rFonts w:ascii="Calibri" w:hAnsi="Calibri"/>
          <w:sz w:val="20"/>
        </w:rPr>
        <w:t>}</w:t>
      </w:r>
    </w:p>
    <w:p/>
    <w:p>
      <w:pPr>
        <w:ind w:firstLine="420"/>
      </w:pPr>
      <w:r>
        <w:t>该示例要求任务TASK-DEMO和设备主键101已经存在且关联有效。设备的本地参数规则通过处理软件维护。保存返回的协议主键用于创建接口，不将示例中的设备主键当作协议主键。</w:t>
      </w:r>
    </w:p>
    <w:p>
      <w:pPr>
        <w:pStyle w:val="Heading2"/>
      </w:pPr>
      <w:r>
        <w:t>接口保存示例</w:t>
      </w:r>
    </w:p>
    <w:p>
      <w:pPr>
        <w:keepNext/>
        <w:spacing w:after="0" w:line="280" w:lineRule="exact"/>
      </w:pPr>
      <w:r>
        <w:rPr>
          <w:rFonts w:ascii="Calibri" w:hAnsi="Calibri"/>
          <w:sz w:val="20"/>
        </w:rPr>
        <w:t>{</w:t>
      </w:r>
    </w:p>
    <w:p>
      <w:pPr>
        <w:keepNext/>
        <w:spacing w:after="0" w:line="280" w:lineRule="exact"/>
      </w:pPr>
      <w:r>
        <w:rPr>
          <w:rFonts w:ascii="Calibri" w:hAnsi="Calibri"/>
          <w:sz w:val="20"/>
        </w:rPr>
        <w:t xml:space="preserve">  "taskId": "TASK-DEMO",</w:t>
      </w:r>
    </w:p>
    <w:p>
      <w:pPr>
        <w:keepNext/>
        <w:spacing w:after="0" w:line="280" w:lineRule="exact"/>
      </w:pPr>
      <w:r>
        <w:rPr>
          <w:rFonts w:ascii="Calibri" w:hAnsi="Calibri"/>
          <w:sz w:val="20"/>
        </w:rPr>
        <w:t xml:space="preserve">  "interfaceName": "本地遥测采集",</w:t>
      </w:r>
    </w:p>
    <w:p>
      <w:pPr>
        <w:keepNext/>
        <w:spacing w:after="0" w:line="280" w:lineRule="exact"/>
      </w:pPr>
      <w:r>
        <w:rPr>
          <w:rFonts w:ascii="Calibri" w:hAnsi="Calibri"/>
          <w:sz w:val="20"/>
        </w:rPr>
        <w:t xml:space="preserve">  "interfaceType": 1,</w:t>
      </w:r>
    </w:p>
    <w:p>
      <w:pPr>
        <w:keepNext/>
        <w:spacing w:after="0" w:line="280" w:lineRule="exact"/>
      </w:pPr>
      <w:r>
        <w:rPr>
          <w:rFonts w:ascii="Calibri" w:hAnsi="Calibri"/>
          <w:sz w:val="20"/>
        </w:rPr>
        <w:t xml:space="preserve">  "transferType": 1,</w:t>
      </w:r>
    </w:p>
    <w:p>
      <w:pPr>
        <w:keepNext/>
        <w:spacing w:after="0" w:line="280" w:lineRule="exact"/>
      </w:pPr>
      <w:r>
        <w:rPr>
          <w:rFonts w:ascii="Calibri" w:hAnsi="Calibri"/>
          <w:sz w:val="20"/>
        </w:rPr>
        <w:t xml:space="preserve">  "transferProtocol": 2,</w:t>
      </w:r>
    </w:p>
    <w:p>
      <w:pPr>
        <w:keepNext/>
        <w:spacing w:after="0" w:line="280" w:lineRule="exact"/>
      </w:pPr>
      <w:r>
        <w:rPr>
          <w:rFonts w:ascii="Calibri" w:hAnsi="Calibri"/>
          <w:sz w:val="20"/>
        </w:rPr>
        <w:t xml:space="preserve">  "protocolConfigId": 201,</w:t>
      </w:r>
    </w:p>
    <w:p>
      <w:pPr>
        <w:keepNext/>
        <w:spacing w:after="0" w:line="280" w:lineRule="exact"/>
      </w:pPr>
      <w:r>
        <w:rPr>
          <w:rFonts w:ascii="Calibri" w:hAnsi="Calibri"/>
          <w:sz w:val="20"/>
        </w:rPr>
        <w:t xml:space="preserve">  "host": "127.0.0.1",</w:t>
      </w:r>
    </w:p>
    <w:p>
      <w:pPr>
        <w:keepNext/>
        <w:spacing w:after="0" w:line="280" w:lineRule="exact"/>
      </w:pPr>
      <w:r>
        <w:rPr>
          <w:rFonts w:ascii="Calibri" w:hAnsi="Calibri"/>
          <w:sz w:val="20"/>
        </w:rPr>
        <w:t xml:space="preserve">  "port": 19001,</w:t>
      </w:r>
    </w:p>
    <w:p>
      <w:pPr>
        <w:keepNext/>
        <w:spacing w:after="0" w:line="280" w:lineRule="exact"/>
      </w:pPr>
      <w:r>
        <w:rPr>
          <w:rFonts w:ascii="Calibri" w:hAnsi="Calibri"/>
          <w:sz w:val="20"/>
        </w:rPr>
        <w:t xml:space="preserve">  "enabled": 0,</w:t>
      </w:r>
    </w:p>
    <w:p>
      <w:pPr>
        <w:keepNext/>
        <w:spacing w:after="0" w:line="280" w:lineRule="exact"/>
      </w:pPr>
      <w:r>
        <w:rPr>
          <w:rFonts w:ascii="Calibri" w:hAnsi="Calibri"/>
          <w:sz w:val="20"/>
        </w:rPr>
        <w:t xml:space="preserve">  "rpcEnabled": 0</w:t>
      </w:r>
    </w:p>
    <w:p>
      <w:pPr>
        <w:keepNext/>
        <w:spacing w:after="0" w:line="280" w:lineRule="exact"/>
      </w:pPr>
      <w:r>
        <w:rPr>
          <w:rFonts w:ascii="Calibri" w:hAnsi="Calibri"/>
          <w:sz w:val="20"/>
        </w:rPr>
        <w:t>}</w:t>
      </w:r>
    </w:p>
    <w:p/>
    <w:p>
      <w:pPr>
        <w:ind w:firstLine="420"/>
      </w:pPr>
      <w:r>
        <w:t>示例先以禁用状态保存，确认监听条件后再启用。host表示接收服务本机绑定地址，不是发送方IP；远程发送方不能向另一台主机的127.0.0.1发送。UDP组播场景需额外填写有效multicastIp，并核对接收网卡与网络组播条件。</w:t>
      </w:r>
    </w:p>
    <w:p>
      <w:pPr>
        <w:pStyle w:val="Heading2"/>
      </w:pPr>
      <w:r>
        <w:t>运行统计与状态解释</w:t>
      </w:r>
    </w:p>
    <w:p>
      <w:pPr>
        <w:ind w:firstLine="420"/>
      </w:pPr>
      <w:r>
        <w:t>五秒统计表通过任务、接口与窗口开始时间建立唯一索引，保存窗口采集量和平均接口速率。运行期接收字节参与速率计算，完整帧或文件参与采集量计算。统计存在采样和持久化周期，页面数值与正在到达的单个报文不必完全同步。</w:t>
      </w:r>
    </w:p>
    <w:p>
      <w:pPr>
        <w:ind w:firstLine="420"/>
      </w:pPr>
      <w:r>
        <w:t>配置的enabled说明使用者希望接口运行，status是接口记录中的状态值，运行日志说明实际启动和处理过程。排障时同时核查这三类信息：只有配置启用而没有监听成功日志，不能据此判断网络已经接通。文件状态也应区分本地接收、对象上传及消息发布。</w:t>
      </w:r>
    </w:p>
    <w:p>
      <w:pPr>
        <w:pStyle w:val="Heading1"/>
      </w:pPr>
      <w:r>
        <w:t>响应封装与数据关系</w:t>
      </w:r>
    </w:p>
    <w:tbl>
      <w:tblPr>
        <w:tblW w:type="auto" w:w="0"/>
        <w:tblLayout w:type="fixed"/>
        <w:tblLook w:firstColumn="1" w:firstRow="1" w:lastColumn="0" w:lastRow="0" w:noHBand="0" w:noVBand="1" w:val="04A0"/>
      </w:tblPr>
      <w:tblGrid>
        <w:gridCol w:w="2721"/>
        <w:gridCol w:w="7030"/>
      </w:tblGrid>
      <w:tr>
        <w:trPr>
          <w:cantSplit/>
          <w:tblHeader/>
        </w:trPr>
        <w:tc>
          <w:tcPr>
            <w:tcW w:type="dxa" w:w="2721"/>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280" w:lineRule="exact"/>
            </w:pPr>
            <w:r>
              <w:rPr>
                <w:b/>
                <w:sz w:val="18"/>
              </w:rPr>
              <w:t>字段</w:t>
            </w:r>
          </w:p>
        </w:tc>
        <w:tc>
          <w:tcPr>
            <w:tcW w:type="dxa" w:w="7030"/>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280" w:lineRule="exact"/>
            </w:pPr>
            <w:r>
              <w:rPr>
                <w:b/>
                <w:sz w:val="18"/>
              </w:rPr>
              <w:t>含义</w:t>
            </w:r>
          </w:p>
        </w:tc>
      </w:tr>
      <w:tr>
        <w:trPr>
          <w:cantSplit/>
        </w:trPr>
        <w:tc>
          <w:tcPr>
            <w:tcW w:type="dxa" w:w="272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code</w:t>
            </w:r>
          </w:p>
        </w:tc>
        <w:tc>
          <w:tcPr>
            <w:tcW w:type="dxa" w:w="7030"/>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成功为200；失败由统一异常处理返回相应业务信息</w:t>
            </w:r>
          </w:p>
        </w:tc>
      </w:tr>
      <w:tr>
        <w:trPr>
          <w:cantSplit/>
        </w:trPr>
        <w:tc>
          <w:tcPr>
            <w:tcW w:type="dxa" w:w="272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message</w:t>
            </w:r>
          </w:p>
        </w:tc>
        <w:tc>
          <w:tcPr>
            <w:tcW w:type="dxa" w:w="7030"/>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中文操作结果说明</w:t>
            </w:r>
          </w:p>
        </w:tc>
      </w:tr>
      <w:tr>
        <w:trPr>
          <w:cantSplit/>
        </w:trPr>
        <w:tc>
          <w:tcPr>
            <w:tcW w:type="dxa" w:w="272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data</w:t>
            </w:r>
          </w:p>
        </w:tc>
        <w:tc>
          <w:tcPr>
            <w:tcW w:type="dxa" w:w="7030"/>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业务对象，可为空；空值按响应配置不输出</w:t>
            </w:r>
          </w:p>
        </w:tc>
      </w:tr>
      <w:tr>
        <w:trPr>
          <w:cantSplit/>
        </w:trPr>
        <w:tc>
          <w:tcPr>
            <w:tcW w:type="dxa" w:w="272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pageNum 与 pageSize</w:t>
            </w:r>
          </w:p>
        </w:tc>
        <w:tc>
          <w:tcPr>
            <w:tcW w:type="dxa" w:w="7030"/>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分页页码及每页条数</w:t>
            </w:r>
          </w:p>
        </w:tc>
      </w:tr>
      <w:tr>
        <w:trPr>
          <w:cantSplit/>
        </w:trPr>
        <w:tc>
          <w:tcPr>
            <w:tcW w:type="dxa" w:w="272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total 与 records</w:t>
            </w:r>
          </w:p>
        </w:tc>
        <w:tc>
          <w:tcPr>
            <w:tcW w:type="dxa" w:w="7030"/>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总记录数及当前页记录集合</w:t>
            </w:r>
          </w:p>
        </w:tc>
      </w:tr>
    </w:tbl>
    <w:p>
      <w:pPr>
        <w:spacing w:after="0"/>
      </w:pPr>
    </w:p>
    <w:p>
      <w:pPr>
        <w:keepNext/>
        <w:spacing w:line="240" w:lineRule="auto"/>
        <w:jc w:val="center"/>
      </w:pPr>
      <w:r>
        <w:drawing>
          <wp:inline xmlns:a="http://schemas.openxmlformats.org/drawingml/2006/main" xmlns:pic="http://schemas.openxmlformats.org/drawingml/2006/picture">
            <wp:extent cx="6120000" cy="2484000"/>
            <wp:docPr id="6" name="Picture 6"/>
            <wp:cNvGraphicFramePr>
              <a:graphicFrameLocks noChangeAspect="1"/>
            </wp:cNvGraphicFramePr>
            <a:graphic>
              <a:graphicData uri="http://schemas.openxmlformats.org/drawingml/2006/picture">
                <pic:pic>
                  <pic:nvPicPr>
                    <pic:cNvPr id="0" name="0-relations.png"/>
                    <pic:cNvPicPr/>
                  </pic:nvPicPr>
                  <pic:blipFill>
                    <a:blip r:embed="rId15"/>
                    <a:stretch>
                      <a:fillRect/>
                    </a:stretch>
                  </pic:blipFill>
                  <pic:spPr>
                    <a:xfrm>
                      <a:off x="0" y="0"/>
                      <a:ext cx="6120000" cy="2484000"/>
                    </a:xfrm>
                    <a:prstGeom prst="rect"/>
                  </pic:spPr>
                </pic:pic>
              </a:graphicData>
            </a:graphic>
          </wp:inline>
        </w:drawing>
      </w:r>
    </w:p>
    <w:p>
      <w:pPr>
        <w:pStyle w:val="Caption"/>
        <w:jc w:val="center"/>
      </w:pPr>
      <w:r>
        <w:t>图6 核心数据的业务关联</w:t>
      </w:r>
    </w:p>
    <w:p>
      <w:pPr>
        <w:ind w:firstLine="420"/>
      </w:pPr>
      <w:r>
        <w:t>图中连线表示业务关联，不承诺数据库已经创建对应外键。taskId使用调度系统下发的字符串业务编号，接口、设备、参数、通道与组件使用各自关系表主键；业务编号与数据库主键在调用时不能混用。逻辑删除字段与有效状态需要在查询和运行快照装载时共同考虑。</w:t>
      </w:r>
    </w:p>
    <w:p>
      <w:pPr>
        <w:pStyle w:val="Heading1"/>
      </w:pPr>
      <w:r>
        <w:t>运行环境与部署维护</w:t>
      </w:r>
    </w:p>
    <w:p>
      <w:pPr>
        <w:ind w:firstLine="420"/>
      </w:pPr>
      <w:r>
        <w:t>管理端采用Spring Boot 2.6.13，工程使用JDK 8和Maven构建，关系数据通过MyBatis Mapper及XML映射访问人大金仓数据库。Nacos负责配置读取与服务注册，Redis承担登录会话及运行缓存。管理服务默认HTTP端口8082，运行服务默认端口8083；实际地址与端口以部署配置为准。</w:t>
      </w:r>
    </w:p>
    <w:p>
      <w:pPr>
        <w:ind w:firstLine="420"/>
      </w:pPr>
      <w:r>
        <w:t>两项业务能力目前共用上述服务进程。部署时保留完整共享依赖，不直接删除另一业务的类或数据表。软件名称用于区分业务范围，现有启动类及构建模块仍沿用工程原名。共享认证、试验任务、设备身份和运行快照是两项业务间的集成条件。</w:t>
      </w:r>
    </w:p>
    <w:tbl>
      <w:tblPr>
        <w:tblW w:type="auto" w:w="0"/>
        <w:tblLayout w:type="fixed"/>
        <w:tblLook w:firstColumn="1" w:firstRow="1" w:lastColumn="0" w:lastRow="0" w:noHBand="0" w:noVBand="1" w:val="04A0"/>
      </w:tblPr>
      <w:tblGrid>
        <w:gridCol w:w="1701"/>
        <w:gridCol w:w="1871"/>
        <w:gridCol w:w="6180"/>
      </w:tblGrid>
      <w:tr>
        <w:trPr>
          <w:cantSplit/>
          <w:tblHeader/>
        </w:trPr>
        <w:tc>
          <w:tcPr>
            <w:tcW w:type="dxa" w:w="1701"/>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280" w:lineRule="exact"/>
            </w:pPr>
            <w:r>
              <w:rPr>
                <w:b/>
                <w:sz w:val="18"/>
              </w:rPr>
              <w:t>组件</w:t>
            </w:r>
          </w:p>
        </w:tc>
        <w:tc>
          <w:tcPr>
            <w:tcW w:type="dxa" w:w="1871"/>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280" w:lineRule="exact"/>
            </w:pPr>
            <w:r>
              <w:rPr>
                <w:b/>
                <w:sz w:val="18"/>
              </w:rPr>
              <w:t>作用</w:t>
            </w:r>
          </w:p>
        </w:tc>
        <w:tc>
          <w:tcPr>
            <w:tcW w:type="dxa" w:w="6180"/>
            <w:tcBorders>
              <w:top w:val="single" w:sz="4" w:color="D9D9D9"/>
              <w:left w:val="single" w:sz="4" w:color="D9D9D9"/>
              <w:bottom w:val="single" w:sz="4" w:color="D9D9D9"/>
              <w:right w:val="single" w:sz="4" w:color="D9D9D9"/>
            </w:tcBorders>
            <w:tcMar>
              <w:top w:w="65" w:type="dxa"/>
              <w:bottom w:w="65" w:type="dxa"/>
              <w:left w:w="65" w:type="dxa"/>
              <w:right w:w="65" w:type="dxa"/>
            </w:tcMar>
            <w:shd w:fill="E7EEF3"/>
          </w:tcPr>
          <w:p>
            <w:pPr>
              <w:keepNext/>
              <w:spacing w:after="0" w:line="280" w:lineRule="exact"/>
            </w:pPr>
            <w:r>
              <w:rPr>
                <w:b/>
                <w:sz w:val="18"/>
              </w:rPr>
              <w:t>部署检查</w:t>
            </w:r>
          </w:p>
        </w:tc>
      </w:tr>
      <w:tr>
        <w:trPr>
          <w:cantSplit/>
        </w:trPr>
        <w:tc>
          <w:tcPr>
            <w:tcW w:type="dxa" w:w="170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JDK及构建</w:t>
            </w:r>
          </w:p>
        </w:tc>
        <w:tc>
          <w:tcPr>
            <w:tcW w:type="dxa" w:w="187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JDK 8、Maven</w:t>
            </w:r>
          </w:p>
        </w:tc>
        <w:tc>
          <w:tcPr>
            <w:tcW w:type="dxa" w:w="6180"/>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构建两个服务并解析公共模块依赖</w:t>
            </w:r>
          </w:p>
        </w:tc>
      </w:tr>
      <w:tr>
        <w:trPr>
          <w:cantSplit/>
        </w:trPr>
        <w:tc>
          <w:tcPr>
            <w:tcW w:type="dxa" w:w="170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Nacos</w:t>
            </w:r>
          </w:p>
        </w:tc>
        <w:tc>
          <w:tcPr>
            <w:tcW w:type="dxa" w:w="187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配置中心及注册中心</w:t>
            </w:r>
          </w:p>
        </w:tc>
        <w:tc>
          <w:tcPr>
            <w:tcW w:type="dxa" w:w="6180"/>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分别发布管理服务与运行服务配置</w:t>
            </w:r>
          </w:p>
        </w:tc>
      </w:tr>
      <w:tr>
        <w:trPr>
          <w:cantSplit/>
        </w:trPr>
        <w:tc>
          <w:tcPr>
            <w:tcW w:type="dxa" w:w="170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KingbaseES</w:t>
            </w:r>
          </w:p>
        </w:tc>
        <w:tc>
          <w:tcPr>
            <w:tcW w:type="dxa" w:w="187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关系数据</w:t>
            </w:r>
          </w:p>
        </w:tc>
        <w:tc>
          <w:tcPr>
            <w:tcW w:type="dxa" w:w="6180"/>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执行system.sql及business_schema.sql并核对增量字段</w:t>
            </w:r>
          </w:p>
        </w:tc>
      </w:tr>
      <w:tr>
        <w:trPr>
          <w:cantSplit/>
        </w:trPr>
        <w:tc>
          <w:tcPr>
            <w:tcW w:type="dxa" w:w="170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Redis</w:t>
            </w:r>
          </w:p>
        </w:tc>
        <w:tc>
          <w:tcPr>
            <w:tcW w:type="dxa" w:w="187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会话及缓存</w:t>
            </w:r>
          </w:p>
        </w:tc>
        <w:tc>
          <w:tcPr>
            <w:tcW w:type="dxa" w:w="6180"/>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管理端与运行端按实际业务共用所需实例</w:t>
            </w:r>
          </w:p>
        </w:tc>
      </w:tr>
      <w:tr>
        <w:trPr>
          <w:cantSplit/>
        </w:trPr>
        <w:tc>
          <w:tcPr>
            <w:tcW w:type="dxa" w:w="170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RocketMQ</w:t>
            </w:r>
          </w:p>
        </w:tc>
        <w:tc>
          <w:tcPr>
            <w:tcW w:type="dxa" w:w="187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消息传递</w:t>
            </w:r>
          </w:p>
        </w:tc>
        <w:tc>
          <w:tcPr>
            <w:tcW w:type="dxa" w:w="6180"/>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配置对应主题、标签、生产者和消费方</w:t>
            </w:r>
          </w:p>
        </w:tc>
      </w:tr>
      <w:tr>
        <w:trPr>
          <w:cantSplit/>
        </w:trPr>
        <w:tc>
          <w:tcPr>
            <w:tcW w:type="dxa" w:w="170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MinIO</w:t>
            </w:r>
          </w:p>
        </w:tc>
        <w:tc>
          <w:tcPr>
            <w:tcW w:type="dxa" w:w="1871"/>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对象存储</w:t>
            </w:r>
          </w:p>
        </w:tc>
        <w:tc>
          <w:tcPr>
            <w:tcW w:type="dxa" w:w="6180"/>
            <w:tcBorders>
              <w:top w:val="single" w:sz="4" w:color="D9D9D9"/>
              <w:left w:val="single" w:sz="4" w:color="D9D9D9"/>
              <w:bottom w:val="single" w:sz="4" w:color="D9D9D9"/>
              <w:right w:val="single" w:sz="4" w:color="D9D9D9"/>
            </w:tcBorders>
            <w:tcMar>
              <w:top w:w="65" w:type="dxa"/>
              <w:bottom w:w="65" w:type="dxa"/>
              <w:left w:w="65" w:type="dxa"/>
              <w:right w:w="65" w:type="dxa"/>
            </w:tcMar>
          </w:tcPr>
          <w:p>
            <w:pPr>
              <w:spacing w:after="0" w:line="280" w:lineRule="exact"/>
            </w:pPr>
            <w:r>
              <w:rPr>
                <w:b w:val="0"/>
                <w:sz w:val="18"/>
              </w:rPr>
              <w:t>文件上传、对象名称及访问地址配置</w:t>
            </w:r>
          </w:p>
        </w:tc>
      </w:tr>
    </w:tbl>
    <w:p>
      <w:pPr>
        <w:spacing w:after="0"/>
      </w:pPr>
    </w:p>
    <w:p>
      <w:pPr>
        <w:pStyle w:val="Heading2"/>
      </w:pPr>
      <w:r>
        <w:t>部署顺序</w:t>
      </w:r>
    </w:p>
    <w:p>
      <w:pPr>
        <w:ind w:firstLine="420"/>
      </w:pPr>
      <w:r>
        <w:t>首先准备数据库、缓存、配置中心及本业务所需存储和消息组件。核对数据库初始化脚本与当前代码版本，避免只创建基础表而漏掉后续字段。随后在Nacos发布两个服务的配置，明确填写连接地址和账号，管理服务与运行服务使用一致的认证配置。</w:t>
      </w:r>
    </w:p>
    <w:p>
      <w:pPr>
        <w:ind w:firstLine="420"/>
      </w:pPr>
      <w:r>
        <w:t>在工程根目录分别以Maven构建管理服务和运行服务及其公共依赖，然后启动生成的服务。先检查配置加载和数据源连接，再验证登录与只读查询。需要网络接入时，先确认运行服务的监听地址属于本机、端口可用、组播路由正确，再启用采集接口。</w:t>
      </w:r>
    </w:p>
    <w:p>
      <w:pPr>
        <w:pStyle w:val="Heading2"/>
      </w:pPr>
      <w:r>
        <w:t>运行检查与维护</w:t>
      </w:r>
    </w:p>
    <w:p>
      <w:pPr>
        <w:ind w:firstLine="420"/>
      </w:pPr>
      <w:r>
        <w:t>检查采集线程数能否容纳长期监听任务，处理队列及文件结果队列是否持续饱和。FEP临时目录需要足够磁盘空间和写权限；已接收但未上传的文件不能提前清理。对象存储与消息服务恢复后，应查看持久化记录状态和重试时间，确认记录最终进入已发布。</w:t>
      </w:r>
    </w:p>
    <w:p>
      <w:pPr>
        <w:ind w:firstLine="420"/>
      </w:pPr>
      <w:r>
        <w:t>运行日志应结合任务编号、接口编号和时间定位问题。维护前保存数据库与必要文件的备份，记录当前配置。修改代码、数据库结构或运行参数后重新核对接口、关联数据和关键流程，未经容量测试不填写固定吞吐量或高可用指标。</w:t>
      </w:r>
    </w:p>
    <w:p>
      <w:pPr>
        <w:pStyle w:val="Heading1"/>
      </w:pPr>
      <w:r>
        <w:t>源码组织与扩展设计</w:t>
      </w:r>
    </w:p>
    <w:p>
      <w:pPr>
        <w:ind w:firstLine="420"/>
      </w:pPr>
      <w:r>
        <w:t>采集管理入口与事务服务位于data-admin-service，网络接收器、接口运行管理器、PDXP和FEP处理器位于data-process-service。FEP编解码复用common中的FepProtocolTool与FepPacketType，属于与模拟源共用的协议工具；本软件的独立业务重点是接收会话、文件恢复、运行同步和接收结果处理。</w:t>
      </w:r>
    </w:p>
    <w:p>
      <w:pPr>
        <w:ind w:firstLine="420"/>
      </w:pPr>
      <w:r>
        <w:t>协议扩展通过实现ProtocolHandler并注册支持的协议编码完成，注册表在启动时检测重复编码。新增处理器还需配套参数校验、数据字典、网络会话、异常记录和接口说明，不能只增加枚举值。当前已有的线程池隔离与接口快照机制为不同协议复用接收设施提供基础。</w:t>
      </w:r>
    </w:p>
    <w:p>
      <w:pPr>
        <w:ind w:firstLine="420"/>
      </w:pPr>
      <w:r>
        <w:t>本软件归集的源码文件共110个，物理行数12369行，包含Java和MyBatis XML。归集范围覆盖采集业务及共用基础实现，不包含第三方库、生成的协议类或模拟源发送业务。交存材料按完整文件顺序的前后连续页整理，公共依赖的存在不表示两项业务具有独立安装包。</w:t>
      </w:r>
    </w:p>
    <w:sectPr w:rsidR="00FC693F" w:rsidRPr="0006063C" w:rsidSect="00034616">
      <w:headerReference w:type="default" r:id="rId9"/>
      <w:pgSz w:w="11906" w:h="16838"/>
      <w:pgMar w:top="1020" w:right="1077" w:bottom="1020" w:left="1077" w:header="397" w:footer="28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 xml:space="preserve">多协议数据采集管理软件 V1.0    </w:t>
    </w:r>
    <w:fldSimple w:instr="PAG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val="0"/>
      <w:spacing w:after="80" w:line="320" w:lineRule="exact"/>
    </w:pPr>
    <w:rPr>
      <w:rFonts w:ascii="宋体" w:hAnsi="宋体" w:eastAsia="宋体"/>
      <w:color w:val="000000"/>
      <w:sz w:val="21"/>
      <w:u w:val="none"/>
    </w:rPr>
  </w:style>
  <w:style w:type="paragraph" w:styleId="Header">
    <w:name w:val="header"/>
    <w:basedOn w:val="Normal"/>
    <w:link w:val="HeaderChar"/>
    <w:uiPriority w:val="99"/>
    <w:unhideWhenUsed/>
    <w:rsid w:val="00E618BF"/>
    <w:pPr>
      <w:tabs>
        <w:tab w:val="center" w:pos="4680"/>
        <w:tab w:val="right" w:pos="9360"/>
      </w:tabs>
      <w:spacing w:after="80" w:line="320" w:lineRule="exact"/>
    </w:pPr>
    <w:rPr>
      <w:rFonts w:ascii="宋体" w:hAnsi="宋体" w:eastAsia="宋体"/>
      <w:color w:val="000000"/>
      <w:sz w:val="21"/>
      <w:u w:val="none"/>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line="320" w:lineRule="exact"/>
      <w:outlineLvl w:val="0"/>
    </w:pPr>
    <w:rPr>
      <w:rFonts w:asciiTheme="majorHAnsi" w:eastAsiaTheme="majorEastAsia" w:hAnsiTheme="majorHAnsi" w:cstheme="majorBidi" w:ascii="宋体" w:hAnsi="宋体" w:eastAsia="宋体"/>
      <w:b/>
      <w:bCs/>
      <w:color w:val="000000"/>
      <w:sz w:val="28"/>
      <w:szCs w:val="28"/>
      <w:u w:val="none"/>
    </w:rPr>
  </w:style>
  <w:style w:type="paragraph" w:styleId="Heading2">
    <w:name w:val="heading 2"/>
    <w:basedOn w:val="Normal"/>
    <w:next w:val="Normal"/>
    <w:link w:val="Heading2Char"/>
    <w:uiPriority w:val="9"/>
    <w:unhideWhenUsed/>
    <w:qFormat/>
    <w:rsid w:val="00FC693F"/>
    <w:pPr>
      <w:keepNext/>
      <w:keepLines/>
      <w:spacing w:before="180" w:after="80" w:line="320" w:lineRule="exact"/>
      <w:outlineLvl w:val="1"/>
    </w:pPr>
    <w:rPr>
      <w:rFonts w:asciiTheme="majorHAnsi" w:eastAsiaTheme="majorEastAsia" w:hAnsiTheme="majorHAnsi" w:cstheme="majorBidi" w:ascii="宋体" w:hAnsi="宋体" w:eastAsia="宋体"/>
      <w:b/>
      <w:bCs/>
      <w:color w:val="000000"/>
      <w:sz w:val="23"/>
      <w:szCs w:val="26"/>
      <w:u w:val="none"/>
    </w:rPr>
  </w:style>
  <w:style w:type="paragraph" w:styleId="Heading3">
    <w:name w:val="heading 3"/>
    <w:basedOn w:val="Normal"/>
    <w:next w:val="Normal"/>
    <w:link w:val="Heading3Char"/>
    <w:uiPriority w:val="9"/>
    <w:unhideWhenUsed/>
    <w:qFormat/>
    <w:rsid w:val="00FC693F"/>
    <w:pPr>
      <w:keepNext/>
      <w:keepLines/>
      <w:spacing w:before="200" w:after="80" w:line="320" w:lineRule="exact"/>
      <w:outlineLvl w:val="2"/>
    </w:pPr>
    <w:rPr>
      <w:rFonts w:asciiTheme="majorHAnsi" w:eastAsiaTheme="majorEastAsia" w:hAnsiTheme="majorHAnsi" w:cstheme="majorBidi" w:ascii="宋体" w:hAnsi="宋体" w:eastAsia="宋体"/>
      <w:b/>
      <w:bCs/>
      <w:color w:val="000000"/>
      <w:sz w:val="21"/>
      <w:u w:val="none"/>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80" w:line="320" w:lineRule="exact" w:before="180"/>
      <w:contextualSpacing/>
    </w:pPr>
    <w:rPr>
      <w:rFonts w:asciiTheme="majorHAnsi" w:eastAsiaTheme="majorEastAsia" w:hAnsiTheme="majorHAnsi" w:cstheme="majorBidi" w:ascii="宋体" w:hAnsi="宋体" w:eastAsia="宋体"/>
      <w:b/>
      <w:color w:val="000000"/>
      <w:spacing w:val="5"/>
      <w:kern w:val="28"/>
      <w:sz w:val="40"/>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80" w:line="320" w:lineRule="exact"/>
    </w:pPr>
    <w:rPr>
      <w:rFonts w:asciiTheme="majorHAnsi" w:eastAsiaTheme="majorEastAsia" w:hAnsiTheme="majorHAnsi" w:cstheme="majorBidi" w:ascii="宋体" w:hAnsi="宋体" w:eastAsia="宋体"/>
      <w:i/>
      <w:iCs/>
      <w:color w:val="000000"/>
      <w:spacing w:val="15"/>
      <w:sz w:val="21"/>
      <w:szCs w:val="24"/>
      <w:u w:val="none"/>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20" w:lineRule="exact" w:after="80"/>
    </w:pPr>
    <w:rPr>
      <w:rFonts w:ascii="宋体" w:hAnsi="宋体" w:eastAsia="宋体"/>
      <w:b/>
      <w:bCs/>
      <w:color w:val="000000"/>
      <w:sz w:val="21"/>
      <w:szCs w:val="18"/>
      <w:u w:val="none"/>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多协议数据采集管理软件 V1.0</dc:title>
  <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