
<file path=[Content_Types].xml><?xml version="1.0" encoding="utf-8"?>
<Types xmlns="http://schemas.openxmlformats.org/package/2006/content-types">
  <Default Extension="xml" ContentType="application/xml"/>
  <Default Extension="wmf" ContentType="image/x-w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F918DC">
      <w:pPr>
        <w:bidi w:val="0"/>
        <w:rPr>
          <w:rFonts w:hint="eastAsia" w:ascii="宋体" w:hAnsi="宋体" w:eastAsia="宋体" w:cs="宋体"/>
          <w:i w:val="0"/>
          <w:iCs w:val="0"/>
          <w:sz w:val="24"/>
          <w:szCs w:val="24"/>
        </w:rPr>
      </w:pPr>
      <w:bookmarkStart w:id="123" w:name="_GoBack"/>
      <w:bookmarkEnd w:id="123"/>
    </w:p>
    <w:p w14:paraId="7EF77CCF">
      <w:pPr>
        <w:bidi w:val="0"/>
        <w:rPr>
          <w:rFonts w:hint="eastAsia" w:ascii="黑体" w:hAnsi="黑体" w:eastAsia="黑体" w:cs="黑体"/>
          <w:i w:val="0"/>
          <w:iCs w:val="0"/>
          <w:sz w:val="36"/>
          <w:szCs w:val="36"/>
        </w:rPr>
      </w:pPr>
    </w:p>
    <w:p w14:paraId="23518A09">
      <w:pPr>
        <w:spacing w:before="700" w:after="160"/>
        <w:jc w:val="center"/>
        <w:rPr>
          <w:rFonts w:hint="eastAsia" w:ascii="宋体" w:hAnsi="宋体" w:eastAsia="宋体" w:cs="宋体"/>
          <w:b/>
          <w:i w:val="0"/>
          <w:iCs w:val="0"/>
          <w:color w:val="auto"/>
          <w:sz w:val="44"/>
          <w:szCs w:val="44"/>
        </w:rPr>
      </w:pPr>
      <w:r>
        <w:rPr>
          <w:rFonts w:hint="eastAsia" w:ascii="宋体" w:hAnsi="宋体" w:eastAsia="宋体" w:cs="宋体"/>
          <w:b/>
          <w:i w:val="0"/>
          <w:iCs w:val="0"/>
          <w:color w:val="auto"/>
          <w:sz w:val="44"/>
          <w:szCs w:val="44"/>
        </w:rPr>
        <w:t>特变电工股份有限公司</w:t>
      </w:r>
      <w:r>
        <w:rPr>
          <w:rFonts w:hint="eastAsia" w:ascii="宋体" w:hAnsi="宋体" w:eastAsia="宋体" w:cs="宋体"/>
          <w:b/>
          <w:i w:val="0"/>
          <w:iCs w:val="0"/>
          <w:color w:val="auto"/>
          <w:sz w:val="44"/>
          <w:szCs w:val="44"/>
        </w:rPr>
        <w:br w:type="textWrapping"/>
      </w:r>
      <w:r>
        <w:rPr>
          <w:rFonts w:hint="eastAsia" w:ascii="宋体" w:hAnsi="宋体" w:eastAsia="宋体" w:cs="宋体"/>
          <w:b/>
          <w:i w:val="0"/>
          <w:iCs w:val="0"/>
          <w:color w:val="auto"/>
          <w:sz w:val="40"/>
          <w:szCs w:val="40"/>
        </w:rPr>
        <w:t>能碳数字化“双中心”集成平台</w:t>
      </w:r>
    </w:p>
    <w:p w14:paraId="3DC6BEAA">
      <w:pPr>
        <w:spacing w:after="160" w:line="276" w:lineRule="auto"/>
        <w:jc w:val="center"/>
        <w:rPr>
          <w:rFonts w:hint="eastAsia" w:ascii="宋体" w:hAnsi="宋体" w:eastAsia="宋体" w:cs="宋体"/>
          <w:b/>
          <w:i w:val="0"/>
          <w:iCs w:val="0"/>
          <w:color w:val="auto"/>
          <w:sz w:val="24"/>
          <w:szCs w:val="24"/>
          <w:lang w:val="en-US" w:eastAsia="en-US" w:bidi="ar-SA"/>
        </w:rPr>
      </w:pPr>
      <w:r>
        <w:rPr>
          <w:rFonts w:hint="eastAsia" w:ascii="宋体" w:hAnsi="宋体" w:eastAsia="宋体" w:cs="宋体"/>
          <w:b/>
          <w:i w:val="0"/>
          <w:iCs w:val="0"/>
          <w:color w:val="auto"/>
          <w:sz w:val="24"/>
          <w:szCs w:val="24"/>
          <w:lang w:val="en-US" w:eastAsia="en-US" w:bidi="ar-SA"/>
        </w:rPr>
        <w:t>（零碳园区集控中心 + 产品碳足迹集采中心）</w:t>
      </w:r>
    </w:p>
    <w:p w14:paraId="46EEB6C6">
      <w:pPr>
        <w:spacing w:after="160" w:line="276" w:lineRule="auto"/>
        <w:jc w:val="center"/>
        <w:rPr>
          <w:rFonts w:hint="eastAsia" w:ascii="宋体" w:hAnsi="宋体" w:eastAsia="宋体" w:cs="宋体"/>
          <w:b/>
          <w:i w:val="0"/>
          <w:iCs w:val="0"/>
          <w:color w:val="auto"/>
          <w:sz w:val="24"/>
          <w:szCs w:val="24"/>
          <w:lang w:val="en-US" w:eastAsia="en-US" w:bidi="ar-SA"/>
        </w:rPr>
      </w:pPr>
    </w:p>
    <w:p w14:paraId="1D15D4D7">
      <w:pPr>
        <w:spacing w:after="160" w:line="276" w:lineRule="auto"/>
        <w:jc w:val="center"/>
        <w:rPr>
          <w:rFonts w:hint="eastAsia" w:ascii="宋体" w:hAnsi="宋体" w:eastAsia="宋体" w:cs="宋体"/>
          <w:b/>
          <w:i w:val="0"/>
          <w:iCs w:val="0"/>
          <w:color w:val="auto"/>
          <w:sz w:val="24"/>
          <w:szCs w:val="24"/>
          <w:lang w:val="en-US" w:eastAsia="en-US" w:bidi="ar-SA"/>
        </w:rPr>
      </w:pPr>
    </w:p>
    <w:p w14:paraId="0F062925">
      <w:pPr>
        <w:spacing w:after="160" w:line="276" w:lineRule="auto"/>
        <w:jc w:val="center"/>
        <w:rPr>
          <w:rFonts w:hint="eastAsia" w:ascii="宋体" w:hAnsi="宋体" w:eastAsia="宋体" w:cs="宋体"/>
          <w:b/>
          <w:i w:val="0"/>
          <w:iCs w:val="0"/>
          <w:color w:val="0284C7"/>
          <w:sz w:val="24"/>
          <w:szCs w:val="24"/>
          <w:lang w:val="en-US" w:eastAsia="en-US" w:bidi="ar-SA"/>
        </w:rPr>
      </w:pPr>
    </w:p>
    <w:p w14:paraId="6D0AAADB">
      <w:pPr>
        <w:spacing w:after="160" w:line="276" w:lineRule="auto"/>
        <w:jc w:val="center"/>
        <w:rPr>
          <w:rFonts w:hint="eastAsia" w:ascii="宋体" w:hAnsi="宋体" w:eastAsia="宋体" w:cs="宋体"/>
          <w:b/>
          <w:i w:val="0"/>
          <w:iCs w:val="0"/>
          <w:color w:val="0284C7"/>
          <w:sz w:val="24"/>
          <w:szCs w:val="24"/>
          <w:lang w:val="en-US" w:eastAsia="en-US" w:bidi="ar-SA"/>
        </w:rPr>
      </w:pPr>
    </w:p>
    <w:p w14:paraId="55C5CEFC">
      <w:pPr>
        <w:spacing w:after="160" w:line="276" w:lineRule="auto"/>
        <w:jc w:val="center"/>
        <w:rPr>
          <w:rFonts w:hint="eastAsia" w:ascii="宋体" w:hAnsi="宋体" w:eastAsia="宋体" w:cs="宋体"/>
          <w:i w:val="0"/>
          <w:iCs w:val="0"/>
          <w:color w:val="auto"/>
          <w:sz w:val="40"/>
          <w:szCs w:val="40"/>
          <w:lang w:val="en-US" w:eastAsia="en-US" w:bidi="ar-SA"/>
        </w:rPr>
      </w:pPr>
      <w:r>
        <w:rPr>
          <w:rFonts w:hint="eastAsia" w:ascii="宋体" w:hAnsi="宋体" w:eastAsia="宋体" w:cs="宋体"/>
          <w:b/>
          <w:i w:val="0"/>
          <w:iCs w:val="0"/>
          <w:color w:val="auto"/>
          <w:sz w:val="40"/>
          <w:szCs w:val="40"/>
          <w:lang w:val="en-US" w:eastAsia="en-US" w:bidi="ar-SA"/>
        </w:rPr>
        <w:t>产品需求规格说明书 (PRD)</w:t>
      </w:r>
    </w:p>
    <w:p w14:paraId="4F32B0A4">
      <w:pPr>
        <w:bidi w:val="0"/>
        <w:jc w:val="center"/>
        <w:rPr>
          <w:rFonts w:hint="eastAsia" w:ascii="宋体" w:hAnsi="宋体" w:eastAsia="宋体" w:cs="宋体"/>
          <w:i w:val="0"/>
          <w:iCs w:val="0"/>
          <w:sz w:val="24"/>
          <w:szCs w:val="24"/>
        </w:rPr>
      </w:pPr>
    </w:p>
    <w:p w14:paraId="0E6ECEB7">
      <w:pPr>
        <w:bidi w:val="0"/>
        <w:jc w:val="center"/>
        <w:rPr>
          <w:rFonts w:hint="eastAsia" w:ascii="宋体" w:hAnsi="宋体" w:eastAsia="宋体" w:cs="宋体"/>
          <w:i w:val="0"/>
          <w:iCs w:val="0"/>
          <w:sz w:val="24"/>
          <w:szCs w:val="24"/>
        </w:rPr>
      </w:pPr>
    </w:p>
    <w:tbl>
      <w:tblPr>
        <w:tblStyle w:val="38"/>
        <w:tblpPr w:leftFromText="180" w:rightFromText="180" w:vertAnchor="text" w:horzAnchor="page" w:tblpX="3394" w:tblpY="1187"/>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990"/>
        <w:gridCol w:w="3996"/>
      </w:tblGrid>
      <w:tr w14:paraId="547356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990" w:type="dxa"/>
            <w:tcBorders>
              <w:tl2br w:val="nil"/>
            </w:tcBorders>
            <w:shd w:val="clear" w:color="auto" w:fill="FFFFFF"/>
            <w:tcMar>
              <w:top w:w="50" w:type="dxa"/>
              <w:left w:w="70" w:type="dxa"/>
              <w:bottom w:w="50" w:type="dxa"/>
              <w:right w:w="70" w:type="dxa"/>
            </w:tcMar>
            <w:vAlign w:val="center"/>
          </w:tcPr>
          <w:p w14:paraId="4620B388">
            <w:pPr>
              <w:pStyle w:val="19"/>
              <w:bidi w:val="0"/>
              <w:jc w:val="both"/>
              <w:rPr>
                <w:rFonts w:hint="eastAsia"/>
                <w:sz w:val="24"/>
                <w:szCs w:val="24"/>
                <w:lang w:eastAsia="zh-CN"/>
              </w:rPr>
            </w:pPr>
            <w:r>
              <w:rPr>
                <w:rFonts w:hint="eastAsia"/>
                <w:sz w:val="24"/>
                <w:szCs w:val="24"/>
              </w:rPr>
              <w:t>受控编号</w:t>
            </w:r>
            <w:r>
              <w:rPr>
                <w:rFonts w:hint="eastAsia"/>
                <w:sz w:val="24"/>
                <w:szCs w:val="24"/>
                <w:lang w:eastAsia="zh-CN"/>
              </w:rPr>
              <w:t>：</w:t>
            </w:r>
          </w:p>
        </w:tc>
        <w:tc>
          <w:tcPr>
            <w:tcW w:w="3996" w:type="dxa"/>
            <w:shd w:val="clear" w:color="auto" w:fill="FFFFFF"/>
            <w:tcMar>
              <w:top w:w="50" w:type="dxa"/>
              <w:left w:w="70" w:type="dxa"/>
              <w:bottom w:w="50" w:type="dxa"/>
              <w:right w:w="70" w:type="dxa"/>
            </w:tcMar>
            <w:vAlign w:val="center"/>
          </w:tcPr>
          <w:p w14:paraId="7E5D4408">
            <w:pPr>
              <w:pStyle w:val="19"/>
              <w:bidi w:val="0"/>
              <w:ind w:left="0" w:leftChars="0" w:firstLine="0" w:firstLineChars="0"/>
              <w:jc w:val="both"/>
              <w:rPr>
                <w:rFonts w:hint="eastAsia"/>
                <w:sz w:val="24"/>
                <w:szCs w:val="24"/>
                <w:lang w:eastAsia="zh-CN"/>
              </w:rPr>
            </w:pPr>
            <w:r>
              <w:rPr>
                <w:rFonts w:hint="eastAsia"/>
                <w:sz w:val="24"/>
                <w:szCs w:val="24"/>
              </w:rPr>
              <w:t>TBEA-PRD-MASTER</w:t>
            </w:r>
          </w:p>
        </w:tc>
      </w:tr>
      <w:tr w14:paraId="2FB6EB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990" w:type="dxa"/>
            <w:shd w:val="clear" w:color="auto" w:fill="FFFFFF"/>
            <w:tcMar>
              <w:top w:w="50" w:type="dxa"/>
              <w:left w:w="70" w:type="dxa"/>
              <w:bottom w:w="50" w:type="dxa"/>
              <w:right w:w="70" w:type="dxa"/>
            </w:tcMar>
            <w:vAlign w:val="center"/>
          </w:tcPr>
          <w:p w14:paraId="384FFEA4">
            <w:pPr>
              <w:pStyle w:val="19"/>
              <w:bidi w:val="0"/>
              <w:jc w:val="both"/>
              <w:rPr>
                <w:rFonts w:hint="eastAsia"/>
                <w:sz w:val="24"/>
                <w:szCs w:val="24"/>
                <w:lang w:eastAsia="zh-CN"/>
              </w:rPr>
            </w:pPr>
            <w:r>
              <w:rPr>
                <w:rFonts w:hint="eastAsia"/>
                <w:sz w:val="24"/>
                <w:szCs w:val="24"/>
              </w:rPr>
              <w:t>文档版本</w:t>
            </w:r>
            <w:r>
              <w:rPr>
                <w:rFonts w:hint="eastAsia"/>
                <w:sz w:val="24"/>
                <w:szCs w:val="24"/>
                <w:lang w:eastAsia="zh-CN"/>
              </w:rPr>
              <w:t>：</w:t>
            </w:r>
          </w:p>
        </w:tc>
        <w:tc>
          <w:tcPr>
            <w:tcW w:w="3996" w:type="dxa"/>
            <w:shd w:val="clear" w:color="auto" w:fill="FFFFFF"/>
            <w:tcMar>
              <w:top w:w="50" w:type="dxa"/>
              <w:left w:w="70" w:type="dxa"/>
              <w:bottom w:w="50" w:type="dxa"/>
              <w:right w:w="70" w:type="dxa"/>
            </w:tcMar>
            <w:vAlign w:val="center"/>
          </w:tcPr>
          <w:p w14:paraId="0C140582">
            <w:pPr>
              <w:pStyle w:val="19"/>
              <w:bidi w:val="0"/>
              <w:ind w:left="0" w:leftChars="0" w:firstLine="0" w:firstLineChars="0"/>
              <w:jc w:val="both"/>
              <w:rPr>
                <w:rFonts w:hint="eastAsia"/>
                <w:sz w:val="24"/>
                <w:szCs w:val="24"/>
              </w:rPr>
            </w:pPr>
            <w:r>
              <w:rPr>
                <w:rFonts w:hint="eastAsia"/>
                <w:sz w:val="24"/>
                <w:szCs w:val="24"/>
              </w:rPr>
              <w:t>V</w:t>
            </w:r>
            <w:r>
              <w:rPr>
                <w:rFonts w:hint="eastAsia"/>
                <w:sz w:val="24"/>
                <w:szCs w:val="24"/>
                <w:lang w:val="en-US" w:eastAsia="zh-CN"/>
              </w:rPr>
              <w:t>1</w:t>
            </w:r>
            <w:r>
              <w:rPr>
                <w:rFonts w:hint="eastAsia"/>
                <w:sz w:val="24"/>
                <w:szCs w:val="24"/>
              </w:rPr>
              <w:t>.</w:t>
            </w:r>
            <w:r>
              <w:rPr>
                <w:rFonts w:hint="eastAsia"/>
                <w:sz w:val="24"/>
                <w:szCs w:val="24"/>
                <w:lang w:val="en-US" w:eastAsia="zh-CN"/>
              </w:rPr>
              <w:t>4</w:t>
            </w:r>
            <w:r>
              <w:rPr>
                <w:rFonts w:hint="eastAsia"/>
                <w:sz w:val="24"/>
                <w:szCs w:val="24"/>
              </w:rPr>
              <w:t>.0</w:t>
            </w:r>
          </w:p>
        </w:tc>
      </w:tr>
      <w:tr w14:paraId="24EF29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990" w:type="dxa"/>
            <w:shd w:val="clear" w:color="auto" w:fill="FFFFFF"/>
            <w:tcMar>
              <w:top w:w="50" w:type="dxa"/>
              <w:left w:w="70" w:type="dxa"/>
              <w:bottom w:w="50" w:type="dxa"/>
              <w:right w:w="70" w:type="dxa"/>
            </w:tcMar>
            <w:vAlign w:val="center"/>
          </w:tcPr>
          <w:p w14:paraId="21DD9299">
            <w:pPr>
              <w:pStyle w:val="19"/>
              <w:bidi w:val="0"/>
              <w:jc w:val="both"/>
              <w:rPr>
                <w:rFonts w:hint="eastAsia"/>
                <w:sz w:val="24"/>
                <w:szCs w:val="24"/>
                <w:lang w:eastAsia="zh-CN"/>
              </w:rPr>
            </w:pPr>
            <w:r>
              <w:rPr>
                <w:rFonts w:hint="eastAsia"/>
                <w:sz w:val="24"/>
                <w:szCs w:val="24"/>
              </w:rPr>
              <w:t>归属工程</w:t>
            </w:r>
            <w:r>
              <w:rPr>
                <w:rFonts w:hint="eastAsia"/>
                <w:sz w:val="24"/>
                <w:szCs w:val="24"/>
                <w:lang w:eastAsia="zh-CN"/>
              </w:rPr>
              <w:t>：</w:t>
            </w:r>
          </w:p>
        </w:tc>
        <w:tc>
          <w:tcPr>
            <w:tcW w:w="3996" w:type="dxa"/>
            <w:shd w:val="clear" w:color="auto" w:fill="FFFFFF"/>
            <w:tcMar>
              <w:top w:w="50" w:type="dxa"/>
              <w:left w:w="70" w:type="dxa"/>
              <w:bottom w:w="50" w:type="dxa"/>
              <w:right w:w="70" w:type="dxa"/>
            </w:tcMar>
            <w:vAlign w:val="center"/>
          </w:tcPr>
          <w:p w14:paraId="77E4E139">
            <w:pPr>
              <w:pStyle w:val="19"/>
              <w:bidi w:val="0"/>
              <w:ind w:left="0" w:leftChars="0" w:firstLine="0" w:firstLineChars="0"/>
              <w:jc w:val="both"/>
              <w:rPr>
                <w:rFonts w:hint="eastAsia"/>
                <w:sz w:val="24"/>
                <w:szCs w:val="24"/>
              </w:rPr>
            </w:pPr>
            <w:r>
              <w:rPr>
                <w:rFonts w:hint="eastAsia"/>
                <w:sz w:val="24"/>
                <w:szCs w:val="24"/>
              </w:rPr>
              <w:t>特变电工能碳数字化双中心</w:t>
            </w:r>
          </w:p>
        </w:tc>
      </w:tr>
      <w:tr w14:paraId="198A95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990" w:type="dxa"/>
            <w:shd w:val="clear" w:color="auto" w:fill="FFFFFF"/>
            <w:tcMar>
              <w:top w:w="50" w:type="dxa"/>
              <w:left w:w="70" w:type="dxa"/>
              <w:bottom w:w="50" w:type="dxa"/>
              <w:right w:w="70" w:type="dxa"/>
            </w:tcMar>
            <w:vAlign w:val="center"/>
          </w:tcPr>
          <w:p w14:paraId="4324044B">
            <w:pPr>
              <w:pStyle w:val="19"/>
              <w:bidi w:val="0"/>
              <w:jc w:val="both"/>
              <w:rPr>
                <w:rFonts w:hint="eastAsia"/>
                <w:sz w:val="24"/>
                <w:szCs w:val="24"/>
                <w:lang w:eastAsia="zh-CN"/>
              </w:rPr>
            </w:pPr>
            <w:r>
              <w:rPr>
                <w:rFonts w:hint="eastAsia"/>
                <w:sz w:val="24"/>
                <w:szCs w:val="24"/>
              </w:rPr>
              <w:t>发布日期</w:t>
            </w:r>
            <w:r>
              <w:rPr>
                <w:rFonts w:hint="eastAsia"/>
                <w:sz w:val="24"/>
                <w:szCs w:val="24"/>
                <w:lang w:eastAsia="zh-CN"/>
              </w:rPr>
              <w:t>：</w:t>
            </w:r>
          </w:p>
        </w:tc>
        <w:tc>
          <w:tcPr>
            <w:tcW w:w="3996" w:type="dxa"/>
            <w:shd w:val="clear" w:color="auto" w:fill="FFFFFF"/>
            <w:tcMar>
              <w:top w:w="50" w:type="dxa"/>
              <w:left w:w="70" w:type="dxa"/>
              <w:bottom w:w="50" w:type="dxa"/>
              <w:right w:w="70" w:type="dxa"/>
            </w:tcMar>
            <w:vAlign w:val="center"/>
          </w:tcPr>
          <w:p w14:paraId="3C31F347">
            <w:pPr>
              <w:pStyle w:val="19"/>
              <w:bidi w:val="0"/>
              <w:ind w:left="0" w:leftChars="0" w:firstLine="0" w:firstLineChars="0"/>
              <w:jc w:val="both"/>
              <w:rPr>
                <w:rFonts w:hint="eastAsia"/>
                <w:sz w:val="24"/>
                <w:szCs w:val="24"/>
                <w:lang w:eastAsia="zh-CN"/>
              </w:rPr>
            </w:pPr>
            <w:r>
              <w:rPr>
                <w:rFonts w:hint="eastAsia"/>
                <w:sz w:val="24"/>
                <w:szCs w:val="24"/>
              </w:rPr>
              <w:t>2026-09-</w:t>
            </w:r>
            <w:r>
              <w:rPr>
                <w:rFonts w:hint="eastAsia"/>
                <w:sz w:val="24"/>
                <w:szCs w:val="24"/>
                <w:lang w:val="en-US" w:eastAsia="zh-CN"/>
              </w:rPr>
              <w:t>23</w:t>
            </w:r>
          </w:p>
        </w:tc>
      </w:tr>
    </w:tbl>
    <w:p w14:paraId="0D66CF77">
      <w:pPr>
        <w:spacing w:after="800"/>
        <w:jc w:val="both"/>
        <w:rPr>
          <w:rFonts w:hint="eastAsia" w:ascii="宋体" w:hAnsi="宋体" w:eastAsia="宋体" w:cs="宋体"/>
          <w:b/>
          <w:i w:val="0"/>
          <w:iCs w:val="0"/>
          <w:color w:val="64748B"/>
          <w:sz w:val="24"/>
          <w:szCs w:val="24"/>
        </w:rPr>
      </w:pPr>
    </w:p>
    <w:p w14:paraId="667DAD00">
      <w:pPr>
        <w:rPr>
          <w:rFonts w:hint="eastAsia" w:ascii="宋体" w:hAnsi="宋体" w:eastAsia="宋体" w:cs="宋体"/>
          <w:i w:val="0"/>
          <w:iCs w:val="0"/>
          <w:sz w:val="24"/>
          <w:szCs w:val="24"/>
        </w:rPr>
      </w:pPr>
      <w:r>
        <w:rPr>
          <w:rFonts w:hint="eastAsia" w:ascii="宋体" w:hAnsi="宋体" w:eastAsia="宋体" w:cs="宋体"/>
          <w:i w:val="0"/>
          <w:iCs w:val="0"/>
          <w:sz w:val="24"/>
          <w:szCs w:val="24"/>
        </w:rPr>
        <w:br w:type="page"/>
      </w:r>
    </w:p>
    <w:p w14:paraId="7E877AE1">
      <w:pPr>
        <w:pStyle w:val="3"/>
        <w:outlineLvl w:val="9"/>
        <w:rPr>
          <w:rFonts w:ascii="Times New Roman" w:hAnsi="Times New Roman" w:eastAsia="黑体" w:cs="Times New Roman"/>
          <w:b w:val="0"/>
          <w:bCs w:val="0"/>
          <w:sz w:val="32"/>
          <w:szCs w:val="44"/>
        </w:rPr>
      </w:pPr>
      <w:r>
        <w:rPr>
          <w:rFonts w:ascii="Times New Roman" w:hAnsi="Times New Roman" w:eastAsia="黑体" w:cs="Times New Roman"/>
          <w:b w:val="0"/>
          <w:bCs w:val="0"/>
          <w:sz w:val="32"/>
          <w:szCs w:val="44"/>
        </w:rPr>
        <w:t>修改记录</w:t>
      </w:r>
    </w:p>
    <w:p w14:paraId="20CAE8E6">
      <w:pPr>
        <w:pStyle w:val="19"/>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color w:val="1F2937"/>
          <w:sz w:val="24"/>
          <w:szCs w:val="24"/>
        </w:rPr>
        <w:t>本文档作为特变电工股份有限公司（电装集团）能碳数字化双中心（零碳园区集控中心 + 产品碳足迹集采中心）官方产品需求规格说明书，由产品管理部 (PM)、系统架构研发组 (Dev)、质量保障中心 (QA) 及项目总监共同签署生效。</w:t>
      </w:r>
    </w:p>
    <w:tbl>
      <w:tblPr>
        <w:tblStyle w:val="38"/>
        <w:tblW w:w="9530" w:type="dxa"/>
        <w:jc w:val="center"/>
        <w:tblLayout w:type="autofit"/>
        <w:tblCellMar>
          <w:top w:w="0" w:type="dxa"/>
          <w:left w:w="108" w:type="dxa"/>
          <w:bottom w:w="0" w:type="dxa"/>
          <w:right w:w="108" w:type="dxa"/>
        </w:tblCellMar>
      </w:tblPr>
      <w:tblGrid>
        <w:gridCol w:w="1651"/>
        <w:gridCol w:w="1575"/>
        <w:gridCol w:w="3716"/>
        <w:gridCol w:w="1294"/>
        <w:gridCol w:w="1294"/>
      </w:tblGrid>
      <w:tr w14:paraId="54E38BE5">
        <w:tblPrEx>
          <w:tblCellMar>
            <w:top w:w="0" w:type="dxa"/>
            <w:left w:w="108" w:type="dxa"/>
            <w:bottom w:w="0" w:type="dxa"/>
            <w:right w:w="108" w:type="dxa"/>
          </w:tblCellMar>
        </w:tblPrEx>
        <w:trPr>
          <w:jc w:val="center"/>
        </w:trPr>
        <w:tc>
          <w:tcPr>
            <w:tcW w:w="165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162EA0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审签角色</w:t>
            </w:r>
          </w:p>
        </w:tc>
        <w:tc>
          <w:tcPr>
            <w:tcW w:w="157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1C75FE8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责任人姓名</w:t>
            </w:r>
          </w:p>
        </w:tc>
        <w:tc>
          <w:tcPr>
            <w:tcW w:w="371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0B36112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部门/岗位</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0D4159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审签结论</w:t>
            </w:r>
          </w:p>
        </w:tc>
        <w:tc>
          <w:tcPr>
            <w:tcW w:w="129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3623A4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签署日期</w:t>
            </w:r>
          </w:p>
        </w:tc>
      </w:tr>
      <w:tr w14:paraId="4A229779">
        <w:tblPrEx>
          <w:tblCellMar>
            <w:top w:w="0" w:type="dxa"/>
            <w:left w:w="108" w:type="dxa"/>
            <w:bottom w:w="0" w:type="dxa"/>
            <w:right w:w="108" w:type="dxa"/>
          </w:tblCellMar>
        </w:tblPrEx>
        <w:trPr>
          <w:jc w:val="center"/>
        </w:trPr>
        <w:tc>
          <w:tcPr>
            <w:tcW w:w="165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B27B0E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项目总监</w:t>
            </w:r>
          </w:p>
        </w:tc>
        <w:tc>
          <w:tcPr>
            <w:tcW w:w="157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87087C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ascii="Times New Roman" w:hAnsi="Times New Roman" w:eastAsia="宋体" w:cs="Times New Roman"/>
                <w:i w:val="0"/>
                <w:color w:val="1F2937"/>
                <w:sz w:val="24"/>
                <w:szCs w:val="24"/>
              </w:rPr>
              <w:t>待签署</w:t>
            </w:r>
          </w:p>
        </w:tc>
        <w:tc>
          <w:tcPr>
            <w:tcW w:w="37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4BD09B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ascii="Times New Roman" w:hAnsi="Times New Roman" w:eastAsia="宋体" w:cs="Times New Roman"/>
                <w:i w:val="0"/>
                <w:color w:val="1F2937"/>
                <w:sz w:val="24"/>
                <w:szCs w:val="24"/>
              </w:rPr>
              <w:t>项目管理部 / 项目总监</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FEE486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ascii="Times New Roman" w:hAnsi="Times New Roman" w:eastAsia="宋体" w:cs="Times New Roman"/>
                <w:i w:val="0"/>
                <w:color w:val="1F2937"/>
                <w:sz w:val="24"/>
                <w:szCs w:val="24"/>
              </w:rPr>
              <w:t>待审签</w:t>
            </w:r>
          </w:p>
        </w:tc>
        <w:tc>
          <w:tcPr>
            <w:tcW w:w="129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DA0646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ascii="Times New Roman" w:hAnsi="Times New Roman" w:eastAsia="宋体" w:cs="Times New Roman"/>
                <w:i w:val="0"/>
                <w:color w:val="1F2937"/>
                <w:sz w:val="24"/>
                <w:szCs w:val="24"/>
              </w:rPr>
              <w:t>—</w:t>
            </w:r>
          </w:p>
        </w:tc>
      </w:tr>
      <w:tr w14:paraId="1EFCFE34">
        <w:tblPrEx>
          <w:tblCellMar>
            <w:top w:w="0" w:type="dxa"/>
            <w:left w:w="108" w:type="dxa"/>
            <w:bottom w:w="0" w:type="dxa"/>
            <w:right w:w="108" w:type="dxa"/>
          </w:tblCellMar>
        </w:tblPrEx>
        <w:trPr>
          <w:jc w:val="center"/>
        </w:trPr>
        <w:tc>
          <w:tcPr>
            <w:tcW w:w="165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B20584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项目经理</w:t>
            </w:r>
          </w:p>
        </w:tc>
        <w:tc>
          <w:tcPr>
            <w:tcW w:w="157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29EB740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ascii="Times New Roman" w:hAnsi="Times New Roman" w:eastAsia="宋体" w:cs="Times New Roman"/>
                <w:i w:val="0"/>
                <w:color w:val="1F2937"/>
                <w:sz w:val="24"/>
                <w:szCs w:val="24"/>
              </w:rPr>
              <w:t>待签署</w:t>
            </w:r>
          </w:p>
        </w:tc>
        <w:tc>
          <w:tcPr>
            <w:tcW w:w="37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6AF0AD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ascii="Times New Roman" w:hAnsi="Times New Roman" w:eastAsia="宋体" w:cs="Times New Roman"/>
                <w:i w:val="0"/>
                <w:color w:val="1F2937"/>
                <w:sz w:val="24"/>
                <w:szCs w:val="24"/>
              </w:rPr>
              <w:t>产品管理部 / 项目经理</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323D20E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ascii="Times New Roman" w:hAnsi="Times New Roman" w:eastAsia="宋体" w:cs="Times New Roman"/>
                <w:i w:val="0"/>
                <w:color w:val="1F2937"/>
                <w:sz w:val="24"/>
                <w:szCs w:val="24"/>
              </w:rPr>
              <w:t>待审签</w:t>
            </w:r>
          </w:p>
        </w:tc>
        <w:tc>
          <w:tcPr>
            <w:tcW w:w="129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70DDAF8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ascii="Times New Roman" w:hAnsi="Times New Roman" w:eastAsia="宋体" w:cs="Times New Roman"/>
                <w:i w:val="0"/>
                <w:color w:val="1F2937"/>
                <w:sz w:val="24"/>
                <w:szCs w:val="24"/>
              </w:rPr>
              <w:t>—</w:t>
            </w:r>
          </w:p>
        </w:tc>
      </w:tr>
      <w:tr w14:paraId="0D0D534B">
        <w:tblPrEx>
          <w:tblCellMar>
            <w:top w:w="0" w:type="dxa"/>
            <w:left w:w="108" w:type="dxa"/>
            <w:bottom w:w="0" w:type="dxa"/>
            <w:right w:w="108" w:type="dxa"/>
          </w:tblCellMar>
        </w:tblPrEx>
        <w:trPr>
          <w:jc w:val="center"/>
        </w:trPr>
        <w:tc>
          <w:tcPr>
            <w:tcW w:w="165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689EB3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PM 负责人</w:t>
            </w:r>
          </w:p>
        </w:tc>
        <w:tc>
          <w:tcPr>
            <w:tcW w:w="157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03ABFDD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ascii="Times New Roman" w:hAnsi="Times New Roman" w:eastAsia="宋体" w:cs="Times New Roman"/>
                <w:i w:val="0"/>
                <w:color w:val="1F2937"/>
                <w:sz w:val="24"/>
                <w:szCs w:val="24"/>
              </w:rPr>
              <w:t>待签署</w:t>
            </w:r>
          </w:p>
        </w:tc>
        <w:tc>
          <w:tcPr>
            <w:tcW w:w="37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5BE0EE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ascii="Times New Roman" w:hAnsi="Times New Roman" w:eastAsia="宋体" w:cs="Times New Roman"/>
                <w:i w:val="0"/>
                <w:color w:val="1F2937"/>
                <w:sz w:val="24"/>
                <w:szCs w:val="24"/>
              </w:rPr>
              <w:t>产品管理部 / PM 负责人</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22178A6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ascii="Times New Roman" w:hAnsi="Times New Roman" w:eastAsia="宋体" w:cs="Times New Roman"/>
                <w:i w:val="0"/>
                <w:color w:val="1F2937"/>
                <w:sz w:val="24"/>
                <w:szCs w:val="24"/>
              </w:rPr>
              <w:t>待审签</w:t>
            </w:r>
          </w:p>
        </w:tc>
        <w:tc>
          <w:tcPr>
            <w:tcW w:w="129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35A9C10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ascii="Times New Roman" w:hAnsi="Times New Roman" w:eastAsia="宋体" w:cs="Times New Roman"/>
                <w:i w:val="0"/>
                <w:color w:val="1F2937"/>
                <w:sz w:val="24"/>
                <w:szCs w:val="24"/>
              </w:rPr>
              <w:t>—</w:t>
            </w:r>
          </w:p>
        </w:tc>
      </w:tr>
      <w:tr w14:paraId="238F11E6">
        <w:tblPrEx>
          <w:tblCellMar>
            <w:top w:w="0" w:type="dxa"/>
            <w:left w:w="108" w:type="dxa"/>
            <w:bottom w:w="0" w:type="dxa"/>
            <w:right w:w="108" w:type="dxa"/>
          </w:tblCellMar>
        </w:tblPrEx>
        <w:trPr>
          <w:jc w:val="center"/>
        </w:trPr>
        <w:tc>
          <w:tcPr>
            <w:tcW w:w="165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01BDD0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系统架构师</w:t>
            </w:r>
          </w:p>
        </w:tc>
        <w:tc>
          <w:tcPr>
            <w:tcW w:w="157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4834BB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ascii="Times New Roman" w:hAnsi="Times New Roman" w:eastAsia="宋体" w:cs="Times New Roman"/>
                <w:i w:val="0"/>
                <w:color w:val="1F2937"/>
                <w:sz w:val="24"/>
                <w:szCs w:val="24"/>
              </w:rPr>
              <w:t>待签署</w:t>
            </w:r>
          </w:p>
        </w:tc>
        <w:tc>
          <w:tcPr>
            <w:tcW w:w="37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029DE5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ascii="Times New Roman" w:hAnsi="Times New Roman" w:eastAsia="宋体" w:cs="Times New Roman"/>
                <w:i w:val="0"/>
                <w:color w:val="1F2937"/>
                <w:sz w:val="24"/>
                <w:szCs w:val="24"/>
              </w:rPr>
              <w:t>系统架构研发组 / 系统架构师</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F5FC75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ascii="Times New Roman" w:hAnsi="Times New Roman" w:eastAsia="宋体" w:cs="Times New Roman"/>
                <w:i w:val="0"/>
                <w:color w:val="1F2937"/>
                <w:sz w:val="24"/>
                <w:szCs w:val="24"/>
              </w:rPr>
              <w:t>待审签</w:t>
            </w:r>
          </w:p>
        </w:tc>
        <w:tc>
          <w:tcPr>
            <w:tcW w:w="129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E55ECE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ascii="Times New Roman" w:hAnsi="Times New Roman" w:eastAsia="宋体" w:cs="Times New Roman"/>
                <w:i w:val="0"/>
                <w:color w:val="1F2937"/>
                <w:sz w:val="24"/>
                <w:szCs w:val="24"/>
              </w:rPr>
              <w:t>—</w:t>
            </w:r>
          </w:p>
        </w:tc>
      </w:tr>
      <w:tr w14:paraId="4AD24036">
        <w:tblPrEx>
          <w:tblCellMar>
            <w:top w:w="0" w:type="dxa"/>
            <w:left w:w="108" w:type="dxa"/>
            <w:bottom w:w="0" w:type="dxa"/>
            <w:right w:w="108" w:type="dxa"/>
          </w:tblCellMar>
        </w:tblPrEx>
        <w:trPr>
          <w:jc w:val="center"/>
        </w:trPr>
        <w:tc>
          <w:tcPr>
            <w:tcW w:w="165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E4001B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前端负责人</w:t>
            </w:r>
          </w:p>
        </w:tc>
        <w:tc>
          <w:tcPr>
            <w:tcW w:w="157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AA6029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ascii="Times New Roman" w:hAnsi="Times New Roman" w:eastAsia="宋体" w:cs="Times New Roman"/>
                <w:i w:val="0"/>
                <w:color w:val="1F2937"/>
                <w:sz w:val="24"/>
                <w:szCs w:val="24"/>
              </w:rPr>
              <w:t>待签署</w:t>
            </w:r>
          </w:p>
        </w:tc>
        <w:tc>
          <w:tcPr>
            <w:tcW w:w="37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7301F4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ascii="Times New Roman" w:hAnsi="Times New Roman" w:eastAsia="宋体" w:cs="Times New Roman"/>
                <w:i w:val="0"/>
                <w:color w:val="1F2937"/>
                <w:sz w:val="24"/>
                <w:szCs w:val="24"/>
              </w:rPr>
              <w:t>前端研发组 / 前端负责人</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32D686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ascii="Times New Roman" w:hAnsi="Times New Roman" w:eastAsia="宋体" w:cs="Times New Roman"/>
                <w:i w:val="0"/>
                <w:color w:val="1F2937"/>
                <w:sz w:val="24"/>
                <w:szCs w:val="24"/>
              </w:rPr>
              <w:t>待审签</w:t>
            </w:r>
          </w:p>
        </w:tc>
        <w:tc>
          <w:tcPr>
            <w:tcW w:w="129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0121C8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ascii="Times New Roman" w:hAnsi="Times New Roman" w:eastAsia="宋体" w:cs="Times New Roman"/>
                <w:i w:val="0"/>
                <w:color w:val="1F2937"/>
                <w:sz w:val="24"/>
                <w:szCs w:val="24"/>
              </w:rPr>
              <w:t>—</w:t>
            </w:r>
          </w:p>
        </w:tc>
      </w:tr>
      <w:tr w14:paraId="0782E462">
        <w:tblPrEx>
          <w:tblCellMar>
            <w:top w:w="0" w:type="dxa"/>
            <w:left w:w="108" w:type="dxa"/>
            <w:bottom w:w="0" w:type="dxa"/>
            <w:right w:w="108" w:type="dxa"/>
          </w:tblCellMar>
        </w:tblPrEx>
        <w:trPr>
          <w:jc w:val="center"/>
        </w:trPr>
        <w:tc>
          <w:tcPr>
            <w:tcW w:w="165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647BC7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后端负责人</w:t>
            </w:r>
          </w:p>
        </w:tc>
        <w:tc>
          <w:tcPr>
            <w:tcW w:w="157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D9611E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ascii="Times New Roman" w:hAnsi="Times New Roman" w:eastAsia="宋体" w:cs="Times New Roman"/>
                <w:i w:val="0"/>
                <w:color w:val="1F2937"/>
                <w:sz w:val="24"/>
                <w:szCs w:val="24"/>
              </w:rPr>
              <w:t>待签署</w:t>
            </w:r>
          </w:p>
        </w:tc>
        <w:tc>
          <w:tcPr>
            <w:tcW w:w="37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D53854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ascii="Times New Roman" w:hAnsi="Times New Roman" w:eastAsia="宋体" w:cs="Times New Roman"/>
                <w:i w:val="0"/>
                <w:color w:val="1F2937"/>
                <w:sz w:val="24"/>
                <w:szCs w:val="24"/>
              </w:rPr>
              <w:t>后端研发组 / 后端负责人</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D29B62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ascii="Times New Roman" w:hAnsi="Times New Roman" w:eastAsia="宋体" w:cs="Times New Roman"/>
                <w:i w:val="0"/>
                <w:color w:val="1F2937"/>
                <w:sz w:val="24"/>
                <w:szCs w:val="24"/>
              </w:rPr>
              <w:t>待审签</w:t>
            </w:r>
          </w:p>
        </w:tc>
        <w:tc>
          <w:tcPr>
            <w:tcW w:w="129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FCDDFC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ascii="Times New Roman" w:hAnsi="Times New Roman" w:eastAsia="宋体" w:cs="Times New Roman"/>
                <w:i w:val="0"/>
                <w:color w:val="1F2937"/>
                <w:sz w:val="24"/>
                <w:szCs w:val="24"/>
              </w:rPr>
              <w:t>—</w:t>
            </w:r>
          </w:p>
        </w:tc>
      </w:tr>
      <w:tr w14:paraId="5920D7D6">
        <w:tblPrEx>
          <w:tblCellMar>
            <w:top w:w="0" w:type="dxa"/>
            <w:left w:w="108" w:type="dxa"/>
            <w:bottom w:w="0" w:type="dxa"/>
            <w:right w:w="108" w:type="dxa"/>
          </w:tblCellMar>
        </w:tblPrEx>
        <w:trPr>
          <w:jc w:val="center"/>
        </w:trPr>
        <w:tc>
          <w:tcPr>
            <w:tcW w:w="165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FC49D6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测试负责人</w:t>
            </w:r>
          </w:p>
        </w:tc>
        <w:tc>
          <w:tcPr>
            <w:tcW w:w="157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9FA39A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ascii="Times New Roman" w:hAnsi="Times New Roman" w:eastAsia="宋体" w:cs="Times New Roman"/>
                <w:i w:val="0"/>
                <w:color w:val="1F2937"/>
                <w:sz w:val="24"/>
                <w:szCs w:val="24"/>
              </w:rPr>
              <w:t>待签署</w:t>
            </w:r>
          </w:p>
        </w:tc>
        <w:tc>
          <w:tcPr>
            <w:tcW w:w="37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A20E07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ascii="Times New Roman" w:hAnsi="Times New Roman" w:eastAsia="宋体" w:cs="Times New Roman"/>
                <w:i w:val="0"/>
                <w:color w:val="1F2937"/>
                <w:sz w:val="24"/>
                <w:szCs w:val="24"/>
              </w:rPr>
              <w:t>质量保障中心 / 测试负责人</w:t>
            </w:r>
          </w:p>
        </w:tc>
        <w:tc>
          <w:tcPr>
            <w:tcW w:w="129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825A9C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ascii="Times New Roman" w:hAnsi="Times New Roman" w:eastAsia="宋体" w:cs="Times New Roman"/>
                <w:i w:val="0"/>
                <w:color w:val="1F2937"/>
                <w:sz w:val="24"/>
                <w:szCs w:val="24"/>
              </w:rPr>
              <w:t>待审签</w:t>
            </w:r>
          </w:p>
        </w:tc>
        <w:tc>
          <w:tcPr>
            <w:tcW w:w="129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A9E42A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ascii="Times New Roman" w:hAnsi="Times New Roman" w:eastAsia="宋体" w:cs="Times New Roman"/>
                <w:i w:val="0"/>
                <w:color w:val="1F2937"/>
                <w:sz w:val="24"/>
                <w:szCs w:val="24"/>
              </w:rPr>
              <w:t>—</w:t>
            </w:r>
          </w:p>
        </w:tc>
      </w:tr>
    </w:tbl>
    <w:p w14:paraId="4EF97137">
      <w:pPr>
        <w:spacing w:after="60"/>
        <w:rPr>
          <w:rFonts w:hint="eastAsia" w:ascii="宋体" w:hAnsi="宋体" w:eastAsia="宋体" w:cs="宋体"/>
          <w:i w:val="0"/>
          <w:iCs w:val="0"/>
          <w:sz w:val="24"/>
          <w:szCs w:val="24"/>
        </w:rPr>
      </w:pPr>
    </w:p>
    <w:tbl>
      <w:tblPr>
        <w:tblStyle w:val="38"/>
        <w:tblW w:w="9530" w:type="dxa"/>
        <w:jc w:val="center"/>
        <w:tblLayout w:type="autofit"/>
        <w:tblCellMar>
          <w:top w:w="0" w:type="dxa"/>
          <w:left w:w="108" w:type="dxa"/>
          <w:bottom w:w="0" w:type="dxa"/>
          <w:right w:w="108" w:type="dxa"/>
        </w:tblCellMar>
      </w:tblPr>
      <w:tblGrid>
        <w:gridCol w:w="922"/>
        <w:gridCol w:w="1396"/>
        <w:gridCol w:w="5109"/>
        <w:gridCol w:w="980"/>
        <w:gridCol w:w="1123"/>
      </w:tblGrid>
      <w:tr w14:paraId="5976494D">
        <w:tblPrEx>
          <w:tblCellMar>
            <w:top w:w="0" w:type="dxa"/>
            <w:left w:w="108" w:type="dxa"/>
            <w:bottom w:w="0" w:type="dxa"/>
            <w:right w:w="108" w:type="dxa"/>
          </w:tblCellMar>
        </w:tblPrEx>
        <w:trPr>
          <w:jc w:val="center"/>
        </w:trPr>
        <w:tc>
          <w:tcPr>
            <w:tcW w:w="92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5630BE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版本</w:t>
            </w:r>
          </w:p>
        </w:tc>
        <w:tc>
          <w:tcPr>
            <w:tcW w:w="139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5E1A63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修订日期</w:t>
            </w:r>
          </w:p>
        </w:tc>
        <w:tc>
          <w:tcPr>
            <w:tcW w:w="510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F5AF30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主要修订内容与动因</w:t>
            </w:r>
          </w:p>
        </w:tc>
        <w:tc>
          <w:tcPr>
            <w:tcW w:w="98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91D552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修订人</w:t>
            </w:r>
          </w:p>
        </w:tc>
        <w:tc>
          <w:tcPr>
            <w:tcW w:w="112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4E99C9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审核人</w:t>
            </w:r>
          </w:p>
        </w:tc>
      </w:tr>
      <w:tr w14:paraId="30E5720D">
        <w:tblPrEx>
          <w:tblCellMar>
            <w:top w:w="0" w:type="dxa"/>
            <w:left w:w="108" w:type="dxa"/>
            <w:bottom w:w="0" w:type="dxa"/>
            <w:right w:w="108" w:type="dxa"/>
          </w:tblCellMar>
        </w:tblPrEx>
        <w:trPr>
          <w:jc w:val="center"/>
        </w:trPr>
        <w:tc>
          <w:tcPr>
            <w:tcW w:w="9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156C52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v1.1.0</w:t>
            </w:r>
          </w:p>
        </w:tc>
        <w:tc>
          <w:tcPr>
            <w:tcW w:w="139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E7A942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2026-09-08</w:t>
            </w:r>
          </w:p>
        </w:tc>
        <w:tc>
          <w:tcPr>
            <w:tcW w:w="510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AA1B8C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全面升版：补齐全量数据字典、数学公式、字段校验、控制流逻辑与 Gherkin 验收准则</w:t>
            </w:r>
          </w:p>
        </w:tc>
        <w:tc>
          <w:tcPr>
            <w:tcW w:w="9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859369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王亮</w:t>
            </w:r>
          </w:p>
        </w:tc>
        <w:tc>
          <w:tcPr>
            <w:tcW w:w="11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7A9203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产品经理</w:t>
            </w:r>
          </w:p>
        </w:tc>
      </w:tr>
      <w:tr w14:paraId="1ABA3C81">
        <w:tblPrEx>
          <w:tblCellMar>
            <w:top w:w="0" w:type="dxa"/>
            <w:left w:w="108" w:type="dxa"/>
            <w:bottom w:w="0" w:type="dxa"/>
            <w:right w:w="108" w:type="dxa"/>
          </w:tblCellMar>
        </w:tblPrEx>
        <w:trPr>
          <w:jc w:val="center"/>
        </w:trPr>
        <w:tc>
          <w:tcPr>
            <w:tcW w:w="9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44245E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v1.2.0</w:t>
            </w:r>
          </w:p>
        </w:tc>
        <w:tc>
          <w:tcPr>
            <w:tcW w:w="139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D170F6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2026-09-14</w:t>
            </w:r>
          </w:p>
        </w:tc>
        <w:tc>
          <w:tcPr>
            <w:tcW w:w="510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5D2AD8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新增第六~第十二章框架章节（技术架构、公共模块、安全合规、接口点表、验收基线、里程碑）</w:t>
            </w:r>
          </w:p>
        </w:tc>
        <w:tc>
          <w:tcPr>
            <w:tcW w:w="9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77B30C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王亮</w:t>
            </w:r>
          </w:p>
        </w:tc>
        <w:tc>
          <w:tcPr>
            <w:tcW w:w="11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833466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产品经理</w:t>
            </w:r>
          </w:p>
        </w:tc>
      </w:tr>
      <w:tr w14:paraId="1B82168F">
        <w:tblPrEx>
          <w:tblCellMar>
            <w:top w:w="0" w:type="dxa"/>
            <w:left w:w="108" w:type="dxa"/>
            <w:bottom w:w="0" w:type="dxa"/>
            <w:right w:w="108" w:type="dxa"/>
          </w:tblCellMar>
        </w:tblPrEx>
        <w:trPr>
          <w:jc w:val="center"/>
        </w:trPr>
        <w:tc>
          <w:tcPr>
            <w:tcW w:w="9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58C3D5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v1.3.0</w:t>
            </w:r>
          </w:p>
        </w:tc>
        <w:tc>
          <w:tcPr>
            <w:tcW w:w="139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B11C39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2026-09-15</w:t>
            </w:r>
          </w:p>
        </w:tc>
        <w:tc>
          <w:tcPr>
            <w:tcW w:w="510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8B6FE9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细化功能模块分类，完成「指标管控」模块页面需求说明文档，确立模块样板范式</w:t>
            </w:r>
          </w:p>
        </w:tc>
        <w:tc>
          <w:tcPr>
            <w:tcW w:w="9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58A7FB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王亮</w:t>
            </w:r>
          </w:p>
        </w:tc>
        <w:tc>
          <w:tcPr>
            <w:tcW w:w="11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2F073B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产品经理</w:t>
            </w:r>
          </w:p>
        </w:tc>
      </w:tr>
      <w:tr w14:paraId="25704E19">
        <w:tblPrEx>
          <w:tblCellMar>
            <w:top w:w="0" w:type="dxa"/>
            <w:left w:w="108" w:type="dxa"/>
            <w:bottom w:w="0" w:type="dxa"/>
            <w:right w:w="108" w:type="dxa"/>
          </w:tblCellMar>
        </w:tblPrEx>
        <w:trPr>
          <w:jc w:val="center"/>
        </w:trPr>
        <w:tc>
          <w:tcPr>
            <w:tcW w:w="9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B499246">
            <w:pPr>
              <w:spacing w:before="0" w:after="0" w:line="240" w:lineRule="auto"/>
              <w:ind w:left="0" w:leftChars="0" w:right="0" w:rightChars="0" w:firstLine="0" w:firstLineChars="0"/>
              <w:jc w:val="left"/>
              <w:rPr>
                <w:rFonts w:hint="default" w:ascii="宋体" w:hAnsi="宋体" w:eastAsia="宋体" w:cs="宋体"/>
                <w:i w:val="0"/>
                <w:iCs w:val="0"/>
                <w:sz w:val="24"/>
                <w:szCs w:val="24"/>
                <w:lang w:val="en-US" w:eastAsia="zh-CN"/>
              </w:rPr>
            </w:pPr>
            <w:r>
              <w:rPr>
                <w:rFonts w:hint="eastAsia" w:ascii="宋体" w:hAnsi="宋体" w:eastAsia="宋体" w:cs="宋体"/>
                <w:i w:val="0"/>
                <w:iCs w:val="0"/>
                <w:sz w:val="24"/>
                <w:szCs w:val="24"/>
                <w:lang w:val="en-US" w:eastAsia="zh-CN"/>
              </w:rPr>
              <w:t>v1.4.0</w:t>
            </w:r>
          </w:p>
        </w:tc>
        <w:tc>
          <w:tcPr>
            <w:tcW w:w="139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7F58AF9">
            <w:pPr>
              <w:spacing w:before="0" w:after="0" w:line="240" w:lineRule="auto"/>
              <w:ind w:left="0" w:leftChars="0" w:right="0" w:rightChars="0" w:firstLine="0" w:firstLineChars="0"/>
              <w:jc w:val="left"/>
              <w:rPr>
                <w:rFonts w:hint="default" w:ascii="宋体" w:hAnsi="宋体" w:eastAsia="宋体" w:cs="宋体"/>
                <w:i w:val="0"/>
                <w:iCs w:val="0"/>
                <w:sz w:val="24"/>
                <w:szCs w:val="24"/>
                <w:lang w:val="en-US" w:eastAsia="zh-CN"/>
              </w:rPr>
            </w:pPr>
            <w:r>
              <w:rPr>
                <w:rFonts w:hint="eastAsia" w:ascii="宋体" w:hAnsi="宋体" w:eastAsia="宋体" w:cs="宋体"/>
                <w:i w:val="0"/>
                <w:iCs w:val="0"/>
                <w:sz w:val="24"/>
                <w:szCs w:val="24"/>
                <w:lang w:val="en-US" w:eastAsia="zh-CN"/>
              </w:rPr>
              <w:t>2026-9-23</w:t>
            </w:r>
          </w:p>
        </w:tc>
        <w:tc>
          <w:tcPr>
            <w:tcW w:w="510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67E19B1">
            <w:pPr>
              <w:spacing w:before="0" w:after="0" w:line="240" w:lineRule="auto"/>
              <w:ind w:left="0" w:leftChars="0" w:right="0" w:rightChars="0" w:firstLine="0" w:firstLineChars="0"/>
              <w:jc w:val="left"/>
              <w:rPr>
                <w:rFonts w:hint="default" w:ascii="宋体" w:hAnsi="宋体" w:eastAsia="宋体" w:cs="宋体"/>
                <w:i w:val="0"/>
                <w:iCs w:val="0"/>
                <w:sz w:val="24"/>
                <w:szCs w:val="24"/>
                <w:lang w:val="en-US" w:eastAsia="zh-CN"/>
              </w:rPr>
            </w:pPr>
            <w:r>
              <w:rPr>
                <w:rFonts w:hint="eastAsia" w:ascii="宋体" w:hAnsi="宋体" w:eastAsia="宋体" w:cs="宋体"/>
                <w:i w:val="0"/>
                <w:iCs w:val="0"/>
                <w:sz w:val="24"/>
                <w:szCs w:val="24"/>
                <w:lang w:val="en-US" w:eastAsia="zh-CN"/>
              </w:rPr>
              <w:t>根据需求客户变更后的需求修订功能说明和产品截图</w:t>
            </w:r>
          </w:p>
        </w:tc>
        <w:tc>
          <w:tcPr>
            <w:tcW w:w="9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B42A04A">
            <w:pPr>
              <w:spacing w:before="0" w:after="0" w:line="240" w:lineRule="auto"/>
              <w:ind w:left="0" w:leftChars="0" w:right="0" w:rightChars="0" w:firstLine="0" w:firstLineChars="0"/>
              <w:jc w:val="left"/>
              <w:rPr>
                <w:rFonts w:hint="eastAsia" w:ascii="宋体" w:hAnsi="宋体" w:eastAsia="宋体" w:cs="宋体"/>
                <w:i w:val="0"/>
                <w:iCs w:val="0"/>
                <w:sz w:val="24"/>
                <w:szCs w:val="24"/>
                <w:lang w:val="en-US" w:eastAsia="zh-CN"/>
              </w:rPr>
            </w:pPr>
            <w:r>
              <w:rPr>
                <w:rFonts w:hint="eastAsia" w:ascii="宋体" w:hAnsi="宋体" w:eastAsia="宋体" w:cs="宋体"/>
                <w:i w:val="0"/>
                <w:iCs w:val="0"/>
                <w:sz w:val="24"/>
                <w:szCs w:val="24"/>
                <w:lang w:val="en-US" w:eastAsia="zh-CN"/>
              </w:rPr>
              <w:t>王亮</w:t>
            </w:r>
          </w:p>
        </w:tc>
        <w:tc>
          <w:tcPr>
            <w:tcW w:w="11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018D6CB">
            <w:pPr>
              <w:spacing w:before="0" w:after="0" w:line="240" w:lineRule="auto"/>
              <w:ind w:left="0" w:leftChars="0" w:right="0" w:rightChars="0" w:firstLine="0" w:firstLineChars="0"/>
              <w:jc w:val="left"/>
              <w:rPr>
                <w:rFonts w:hint="default" w:ascii="宋体" w:hAnsi="宋体" w:eastAsia="宋体" w:cs="宋体"/>
                <w:i w:val="0"/>
                <w:iCs w:val="0"/>
                <w:sz w:val="24"/>
                <w:szCs w:val="24"/>
                <w:lang w:val="en-US" w:eastAsia="zh-CN"/>
              </w:rPr>
            </w:pPr>
            <w:r>
              <w:rPr>
                <w:rFonts w:hint="eastAsia" w:ascii="宋体" w:hAnsi="宋体" w:eastAsia="宋体" w:cs="宋体"/>
                <w:i w:val="0"/>
                <w:iCs w:val="0"/>
                <w:sz w:val="24"/>
                <w:szCs w:val="24"/>
                <w:lang w:val="en-US" w:eastAsia="zh-CN"/>
              </w:rPr>
              <w:t>产品经理</w:t>
            </w:r>
          </w:p>
        </w:tc>
      </w:tr>
      <w:tr w14:paraId="713390C2">
        <w:tblPrEx>
          <w:tblCellMar>
            <w:top w:w="0" w:type="dxa"/>
            <w:left w:w="108" w:type="dxa"/>
            <w:bottom w:w="0" w:type="dxa"/>
            <w:right w:w="108" w:type="dxa"/>
          </w:tblCellMar>
        </w:tblPrEx>
        <w:trPr>
          <w:jc w:val="center"/>
        </w:trPr>
        <w:tc>
          <w:tcPr>
            <w:tcW w:w="9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416253F">
            <w:pPr>
              <w:spacing w:before="0" w:after="0" w:line="240" w:lineRule="auto"/>
              <w:ind w:left="0" w:leftChars="0" w:right="0" w:rightChars="0" w:firstLine="0" w:firstLineChars="0"/>
              <w:jc w:val="left"/>
              <w:rPr>
                <w:rFonts w:hint="eastAsia" w:ascii="宋体" w:hAnsi="宋体" w:eastAsia="宋体" w:cs="宋体"/>
                <w:i w:val="0"/>
                <w:iCs w:val="0"/>
                <w:sz w:val="24"/>
                <w:szCs w:val="24"/>
              </w:rPr>
            </w:pPr>
          </w:p>
        </w:tc>
        <w:tc>
          <w:tcPr>
            <w:tcW w:w="139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91C3F0E">
            <w:pPr>
              <w:spacing w:before="0" w:after="0" w:line="240" w:lineRule="auto"/>
              <w:ind w:left="0" w:leftChars="0" w:right="0" w:rightChars="0" w:firstLine="0" w:firstLineChars="0"/>
              <w:jc w:val="left"/>
              <w:rPr>
                <w:rFonts w:hint="eastAsia" w:ascii="宋体" w:hAnsi="宋体" w:eastAsia="宋体" w:cs="宋体"/>
                <w:i w:val="0"/>
                <w:iCs w:val="0"/>
                <w:sz w:val="24"/>
                <w:szCs w:val="24"/>
              </w:rPr>
            </w:pPr>
          </w:p>
        </w:tc>
        <w:tc>
          <w:tcPr>
            <w:tcW w:w="510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3F924A1">
            <w:pPr>
              <w:spacing w:before="0" w:after="0" w:line="240" w:lineRule="auto"/>
              <w:ind w:left="0" w:leftChars="0" w:right="0" w:rightChars="0" w:firstLine="0" w:firstLineChars="0"/>
              <w:jc w:val="left"/>
              <w:rPr>
                <w:rFonts w:hint="eastAsia" w:ascii="宋体" w:hAnsi="宋体" w:eastAsia="宋体" w:cs="宋体"/>
                <w:i w:val="0"/>
                <w:iCs w:val="0"/>
                <w:sz w:val="24"/>
                <w:szCs w:val="24"/>
              </w:rPr>
            </w:pPr>
          </w:p>
        </w:tc>
        <w:tc>
          <w:tcPr>
            <w:tcW w:w="9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337530D">
            <w:pPr>
              <w:spacing w:before="0" w:after="0" w:line="240" w:lineRule="auto"/>
              <w:ind w:left="0" w:leftChars="0" w:right="0" w:rightChars="0" w:firstLine="0" w:firstLineChars="0"/>
              <w:jc w:val="left"/>
              <w:rPr>
                <w:rFonts w:hint="eastAsia" w:ascii="宋体" w:hAnsi="宋体" w:eastAsia="宋体" w:cs="宋体"/>
                <w:i w:val="0"/>
                <w:iCs w:val="0"/>
                <w:sz w:val="24"/>
                <w:szCs w:val="24"/>
              </w:rPr>
            </w:pPr>
          </w:p>
        </w:tc>
        <w:tc>
          <w:tcPr>
            <w:tcW w:w="11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A6D4D08">
            <w:pPr>
              <w:spacing w:before="0" w:after="0" w:line="240" w:lineRule="auto"/>
              <w:ind w:left="0" w:leftChars="0" w:right="0" w:rightChars="0" w:firstLine="0" w:firstLineChars="0"/>
              <w:jc w:val="left"/>
              <w:rPr>
                <w:rFonts w:hint="eastAsia" w:ascii="宋体" w:hAnsi="宋体" w:eastAsia="宋体" w:cs="宋体"/>
                <w:i w:val="0"/>
                <w:iCs w:val="0"/>
                <w:sz w:val="24"/>
                <w:szCs w:val="24"/>
              </w:rPr>
            </w:pPr>
          </w:p>
        </w:tc>
      </w:tr>
      <w:tr w14:paraId="597F6991">
        <w:tblPrEx>
          <w:tblCellMar>
            <w:top w:w="0" w:type="dxa"/>
            <w:left w:w="108" w:type="dxa"/>
            <w:bottom w:w="0" w:type="dxa"/>
            <w:right w:w="108" w:type="dxa"/>
          </w:tblCellMar>
        </w:tblPrEx>
        <w:trPr>
          <w:jc w:val="center"/>
        </w:trPr>
        <w:tc>
          <w:tcPr>
            <w:tcW w:w="9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0DA5778">
            <w:pPr>
              <w:spacing w:before="0" w:after="0" w:line="240" w:lineRule="auto"/>
              <w:ind w:left="0" w:leftChars="0" w:right="0" w:rightChars="0" w:firstLine="0" w:firstLineChars="0"/>
              <w:jc w:val="left"/>
              <w:rPr>
                <w:rFonts w:hint="eastAsia" w:ascii="宋体" w:hAnsi="宋体" w:eastAsia="宋体" w:cs="宋体"/>
                <w:i w:val="0"/>
                <w:iCs w:val="0"/>
                <w:sz w:val="24"/>
                <w:szCs w:val="24"/>
              </w:rPr>
            </w:pPr>
          </w:p>
        </w:tc>
        <w:tc>
          <w:tcPr>
            <w:tcW w:w="139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C0434B7">
            <w:pPr>
              <w:spacing w:before="0" w:after="0" w:line="240" w:lineRule="auto"/>
              <w:ind w:left="0" w:leftChars="0" w:right="0" w:rightChars="0" w:firstLine="0" w:firstLineChars="0"/>
              <w:jc w:val="left"/>
              <w:rPr>
                <w:rFonts w:hint="eastAsia" w:ascii="宋体" w:hAnsi="宋体" w:eastAsia="宋体" w:cs="宋体"/>
                <w:i w:val="0"/>
                <w:iCs w:val="0"/>
                <w:sz w:val="24"/>
                <w:szCs w:val="24"/>
              </w:rPr>
            </w:pPr>
          </w:p>
        </w:tc>
        <w:tc>
          <w:tcPr>
            <w:tcW w:w="510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0552724">
            <w:pPr>
              <w:spacing w:before="0" w:after="0" w:line="240" w:lineRule="auto"/>
              <w:ind w:left="0" w:leftChars="0" w:right="0" w:rightChars="0" w:firstLine="0" w:firstLineChars="0"/>
              <w:jc w:val="left"/>
              <w:rPr>
                <w:rFonts w:hint="eastAsia" w:ascii="宋体" w:hAnsi="宋体" w:eastAsia="宋体" w:cs="宋体"/>
                <w:i w:val="0"/>
                <w:iCs w:val="0"/>
                <w:sz w:val="24"/>
                <w:szCs w:val="24"/>
              </w:rPr>
            </w:pPr>
          </w:p>
        </w:tc>
        <w:tc>
          <w:tcPr>
            <w:tcW w:w="9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1E76146">
            <w:pPr>
              <w:spacing w:before="0" w:after="0" w:line="240" w:lineRule="auto"/>
              <w:ind w:left="0" w:leftChars="0" w:right="0" w:rightChars="0" w:firstLine="0" w:firstLineChars="0"/>
              <w:jc w:val="left"/>
              <w:rPr>
                <w:rFonts w:hint="eastAsia" w:ascii="宋体" w:hAnsi="宋体" w:eastAsia="宋体" w:cs="宋体"/>
                <w:i w:val="0"/>
                <w:iCs w:val="0"/>
                <w:sz w:val="24"/>
                <w:szCs w:val="24"/>
              </w:rPr>
            </w:pPr>
          </w:p>
        </w:tc>
        <w:tc>
          <w:tcPr>
            <w:tcW w:w="11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ADC0D5D">
            <w:pPr>
              <w:spacing w:before="0" w:after="0" w:line="240" w:lineRule="auto"/>
              <w:ind w:left="0" w:leftChars="0" w:right="0" w:rightChars="0" w:firstLine="0" w:firstLineChars="0"/>
              <w:jc w:val="left"/>
              <w:rPr>
                <w:rFonts w:hint="eastAsia" w:ascii="宋体" w:hAnsi="宋体" w:eastAsia="宋体" w:cs="宋体"/>
                <w:i w:val="0"/>
                <w:iCs w:val="0"/>
                <w:sz w:val="24"/>
                <w:szCs w:val="24"/>
              </w:rPr>
            </w:pPr>
          </w:p>
        </w:tc>
      </w:tr>
    </w:tbl>
    <w:p w14:paraId="25AAF9E9">
      <w:pPr>
        <w:spacing w:after="60"/>
        <w:rPr>
          <w:rFonts w:hint="eastAsia" w:ascii="宋体" w:hAnsi="宋体" w:eastAsia="宋体" w:cs="宋体"/>
          <w:i w:val="0"/>
          <w:iCs w:val="0"/>
          <w:sz w:val="24"/>
          <w:szCs w:val="24"/>
        </w:rPr>
      </w:pPr>
    </w:p>
    <w:p w14:paraId="050F4913">
      <w:pPr>
        <w:widowControl w:val="0"/>
        <w:numPr>
          <w:ilvl w:val="0"/>
          <w:numId w:val="7"/>
        </w:numPr>
        <w:adjustRightInd w:val="0"/>
        <w:spacing w:before="320" w:after="200" w:line="300" w:lineRule="auto"/>
        <w:ind w:left="0" w:leftChars="0" w:firstLine="0" w:firstLineChars="0"/>
        <w:jc w:val="both"/>
        <w:outlineLvl w:val="9"/>
        <w:rPr>
          <w:rFonts w:ascii="Times New Roman" w:hAnsi="Times New Roman" w:eastAsia="黑体" w:cs="Times New Roman"/>
          <w:b w:val="0"/>
          <w:bCs w:val="0"/>
          <w:color w:val="000000"/>
          <w:kern w:val="44"/>
          <w:sz w:val="32"/>
          <w:szCs w:val="44"/>
          <w:lang w:bidi="ar-SA"/>
        </w:rPr>
        <w:sectPr>
          <w:headerReference r:id="rId5" w:type="default"/>
          <w:footerReference r:id="rId6" w:type="default"/>
          <w:pgSz w:w="11906" w:h="16838"/>
          <w:pgMar w:top="1296" w:right="1296" w:bottom="1296" w:left="1296" w:header="720" w:footer="720" w:gutter="0"/>
          <w:pgBorders>
            <w:top w:val="none" w:sz="0" w:space="0"/>
            <w:left w:val="none" w:sz="0" w:space="0"/>
            <w:bottom w:val="none" w:sz="0" w:space="0"/>
            <w:right w:val="none" w:sz="0" w:space="0"/>
          </w:pgBorders>
          <w:cols w:space="720" w:num="1"/>
          <w:titlePg/>
          <w:docGrid w:linePitch="360" w:charSpace="0"/>
        </w:sectPr>
      </w:pPr>
    </w:p>
    <w:sdt>
      <w:sdtPr>
        <w:rPr>
          <w:rFonts w:ascii="宋体" w:hAnsi="宋体" w:eastAsia="宋体" w:cstheme="minorBidi"/>
          <w:sz w:val="21"/>
          <w:szCs w:val="22"/>
          <w:lang w:val="en-US" w:eastAsia="en-US" w:bidi="ar-SA"/>
        </w:rPr>
        <w:id w:val="147473365"/>
        <w15:color w:val="DBDBDB"/>
        <w:docPartObj>
          <w:docPartGallery w:val="Table of Contents"/>
          <w:docPartUnique/>
        </w:docPartObj>
      </w:sdtPr>
      <w:sdtEndPr>
        <w:rPr>
          <w:rFonts w:asciiTheme="minorHAnsi" w:hAnsiTheme="minorHAnsi" w:eastAsiaTheme="minorEastAsia" w:cstheme="minorBidi"/>
          <w:sz w:val="22"/>
          <w:szCs w:val="22"/>
          <w:lang w:val="en-US" w:eastAsia="en-US" w:bidi="ar-SA"/>
        </w:rPr>
      </w:sdtEndPr>
      <w:sdtContent>
        <w:p w14:paraId="37FB5115">
          <w:pPr>
            <w:spacing w:before="0" w:beforeLines="0" w:after="0" w:afterLines="0" w:line="240" w:lineRule="auto"/>
            <w:ind w:left="0" w:leftChars="0" w:right="0" w:rightChars="0" w:firstLine="0" w:firstLineChars="0"/>
            <w:jc w:val="center"/>
          </w:pPr>
          <w:r>
            <w:rPr>
              <w:rFonts w:ascii="宋体" w:hAnsi="宋体" w:eastAsia="宋体"/>
              <w:sz w:val="21"/>
            </w:rPr>
            <w:t>目录</w:t>
          </w:r>
        </w:p>
        <w:p w14:paraId="25AD03D8">
          <w:pPr>
            <w:pStyle w:val="27"/>
            <w:tabs>
              <w:tab w:val="right" w:leader="dot" w:pos="9314"/>
            </w:tabs>
          </w:pPr>
          <w:r>
            <w:rPr>
              <w:rFonts w:asciiTheme="minorHAnsi" w:hAnsiTheme="minorHAnsi" w:eastAsiaTheme="minorEastAsia" w:cstheme="minorBidi"/>
              <w:sz w:val="22"/>
              <w:szCs w:val="22"/>
              <w:lang w:val="en-US" w:eastAsia="en-US" w:bidi="ar-SA"/>
            </w:rPr>
            <w:fldChar w:fldCharType="begin"/>
          </w:r>
          <w:r>
            <w:rPr>
              <w:rFonts w:asciiTheme="minorHAnsi" w:hAnsiTheme="minorHAnsi" w:eastAsiaTheme="minorEastAsia" w:cstheme="minorBidi"/>
              <w:sz w:val="22"/>
              <w:szCs w:val="22"/>
              <w:lang w:val="en-US" w:eastAsia="en-US" w:bidi="ar-SA"/>
            </w:rPr>
            <w:instrText xml:space="preserve">TOC \o "1-2" \h \u </w:instrText>
          </w:r>
          <w:r>
            <w:rPr>
              <w:rFonts w:asciiTheme="minorHAnsi" w:hAnsiTheme="minorHAnsi" w:eastAsiaTheme="minorEastAsia" w:cstheme="minorBidi"/>
              <w:sz w:val="22"/>
              <w:szCs w:val="22"/>
              <w:lang w:val="en-US" w:eastAsia="en-US" w:bidi="ar-SA"/>
            </w:rPr>
            <w:fldChar w:fldCharType="separate"/>
          </w: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_Toc18767 </w:instrText>
          </w:r>
          <w:r>
            <w:rPr>
              <w:rFonts w:asciiTheme="minorHAnsi" w:hAnsiTheme="minorHAnsi" w:eastAsiaTheme="minorEastAsia" w:cstheme="minorBidi"/>
              <w:szCs w:val="22"/>
              <w:lang w:val="en-US" w:eastAsia="en-US" w:bidi="ar-SA"/>
            </w:rPr>
            <w:fldChar w:fldCharType="separate"/>
          </w:r>
          <w:r>
            <w:rPr>
              <w:rFonts w:hint="eastAsia" w:eastAsia="黑体"/>
              <w:bCs w:val="0"/>
              <w:szCs w:val="44"/>
            </w:rPr>
            <w:t xml:space="preserve">第一章 </w:t>
          </w:r>
          <w:r>
            <w:rPr>
              <w:rFonts w:ascii="Times New Roman" w:hAnsi="Times New Roman" w:eastAsia="黑体" w:cs="Times New Roman"/>
              <w:bCs w:val="0"/>
              <w:szCs w:val="44"/>
            </w:rPr>
            <w:t>顶层业务架构与标准规范</w:t>
          </w:r>
          <w:r>
            <w:tab/>
          </w:r>
          <w:r>
            <w:fldChar w:fldCharType="begin"/>
          </w:r>
          <w:r>
            <w:instrText xml:space="preserve"> PAGEREF _Toc18767 \h </w:instrText>
          </w:r>
          <w:r>
            <w:fldChar w:fldCharType="separate"/>
          </w:r>
          <w:r>
            <w:t>1</w:t>
          </w:r>
          <w:r>
            <w:fldChar w:fldCharType="end"/>
          </w:r>
          <w:r>
            <w:rPr>
              <w:rFonts w:asciiTheme="minorHAnsi" w:hAnsiTheme="minorHAnsi" w:eastAsiaTheme="minorEastAsia" w:cstheme="minorBidi"/>
              <w:szCs w:val="22"/>
              <w:lang w:val="en-US" w:eastAsia="en-US" w:bidi="ar-SA"/>
            </w:rPr>
            <w:fldChar w:fldCharType="end"/>
          </w:r>
        </w:p>
        <w:p w14:paraId="3C9680A6">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_Toc19855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一、 </w:t>
          </w:r>
          <w:r>
            <w:rPr>
              <w:rFonts w:ascii="Times New Roman" w:hAnsi="Times New Roman" w:eastAsia="黑体" w:cs="Times New Roman"/>
              <w:bCs w:val="0"/>
              <w:szCs w:val="32"/>
            </w:rPr>
            <w:t>项目背景与建设目标</w:t>
          </w:r>
          <w:r>
            <w:tab/>
          </w:r>
          <w:r>
            <w:fldChar w:fldCharType="begin"/>
          </w:r>
          <w:r>
            <w:instrText xml:space="preserve"> PAGEREF _Toc19855 \h </w:instrText>
          </w:r>
          <w:r>
            <w:fldChar w:fldCharType="separate"/>
          </w:r>
          <w:r>
            <w:t>1</w:t>
          </w:r>
          <w:r>
            <w:fldChar w:fldCharType="end"/>
          </w:r>
          <w:r>
            <w:rPr>
              <w:rFonts w:asciiTheme="minorHAnsi" w:hAnsiTheme="minorHAnsi" w:eastAsiaTheme="minorEastAsia" w:cstheme="minorBidi"/>
              <w:szCs w:val="22"/>
              <w:lang w:val="en-US" w:eastAsia="en-US" w:bidi="ar-SA"/>
            </w:rPr>
            <w:fldChar w:fldCharType="end"/>
          </w:r>
        </w:p>
        <w:p w14:paraId="0918EBB8">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_Toc11274 </w:instrText>
          </w:r>
          <w:r>
            <w:rPr>
              <w:rFonts w:asciiTheme="minorHAnsi" w:hAnsiTheme="minorHAnsi" w:eastAsiaTheme="minorEastAsia" w:cstheme="minorBidi"/>
              <w:szCs w:val="22"/>
              <w:lang w:val="en-US" w:eastAsia="en-US" w:bidi="ar-SA"/>
            </w:rPr>
            <w:fldChar w:fldCharType="separate"/>
          </w:r>
          <w:r>
            <w:rPr>
              <w:rFonts w:hint="default" w:eastAsia="黑体"/>
              <w:bCs w:val="0"/>
              <w:szCs w:val="24"/>
            </w:rPr>
            <w:t xml:space="preserve">1. </w:t>
          </w:r>
          <w:r>
            <w:rPr>
              <w:rFonts w:ascii="Times New Roman" w:hAnsi="Times New Roman" w:eastAsia="黑体" w:cs="Times New Roman"/>
              <w:bCs w:val="0"/>
              <w:szCs w:val="24"/>
            </w:rPr>
            <w:t>项目建设背景</w:t>
          </w:r>
          <w:r>
            <w:tab/>
          </w:r>
          <w:r>
            <w:fldChar w:fldCharType="begin"/>
          </w:r>
          <w:r>
            <w:instrText xml:space="preserve"> PAGEREF _Toc11274 \h </w:instrText>
          </w:r>
          <w:r>
            <w:fldChar w:fldCharType="separate"/>
          </w:r>
          <w:r>
            <w:t>1</w:t>
          </w:r>
          <w:r>
            <w:fldChar w:fldCharType="end"/>
          </w:r>
          <w:r>
            <w:rPr>
              <w:rFonts w:asciiTheme="minorHAnsi" w:hAnsiTheme="minorHAnsi" w:eastAsiaTheme="minorEastAsia" w:cstheme="minorBidi"/>
              <w:szCs w:val="22"/>
              <w:lang w:val="en-US" w:eastAsia="en-US" w:bidi="ar-SA"/>
            </w:rPr>
            <w:fldChar w:fldCharType="end"/>
          </w:r>
        </w:p>
        <w:p w14:paraId="69DFB7E7">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_Toc28818 </w:instrText>
          </w:r>
          <w:r>
            <w:rPr>
              <w:rFonts w:asciiTheme="minorHAnsi" w:hAnsiTheme="minorHAnsi" w:eastAsiaTheme="minorEastAsia" w:cstheme="minorBidi"/>
              <w:szCs w:val="22"/>
              <w:lang w:val="en-US" w:eastAsia="en-US" w:bidi="ar-SA"/>
            </w:rPr>
            <w:fldChar w:fldCharType="separate"/>
          </w:r>
          <w:r>
            <w:rPr>
              <w:rFonts w:hint="default" w:eastAsia="黑体"/>
              <w:bCs w:val="0"/>
              <w:szCs w:val="24"/>
            </w:rPr>
            <w:t xml:space="preserve">2. </w:t>
          </w:r>
          <w:r>
            <w:rPr>
              <w:rFonts w:ascii="Times New Roman" w:hAnsi="Times New Roman" w:eastAsia="黑体" w:cs="Times New Roman"/>
              <w:bCs w:val="0"/>
              <w:szCs w:val="24"/>
            </w:rPr>
            <w:t>建设目标</w:t>
          </w:r>
          <w:r>
            <w:tab/>
          </w:r>
          <w:r>
            <w:fldChar w:fldCharType="begin"/>
          </w:r>
          <w:r>
            <w:instrText xml:space="preserve"> PAGEREF _Toc28818 \h </w:instrText>
          </w:r>
          <w:r>
            <w:fldChar w:fldCharType="separate"/>
          </w:r>
          <w:r>
            <w:t>2</w:t>
          </w:r>
          <w:r>
            <w:fldChar w:fldCharType="end"/>
          </w:r>
          <w:r>
            <w:rPr>
              <w:rFonts w:asciiTheme="minorHAnsi" w:hAnsiTheme="minorHAnsi" w:eastAsiaTheme="minorEastAsia" w:cstheme="minorBidi"/>
              <w:szCs w:val="22"/>
              <w:lang w:val="en-US" w:eastAsia="en-US" w:bidi="ar-SA"/>
            </w:rPr>
            <w:fldChar w:fldCharType="end"/>
          </w:r>
        </w:p>
        <w:p w14:paraId="574E96CB">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_Toc24061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二、 </w:t>
          </w:r>
          <w:r>
            <w:rPr>
              <w:rFonts w:ascii="Times New Roman" w:hAnsi="Times New Roman" w:eastAsia="黑体" w:cs="Times New Roman"/>
              <w:bCs w:val="0"/>
              <w:szCs w:val="32"/>
            </w:rPr>
            <w:t>建设范围</w:t>
          </w:r>
          <w:r>
            <w:tab/>
          </w:r>
          <w:r>
            <w:fldChar w:fldCharType="begin"/>
          </w:r>
          <w:r>
            <w:instrText xml:space="preserve"> PAGEREF _Toc24061 \h </w:instrText>
          </w:r>
          <w:r>
            <w:fldChar w:fldCharType="separate"/>
          </w:r>
          <w:r>
            <w:t>2</w:t>
          </w:r>
          <w:r>
            <w:fldChar w:fldCharType="end"/>
          </w:r>
          <w:r>
            <w:rPr>
              <w:rFonts w:asciiTheme="minorHAnsi" w:hAnsiTheme="minorHAnsi" w:eastAsiaTheme="minorEastAsia" w:cstheme="minorBidi"/>
              <w:szCs w:val="22"/>
              <w:lang w:val="en-US" w:eastAsia="en-US" w:bidi="ar-SA"/>
            </w:rPr>
            <w:fldChar w:fldCharType="end"/>
          </w:r>
        </w:p>
        <w:p w14:paraId="143DB758">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_Toc5095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三、 </w:t>
          </w:r>
          <w:r>
            <w:rPr>
              <w:rFonts w:ascii="Times New Roman" w:hAnsi="Times New Roman" w:eastAsia="黑体" w:cs="Times New Roman"/>
              <w:bCs w:val="0"/>
              <w:szCs w:val="32"/>
            </w:rPr>
            <w:t>双中心总体架构与协同机制</w:t>
          </w:r>
          <w:r>
            <w:tab/>
          </w:r>
          <w:r>
            <w:fldChar w:fldCharType="begin"/>
          </w:r>
          <w:r>
            <w:instrText xml:space="preserve"> PAGEREF _Toc5095 \h </w:instrText>
          </w:r>
          <w:r>
            <w:fldChar w:fldCharType="separate"/>
          </w:r>
          <w:r>
            <w:t>3</w:t>
          </w:r>
          <w:r>
            <w:fldChar w:fldCharType="end"/>
          </w:r>
          <w:r>
            <w:rPr>
              <w:rFonts w:asciiTheme="minorHAnsi" w:hAnsiTheme="minorHAnsi" w:eastAsiaTheme="minorEastAsia" w:cstheme="minorBidi"/>
              <w:szCs w:val="22"/>
              <w:lang w:val="en-US" w:eastAsia="en-US" w:bidi="ar-SA"/>
            </w:rPr>
            <w:fldChar w:fldCharType="end"/>
          </w:r>
        </w:p>
        <w:p w14:paraId="5A5108FE">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_Toc10778 </w:instrText>
          </w:r>
          <w:r>
            <w:rPr>
              <w:rFonts w:asciiTheme="minorHAnsi" w:hAnsiTheme="minorHAnsi" w:eastAsiaTheme="minorEastAsia" w:cstheme="minorBidi"/>
              <w:szCs w:val="22"/>
              <w:lang w:val="en-US" w:eastAsia="en-US" w:bidi="ar-SA"/>
            </w:rPr>
            <w:fldChar w:fldCharType="separate"/>
          </w:r>
          <w:r>
            <w:rPr>
              <w:rFonts w:hint="default" w:eastAsia="黑体"/>
              <w:bCs w:val="0"/>
              <w:szCs w:val="24"/>
            </w:rPr>
            <w:t xml:space="preserve">1. </w:t>
          </w:r>
          <w:r>
            <w:rPr>
              <w:rFonts w:ascii="Times New Roman" w:hAnsi="Times New Roman" w:eastAsia="黑体" w:cs="Times New Roman"/>
              <w:bCs w:val="0"/>
              <w:szCs w:val="24"/>
            </w:rPr>
            <w:t>端—边—云三层物联网架构</w:t>
          </w:r>
          <w:r>
            <w:tab/>
          </w:r>
          <w:r>
            <w:fldChar w:fldCharType="begin"/>
          </w:r>
          <w:r>
            <w:instrText xml:space="preserve"> PAGEREF _Toc10778 \h </w:instrText>
          </w:r>
          <w:r>
            <w:fldChar w:fldCharType="separate"/>
          </w:r>
          <w:r>
            <w:t>3</w:t>
          </w:r>
          <w:r>
            <w:fldChar w:fldCharType="end"/>
          </w:r>
          <w:r>
            <w:rPr>
              <w:rFonts w:asciiTheme="minorHAnsi" w:hAnsiTheme="minorHAnsi" w:eastAsiaTheme="minorEastAsia" w:cstheme="minorBidi"/>
              <w:szCs w:val="22"/>
              <w:lang w:val="en-US" w:eastAsia="en-US" w:bidi="ar-SA"/>
            </w:rPr>
            <w:fldChar w:fldCharType="end"/>
          </w:r>
        </w:p>
        <w:p w14:paraId="64112015">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_Toc26715 </w:instrText>
          </w:r>
          <w:r>
            <w:rPr>
              <w:rFonts w:asciiTheme="minorHAnsi" w:hAnsiTheme="minorHAnsi" w:eastAsiaTheme="minorEastAsia" w:cstheme="minorBidi"/>
              <w:szCs w:val="22"/>
              <w:lang w:val="en-US" w:eastAsia="en-US" w:bidi="ar-SA"/>
            </w:rPr>
            <w:fldChar w:fldCharType="separate"/>
          </w:r>
          <w:r>
            <w:rPr>
              <w:rFonts w:hint="default" w:eastAsia="黑体"/>
              <w:bCs w:val="0"/>
              <w:szCs w:val="24"/>
            </w:rPr>
            <w:t xml:space="preserve">2. </w:t>
          </w:r>
          <w:r>
            <w:rPr>
              <w:rFonts w:ascii="Times New Roman" w:hAnsi="Times New Roman" w:eastAsia="黑体" w:cs="Times New Roman"/>
              <w:bCs w:val="0"/>
              <w:szCs w:val="24"/>
            </w:rPr>
            <w:t>双中心定位与协同</w:t>
          </w:r>
          <w:r>
            <w:tab/>
          </w:r>
          <w:r>
            <w:fldChar w:fldCharType="begin"/>
          </w:r>
          <w:r>
            <w:instrText xml:space="preserve"> PAGEREF _Toc26715 \h </w:instrText>
          </w:r>
          <w:r>
            <w:fldChar w:fldCharType="separate"/>
          </w:r>
          <w:r>
            <w:t>4</w:t>
          </w:r>
          <w:r>
            <w:fldChar w:fldCharType="end"/>
          </w:r>
          <w:r>
            <w:rPr>
              <w:rFonts w:asciiTheme="minorHAnsi" w:hAnsiTheme="minorHAnsi" w:eastAsiaTheme="minorEastAsia" w:cstheme="minorBidi"/>
              <w:szCs w:val="22"/>
              <w:lang w:val="en-US" w:eastAsia="en-US" w:bidi="ar-SA"/>
            </w:rPr>
            <w:fldChar w:fldCharType="end"/>
          </w:r>
        </w:p>
        <w:p w14:paraId="444BAB13">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_Toc28925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四、 </w:t>
          </w:r>
          <w:r>
            <w:rPr>
              <w:rFonts w:ascii="Times New Roman" w:hAnsi="Times New Roman" w:eastAsia="黑体" w:cs="Times New Roman"/>
              <w:bCs w:val="0"/>
              <w:szCs w:val="32"/>
            </w:rPr>
            <w:t>角色画像与权限边界</w:t>
          </w:r>
          <w:r>
            <w:tab/>
          </w:r>
          <w:r>
            <w:fldChar w:fldCharType="begin"/>
          </w:r>
          <w:r>
            <w:instrText xml:space="preserve"> PAGEREF _Toc28925 \h </w:instrText>
          </w:r>
          <w:r>
            <w:fldChar w:fldCharType="separate"/>
          </w:r>
          <w:r>
            <w:t>5</w:t>
          </w:r>
          <w:r>
            <w:fldChar w:fldCharType="end"/>
          </w:r>
          <w:r>
            <w:rPr>
              <w:rFonts w:asciiTheme="minorHAnsi" w:hAnsiTheme="minorHAnsi" w:eastAsiaTheme="minorEastAsia" w:cstheme="minorBidi"/>
              <w:szCs w:val="22"/>
              <w:lang w:val="en-US" w:eastAsia="en-US" w:bidi="ar-SA"/>
            </w:rPr>
            <w:fldChar w:fldCharType="end"/>
          </w:r>
        </w:p>
        <w:p w14:paraId="557F3EBE">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_Toc31509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五、 </w:t>
          </w:r>
          <w:r>
            <w:rPr>
              <w:rFonts w:ascii="Times New Roman" w:hAnsi="Times New Roman" w:eastAsia="黑体" w:cs="Times New Roman"/>
              <w:bCs w:val="0"/>
              <w:szCs w:val="32"/>
            </w:rPr>
            <w:t>文档编制范式：统一八段式模块模板</w:t>
          </w:r>
          <w:r>
            <w:tab/>
          </w:r>
          <w:r>
            <w:fldChar w:fldCharType="begin"/>
          </w:r>
          <w:r>
            <w:instrText xml:space="preserve"> PAGEREF _Toc31509 \h </w:instrText>
          </w:r>
          <w:r>
            <w:fldChar w:fldCharType="separate"/>
          </w:r>
          <w:r>
            <w:t>5</w:t>
          </w:r>
          <w:r>
            <w:fldChar w:fldCharType="end"/>
          </w:r>
          <w:r>
            <w:rPr>
              <w:rFonts w:asciiTheme="minorHAnsi" w:hAnsiTheme="minorHAnsi" w:eastAsiaTheme="minorEastAsia" w:cstheme="minorBidi"/>
              <w:szCs w:val="22"/>
              <w:lang w:val="en-US" w:eastAsia="en-US" w:bidi="ar-SA"/>
            </w:rPr>
            <w:fldChar w:fldCharType="end"/>
          </w:r>
        </w:p>
        <w:p w14:paraId="4057069F">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_Toc26178 </w:instrText>
          </w:r>
          <w:r>
            <w:rPr>
              <w:rFonts w:asciiTheme="minorHAnsi" w:hAnsiTheme="minorHAnsi" w:eastAsiaTheme="minorEastAsia" w:cstheme="minorBidi"/>
              <w:szCs w:val="22"/>
              <w:lang w:val="en-US" w:eastAsia="en-US" w:bidi="ar-SA"/>
            </w:rPr>
            <w:fldChar w:fldCharType="separate"/>
          </w:r>
          <w:r>
            <w:rPr>
              <w:rFonts w:hint="eastAsia" w:eastAsia="黑体"/>
              <w:bCs w:val="0"/>
              <w:szCs w:val="44"/>
            </w:rPr>
            <w:t xml:space="preserve">第二章 </w:t>
          </w:r>
          <w:r>
            <w:rPr>
              <w:rFonts w:ascii="Times New Roman" w:hAnsi="Times New Roman" w:eastAsia="黑体" w:cs="Times New Roman"/>
              <w:bCs w:val="0"/>
              <w:szCs w:val="44"/>
            </w:rPr>
            <w:t>零碳园区集控中心功能需求规格</w:t>
          </w:r>
          <w:r>
            <w:tab/>
          </w:r>
          <w:r>
            <w:fldChar w:fldCharType="begin"/>
          </w:r>
          <w:r>
            <w:instrText xml:space="preserve"> PAGEREF _Toc26178 \h </w:instrText>
          </w:r>
          <w:r>
            <w:fldChar w:fldCharType="separate"/>
          </w:r>
          <w:r>
            <w:t>7</w:t>
          </w:r>
          <w:r>
            <w:fldChar w:fldCharType="end"/>
          </w:r>
          <w:r>
            <w:rPr>
              <w:rFonts w:asciiTheme="minorHAnsi" w:hAnsiTheme="minorHAnsi" w:eastAsiaTheme="minorEastAsia" w:cstheme="minorBidi"/>
              <w:szCs w:val="22"/>
              <w:lang w:val="en-US" w:eastAsia="en-US" w:bidi="ar-SA"/>
            </w:rPr>
            <w:fldChar w:fldCharType="end"/>
          </w:r>
        </w:p>
        <w:p w14:paraId="40F0B4F1">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_Toc26638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一、 </w:t>
          </w:r>
          <w:r>
            <w:rPr>
              <w:rFonts w:ascii="Times New Roman" w:hAnsi="Times New Roman" w:eastAsia="黑体" w:cs="Times New Roman"/>
              <w:bCs w:val="0"/>
              <w:szCs w:val="32"/>
            </w:rPr>
            <w:t>集控中心大屏</w:t>
          </w:r>
          <w:r>
            <w:tab/>
          </w:r>
          <w:r>
            <w:fldChar w:fldCharType="begin"/>
          </w:r>
          <w:r>
            <w:instrText xml:space="preserve"> PAGEREF _Toc26638 \h </w:instrText>
          </w:r>
          <w:r>
            <w:fldChar w:fldCharType="separate"/>
          </w:r>
          <w:r>
            <w:t>7</w:t>
          </w:r>
          <w:r>
            <w:fldChar w:fldCharType="end"/>
          </w:r>
          <w:r>
            <w:rPr>
              <w:rFonts w:asciiTheme="minorHAnsi" w:hAnsiTheme="minorHAnsi" w:eastAsiaTheme="minorEastAsia" w:cstheme="minorBidi"/>
              <w:szCs w:val="22"/>
              <w:lang w:val="en-US" w:eastAsia="en-US" w:bidi="ar-SA"/>
            </w:rPr>
            <w:fldChar w:fldCharType="end"/>
          </w:r>
        </w:p>
        <w:p w14:paraId="7961CD38">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_Toc14753 </w:instrText>
          </w:r>
          <w:r>
            <w:rPr>
              <w:rFonts w:asciiTheme="minorHAnsi" w:hAnsiTheme="minorHAnsi" w:eastAsiaTheme="minorEastAsia" w:cstheme="minorBidi"/>
              <w:szCs w:val="22"/>
              <w:lang w:val="en-US" w:eastAsia="en-US" w:bidi="ar-SA"/>
            </w:rPr>
            <w:fldChar w:fldCharType="separate"/>
          </w:r>
          <w:r>
            <w:rPr>
              <w:rFonts w:hint="default" w:eastAsia="黑体"/>
              <w:bCs w:val="0"/>
              <w:szCs w:val="24"/>
            </w:rPr>
            <w:t xml:space="preserve">1. </w:t>
          </w:r>
          <w:r>
            <w:rPr>
              <w:rFonts w:ascii="Times New Roman" w:hAnsi="Times New Roman" w:eastAsia="黑体" w:cs="Times New Roman"/>
              <w:bCs w:val="0"/>
              <w:szCs w:val="24"/>
            </w:rPr>
            <w:t>全景环幕大屏 46:9</w:t>
          </w:r>
          <w:r>
            <w:tab/>
          </w:r>
          <w:r>
            <w:fldChar w:fldCharType="begin"/>
          </w:r>
          <w:r>
            <w:instrText xml:space="preserve"> PAGEREF _Toc14753 \h </w:instrText>
          </w:r>
          <w:r>
            <w:fldChar w:fldCharType="separate"/>
          </w:r>
          <w:r>
            <w:t>7</w:t>
          </w:r>
          <w:r>
            <w:fldChar w:fldCharType="end"/>
          </w:r>
          <w:r>
            <w:rPr>
              <w:rFonts w:asciiTheme="minorHAnsi" w:hAnsiTheme="minorHAnsi" w:eastAsiaTheme="minorEastAsia" w:cstheme="minorBidi"/>
              <w:szCs w:val="22"/>
              <w:lang w:val="en-US" w:eastAsia="en-US" w:bidi="ar-SA"/>
            </w:rPr>
            <w:fldChar w:fldCharType="end"/>
          </w:r>
        </w:p>
        <w:p w14:paraId="70E01BC0">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_Toc7478 </w:instrText>
          </w:r>
          <w:r>
            <w:rPr>
              <w:rFonts w:asciiTheme="minorHAnsi" w:hAnsiTheme="minorHAnsi" w:eastAsiaTheme="minorEastAsia" w:cstheme="minorBidi"/>
              <w:szCs w:val="22"/>
              <w:lang w:val="en-US" w:eastAsia="en-US" w:bidi="ar-SA"/>
            </w:rPr>
            <w:fldChar w:fldCharType="separate"/>
          </w:r>
          <w:r>
            <w:rPr>
              <w:rFonts w:hint="default" w:eastAsia="黑体"/>
              <w:bCs w:val="0"/>
              <w:szCs w:val="24"/>
            </w:rPr>
            <w:t xml:space="preserve">2. </w:t>
          </w:r>
          <w:r>
            <w:rPr>
              <w:rFonts w:ascii="Times New Roman" w:hAnsi="Times New Roman" w:eastAsia="黑体" w:cs="Times New Roman"/>
              <w:bCs w:val="0"/>
              <w:szCs w:val="24"/>
            </w:rPr>
            <w:t>综合集控大屏 16:9</w:t>
          </w:r>
          <w:r>
            <w:tab/>
          </w:r>
          <w:r>
            <w:fldChar w:fldCharType="begin"/>
          </w:r>
          <w:r>
            <w:instrText xml:space="preserve"> PAGEREF _Toc7478 \h </w:instrText>
          </w:r>
          <w:r>
            <w:fldChar w:fldCharType="separate"/>
          </w:r>
          <w:r>
            <w:t>12</w:t>
          </w:r>
          <w:r>
            <w:fldChar w:fldCharType="end"/>
          </w:r>
          <w:r>
            <w:rPr>
              <w:rFonts w:asciiTheme="minorHAnsi" w:hAnsiTheme="minorHAnsi" w:eastAsiaTheme="minorEastAsia" w:cstheme="minorBidi"/>
              <w:szCs w:val="22"/>
              <w:lang w:val="en-US" w:eastAsia="en-US" w:bidi="ar-SA"/>
            </w:rPr>
            <w:fldChar w:fldCharType="end"/>
          </w:r>
        </w:p>
        <w:p w14:paraId="182FA1F8">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_Toc4603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二、 </w:t>
          </w:r>
          <w:r>
            <w:rPr>
              <w:rFonts w:ascii="Times New Roman" w:hAnsi="Times New Roman" w:eastAsia="黑体" w:cs="Times New Roman"/>
              <w:bCs w:val="0"/>
              <w:szCs w:val="32"/>
            </w:rPr>
            <w:t>集中监管</w:t>
          </w:r>
          <w:r>
            <w:tab/>
          </w:r>
          <w:r>
            <w:fldChar w:fldCharType="begin"/>
          </w:r>
          <w:r>
            <w:instrText xml:space="preserve"> PAGEREF _Toc4603 \h </w:instrText>
          </w:r>
          <w:r>
            <w:fldChar w:fldCharType="separate"/>
          </w:r>
          <w:r>
            <w:t>16</w:t>
          </w:r>
          <w:r>
            <w:fldChar w:fldCharType="end"/>
          </w:r>
          <w:r>
            <w:rPr>
              <w:rFonts w:asciiTheme="minorHAnsi" w:hAnsiTheme="minorHAnsi" w:eastAsiaTheme="minorEastAsia" w:cstheme="minorBidi"/>
              <w:szCs w:val="22"/>
              <w:lang w:val="en-US" w:eastAsia="en-US" w:bidi="ar-SA"/>
            </w:rPr>
            <w:fldChar w:fldCharType="end"/>
          </w:r>
        </w:p>
        <w:p w14:paraId="5A66AC8E">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_Toc7125 </w:instrText>
          </w:r>
          <w:r>
            <w:rPr>
              <w:rFonts w:asciiTheme="minorHAnsi" w:hAnsiTheme="minorHAnsi" w:eastAsiaTheme="minorEastAsia" w:cstheme="minorBidi"/>
              <w:szCs w:val="22"/>
              <w:lang w:val="en-US" w:eastAsia="en-US" w:bidi="ar-SA"/>
            </w:rPr>
            <w:fldChar w:fldCharType="separate"/>
          </w:r>
          <w:r>
            <w:rPr>
              <w:rFonts w:hint="default" w:eastAsia="黑体"/>
              <w:bCs w:val="0"/>
              <w:szCs w:val="24"/>
            </w:rPr>
            <w:t xml:space="preserve">1. </w:t>
          </w:r>
          <w:r>
            <w:rPr>
              <w:rFonts w:ascii="Times New Roman" w:hAnsi="Times New Roman" w:eastAsia="黑体" w:cs="Times New Roman"/>
              <w:bCs w:val="0"/>
              <w:szCs w:val="24"/>
            </w:rPr>
            <w:t>指标管控</w:t>
          </w:r>
          <w:r>
            <w:tab/>
          </w:r>
          <w:r>
            <w:fldChar w:fldCharType="begin"/>
          </w:r>
          <w:r>
            <w:instrText xml:space="preserve"> PAGEREF _Toc7125 \h </w:instrText>
          </w:r>
          <w:r>
            <w:fldChar w:fldCharType="separate"/>
          </w:r>
          <w:r>
            <w:t>16</w:t>
          </w:r>
          <w:r>
            <w:fldChar w:fldCharType="end"/>
          </w:r>
          <w:r>
            <w:rPr>
              <w:rFonts w:asciiTheme="minorHAnsi" w:hAnsiTheme="minorHAnsi" w:eastAsiaTheme="minorEastAsia" w:cstheme="minorBidi"/>
              <w:szCs w:val="22"/>
              <w:lang w:val="en-US" w:eastAsia="en-US" w:bidi="ar-SA"/>
            </w:rPr>
            <w:fldChar w:fldCharType="end"/>
          </w:r>
        </w:p>
        <w:p w14:paraId="0C00F45F">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_Toc12727 </w:instrText>
          </w:r>
          <w:r>
            <w:rPr>
              <w:rFonts w:asciiTheme="minorHAnsi" w:hAnsiTheme="minorHAnsi" w:eastAsiaTheme="minorEastAsia" w:cstheme="minorBidi"/>
              <w:szCs w:val="22"/>
              <w:lang w:val="en-US" w:eastAsia="en-US" w:bidi="ar-SA"/>
            </w:rPr>
            <w:fldChar w:fldCharType="separate"/>
          </w:r>
          <w:r>
            <w:rPr>
              <w:rFonts w:hint="default" w:eastAsia="黑体"/>
              <w:bCs w:val="0"/>
              <w:szCs w:val="24"/>
            </w:rPr>
            <w:t xml:space="preserve">2. </w:t>
          </w:r>
          <w:r>
            <w:rPr>
              <w:rFonts w:ascii="Times New Roman" w:hAnsi="Times New Roman" w:eastAsia="黑体" w:cs="Times New Roman"/>
              <w:bCs w:val="0"/>
              <w:szCs w:val="24"/>
            </w:rPr>
            <w:t>数据变化详情</w:t>
          </w:r>
          <w:r>
            <w:tab/>
          </w:r>
          <w:r>
            <w:fldChar w:fldCharType="begin"/>
          </w:r>
          <w:r>
            <w:instrText xml:space="preserve"> PAGEREF _Toc12727 \h </w:instrText>
          </w:r>
          <w:r>
            <w:fldChar w:fldCharType="separate"/>
          </w:r>
          <w:r>
            <w:t>27</w:t>
          </w:r>
          <w:r>
            <w:fldChar w:fldCharType="end"/>
          </w:r>
          <w:r>
            <w:rPr>
              <w:rFonts w:asciiTheme="minorHAnsi" w:hAnsiTheme="minorHAnsi" w:eastAsiaTheme="minorEastAsia" w:cstheme="minorBidi"/>
              <w:szCs w:val="22"/>
              <w:lang w:val="en-US" w:eastAsia="en-US" w:bidi="ar-SA"/>
            </w:rPr>
            <w:fldChar w:fldCharType="end"/>
          </w:r>
        </w:p>
        <w:p w14:paraId="5C3CF16B">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_Toc20975 </w:instrText>
          </w:r>
          <w:r>
            <w:rPr>
              <w:rFonts w:asciiTheme="minorHAnsi" w:hAnsiTheme="minorHAnsi" w:eastAsiaTheme="minorEastAsia" w:cstheme="minorBidi"/>
              <w:szCs w:val="22"/>
              <w:lang w:val="en-US" w:eastAsia="en-US" w:bidi="ar-SA"/>
            </w:rPr>
            <w:fldChar w:fldCharType="separate"/>
          </w:r>
          <w:r>
            <w:rPr>
              <w:rFonts w:hint="default" w:eastAsia="黑体"/>
              <w:bCs w:val="0"/>
              <w:szCs w:val="24"/>
            </w:rPr>
            <w:t xml:space="preserve">3. </w:t>
          </w:r>
          <w:r>
            <w:rPr>
              <w:rFonts w:ascii="Times New Roman" w:hAnsi="Times New Roman" w:eastAsia="黑体" w:cs="Times New Roman"/>
              <w:bCs w:val="0"/>
              <w:szCs w:val="24"/>
            </w:rPr>
            <w:t>用能监测</w:t>
          </w:r>
          <w:r>
            <w:tab/>
          </w:r>
          <w:r>
            <w:fldChar w:fldCharType="begin"/>
          </w:r>
          <w:r>
            <w:instrText xml:space="preserve"> PAGEREF _Toc20975 \h </w:instrText>
          </w:r>
          <w:r>
            <w:fldChar w:fldCharType="separate"/>
          </w:r>
          <w:r>
            <w:t>31</w:t>
          </w:r>
          <w:r>
            <w:fldChar w:fldCharType="end"/>
          </w:r>
          <w:r>
            <w:rPr>
              <w:rFonts w:asciiTheme="minorHAnsi" w:hAnsiTheme="minorHAnsi" w:eastAsiaTheme="minorEastAsia" w:cstheme="minorBidi"/>
              <w:szCs w:val="22"/>
              <w:lang w:val="en-US" w:eastAsia="en-US" w:bidi="ar-SA"/>
            </w:rPr>
            <w:fldChar w:fldCharType="end"/>
          </w:r>
        </w:p>
        <w:p w14:paraId="7FF41D0D">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_Toc5921 </w:instrText>
          </w:r>
          <w:r>
            <w:rPr>
              <w:rFonts w:asciiTheme="minorHAnsi" w:hAnsiTheme="minorHAnsi" w:eastAsiaTheme="minorEastAsia" w:cstheme="minorBidi"/>
              <w:szCs w:val="22"/>
              <w:lang w:val="en-US" w:eastAsia="en-US" w:bidi="ar-SA"/>
            </w:rPr>
            <w:fldChar w:fldCharType="separate"/>
          </w:r>
          <w:r>
            <w:rPr>
              <w:rFonts w:hint="default" w:eastAsia="黑体"/>
              <w:bCs w:val="0"/>
              <w:szCs w:val="24"/>
            </w:rPr>
            <w:t xml:space="preserve">4. </w:t>
          </w:r>
          <w:r>
            <w:rPr>
              <w:rFonts w:ascii="Times New Roman" w:hAnsi="Times New Roman" w:eastAsia="黑体" w:cs="Times New Roman"/>
              <w:bCs w:val="0"/>
              <w:szCs w:val="24"/>
            </w:rPr>
            <w:t>重点</w:t>
          </w:r>
          <w:r>
            <w:rPr>
              <w:rFonts w:hint="eastAsia" w:cs="Times New Roman"/>
              <w:bCs w:val="0"/>
              <w:szCs w:val="24"/>
              <w:lang w:val="en-US" w:eastAsia="zh-CN"/>
            </w:rPr>
            <w:t>用能设备</w:t>
          </w:r>
          <w:r>
            <w:tab/>
          </w:r>
          <w:r>
            <w:fldChar w:fldCharType="begin"/>
          </w:r>
          <w:r>
            <w:instrText xml:space="preserve"> PAGEREF _Toc5921 \h </w:instrText>
          </w:r>
          <w:r>
            <w:fldChar w:fldCharType="separate"/>
          </w:r>
          <w:r>
            <w:t>35</w:t>
          </w:r>
          <w:r>
            <w:fldChar w:fldCharType="end"/>
          </w:r>
          <w:r>
            <w:rPr>
              <w:rFonts w:asciiTheme="minorHAnsi" w:hAnsiTheme="minorHAnsi" w:eastAsiaTheme="minorEastAsia" w:cstheme="minorBidi"/>
              <w:szCs w:val="22"/>
              <w:lang w:val="en-US" w:eastAsia="en-US" w:bidi="ar-SA"/>
            </w:rPr>
            <w:fldChar w:fldCharType="end"/>
          </w:r>
        </w:p>
        <w:p w14:paraId="1C08DBF8">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_Toc13224 </w:instrText>
          </w:r>
          <w:r>
            <w:rPr>
              <w:rFonts w:asciiTheme="minorHAnsi" w:hAnsiTheme="minorHAnsi" w:eastAsiaTheme="minorEastAsia" w:cstheme="minorBidi"/>
              <w:szCs w:val="22"/>
              <w:lang w:val="en-US" w:eastAsia="en-US" w:bidi="ar-SA"/>
            </w:rPr>
            <w:fldChar w:fldCharType="separate"/>
          </w:r>
          <w:r>
            <w:rPr>
              <w:rFonts w:hint="default" w:eastAsia="黑体"/>
              <w:bCs w:val="0"/>
              <w:szCs w:val="24"/>
            </w:rPr>
            <w:t xml:space="preserve">5. </w:t>
          </w:r>
          <w:r>
            <w:rPr>
              <w:rFonts w:ascii="Times New Roman" w:hAnsi="Times New Roman" w:eastAsia="黑体" w:cs="Times New Roman"/>
              <w:bCs w:val="0"/>
              <w:szCs w:val="24"/>
            </w:rPr>
            <w:t>工业微电网监测</w:t>
          </w:r>
          <w:r>
            <w:tab/>
          </w:r>
          <w:r>
            <w:fldChar w:fldCharType="begin"/>
          </w:r>
          <w:r>
            <w:instrText xml:space="preserve"> PAGEREF _Toc13224 \h </w:instrText>
          </w:r>
          <w:r>
            <w:fldChar w:fldCharType="separate"/>
          </w:r>
          <w:r>
            <w:t>39</w:t>
          </w:r>
          <w:r>
            <w:fldChar w:fldCharType="end"/>
          </w:r>
          <w:r>
            <w:rPr>
              <w:rFonts w:asciiTheme="minorHAnsi" w:hAnsiTheme="minorHAnsi" w:eastAsiaTheme="minorEastAsia" w:cstheme="minorBidi"/>
              <w:szCs w:val="22"/>
              <w:lang w:val="en-US" w:eastAsia="en-US" w:bidi="ar-SA"/>
            </w:rPr>
            <w:fldChar w:fldCharType="end"/>
          </w:r>
        </w:p>
        <w:p w14:paraId="1B036521">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_Toc16557 </w:instrText>
          </w:r>
          <w:r>
            <w:rPr>
              <w:rFonts w:asciiTheme="minorHAnsi" w:hAnsiTheme="minorHAnsi" w:eastAsiaTheme="minorEastAsia" w:cstheme="minorBidi"/>
              <w:szCs w:val="22"/>
              <w:lang w:val="en-US" w:eastAsia="en-US" w:bidi="ar-SA"/>
            </w:rPr>
            <w:fldChar w:fldCharType="separate"/>
          </w:r>
          <w:r>
            <w:rPr>
              <w:rFonts w:hint="default" w:eastAsia="黑体"/>
              <w:bCs w:val="0"/>
              <w:szCs w:val="24"/>
            </w:rPr>
            <w:t xml:space="preserve">6. </w:t>
          </w:r>
          <w:r>
            <w:rPr>
              <w:rFonts w:ascii="Times New Roman" w:hAnsi="Times New Roman" w:eastAsia="黑体" w:cs="Times New Roman"/>
              <w:bCs w:val="0"/>
              <w:szCs w:val="24"/>
            </w:rPr>
            <w:t>能源碳排放监测</w:t>
          </w:r>
          <w:r>
            <w:tab/>
          </w:r>
          <w:r>
            <w:fldChar w:fldCharType="begin"/>
          </w:r>
          <w:r>
            <w:instrText xml:space="preserve"> PAGEREF _Toc16557 \h </w:instrText>
          </w:r>
          <w:r>
            <w:fldChar w:fldCharType="separate"/>
          </w:r>
          <w:r>
            <w:t>42</w:t>
          </w:r>
          <w:r>
            <w:fldChar w:fldCharType="end"/>
          </w:r>
          <w:r>
            <w:rPr>
              <w:rFonts w:asciiTheme="minorHAnsi" w:hAnsiTheme="minorHAnsi" w:eastAsiaTheme="minorEastAsia" w:cstheme="minorBidi"/>
              <w:szCs w:val="22"/>
              <w:lang w:val="en-US" w:eastAsia="en-US" w:bidi="ar-SA"/>
            </w:rPr>
            <w:fldChar w:fldCharType="end"/>
          </w:r>
        </w:p>
        <w:p w14:paraId="53CB8693">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_Toc15620 </w:instrText>
          </w:r>
          <w:r>
            <w:rPr>
              <w:rFonts w:asciiTheme="minorHAnsi" w:hAnsiTheme="minorHAnsi" w:eastAsiaTheme="minorEastAsia" w:cstheme="minorBidi"/>
              <w:szCs w:val="22"/>
              <w:lang w:val="en-US" w:eastAsia="en-US" w:bidi="ar-SA"/>
            </w:rPr>
            <w:fldChar w:fldCharType="separate"/>
          </w:r>
          <w:r>
            <w:rPr>
              <w:rFonts w:hint="default" w:ascii="Times New Roman" w:hAnsi="Times New Roman" w:eastAsia="黑体" w:cs="Times New Roman"/>
              <w:bCs w:val="0"/>
              <w:szCs w:val="24"/>
              <w:lang w:val="en-US" w:eastAsia="zh-CN"/>
            </w:rPr>
            <w:t xml:space="preserve">7. </w:t>
          </w:r>
          <w:r>
            <w:rPr>
              <w:rFonts w:hint="eastAsia" w:ascii="Times New Roman" w:hAnsi="Times New Roman" w:eastAsia="黑体" w:cs="Times New Roman"/>
              <w:bCs w:val="0"/>
              <w:szCs w:val="24"/>
              <w:lang w:val="en-US" w:eastAsia="zh-CN"/>
            </w:rPr>
            <w:t>自定义指标监测</w:t>
          </w:r>
          <w:r>
            <w:tab/>
          </w:r>
          <w:r>
            <w:fldChar w:fldCharType="begin"/>
          </w:r>
          <w:r>
            <w:instrText xml:space="preserve"> PAGEREF _Toc15620 \h </w:instrText>
          </w:r>
          <w:r>
            <w:fldChar w:fldCharType="separate"/>
          </w:r>
          <w:r>
            <w:t>46</w:t>
          </w:r>
          <w:r>
            <w:fldChar w:fldCharType="end"/>
          </w:r>
          <w:r>
            <w:rPr>
              <w:rFonts w:asciiTheme="minorHAnsi" w:hAnsiTheme="minorHAnsi" w:eastAsiaTheme="minorEastAsia" w:cstheme="minorBidi"/>
              <w:szCs w:val="22"/>
              <w:lang w:val="en-US" w:eastAsia="en-US" w:bidi="ar-SA"/>
            </w:rPr>
            <w:fldChar w:fldCharType="end"/>
          </w:r>
        </w:p>
        <w:p w14:paraId="71DDAA3A">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_Toc15423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三、 </w:t>
          </w:r>
          <w:r>
            <w:rPr>
              <w:rFonts w:ascii="Times New Roman" w:hAnsi="Times New Roman" w:eastAsia="黑体" w:cs="Times New Roman"/>
              <w:bCs w:val="0"/>
              <w:szCs w:val="32"/>
            </w:rPr>
            <w:t>能耗能效分析</w:t>
          </w:r>
          <w:r>
            <w:tab/>
          </w:r>
          <w:r>
            <w:fldChar w:fldCharType="begin"/>
          </w:r>
          <w:r>
            <w:instrText xml:space="preserve"> PAGEREF _Toc15423 \h </w:instrText>
          </w:r>
          <w:r>
            <w:fldChar w:fldCharType="separate"/>
          </w:r>
          <w:r>
            <w:t>47</w:t>
          </w:r>
          <w:r>
            <w:fldChar w:fldCharType="end"/>
          </w:r>
          <w:r>
            <w:rPr>
              <w:rFonts w:asciiTheme="minorHAnsi" w:hAnsiTheme="minorHAnsi" w:eastAsiaTheme="minorEastAsia" w:cstheme="minorBidi"/>
              <w:szCs w:val="22"/>
              <w:lang w:val="en-US" w:eastAsia="en-US" w:bidi="ar-SA"/>
            </w:rPr>
            <w:fldChar w:fldCharType="end"/>
          </w:r>
        </w:p>
        <w:p w14:paraId="02BC09BD">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_Toc1657 </w:instrText>
          </w:r>
          <w:r>
            <w:rPr>
              <w:rFonts w:asciiTheme="minorHAnsi" w:hAnsiTheme="minorHAnsi" w:eastAsiaTheme="minorEastAsia" w:cstheme="minorBidi"/>
              <w:szCs w:val="22"/>
              <w:lang w:val="en-US" w:eastAsia="en-US" w:bidi="ar-SA"/>
            </w:rPr>
            <w:fldChar w:fldCharType="separate"/>
          </w:r>
          <w:r>
            <w:rPr>
              <w:rFonts w:hint="default" w:eastAsia="黑体"/>
              <w:bCs w:val="0"/>
              <w:szCs w:val="24"/>
            </w:rPr>
            <w:t xml:space="preserve">1. </w:t>
          </w:r>
          <w:r>
            <w:rPr>
              <w:rFonts w:ascii="Times New Roman" w:hAnsi="Times New Roman" w:eastAsia="黑体" w:cs="Times New Roman"/>
              <w:bCs w:val="0"/>
              <w:szCs w:val="24"/>
            </w:rPr>
            <w:t>用能结构分析</w:t>
          </w:r>
          <w:r>
            <w:tab/>
          </w:r>
          <w:r>
            <w:fldChar w:fldCharType="begin"/>
          </w:r>
          <w:r>
            <w:instrText xml:space="preserve"> PAGEREF _Toc1657 \h </w:instrText>
          </w:r>
          <w:r>
            <w:fldChar w:fldCharType="separate"/>
          </w:r>
          <w:r>
            <w:t>48</w:t>
          </w:r>
          <w:r>
            <w:fldChar w:fldCharType="end"/>
          </w:r>
          <w:r>
            <w:rPr>
              <w:rFonts w:asciiTheme="minorHAnsi" w:hAnsiTheme="minorHAnsi" w:eastAsiaTheme="minorEastAsia" w:cstheme="minorBidi"/>
              <w:szCs w:val="22"/>
              <w:lang w:val="en-US" w:eastAsia="en-US" w:bidi="ar-SA"/>
            </w:rPr>
            <w:fldChar w:fldCharType="end"/>
          </w:r>
        </w:p>
        <w:p w14:paraId="1FD22D2B">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_Toc8696 </w:instrText>
          </w:r>
          <w:r>
            <w:rPr>
              <w:rFonts w:asciiTheme="minorHAnsi" w:hAnsiTheme="minorHAnsi" w:eastAsiaTheme="minorEastAsia" w:cstheme="minorBidi"/>
              <w:szCs w:val="22"/>
              <w:lang w:val="en-US" w:eastAsia="en-US" w:bidi="ar-SA"/>
            </w:rPr>
            <w:fldChar w:fldCharType="separate"/>
          </w:r>
          <w:r>
            <w:rPr>
              <w:rFonts w:hint="default" w:eastAsia="黑体"/>
              <w:bCs w:val="0"/>
              <w:szCs w:val="24"/>
            </w:rPr>
            <w:t xml:space="preserve">2. </w:t>
          </w:r>
          <w:r>
            <w:rPr>
              <w:rFonts w:ascii="Times New Roman" w:hAnsi="Times New Roman" w:eastAsia="黑体" w:cs="Times New Roman"/>
              <w:bCs w:val="0"/>
              <w:szCs w:val="24"/>
            </w:rPr>
            <w:t>单位产品能耗</w:t>
          </w:r>
          <w:r>
            <w:tab/>
          </w:r>
          <w:r>
            <w:fldChar w:fldCharType="begin"/>
          </w:r>
          <w:r>
            <w:instrText xml:space="preserve"> PAGEREF _Toc8696 \h </w:instrText>
          </w:r>
          <w:r>
            <w:fldChar w:fldCharType="separate"/>
          </w:r>
          <w:r>
            <w:t>51</w:t>
          </w:r>
          <w:r>
            <w:fldChar w:fldCharType="end"/>
          </w:r>
          <w:r>
            <w:rPr>
              <w:rFonts w:asciiTheme="minorHAnsi" w:hAnsiTheme="minorHAnsi" w:eastAsiaTheme="minorEastAsia" w:cstheme="minorBidi"/>
              <w:szCs w:val="22"/>
              <w:lang w:val="en-US" w:eastAsia="en-US" w:bidi="ar-SA"/>
            </w:rPr>
            <w:fldChar w:fldCharType="end"/>
          </w:r>
        </w:p>
        <w:p w14:paraId="4AADD58C">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_Toc11046 </w:instrText>
          </w:r>
          <w:r>
            <w:rPr>
              <w:rFonts w:asciiTheme="minorHAnsi" w:hAnsiTheme="minorHAnsi" w:eastAsiaTheme="minorEastAsia" w:cstheme="minorBidi"/>
              <w:szCs w:val="22"/>
              <w:lang w:val="en-US" w:eastAsia="en-US" w:bidi="ar-SA"/>
            </w:rPr>
            <w:fldChar w:fldCharType="separate"/>
          </w:r>
          <w:r>
            <w:rPr>
              <w:rFonts w:hint="default" w:eastAsia="黑体"/>
              <w:bCs w:val="0"/>
              <w:szCs w:val="24"/>
            </w:rPr>
            <w:t xml:space="preserve">3. </w:t>
          </w:r>
          <w:r>
            <w:rPr>
              <w:rFonts w:ascii="Times New Roman" w:hAnsi="Times New Roman" w:eastAsia="黑体" w:cs="Times New Roman"/>
              <w:bCs w:val="0"/>
              <w:szCs w:val="24"/>
            </w:rPr>
            <w:t>单位产值能耗</w:t>
          </w:r>
          <w:r>
            <w:tab/>
          </w:r>
          <w:r>
            <w:fldChar w:fldCharType="begin"/>
          </w:r>
          <w:r>
            <w:instrText xml:space="preserve"> PAGEREF _Toc11046 \h </w:instrText>
          </w:r>
          <w:r>
            <w:fldChar w:fldCharType="separate"/>
          </w:r>
          <w:r>
            <w:t>55</w:t>
          </w:r>
          <w:r>
            <w:fldChar w:fldCharType="end"/>
          </w:r>
          <w:r>
            <w:rPr>
              <w:rFonts w:asciiTheme="minorHAnsi" w:hAnsiTheme="minorHAnsi" w:eastAsiaTheme="minorEastAsia" w:cstheme="minorBidi"/>
              <w:szCs w:val="22"/>
              <w:lang w:val="en-US" w:eastAsia="en-US" w:bidi="ar-SA"/>
            </w:rPr>
            <w:fldChar w:fldCharType="end"/>
          </w:r>
        </w:p>
        <w:p w14:paraId="13AE9471">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_Toc24077 </w:instrText>
          </w:r>
          <w:r>
            <w:rPr>
              <w:rFonts w:asciiTheme="minorHAnsi" w:hAnsiTheme="minorHAnsi" w:eastAsiaTheme="minorEastAsia" w:cstheme="minorBidi"/>
              <w:szCs w:val="22"/>
              <w:lang w:val="en-US" w:eastAsia="en-US" w:bidi="ar-SA"/>
            </w:rPr>
            <w:fldChar w:fldCharType="separate"/>
          </w:r>
          <w:r>
            <w:rPr>
              <w:rFonts w:hint="default" w:eastAsia="黑体"/>
              <w:bCs w:val="0"/>
              <w:szCs w:val="24"/>
            </w:rPr>
            <w:t xml:space="preserve">4. </w:t>
          </w:r>
          <w:r>
            <w:rPr>
              <w:rFonts w:ascii="Times New Roman" w:hAnsi="Times New Roman" w:eastAsia="黑体" w:cs="Times New Roman"/>
              <w:bCs w:val="0"/>
              <w:szCs w:val="24"/>
            </w:rPr>
            <w:t>对标管理</w:t>
          </w:r>
          <w:r>
            <w:tab/>
          </w:r>
          <w:r>
            <w:fldChar w:fldCharType="begin"/>
          </w:r>
          <w:r>
            <w:instrText xml:space="preserve"> PAGEREF _Toc24077 \h </w:instrText>
          </w:r>
          <w:r>
            <w:fldChar w:fldCharType="separate"/>
          </w:r>
          <w:r>
            <w:t>58</w:t>
          </w:r>
          <w:r>
            <w:fldChar w:fldCharType="end"/>
          </w:r>
          <w:r>
            <w:rPr>
              <w:rFonts w:asciiTheme="minorHAnsi" w:hAnsiTheme="minorHAnsi" w:eastAsiaTheme="minorEastAsia" w:cstheme="minorBidi"/>
              <w:szCs w:val="22"/>
              <w:lang w:val="en-US" w:eastAsia="en-US" w:bidi="ar-SA"/>
            </w:rPr>
            <w:fldChar w:fldCharType="end"/>
          </w:r>
        </w:p>
        <w:p w14:paraId="611D8C3A">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_Toc30127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四、 </w:t>
          </w:r>
          <w:r>
            <w:rPr>
              <w:rFonts w:ascii="Times New Roman" w:hAnsi="Times New Roman" w:eastAsia="黑体" w:cs="Times New Roman"/>
              <w:bCs w:val="0"/>
              <w:szCs w:val="32"/>
            </w:rPr>
            <w:t>零碳项目评估</w:t>
          </w:r>
          <w:r>
            <w:tab/>
          </w:r>
          <w:r>
            <w:fldChar w:fldCharType="begin"/>
          </w:r>
          <w:r>
            <w:instrText xml:space="preserve"> PAGEREF _Toc30127 \h </w:instrText>
          </w:r>
          <w:r>
            <w:fldChar w:fldCharType="separate"/>
          </w:r>
          <w:r>
            <w:t>62</w:t>
          </w:r>
          <w:r>
            <w:fldChar w:fldCharType="end"/>
          </w:r>
          <w:r>
            <w:rPr>
              <w:rFonts w:asciiTheme="minorHAnsi" w:hAnsiTheme="minorHAnsi" w:eastAsiaTheme="minorEastAsia" w:cstheme="minorBidi"/>
              <w:szCs w:val="22"/>
              <w:lang w:val="en-US" w:eastAsia="en-US" w:bidi="ar-SA"/>
            </w:rPr>
            <w:fldChar w:fldCharType="end"/>
          </w:r>
        </w:p>
        <w:p w14:paraId="7A99169E">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_Toc2741 </w:instrText>
          </w:r>
          <w:r>
            <w:rPr>
              <w:rFonts w:asciiTheme="minorHAnsi" w:hAnsiTheme="minorHAnsi" w:eastAsiaTheme="minorEastAsia" w:cstheme="minorBidi"/>
              <w:szCs w:val="22"/>
              <w:lang w:val="en-US" w:eastAsia="en-US" w:bidi="ar-SA"/>
            </w:rPr>
            <w:fldChar w:fldCharType="separate"/>
          </w:r>
          <w:r>
            <w:rPr>
              <w:rFonts w:hint="default" w:eastAsia="黑体"/>
              <w:bCs w:val="0"/>
              <w:szCs w:val="24"/>
            </w:rPr>
            <w:t xml:space="preserve">1. </w:t>
          </w:r>
          <w:r>
            <w:rPr>
              <w:rFonts w:ascii="Times New Roman" w:hAnsi="Times New Roman" w:eastAsia="黑体" w:cs="Times New Roman"/>
              <w:bCs w:val="0"/>
              <w:szCs w:val="24"/>
            </w:rPr>
            <w:t>项目档案管理</w:t>
          </w:r>
          <w:r>
            <w:tab/>
          </w:r>
          <w:r>
            <w:fldChar w:fldCharType="begin"/>
          </w:r>
          <w:r>
            <w:instrText xml:space="preserve"> PAGEREF _Toc2741 \h </w:instrText>
          </w:r>
          <w:r>
            <w:fldChar w:fldCharType="separate"/>
          </w:r>
          <w:r>
            <w:t>63</w:t>
          </w:r>
          <w:r>
            <w:fldChar w:fldCharType="end"/>
          </w:r>
          <w:r>
            <w:rPr>
              <w:rFonts w:asciiTheme="minorHAnsi" w:hAnsiTheme="minorHAnsi" w:eastAsiaTheme="minorEastAsia" w:cstheme="minorBidi"/>
              <w:szCs w:val="22"/>
              <w:lang w:val="en-US" w:eastAsia="en-US" w:bidi="ar-SA"/>
            </w:rPr>
            <w:fldChar w:fldCharType="end"/>
          </w:r>
        </w:p>
        <w:p w14:paraId="5A8442C2">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_Toc12557 </w:instrText>
          </w:r>
          <w:r>
            <w:rPr>
              <w:rFonts w:asciiTheme="minorHAnsi" w:hAnsiTheme="minorHAnsi" w:eastAsiaTheme="minorEastAsia" w:cstheme="minorBidi"/>
              <w:szCs w:val="22"/>
              <w:lang w:val="en-US" w:eastAsia="en-US" w:bidi="ar-SA"/>
            </w:rPr>
            <w:fldChar w:fldCharType="separate"/>
          </w:r>
          <w:r>
            <w:rPr>
              <w:rFonts w:hint="default" w:eastAsia="黑体"/>
              <w:bCs w:val="0"/>
              <w:szCs w:val="24"/>
            </w:rPr>
            <w:t xml:space="preserve">2. </w:t>
          </w:r>
          <w:r>
            <w:rPr>
              <w:rFonts w:ascii="Times New Roman" w:hAnsi="Times New Roman" w:eastAsia="黑体" w:cs="Times New Roman"/>
              <w:bCs w:val="0"/>
              <w:szCs w:val="24"/>
            </w:rPr>
            <w:t>实时监控</w:t>
          </w:r>
          <w:r>
            <w:tab/>
          </w:r>
          <w:r>
            <w:fldChar w:fldCharType="begin"/>
          </w:r>
          <w:r>
            <w:instrText xml:space="preserve"> PAGEREF _Toc12557 \h </w:instrText>
          </w:r>
          <w:r>
            <w:fldChar w:fldCharType="separate"/>
          </w:r>
          <w:r>
            <w:t>66</w:t>
          </w:r>
          <w:r>
            <w:fldChar w:fldCharType="end"/>
          </w:r>
          <w:r>
            <w:rPr>
              <w:rFonts w:asciiTheme="minorHAnsi" w:hAnsiTheme="minorHAnsi" w:eastAsiaTheme="minorEastAsia" w:cstheme="minorBidi"/>
              <w:szCs w:val="22"/>
              <w:lang w:val="en-US" w:eastAsia="en-US" w:bidi="ar-SA"/>
            </w:rPr>
            <w:fldChar w:fldCharType="end"/>
          </w:r>
        </w:p>
        <w:p w14:paraId="2D7826A3">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_Toc25143 </w:instrText>
          </w:r>
          <w:r>
            <w:rPr>
              <w:rFonts w:asciiTheme="minorHAnsi" w:hAnsiTheme="minorHAnsi" w:eastAsiaTheme="minorEastAsia" w:cstheme="minorBidi"/>
              <w:szCs w:val="22"/>
              <w:lang w:val="en-US" w:eastAsia="en-US" w:bidi="ar-SA"/>
            </w:rPr>
            <w:fldChar w:fldCharType="separate"/>
          </w:r>
          <w:r>
            <w:rPr>
              <w:rFonts w:hint="default" w:eastAsia="黑体"/>
              <w:bCs w:val="0"/>
              <w:szCs w:val="24"/>
            </w:rPr>
            <w:t xml:space="preserve">3. </w:t>
          </w:r>
          <w:r>
            <w:rPr>
              <w:rFonts w:ascii="Times New Roman" w:hAnsi="Times New Roman" w:eastAsia="黑体" w:cs="Times New Roman"/>
              <w:bCs w:val="0"/>
              <w:szCs w:val="24"/>
            </w:rPr>
            <w:t>项目运行评估</w:t>
          </w:r>
          <w:r>
            <w:tab/>
          </w:r>
          <w:r>
            <w:fldChar w:fldCharType="begin"/>
          </w:r>
          <w:r>
            <w:instrText xml:space="preserve"> PAGEREF _Toc25143 \h </w:instrText>
          </w:r>
          <w:r>
            <w:fldChar w:fldCharType="separate"/>
          </w:r>
          <w:r>
            <w:t>69</w:t>
          </w:r>
          <w:r>
            <w:fldChar w:fldCharType="end"/>
          </w:r>
          <w:r>
            <w:rPr>
              <w:rFonts w:asciiTheme="minorHAnsi" w:hAnsiTheme="minorHAnsi" w:eastAsiaTheme="minorEastAsia" w:cstheme="minorBidi"/>
              <w:szCs w:val="22"/>
              <w:lang w:val="en-US" w:eastAsia="en-US" w:bidi="ar-SA"/>
            </w:rPr>
            <w:fldChar w:fldCharType="end"/>
          </w:r>
        </w:p>
        <w:p w14:paraId="4F6B235B">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_Toc9430 </w:instrText>
          </w:r>
          <w:r>
            <w:rPr>
              <w:rFonts w:asciiTheme="minorHAnsi" w:hAnsiTheme="minorHAnsi" w:eastAsiaTheme="minorEastAsia" w:cstheme="minorBidi"/>
              <w:szCs w:val="22"/>
              <w:lang w:val="en-US" w:eastAsia="en-US" w:bidi="ar-SA"/>
            </w:rPr>
            <w:fldChar w:fldCharType="separate"/>
          </w:r>
          <w:r>
            <w:rPr>
              <w:rFonts w:hint="default" w:eastAsia="黑体"/>
              <w:bCs w:val="0"/>
              <w:szCs w:val="24"/>
            </w:rPr>
            <w:t xml:space="preserve">4. </w:t>
          </w:r>
          <w:r>
            <w:rPr>
              <w:rFonts w:ascii="Times New Roman" w:hAnsi="Times New Roman" w:eastAsia="黑体" w:cs="Times New Roman"/>
              <w:bCs w:val="0"/>
              <w:szCs w:val="24"/>
            </w:rPr>
            <w:t>零碳工厂自评估</w:t>
          </w:r>
          <w:r>
            <w:tab/>
          </w:r>
          <w:r>
            <w:fldChar w:fldCharType="begin"/>
          </w:r>
          <w:r>
            <w:instrText xml:space="preserve"> PAGEREF _Toc9430 \h </w:instrText>
          </w:r>
          <w:r>
            <w:fldChar w:fldCharType="separate"/>
          </w:r>
          <w:r>
            <w:t>72</w:t>
          </w:r>
          <w:r>
            <w:fldChar w:fldCharType="end"/>
          </w:r>
          <w:r>
            <w:rPr>
              <w:rFonts w:asciiTheme="minorHAnsi" w:hAnsiTheme="minorHAnsi" w:eastAsiaTheme="minorEastAsia" w:cstheme="minorBidi"/>
              <w:szCs w:val="22"/>
              <w:lang w:val="en-US" w:eastAsia="en-US" w:bidi="ar-SA"/>
            </w:rPr>
            <w:fldChar w:fldCharType="end"/>
          </w:r>
        </w:p>
        <w:p w14:paraId="622F6AA1">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_Toc21137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五、 </w:t>
          </w:r>
          <w:r>
            <w:rPr>
              <w:rFonts w:ascii="Times New Roman" w:hAnsi="Times New Roman" w:eastAsia="黑体" w:cs="Times New Roman"/>
              <w:bCs w:val="0"/>
              <w:szCs w:val="32"/>
            </w:rPr>
            <w:t>统计报表</w:t>
          </w:r>
          <w:r>
            <w:tab/>
          </w:r>
          <w:r>
            <w:fldChar w:fldCharType="begin"/>
          </w:r>
          <w:r>
            <w:instrText xml:space="preserve"> PAGEREF _Toc21137 \h </w:instrText>
          </w:r>
          <w:r>
            <w:fldChar w:fldCharType="separate"/>
          </w:r>
          <w:r>
            <w:t>76</w:t>
          </w:r>
          <w:r>
            <w:fldChar w:fldCharType="end"/>
          </w:r>
          <w:r>
            <w:rPr>
              <w:rFonts w:asciiTheme="minorHAnsi" w:hAnsiTheme="minorHAnsi" w:eastAsiaTheme="minorEastAsia" w:cstheme="minorBidi"/>
              <w:szCs w:val="22"/>
              <w:lang w:val="en-US" w:eastAsia="en-US" w:bidi="ar-SA"/>
            </w:rPr>
            <w:fldChar w:fldCharType="end"/>
          </w:r>
        </w:p>
        <w:p w14:paraId="00255C67">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_Toc16583 </w:instrText>
          </w:r>
          <w:r>
            <w:rPr>
              <w:rFonts w:asciiTheme="minorHAnsi" w:hAnsiTheme="minorHAnsi" w:eastAsiaTheme="minorEastAsia" w:cstheme="minorBidi"/>
              <w:szCs w:val="22"/>
              <w:lang w:val="en-US" w:eastAsia="en-US" w:bidi="ar-SA"/>
            </w:rPr>
            <w:fldChar w:fldCharType="separate"/>
          </w:r>
          <w:r>
            <w:rPr>
              <w:rFonts w:hint="default" w:eastAsia="黑体"/>
              <w:bCs w:val="0"/>
              <w:szCs w:val="24"/>
            </w:rPr>
            <w:t xml:space="preserve">1. </w:t>
          </w:r>
          <w:r>
            <w:rPr>
              <w:rFonts w:ascii="Times New Roman" w:hAnsi="Times New Roman" w:eastAsia="黑体" w:cs="Times New Roman"/>
              <w:bCs w:val="0"/>
              <w:szCs w:val="24"/>
            </w:rPr>
            <w:t>用能报表</w:t>
          </w:r>
          <w:r>
            <w:tab/>
          </w:r>
          <w:r>
            <w:fldChar w:fldCharType="begin"/>
          </w:r>
          <w:r>
            <w:instrText xml:space="preserve"> PAGEREF _Toc16583 \h </w:instrText>
          </w:r>
          <w:r>
            <w:fldChar w:fldCharType="separate"/>
          </w:r>
          <w:r>
            <w:t>76</w:t>
          </w:r>
          <w:r>
            <w:fldChar w:fldCharType="end"/>
          </w:r>
          <w:r>
            <w:rPr>
              <w:rFonts w:asciiTheme="minorHAnsi" w:hAnsiTheme="minorHAnsi" w:eastAsiaTheme="minorEastAsia" w:cstheme="minorBidi"/>
              <w:szCs w:val="22"/>
              <w:lang w:val="en-US" w:eastAsia="en-US" w:bidi="ar-SA"/>
            </w:rPr>
            <w:fldChar w:fldCharType="end"/>
          </w:r>
        </w:p>
        <w:p w14:paraId="44AD34BF">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_Toc18272 </w:instrText>
          </w:r>
          <w:r>
            <w:rPr>
              <w:rFonts w:asciiTheme="minorHAnsi" w:hAnsiTheme="minorHAnsi" w:eastAsiaTheme="minorEastAsia" w:cstheme="minorBidi"/>
              <w:szCs w:val="22"/>
              <w:lang w:val="en-US" w:eastAsia="en-US" w:bidi="ar-SA"/>
            </w:rPr>
            <w:fldChar w:fldCharType="separate"/>
          </w:r>
          <w:r>
            <w:rPr>
              <w:rFonts w:hint="default" w:eastAsia="黑体"/>
              <w:bCs w:val="0"/>
              <w:szCs w:val="24"/>
            </w:rPr>
            <w:t xml:space="preserve">2. </w:t>
          </w:r>
          <w:r>
            <w:rPr>
              <w:rFonts w:ascii="Times New Roman" w:hAnsi="Times New Roman" w:eastAsia="黑体" w:cs="Times New Roman"/>
              <w:bCs w:val="0"/>
              <w:szCs w:val="24"/>
            </w:rPr>
            <w:t>成本报表</w:t>
          </w:r>
          <w:r>
            <w:tab/>
          </w:r>
          <w:r>
            <w:fldChar w:fldCharType="begin"/>
          </w:r>
          <w:r>
            <w:instrText xml:space="preserve"> PAGEREF _Toc18272 \h </w:instrText>
          </w:r>
          <w:r>
            <w:fldChar w:fldCharType="separate"/>
          </w:r>
          <w:r>
            <w:t>79</w:t>
          </w:r>
          <w:r>
            <w:fldChar w:fldCharType="end"/>
          </w:r>
          <w:r>
            <w:rPr>
              <w:rFonts w:asciiTheme="minorHAnsi" w:hAnsiTheme="minorHAnsi" w:eastAsiaTheme="minorEastAsia" w:cstheme="minorBidi"/>
              <w:szCs w:val="22"/>
              <w:lang w:val="en-US" w:eastAsia="en-US" w:bidi="ar-SA"/>
            </w:rPr>
            <w:fldChar w:fldCharType="end"/>
          </w:r>
        </w:p>
        <w:p w14:paraId="2A068CFF">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_Toc22933 </w:instrText>
          </w:r>
          <w:r>
            <w:rPr>
              <w:rFonts w:asciiTheme="minorHAnsi" w:hAnsiTheme="minorHAnsi" w:eastAsiaTheme="minorEastAsia" w:cstheme="minorBidi"/>
              <w:szCs w:val="22"/>
              <w:lang w:val="en-US" w:eastAsia="en-US" w:bidi="ar-SA"/>
            </w:rPr>
            <w:fldChar w:fldCharType="separate"/>
          </w:r>
          <w:r>
            <w:rPr>
              <w:rFonts w:hint="default" w:eastAsia="黑体"/>
              <w:bCs w:val="0"/>
              <w:szCs w:val="24"/>
            </w:rPr>
            <w:t xml:space="preserve">3. </w:t>
          </w:r>
          <w:r>
            <w:rPr>
              <w:rFonts w:ascii="Times New Roman" w:hAnsi="Times New Roman" w:eastAsia="黑体" w:cs="Times New Roman"/>
              <w:bCs w:val="0"/>
              <w:szCs w:val="24"/>
            </w:rPr>
            <w:t>单耗报表</w:t>
          </w:r>
          <w:r>
            <w:tab/>
          </w:r>
          <w:r>
            <w:fldChar w:fldCharType="begin"/>
          </w:r>
          <w:r>
            <w:instrText xml:space="preserve"> PAGEREF _Toc22933 \h </w:instrText>
          </w:r>
          <w:r>
            <w:fldChar w:fldCharType="separate"/>
          </w:r>
          <w:r>
            <w:t>82</w:t>
          </w:r>
          <w:r>
            <w:fldChar w:fldCharType="end"/>
          </w:r>
          <w:r>
            <w:rPr>
              <w:rFonts w:asciiTheme="minorHAnsi" w:hAnsiTheme="minorHAnsi" w:eastAsiaTheme="minorEastAsia" w:cstheme="minorBidi"/>
              <w:szCs w:val="22"/>
              <w:lang w:val="en-US" w:eastAsia="en-US" w:bidi="ar-SA"/>
            </w:rPr>
            <w:fldChar w:fldCharType="end"/>
          </w:r>
        </w:p>
        <w:p w14:paraId="768A9101">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_Toc9191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六、 </w:t>
          </w:r>
          <w:r>
            <w:rPr>
              <w:rFonts w:hint="eastAsia" w:cs="Times New Roman"/>
              <w:bCs w:val="0"/>
              <w:szCs w:val="32"/>
              <w:lang w:val="en-US" w:eastAsia="zh-CN"/>
            </w:rPr>
            <w:t>企业基础信息</w:t>
          </w:r>
          <w:r>
            <w:tab/>
          </w:r>
          <w:r>
            <w:fldChar w:fldCharType="begin"/>
          </w:r>
          <w:r>
            <w:instrText xml:space="preserve"> PAGEREF _Toc9191 \h </w:instrText>
          </w:r>
          <w:r>
            <w:fldChar w:fldCharType="separate"/>
          </w:r>
          <w:r>
            <w:t>85</w:t>
          </w:r>
          <w:r>
            <w:fldChar w:fldCharType="end"/>
          </w:r>
          <w:r>
            <w:rPr>
              <w:rFonts w:asciiTheme="minorHAnsi" w:hAnsiTheme="minorHAnsi" w:eastAsiaTheme="minorEastAsia" w:cstheme="minorBidi"/>
              <w:szCs w:val="22"/>
              <w:lang w:val="en-US" w:eastAsia="en-US" w:bidi="ar-SA"/>
            </w:rPr>
            <w:fldChar w:fldCharType="end"/>
          </w:r>
        </w:p>
        <w:p w14:paraId="6D9B6159">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_Toc10576 </w:instrText>
          </w:r>
          <w:r>
            <w:rPr>
              <w:rFonts w:asciiTheme="minorHAnsi" w:hAnsiTheme="minorHAnsi" w:eastAsiaTheme="minorEastAsia" w:cstheme="minorBidi"/>
              <w:szCs w:val="22"/>
              <w:lang w:val="en-US" w:eastAsia="en-US" w:bidi="ar-SA"/>
            </w:rPr>
            <w:fldChar w:fldCharType="separate"/>
          </w:r>
          <w:r>
            <w:rPr>
              <w:rFonts w:hint="default" w:eastAsia="黑体"/>
              <w:bCs w:val="0"/>
              <w:szCs w:val="24"/>
            </w:rPr>
            <w:t xml:space="preserve">1. </w:t>
          </w:r>
          <w:r>
            <w:rPr>
              <w:rFonts w:hint="eastAsia" w:cs="Times New Roman"/>
              <w:bCs w:val="0"/>
              <w:szCs w:val="24"/>
              <w:lang w:val="en-US" w:eastAsia="zh-CN"/>
            </w:rPr>
            <w:t>企业基础信息</w:t>
          </w:r>
          <w:r>
            <w:tab/>
          </w:r>
          <w:r>
            <w:fldChar w:fldCharType="begin"/>
          </w:r>
          <w:r>
            <w:instrText xml:space="preserve"> PAGEREF _Toc10576 \h </w:instrText>
          </w:r>
          <w:r>
            <w:fldChar w:fldCharType="separate"/>
          </w:r>
          <w:r>
            <w:t>85</w:t>
          </w:r>
          <w:r>
            <w:fldChar w:fldCharType="end"/>
          </w:r>
          <w:r>
            <w:rPr>
              <w:rFonts w:asciiTheme="minorHAnsi" w:hAnsiTheme="minorHAnsi" w:eastAsiaTheme="minorEastAsia" w:cstheme="minorBidi"/>
              <w:szCs w:val="22"/>
              <w:lang w:val="en-US" w:eastAsia="en-US" w:bidi="ar-SA"/>
            </w:rPr>
            <w:fldChar w:fldCharType="end"/>
          </w:r>
        </w:p>
        <w:p w14:paraId="334B4B45">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_Toc30311 </w:instrText>
          </w:r>
          <w:r>
            <w:rPr>
              <w:rFonts w:asciiTheme="minorHAnsi" w:hAnsiTheme="minorHAnsi" w:eastAsiaTheme="minorEastAsia" w:cstheme="minorBidi"/>
              <w:szCs w:val="22"/>
              <w:lang w:val="en-US" w:eastAsia="en-US" w:bidi="ar-SA"/>
            </w:rPr>
            <w:fldChar w:fldCharType="separate"/>
          </w:r>
          <w:r>
            <w:rPr>
              <w:rFonts w:hint="default" w:eastAsia="黑体"/>
              <w:bCs w:val="0"/>
              <w:szCs w:val="24"/>
            </w:rPr>
            <w:t xml:space="preserve">2. </w:t>
          </w:r>
          <w:r>
            <w:rPr>
              <w:rFonts w:hint="eastAsia"/>
              <w:bCs w:val="0"/>
              <w:szCs w:val="24"/>
              <w:lang w:val="en-US" w:eastAsia="zh-CN"/>
            </w:rPr>
            <w:t>零碳工厂信息</w:t>
          </w:r>
          <w:r>
            <w:tab/>
          </w:r>
          <w:r>
            <w:fldChar w:fldCharType="begin"/>
          </w:r>
          <w:r>
            <w:instrText xml:space="preserve"> PAGEREF _Toc30311 \h </w:instrText>
          </w:r>
          <w:r>
            <w:fldChar w:fldCharType="separate"/>
          </w:r>
          <w:r>
            <w:t>89</w:t>
          </w:r>
          <w:r>
            <w:fldChar w:fldCharType="end"/>
          </w:r>
          <w:r>
            <w:rPr>
              <w:rFonts w:asciiTheme="minorHAnsi" w:hAnsiTheme="minorHAnsi" w:eastAsiaTheme="minorEastAsia" w:cstheme="minorBidi"/>
              <w:szCs w:val="22"/>
              <w:lang w:val="en-US" w:eastAsia="en-US" w:bidi="ar-SA"/>
            </w:rPr>
            <w:fldChar w:fldCharType="end"/>
          </w:r>
        </w:p>
        <w:p w14:paraId="3CD046B7">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_Toc6112 </w:instrText>
          </w:r>
          <w:r>
            <w:rPr>
              <w:rFonts w:asciiTheme="minorHAnsi" w:hAnsiTheme="minorHAnsi" w:eastAsiaTheme="minorEastAsia" w:cstheme="minorBidi"/>
              <w:szCs w:val="22"/>
              <w:lang w:val="en-US" w:eastAsia="en-US" w:bidi="ar-SA"/>
            </w:rPr>
            <w:fldChar w:fldCharType="separate"/>
          </w:r>
          <w:r>
            <w:rPr>
              <w:rFonts w:hint="eastAsia" w:eastAsia="黑体"/>
              <w:bCs w:val="0"/>
              <w:szCs w:val="44"/>
            </w:rPr>
            <w:t xml:space="preserve">第三章 </w:t>
          </w:r>
          <w:r>
            <w:rPr>
              <w:rFonts w:ascii="Times New Roman" w:hAnsi="Times New Roman" w:eastAsia="黑体" w:cs="Times New Roman"/>
              <w:bCs w:val="0"/>
              <w:szCs w:val="44"/>
            </w:rPr>
            <w:t>产品碳足迹集采中心功能需求规格</w:t>
          </w:r>
          <w:r>
            <w:tab/>
          </w:r>
          <w:r>
            <w:fldChar w:fldCharType="begin"/>
          </w:r>
          <w:r>
            <w:instrText xml:space="preserve"> PAGEREF _Toc6112 \h </w:instrText>
          </w:r>
          <w:r>
            <w:fldChar w:fldCharType="separate"/>
          </w:r>
          <w:r>
            <w:t>94</w:t>
          </w:r>
          <w:r>
            <w:fldChar w:fldCharType="end"/>
          </w:r>
          <w:r>
            <w:rPr>
              <w:rFonts w:asciiTheme="minorHAnsi" w:hAnsiTheme="minorHAnsi" w:eastAsiaTheme="minorEastAsia" w:cstheme="minorBidi"/>
              <w:szCs w:val="22"/>
              <w:lang w:val="en-US" w:eastAsia="en-US" w:bidi="ar-SA"/>
            </w:rPr>
            <w:fldChar w:fldCharType="end"/>
          </w:r>
        </w:p>
        <w:p w14:paraId="5A14850C">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_Toc30505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一、 </w:t>
          </w:r>
          <w:r>
            <w:rPr>
              <w:rFonts w:ascii="Times New Roman" w:hAnsi="Times New Roman" w:eastAsia="黑体" w:cs="Times New Roman"/>
              <w:bCs w:val="0"/>
              <w:szCs w:val="32"/>
            </w:rPr>
            <w:t>对外示范窗口</w:t>
          </w:r>
          <w:r>
            <w:tab/>
          </w:r>
          <w:r>
            <w:fldChar w:fldCharType="begin"/>
          </w:r>
          <w:r>
            <w:instrText xml:space="preserve"> PAGEREF _Toc30505 \h </w:instrText>
          </w:r>
          <w:r>
            <w:fldChar w:fldCharType="separate"/>
          </w:r>
          <w:r>
            <w:t>94</w:t>
          </w:r>
          <w:r>
            <w:fldChar w:fldCharType="end"/>
          </w:r>
          <w:r>
            <w:rPr>
              <w:rFonts w:asciiTheme="minorHAnsi" w:hAnsiTheme="minorHAnsi" w:eastAsiaTheme="minorEastAsia" w:cstheme="minorBidi"/>
              <w:szCs w:val="22"/>
              <w:lang w:val="en-US" w:eastAsia="en-US" w:bidi="ar-SA"/>
            </w:rPr>
            <w:fldChar w:fldCharType="end"/>
          </w:r>
        </w:p>
        <w:p w14:paraId="2613C692">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_Toc13410 </w:instrText>
          </w:r>
          <w:r>
            <w:rPr>
              <w:rFonts w:asciiTheme="minorHAnsi" w:hAnsiTheme="minorHAnsi" w:eastAsiaTheme="minorEastAsia" w:cstheme="minorBidi"/>
              <w:szCs w:val="22"/>
              <w:lang w:val="en-US" w:eastAsia="en-US" w:bidi="ar-SA"/>
            </w:rPr>
            <w:fldChar w:fldCharType="separate"/>
          </w:r>
          <w:r>
            <w:rPr>
              <w:rFonts w:hint="default" w:ascii="Times New Roman" w:hAnsi="Times New Roman" w:eastAsia="黑体" w:cs="Times New Roman"/>
              <w:bCs w:val="0"/>
              <w:szCs w:val="24"/>
            </w:rPr>
            <w:t xml:space="preserve">1. </w:t>
          </w:r>
          <w:r>
            <w:rPr>
              <w:rFonts w:ascii="Times New Roman" w:hAnsi="Times New Roman" w:eastAsia="黑体" w:cs="Times New Roman"/>
              <w:bCs w:val="0"/>
              <w:szCs w:val="24"/>
            </w:rPr>
            <w:t>碳足迹总览驾驶舱</w:t>
          </w:r>
          <w:r>
            <w:tab/>
          </w:r>
          <w:r>
            <w:fldChar w:fldCharType="begin"/>
          </w:r>
          <w:r>
            <w:instrText xml:space="preserve"> PAGEREF _Toc13410 \h </w:instrText>
          </w:r>
          <w:r>
            <w:fldChar w:fldCharType="separate"/>
          </w:r>
          <w:r>
            <w:t>94</w:t>
          </w:r>
          <w:r>
            <w:fldChar w:fldCharType="end"/>
          </w:r>
          <w:r>
            <w:rPr>
              <w:rFonts w:asciiTheme="minorHAnsi" w:hAnsiTheme="minorHAnsi" w:eastAsiaTheme="minorEastAsia" w:cstheme="minorBidi"/>
              <w:szCs w:val="22"/>
              <w:lang w:val="en-US" w:eastAsia="en-US" w:bidi="ar-SA"/>
            </w:rPr>
            <w:fldChar w:fldCharType="end"/>
          </w:r>
        </w:p>
        <w:p w14:paraId="56B0AAB5">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_Toc14569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二、 </w:t>
          </w:r>
          <w:r>
            <w:rPr>
              <w:rFonts w:ascii="Times New Roman" w:hAnsi="Times New Roman" w:eastAsia="黑体" w:cs="Times New Roman"/>
              <w:bCs w:val="0"/>
              <w:szCs w:val="32"/>
            </w:rPr>
            <w:t>多维分析</w:t>
          </w:r>
          <w:r>
            <w:tab/>
          </w:r>
          <w:r>
            <w:fldChar w:fldCharType="begin"/>
          </w:r>
          <w:r>
            <w:instrText xml:space="preserve"> PAGEREF _Toc14569 \h </w:instrText>
          </w:r>
          <w:r>
            <w:fldChar w:fldCharType="separate"/>
          </w:r>
          <w:r>
            <w:t>97</w:t>
          </w:r>
          <w:r>
            <w:fldChar w:fldCharType="end"/>
          </w:r>
          <w:r>
            <w:rPr>
              <w:rFonts w:asciiTheme="minorHAnsi" w:hAnsiTheme="minorHAnsi" w:eastAsiaTheme="minorEastAsia" w:cstheme="minorBidi"/>
              <w:szCs w:val="22"/>
              <w:lang w:val="en-US" w:eastAsia="en-US" w:bidi="ar-SA"/>
            </w:rPr>
            <w:fldChar w:fldCharType="end"/>
          </w:r>
        </w:p>
        <w:p w14:paraId="540ED7F5">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_Toc20078 </w:instrText>
          </w:r>
          <w:r>
            <w:rPr>
              <w:rFonts w:asciiTheme="minorHAnsi" w:hAnsiTheme="minorHAnsi" w:eastAsiaTheme="minorEastAsia" w:cstheme="minorBidi"/>
              <w:szCs w:val="22"/>
              <w:lang w:val="en-US" w:eastAsia="en-US" w:bidi="ar-SA"/>
            </w:rPr>
            <w:fldChar w:fldCharType="separate"/>
          </w:r>
          <w:r>
            <w:rPr>
              <w:rFonts w:hint="default" w:eastAsia="黑体"/>
              <w:bCs w:val="0"/>
              <w:szCs w:val="24"/>
            </w:rPr>
            <w:t xml:space="preserve">1. </w:t>
          </w:r>
          <w:r>
            <w:rPr>
              <w:rFonts w:ascii="Times New Roman" w:hAnsi="Times New Roman" w:eastAsia="黑体" w:cs="Times New Roman"/>
              <w:bCs w:val="0"/>
              <w:szCs w:val="24"/>
            </w:rPr>
            <w:t>横向对比</w:t>
          </w:r>
          <w:r>
            <w:tab/>
          </w:r>
          <w:r>
            <w:fldChar w:fldCharType="begin"/>
          </w:r>
          <w:r>
            <w:instrText xml:space="preserve"> PAGEREF _Toc20078 \h </w:instrText>
          </w:r>
          <w:r>
            <w:fldChar w:fldCharType="separate"/>
          </w:r>
          <w:r>
            <w:t>98</w:t>
          </w:r>
          <w:r>
            <w:fldChar w:fldCharType="end"/>
          </w:r>
          <w:r>
            <w:rPr>
              <w:rFonts w:asciiTheme="minorHAnsi" w:hAnsiTheme="minorHAnsi" w:eastAsiaTheme="minorEastAsia" w:cstheme="minorBidi"/>
              <w:szCs w:val="22"/>
              <w:lang w:val="en-US" w:eastAsia="en-US" w:bidi="ar-SA"/>
            </w:rPr>
            <w:fldChar w:fldCharType="end"/>
          </w:r>
        </w:p>
        <w:p w14:paraId="75F5EEF5">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_Toc23937 </w:instrText>
          </w:r>
          <w:r>
            <w:rPr>
              <w:rFonts w:asciiTheme="minorHAnsi" w:hAnsiTheme="minorHAnsi" w:eastAsiaTheme="minorEastAsia" w:cstheme="minorBidi"/>
              <w:szCs w:val="22"/>
              <w:lang w:val="en-US" w:eastAsia="en-US" w:bidi="ar-SA"/>
            </w:rPr>
            <w:fldChar w:fldCharType="separate"/>
          </w:r>
          <w:r>
            <w:rPr>
              <w:rFonts w:hint="default" w:eastAsia="黑体"/>
              <w:bCs w:val="0"/>
              <w:szCs w:val="24"/>
            </w:rPr>
            <w:t xml:space="preserve">2. </w:t>
          </w:r>
          <w:r>
            <w:rPr>
              <w:rFonts w:ascii="Times New Roman" w:hAnsi="Times New Roman" w:eastAsia="黑体" w:cs="Times New Roman"/>
              <w:bCs w:val="0"/>
              <w:szCs w:val="24"/>
            </w:rPr>
            <w:t>纵向</w:t>
          </w:r>
          <w:r>
            <w:rPr>
              <w:rFonts w:hint="eastAsia" w:cs="Times New Roman"/>
              <w:bCs w:val="0"/>
              <w:szCs w:val="24"/>
              <w:lang w:val="en-US" w:eastAsia="zh-CN"/>
            </w:rPr>
            <w:t>对比</w:t>
          </w:r>
          <w:r>
            <w:tab/>
          </w:r>
          <w:r>
            <w:fldChar w:fldCharType="begin"/>
          </w:r>
          <w:r>
            <w:instrText xml:space="preserve"> PAGEREF _Toc23937 \h </w:instrText>
          </w:r>
          <w:r>
            <w:fldChar w:fldCharType="separate"/>
          </w:r>
          <w:r>
            <w:t>101</w:t>
          </w:r>
          <w:r>
            <w:fldChar w:fldCharType="end"/>
          </w:r>
          <w:r>
            <w:rPr>
              <w:rFonts w:asciiTheme="minorHAnsi" w:hAnsiTheme="minorHAnsi" w:eastAsiaTheme="minorEastAsia" w:cstheme="minorBidi"/>
              <w:szCs w:val="22"/>
              <w:lang w:val="en-US" w:eastAsia="en-US" w:bidi="ar-SA"/>
            </w:rPr>
            <w:fldChar w:fldCharType="end"/>
          </w:r>
        </w:p>
        <w:p w14:paraId="37508159">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_Toc22158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三、 </w:t>
          </w:r>
          <w:r>
            <w:rPr>
              <w:rFonts w:ascii="Times New Roman" w:hAnsi="Times New Roman" w:eastAsia="黑体" w:cs="Times New Roman"/>
              <w:bCs w:val="0"/>
              <w:szCs w:val="32"/>
            </w:rPr>
            <w:t>实景数据库与碳足迹核算</w:t>
          </w:r>
          <w:r>
            <w:tab/>
          </w:r>
          <w:r>
            <w:fldChar w:fldCharType="begin"/>
          </w:r>
          <w:r>
            <w:instrText xml:space="preserve"> PAGEREF _Toc22158 \h </w:instrText>
          </w:r>
          <w:r>
            <w:fldChar w:fldCharType="separate"/>
          </w:r>
          <w:r>
            <w:t>104</w:t>
          </w:r>
          <w:r>
            <w:fldChar w:fldCharType="end"/>
          </w:r>
          <w:r>
            <w:rPr>
              <w:rFonts w:asciiTheme="minorHAnsi" w:hAnsiTheme="minorHAnsi" w:eastAsiaTheme="minorEastAsia" w:cstheme="minorBidi"/>
              <w:szCs w:val="22"/>
              <w:lang w:val="en-US" w:eastAsia="en-US" w:bidi="ar-SA"/>
            </w:rPr>
            <w:fldChar w:fldCharType="end"/>
          </w:r>
        </w:p>
        <w:p w14:paraId="3C819A43">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_Toc30983 </w:instrText>
          </w:r>
          <w:r>
            <w:rPr>
              <w:rFonts w:asciiTheme="minorHAnsi" w:hAnsiTheme="minorHAnsi" w:eastAsiaTheme="minorEastAsia" w:cstheme="minorBidi"/>
              <w:szCs w:val="22"/>
              <w:lang w:val="en-US" w:eastAsia="en-US" w:bidi="ar-SA"/>
            </w:rPr>
            <w:fldChar w:fldCharType="separate"/>
          </w:r>
          <w:r>
            <w:rPr>
              <w:rFonts w:hint="default" w:eastAsia="黑体"/>
              <w:bCs w:val="0"/>
              <w:szCs w:val="24"/>
            </w:rPr>
            <w:t xml:space="preserve">1. </w:t>
          </w:r>
          <w:r>
            <w:rPr>
              <w:rFonts w:ascii="Times New Roman" w:hAnsi="Times New Roman" w:eastAsia="黑体" w:cs="Times New Roman"/>
              <w:bCs w:val="0"/>
              <w:szCs w:val="24"/>
            </w:rPr>
            <w:t>实景数据库</w:t>
          </w:r>
          <w:r>
            <w:tab/>
          </w:r>
          <w:r>
            <w:fldChar w:fldCharType="begin"/>
          </w:r>
          <w:r>
            <w:instrText xml:space="preserve"> PAGEREF _Toc30983 \h </w:instrText>
          </w:r>
          <w:r>
            <w:fldChar w:fldCharType="separate"/>
          </w:r>
          <w:r>
            <w:t>104</w:t>
          </w:r>
          <w:r>
            <w:fldChar w:fldCharType="end"/>
          </w:r>
          <w:r>
            <w:rPr>
              <w:rFonts w:asciiTheme="minorHAnsi" w:hAnsiTheme="minorHAnsi" w:eastAsiaTheme="minorEastAsia" w:cstheme="minorBidi"/>
              <w:szCs w:val="22"/>
              <w:lang w:val="en-US" w:eastAsia="en-US" w:bidi="ar-SA"/>
            </w:rPr>
            <w:fldChar w:fldCharType="end"/>
          </w:r>
        </w:p>
        <w:p w14:paraId="43B2E28B">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_Toc10094 </w:instrText>
          </w:r>
          <w:r>
            <w:rPr>
              <w:rFonts w:asciiTheme="minorHAnsi" w:hAnsiTheme="minorHAnsi" w:eastAsiaTheme="minorEastAsia" w:cstheme="minorBidi"/>
              <w:szCs w:val="22"/>
              <w:lang w:val="en-US" w:eastAsia="en-US" w:bidi="ar-SA"/>
            </w:rPr>
            <w:fldChar w:fldCharType="separate"/>
          </w:r>
          <w:r>
            <w:rPr>
              <w:rFonts w:hint="default" w:eastAsia="黑体"/>
              <w:bCs w:val="0"/>
              <w:szCs w:val="24"/>
            </w:rPr>
            <w:t xml:space="preserve">2. </w:t>
          </w:r>
          <w:r>
            <w:rPr>
              <w:rFonts w:ascii="Times New Roman" w:hAnsi="Times New Roman" w:eastAsia="黑体" w:cs="Times New Roman"/>
              <w:bCs w:val="0"/>
              <w:szCs w:val="24"/>
            </w:rPr>
            <w:t>碳足迹核算</w:t>
          </w:r>
          <w:r>
            <w:tab/>
          </w:r>
          <w:r>
            <w:fldChar w:fldCharType="begin"/>
          </w:r>
          <w:r>
            <w:instrText xml:space="preserve"> PAGEREF _Toc10094 \h </w:instrText>
          </w:r>
          <w:r>
            <w:fldChar w:fldCharType="separate"/>
          </w:r>
          <w:r>
            <w:t>108</w:t>
          </w:r>
          <w:r>
            <w:fldChar w:fldCharType="end"/>
          </w:r>
          <w:r>
            <w:rPr>
              <w:rFonts w:asciiTheme="minorHAnsi" w:hAnsiTheme="minorHAnsi" w:eastAsiaTheme="minorEastAsia" w:cstheme="minorBidi"/>
              <w:szCs w:val="22"/>
              <w:lang w:val="en-US" w:eastAsia="en-US" w:bidi="ar-SA"/>
            </w:rPr>
            <w:fldChar w:fldCharType="end"/>
          </w:r>
        </w:p>
        <w:p w14:paraId="7DE37ED6">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_Toc24248 </w:instrText>
          </w:r>
          <w:r>
            <w:rPr>
              <w:rFonts w:asciiTheme="minorHAnsi" w:hAnsiTheme="minorHAnsi" w:eastAsiaTheme="minorEastAsia" w:cstheme="minorBidi"/>
              <w:szCs w:val="22"/>
              <w:lang w:val="en-US" w:eastAsia="en-US" w:bidi="ar-SA"/>
            </w:rPr>
            <w:fldChar w:fldCharType="separate"/>
          </w:r>
          <w:r>
            <w:rPr>
              <w:rFonts w:hint="default" w:eastAsia="黑体"/>
              <w:bCs w:val="0"/>
              <w:szCs w:val="24"/>
            </w:rPr>
            <w:t xml:space="preserve">3. </w:t>
          </w:r>
          <w:r>
            <w:rPr>
              <w:rFonts w:ascii="Times New Roman" w:hAnsi="Times New Roman" w:eastAsia="黑体" w:cs="Times New Roman"/>
              <w:bCs w:val="0"/>
              <w:szCs w:val="24"/>
            </w:rPr>
            <w:t>碳足迹报告</w:t>
          </w:r>
          <w:r>
            <w:tab/>
          </w:r>
          <w:r>
            <w:fldChar w:fldCharType="begin"/>
          </w:r>
          <w:r>
            <w:instrText xml:space="preserve"> PAGEREF _Toc24248 \h </w:instrText>
          </w:r>
          <w:r>
            <w:fldChar w:fldCharType="separate"/>
          </w:r>
          <w:r>
            <w:t>113</w:t>
          </w:r>
          <w:r>
            <w:fldChar w:fldCharType="end"/>
          </w:r>
          <w:r>
            <w:rPr>
              <w:rFonts w:asciiTheme="minorHAnsi" w:hAnsiTheme="minorHAnsi" w:eastAsiaTheme="minorEastAsia" w:cstheme="minorBidi"/>
              <w:szCs w:val="22"/>
              <w:lang w:val="en-US" w:eastAsia="en-US" w:bidi="ar-SA"/>
            </w:rPr>
            <w:fldChar w:fldCharType="end"/>
          </w:r>
        </w:p>
        <w:p w14:paraId="76F50038">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_Toc9612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四、 </w:t>
          </w:r>
          <w:r>
            <w:rPr>
              <w:rFonts w:ascii="Times New Roman" w:hAnsi="Times New Roman" w:eastAsia="黑体" w:cs="Times New Roman"/>
              <w:bCs w:val="0"/>
              <w:szCs w:val="32"/>
            </w:rPr>
            <w:t>CBAM 管理</w:t>
          </w:r>
          <w:r>
            <w:tab/>
          </w:r>
          <w:r>
            <w:fldChar w:fldCharType="begin"/>
          </w:r>
          <w:r>
            <w:instrText xml:space="preserve"> PAGEREF _Toc9612 \h </w:instrText>
          </w:r>
          <w:r>
            <w:fldChar w:fldCharType="separate"/>
          </w:r>
          <w:r>
            <w:t>115</w:t>
          </w:r>
          <w:r>
            <w:fldChar w:fldCharType="end"/>
          </w:r>
          <w:r>
            <w:rPr>
              <w:rFonts w:asciiTheme="minorHAnsi" w:hAnsiTheme="minorHAnsi" w:eastAsiaTheme="minorEastAsia" w:cstheme="minorBidi"/>
              <w:szCs w:val="22"/>
              <w:lang w:val="en-US" w:eastAsia="en-US" w:bidi="ar-SA"/>
            </w:rPr>
            <w:fldChar w:fldCharType="end"/>
          </w:r>
        </w:p>
        <w:p w14:paraId="2D798BC4">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_Toc11881 </w:instrText>
          </w:r>
          <w:r>
            <w:rPr>
              <w:rFonts w:asciiTheme="minorHAnsi" w:hAnsiTheme="minorHAnsi" w:eastAsiaTheme="minorEastAsia" w:cstheme="minorBidi"/>
              <w:szCs w:val="22"/>
              <w:lang w:val="en-US" w:eastAsia="en-US" w:bidi="ar-SA"/>
            </w:rPr>
            <w:fldChar w:fldCharType="separate"/>
          </w:r>
          <w:r>
            <w:rPr>
              <w:rFonts w:hint="default" w:eastAsia="黑体"/>
              <w:bCs w:val="0"/>
              <w:szCs w:val="24"/>
            </w:rPr>
            <w:t xml:space="preserve">1. </w:t>
          </w:r>
          <w:r>
            <w:rPr>
              <w:rFonts w:ascii="Times New Roman" w:hAnsi="Times New Roman" w:eastAsia="黑体" w:cs="Times New Roman"/>
              <w:bCs w:val="0"/>
              <w:szCs w:val="24"/>
            </w:rPr>
            <w:t>合规管理</w:t>
          </w:r>
          <w:r>
            <w:tab/>
          </w:r>
          <w:r>
            <w:fldChar w:fldCharType="begin"/>
          </w:r>
          <w:r>
            <w:instrText xml:space="preserve"> PAGEREF _Toc11881 \h </w:instrText>
          </w:r>
          <w:r>
            <w:fldChar w:fldCharType="separate"/>
          </w:r>
          <w:r>
            <w:t>116</w:t>
          </w:r>
          <w:r>
            <w:fldChar w:fldCharType="end"/>
          </w:r>
          <w:r>
            <w:rPr>
              <w:rFonts w:asciiTheme="minorHAnsi" w:hAnsiTheme="minorHAnsi" w:eastAsiaTheme="minorEastAsia" w:cstheme="minorBidi"/>
              <w:szCs w:val="22"/>
              <w:lang w:val="en-US" w:eastAsia="en-US" w:bidi="ar-SA"/>
            </w:rPr>
            <w:fldChar w:fldCharType="end"/>
          </w:r>
        </w:p>
        <w:p w14:paraId="02B2E7C7">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_Toc20854 </w:instrText>
          </w:r>
          <w:r>
            <w:rPr>
              <w:rFonts w:asciiTheme="minorHAnsi" w:hAnsiTheme="minorHAnsi" w:eastAsiaTheme="minorEastAsia" w:cstheme="minorBidi"/>
              <w:szCs w:val="22"/>
              <w:lang w:val="en-US" w:eastAsia="en-US" w:bidi="ar-SA"/>
            </w:rPr>
            <w:fldChar w:fldCharType="separate"/>
          </w:r>
          <w:r>
            <w:rPr>
              <w:rFonts w:hint="default" w:eastAsia="黑体"/>
              <w:bCs w:val="0"/>
              <w:szCs w:val="24"/>
            </w:rPr>
            <w:t xml:space="preserve">2. </w:t>
          </w:r>
          <w:r>
            <w:rPr>
              <w:rFonts w:ascii="Times New Roman" w:hAnsi="Times New Roman" w:eastAsia="黑体" w:cs="Times New Roman"/>
              <w:bCs w:val="0"/>
              <w:szCs w:val="24"/>
            </w:rPr>
            <w:t>申报模拟</w:t>
          </w:r>
          <w:r>
            <w:tab/>
          </w:r>
          <w:r>
            <w:fldChar w:fldCharType="begin"/>
          </w:r>
          <w:r>
            <w:instrText xml:space="preserve"> PAGEREF _Toc20854 \h </w:instrText>
          </w:r>
          <w:r>
            <w:fldChar w:fldCharType="separate"/>
          </w:r>
          <w:r>
            <w:t>119</w:t>
          </w:r>
          <w:r>
            <w:fldChar w:fldCharType="end"/>
          </w:r>
          <w:r>
            <w:rPr>
              <w:rFonts w:asciiTheme="minorHAnsi" w:hAnsiTheme="minorHAnsi" w:eastAsiaTheme="minorEastAsia" w:cstheme="minorBidi"/>
              <w:szCs w:val="22"/>
              <w:lang w:val="en-US" w:eastAsia="en-US" w:bidi="ar-SA"/>
            </w:rPr>
            <w:fldChar w:fldCharType="end"/>
          </w:r>
        </w:p>
        <w:p w14:paraId="05F9280A">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_Toc28246 </w:instrText>
          </w:r>
          <w:r>
            <w:rPr>
              <w:rFonts w:asciiTheme="minorHAnsi" w:hAnsiTheme="minorHAnsi" w:eastAsiaTheme="minorEastAsia" w:cstheme="minorBidi"/>
              <w:szCs w:val="22"/>
              <w:lang w:val="en-US" w:eastAsia="en-US" w:bidi="ar-SA"/>
            </w:rPr>
            <w:fldChar w:fldCharType="separate"/>
          </w:r>
          <w:r>
            <w:rPr>
              <w:rFonts w:hint="default" w:eastAsia="黑体"/>
              <w:bCs w:val="0"/>
              <w:szCs w:val="24"/>
            </w:rPr>
            <w:t xml:space="preserve">3. </w:t>
          </w:r>
          <w:r>
            <w:rPr>
              <w:rFonts w:ascii="Times New Roman" w:hAnsi="Times New Roman" w:eastAsia="黑体" w:cs="Times New Roman"/>
              <w:bCs w:val="0"/>
              <w:szCs w:val="24"/>
            </w:rPr>
            <w:t>知识库</w:t>
          </w:r>
          <w:r>
            <w:tab/>
          </w:r>
          <w:r>
            <w:fldChar w:fldCharType="begin"/>
          </w:r>
          <w:r>
            <w:instrText xml:space="preserve"> PAGEREF _Toc28246 \h </w:instrText>
          </w:r>
          <w:r>
            <w:fldChar w:fldCharType="separate"/>
          </w:r>
          <w:r>
            <w:t>123</w:t>
          </w:r>
          <w:r>
            <w:fldChar w:fldCharType="end"/>
          </w:r>
          <w:r>
            <w:rPr>
              <w:rFonts w:asciiTheme="minorHAnsi" w:hAnsiTheme="minorHAnsi" w:eastAsiaTheme="minorEastAsia" w:cstheme="minorBidi"/>
              <w:szCs w:val="22"/>
              <w:lang w:val="en-US" w:eastAsia="en-US" w:bidi="ar-SA"/>
            </w:rPr>
            <w:fldChar w:fldCharType="end"/>
          </w:r>
        </w:p>
        <w:p w14:paraId="3B4BB8A7">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_Toc2256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五、 </w:t>
          </w:r>
          <w:r>
            <w:rPr>
              <w:rFonts w:ascii="Times New Roman" w:hAnsi="Times New Roman" w:eastAsia="黑体" w:cs="Times New Roman"/>
              <w:bCs w:val="0"/>
              <w:szCs w:val="32"/>
            </w:rPr>
            <w:t>第三方认证管理</w:t>
          </w:r>
          <w:r>
            <w:tab/>
          </w:r>
          <w:r>
            <w:fldChar w:fldCharType="begin"/>
          </w:r>
          <w:r>
            <w:instrText xml:space="preserve"> PAGEREF _Toc2256 \h </w:instrText>
          </w:r>
          <w:r>
            <w:fldChar w:fldCharType="separate"/>
          </w:r>
          <w:r>
            <w:t>126</w:t>
          </w:r>
          <w:r>
            <w:fldChar w:fldCharType="end"/>
          </w:r>
          <w:r>
            <w:rPr>
              <w:rFonts w:asciiTheme="minorHAnsi" w:hAnsiTheme="minorHAnsi" w:eastAsiaTheme="minorEastAsia" w:cstheme="minorBidi"/>
              <w:szCs w:val="22"/>
              <w:lang w:val="en-US" w:eastAsia="en-US" w:bidi="ar-SA"/>
            </w:rPr>
            <w:fldChar w:fldCharType="end"/>
          </w:r>
        </w:p>
        <w:p w14:paraId="63128943">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_Toc7298 </w:instrText>
          </w:r>
          <w:r>
            <w:rPr>
              <w:rFonts w:asciiTheme="minorHAnsi" w:hAnsiTheme="minorHAnsi" w:eastAsiaTheme="minorEastAsia" w:cstheme="minorBidi"/>
              <w:szCs w:val="22"/>
              <w:lang w:val="en-US" w:eastAsia="en-US" w:bidi="ar-SA"/>
            </w:rPr>
            <w:fldChar w:fldCharType="separate"/>
          </w:r>
          <w:r>
            <w:rPr>
              <w:rFonts w:hint="default" w:ascii="Times New Roman" w:hAnsi="Times New Roman" w:eastAsia="黑体" w:cs="Times New Roman"/>
              <w:bCs w:val="0"/>
              <w:szCs w:val="24"/>
            </w:rPr>
            <w:t xml:space="preserve">1. </w:t>
          </w:r>
          <w:r>
            <w:rPr>
              <w:rFonts w:ascii="Times New Roman" w:hAnsi="Times New Roman" w:eastAsia="黑体" w:cs="Times New Roman"/>
              <w:bCs w:val="0"/>
              <w:szCs w:val="24"/>
            </w:rPr>
            <w:t>认证资料维护</w:t>
          </w:r>
          <w:r>
            <w:tab/>
          </w:r>
          <w:r>
            <w:fldChar w:fldCharType="begin"/>
          </w:r>
          <w:r>
            <w:instrText xml:space="preserve"> PAGEREF _Toc7298 \h </w:instrText>
          </w:r>
          <w:r>
            <w:fldChar w:fldCharType="separate"/>
          </w:r>
          <w:r>
            <w:t>126</w:t>
          </w:r>
          <w:r>
            <w:fldChar w:fldCharType="end"/>
          </w:r>
          <w:r>
            <w:rPr>
              <w:rFonts w:asciiTheme="minorHAnsi" w:hAnsiTheme="minorHAnsi" w:eastAsiaTheme="minorEastAsia" w:cstheme="minorBidi"/>
              <w:szCs w:val="22"/>
              <w:lang w:val="en-US" w:eastAsia="en-US" w:bidi="ar-SA"/>
            </w:rPr>
            <w:fldChar w:fldCharType="end"/>
          </w:r>
        </w:p>
        <w:p w14:paraId="112469AF">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_Toc21692 </w:instrText>
          </w:r>
          <w:r>
            <w:rPr>
              <w:rFonts w:asciiTheme="minorHAnsi" w:hAnsiTheme="minorHAnsi" w:eastAsiaTheme="minorEastAsia" w:cstheme="minorBidi"/>
              <w:szCs w:val="22"/>
              <w:lang w:val="en-US" w:eastAsia="en-US" w:bidi="ar-SA"/>
            </w:rPr>
            <w:fldChar w:fldCharType="separate"/>
          </w:r>
          <w:r>
            <w:rPr>
              <w:rFonts w:hint="default" w:ascii="Times New Roman" w:hAnsi="Times New Roman" w:eastAsia="黑体" w:cs="Times New Roman"/>
              <w:bCs w:val="0"/>
              <w:szCs w:val="24"/>
              <w:lang w:val="en-US" w:eastAsia="zh-CN"/>
            </w:rPr>
            <w:t xml:space="preserve">2. </w:t>
          </w:r>
          <w:r>
            <w:rPr>
              <w:rFonts w:hint="eastAsia" w:cs="Times New Roman"/>
              <w:bCs w:val="0"/>
              <w:szCs w:val="24"/>
              <w:lang w:val="en-US" w:eastAsia="zh-CN"/>
            </w:rPr>
            <w:t>认证申请</w:t>
          </w:r>
          <w:r>
            <w:tab/>
          </w:r>
          <w:r>
            <w:fldChar w:fldCharType="begin"/>
          </w:r>
          <w:r>
            <w:instrText xml:space="preserve"> PAGEREF _Toc21692 \h </w:instrText>
          </w:r>
          <w:r>
            <w:fldChar w:fldCharType="separate"/>
          </w:r>
          <w:r>
            <w:t>130</w:t>
          </w:r>
          <w:r>
            <w:fldChar w:fldCharType="end"/>
          </w:r>
          <w:r>
            <w:rPr>
              <w:rFonts w:asciiTheme="minorHAnsi" w:hAnsiTheme="minorHAnsi" w:eastAsiaTheme="minorEastAsia" w:cstheme="minorBidi"/>
              <w:szCs w:val="22"/>
              <w:lang w:val="en-US" w:eastAsia="en-US" w:bidi="ar-SA"/>
            </w:rPr>
            <w:fldChar w:fldCharType="end"/>
          </w:r>
        </w:p>
        <w:p w14:paraId="154DF359">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_Toc15371 </w:instrText>
          </w:r>
          <w:r>
            <w:rPr>
              <w:rFonts w:asciiTheme="minorHAnsi" w:hAnsiTheme="minorHAnsi" w:eastAsiaTheme="minorEastAsia" w:cstheme="minorBidi"/>
              <w:szCs w:val="22"/>
              <w:lang w:val="en-US" w:eastAsia="en-US" w:bidi="ar-SA"/>
            </w:rPr>
            <w:fldChar w:fldCharType="separate"/>
          </w:r>
          <w:r>
            <w:rPr>
              <w:rFonts w:hint="default" w:ascii="Times New Roman" w:hAnsi="Times New Roman" w:eastAsia="黑体" w:cs="Times New Roman"/>
              <w:bCs w:val="0"/>
              <w:szCs w:val="24"/>
              <w:lang w:val="en-US" w:eastAsia="zh-CN"/>
            </w:rPr>
            <w:t xml:space="preserve">3. </w:t>
          </w:r>
          <w:r>
            <w:rPr>
              <w:rFonts w:hint="eastAsia" w:cs="Times New Roman"/>
              <w:bCs w:val="0"/>
              <w:szCs w:val="24"/>
              <w:lang w:val="en-US" w:eastAsia="zh-CN"/>
            </w:rPr>
            <w:t>认证结果管理</w:t>
          </w:r>
          <w:r>
            <w:tab/>
          </w:r>
          <w:r>
            <w:fldChar w:fldCharType="begin"/>
          </w:r>
          <w:r>
            <w:instrText xml:space="preserve"> PAGEREF _Toc15371 \h </w:instrText>
          </w:r>
          <w:r>
            <w:fldChar w:fldCharType="separate"/>
          </w:r>
          <w:r>
            <w:t>134</w:t>
          </w:r>
          <w:r>
            <w:fldChar w:fldCharType="end"/>
          </w:r>
          <w:r>
            <w:rPr>
              <w:rFonts w:asciiTheme="minorHAnsi" w:hAnsiTheme="minorHAnsi" w:eastAsiaTheme="minorEastAsia" w:cstheme="minorBidi"/>
              <w:szCs w:val="22"/>
              <w:lang w:val="en-US" w:eastAsia="en-US" w:bidi="ar-SA"/>
            </w:rPr>
            <w:fldChar w:fldCharType="end"/>
          </w:r>
        </w:p>
        <w:p w14:paraId="1CE5D6D7">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_Toc22621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六、 </w:t>
          </w:r>
          <w:r>
            <w:rPr>
              <w:rFonts w:ascii="Times New Roman" w:hAnsi="Times New Roman" w:eastAsia="黑体" w:cs="Times New Roman"/>
              <w:bCs w:val="0"/>
              <w:szCs w:val="32"/>
            </w:rPr>
            <w:t>因子库管理</w:t>
          </w:r>
          <w:r>
            <w:tab/>
          </w:r>
          <w:r>
            <w:fldChar w:fldCharType="begin"/>
          </w:r>
          <w:r>
            <w:instrText xml:space="preserve"> PAGEREF _Toc22621 \h </w:instrText>
          </w:r>
          <w:r>
            <w:fldChar w:fldCharType="separate"/>
          </w:r>
          <w:r>
            <w:t>138</w:t>
          </w:r>
          <w:r>
            <w:fldChar w:fldCharType="end"/>
          </w:r>
          <w:r>
            <w:rPr>
              <w:rFonts w:asciiTheme="minorHAnsi" w:hAnsiTheme="minorHAnsi" w:eastAsiaTheme="minorEastAsia" w:cstheme="minorBidi"/>
              <w:szCs w:val="22"/>
              <w:lang w:val="en-US" w:eastAsia="en-US" w:bidi="ar-SA"/>
            </w:rPr>
            <w:fldChar w:fldCharType="end"/>
          </w:r>
        </w:p>
        <w:p w14:paraId="185C7D85">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_Toc17942 </w:instrText>
          </w:r>
          <w:r>
            <w:rPr>
              <w:rFonts w:asciiTheme="minorHAnsi" w:hAnsiTheme="minorHAnsi" w:eastAsiaTheme="minorEastAsia" w:cstheme="minorBidi"/>
              <w:szCs w:val="22"/>
              <w:lang w:val="en-US" w:eastAsia="en-US" w:bidi="ar-SA"/>
            </w:rPr>
            <w:fldChar w:fldCharType="separate"/>
          </w:r>
          <w:r>
            <w:rPr>
              <w:rFonts w:hint="default" w:ascii="Times New Roman" w:hAnsi="Times New Roman" w:eastAsia="黑体" w:cs="Times New Roman"/>
              <w:bCs w:val="0"/>
              <w:szCs w:val="24"/>
            </w:rPr>
            <w:t xml:space="preserve">1. </w:t>
          </w:r>
          <w:r>
            <w:rPr>
              <w:rFonts w:ascii="Times New Roman" w:hAnsi="Times New Roman" w:eastAsia="黑体" w:cs="Times New Roman"/>
              <w:bCs w:val="0"/>
              <w:szCs w:val="24"/>
            </w:rPr>
            <w:t>原材料碳排因子</w:t>
          </w:r>
          <w:r>
            <w:tab/>
          </w:r>
          <w:r>
            <w:fldChar w:fldCharType="begin"/>
          </w:r>
          <w:r>
            <w:instrText xml:space="preserve"> PAGEREF _Toc17942 \h </w:instrText>
          </w:r>
          <w:r>
            <w:fldChar w:fldCharType="separate"/>
          </w:r>
          <w:r>
            <w:t>138</w:t>
          </w:r>
          <w:r>
            <w:fldChar w:fldCharType="end"/>
          </w:r>
          <w:r>
            <w:rPr>
              <w:rFonts w:asciiTheme="minorHAnsi" w:hAnsiTheme="minorHAnsi" w:eastAsiaTheme="minorEastAsia" w:cstheme="minorBidi"/>
              <w:szCs w:val="22"/>
              <w:lang w:val="en-US" w:eastAsia="en-US" w:bidi="ar-SA"/>
            </w:rPr>
            <w:fldChar w:fldCharType="end"/>
          </w:r>
        </w:p>
        <w:p w14:paraId="6938E55D">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_Toc18568 </w:instrText>
          </w:r>
          <w:r>
            <w:rPr>
              <w:rFonts w:asciiTheme="minorHAnsi" w:hAnsiTheme="minorHAnsi" w:eastAsiaTheme="minorEastAsia" w:cstheme="minorBidi"/>
              <w:szCs w:val="22"/>
              <w:lang w:val="en-US" w:eastAsia="en-US" w:bidi="ar-SA"/>
            </w:rPr>
            <w:fldChar w:fldCharType="separate"/>
          </w:r>
          <w:r>
            <w:rPr>
              <w:rFonts w:hint="default" w:ascii="Times New Roman" w:hAnsi="Times New Roman" w:eastAsia="黑体" w:cs="Times New Roman"/>
              <w:bCs w:val="0"/>
              <w:szCs w:val="24"/>
            </w:rPr>
            <w:t xml:space="preserve">2. </w:t>
          </w:r>
          <w:r>
            <w:rPr>
              <w:rFonts w:hint="eastAsia" w:cs="Times New Roman"/>
              <w:bCs w:val="0"/>
              <w:szCs w:val="24"/>
              <w:lang w:val="en-US" w:eastAsia="zh-CN"/>
            </w:rPr>
            <w:t>电力碳排因子</w:t>
          </w:r>
          <w:r>
            <w:tab/>
          </w:r>
          <w:r>
            <w:fldChar w:fldCharType="begin"/>
          </w:r>
          <w:r>
            <w:instrText xml:space="preserve"> PAGEREF _Toc18568 \h </w:instrText>
          </w:r>
          <w:r>
            <w:fldChar w:fldCharType="separate"/>
          </w:r>
          <w:r>
            <w:t>144</w:t>
          </w:r>
          <w:r>
            <w:fldChar w:fldCharType="end"/>
          </w:r>
          <w:r>
            <w:rPr>
              <w:rFonts w:asciiTheme="minorHAnsi" w:hAnsiTheme="minorHAnsi" w:eastAsiaTheme="minorEastAsia" w:cstheme="minorBidi"/>
              <w:szCs w:val="22"/>
              <w:lang w:val="en-US" w:eastAsia="en-US" w:bidi="ar-SA"/>
            </w:rPr>
            <w:fldChar w:fldCharType="end"/>
          </w:r>
        </w:p>
        <w:p w14:paraId="785769B8">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_Toc25421 </w:instrText>
          </w:r>
          <w:r>
            <w:rPr>
              <w:rFonts w:asciiTheme="minorHAnsi" w:hAnsiTheme="minorHAnsi" w:eastAsiaTheme="minorEastAsia" w:cstheme="minorBidi"/>
              <w:szCs w:val="22"/>
              <w:lang w:val="en-US" w:eastAsia="en-US" w:bidi="ar-SA"/>
            </w:rPr>
            <w:fldChar w:fldCharType="separate"/>
          </w:r>
          <w:r>
            <w:rPr>
              <w:rFonts w:hint="default" w:ascii="Times New Roman" w:hAnsi="Times New Roman" w:eastAsia="黑体" w:cs="Times New Roman"/>
              <w:bCs w:val="0"/>
              <w:szCs w:val="24"/>
            </w:rPr>
            <w:t xml:space="preserve">3. </w:t>
          </w:r>
          <w:r>
            <w:rPr>
              <w:rFonts w:hint="eastAsia" w:cs="Times New Roman"/>
              <w:bCs w:val="0"/>
              <w:szCs w:val="24"/>
              <w:lang w:val="en-US" w:eastAsia="zh-CN"/>
            </w:rPr>
            <w:t>能源活动碳排因子</w:t>
          </w:r>
          <w:r>
            <w:tab/>
          </w:r>
          <w:r>
            <w:fldChar w:fldCharType="begin"/>
          </w:r>
          <w:r>
            <w:instrText xml:space="preserve"> PAGEREF _Toc25421 \h </w:instrText>
          </w:r>
          <w:r>
            <w:fldChar w:fldCharType="separate"/>
          </w:r>
          <w:r>
            <w:t>148</w:t>
          </w:r>
          <w:r>
            <w:fldChar w:fldCharType="end"/>
          </w:r>
          <w:r>
            <w:rPr>
              <w:rFonts w:asciiTheme="minorHAnsi" w:hAnsiTheme="minorHAnsi" w:eastAsiaTheme="minorEastAsia" w:cstheme="minorBidi"/>
              <w:szCs w:val="22"/>
              <w:lang w:val="en-US" w:eastAsia="en-US" w:bidi="ar-SA"/>
            </w:rPr>
            <w:fldChar w:fldCharType="end"/>
          </w:r>
        </w:p>
        <w:p w14:paraId="138DBEE6">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_Toc24030 </w:instrText>
          </w:r>
          <w:r>
            <w:rPr>
              <w:rFonts w:asciiTheme="minorHAnsi" w:hAnsiTheme="minorHAnsi" w:eastAsiaTheme="minorEastAsia" w:cstheme="minorBidi"/>
              <w:szCs w:val="22"/>
              <w:lang w:val="en-US" w:eastAsia="en-US" w:bidi="ar-SA"/>
            </w:rPr>
            <w:fldChar w:fldCharType="separate"/>
          </w:r>
          <w:r>
            <w:rPr>
              <w:rFonts w:hint="default" w:ascii="Times New Roman" w:hAnsi="Times New Roman" w:eastAsia="黑体" w:cs="Times New Roman"/>
              <w:bCs w:val="0"/>
              <w:szCs w:val="24"/>
            </w:rPr>
            <w:t xml:space="preserve">4. </w:t>
          </w:r>
          <w:r>
            <w:rPr>
              <w:rFonts w:hint="eastAsia" w:cs="Times New Roman"/>
              <w:bCs w:val="0"/>
              <w:szCs w:val="24"/>
              <w:lang w:val="en-US" w:eastAsia="zh-CN"/>
            </w:rPr>
            <w:t>折标煤系数库</w:t>
          </w:r>
          <w:r>
            <w:tab/>
          </w:r>
          <w:r>
            <w:fldChar w:fldCharType="begin"/>
          </w:r>
          <w:r>
            <w:instrText xml:space="preserve"> PAGEREF _Toc24030 \h </w:instrText>
          </w:r>
          <w:r>
            <w:fldChar w:fldCharType="separate"/>
          </w:r>
          <w:r>
            <w:t>152</w:t>
          </w:r>
          <w:r>
            <w:fldChar w:fldCharType="end"/>
          </w:r>
          <w:r>
            <w:rPr>
              <w:rFonts w:asciiTheme="minorHAnsi" w:hAnsiTheme="minorHAnsi" w:eastAsiaTheme="minorEastAsia" w:cstheme="minorBidi"/>
              <w:szCs w:val="22"/>
              <w:lang w:val="en-US" w:eastAsia="en-US" w:bidi="ar-SA"/>
            </w:rPr>
            <w:fldChar w:fldCharType="end"/>
          </w:r>
        </w:p>
        <w:p w14:paraId="375F257A">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_Toc14842 </w:instrText>
          </w:r>
          <w:r>
            <w:rPr>
              <w:rFonts w:asciiTheme="minorHAnsi" w:hAnsiTheme="minorHAnsi" w:eastAsiaTheme="minorEastAsia" w:cstheme="minorBidi"/>
              <w:szCs w:val="22"/>
              <w:lang w:val="en-US" w:eastAsia="en-US" w:bidi="ar-SA"/>
            </w:rPr>
            <w:fldChar w:fldCharType="separate"/>
          </w:r>
          <w:r>
            <w:rPr>
              <w:rFonts w:hint="eastAsia" w:eastAsia="黑体"/>
              <w:bCs w:val="0"/>
              <w:szCs w:val="44"/>
            </w:rPr>
            <w:t xml:space="preserve">第四章 </w:t>
          </w:r>
          <w:r>
            <w:rPr>
              <w:rFonts w:hint="eastAsia"/>
              <w:bCs w:val="0"/>
              <w:szCs w:val="44"/>
              <w:lang w:val="en-US" w:eastAsia="zh-CN"/>
            </w:rPr>
            <w:t>系统管理、基础参数设置</w:t>
          </w:r>
          <w:r>
            <w:tab/>
          </w:r>
          <w:r>
            <w:fldChar w:fldCharType="begin"/>
          </w:r>
          <w:r>
            <w:instrText xml:space="preserve"> PAGEREF _Toc14842 \h </w:instrText>
          </w:r>
          <w:r>
            <w:fldChar w:fldCharType="separate"/>
          </w:r>
          <w:r>
            <w:t>156</w:t>
          </w:r>
          <w:r>
            <w:fldChar w:fldCharType="end"/>
          </w:r>
          <w:r>
            <w:rPr>
              <w:rFonts w:asciiTheme="minorHAnsi" w:hAnsiTheme="minorHAnsi" w:eastAsiaTheme="minorEastAsia" w:cstheme="minorBidi"/>
              <w:szCs w:val="22"/>
              <w:lang w:val="en-US" w:eastAsia="en-US" w:bidi="ar-SA"/>
            </w:rPr>
            <w:fldChar w:fldCharType="end"/>
          </w:r>
        </w:p>
        <w:p w14:paraId="669B61C8">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_Toc31977 </w:instrText>
          </w:r>
          <w:r>
            <w:rPr>
              <w:rFonts w:asciiTheme="minorHAnsi" w:hAnsiTheme="minorHAnsi" w:eastAsiaTheme="minorEastAsia" w:cstheme="minorBidi"/>
              <w:szCs w:val="22"/>
              <w:lang w:val="en-US" w:eastAsia="en-US" w:bidi="ar-SA"/>
            </w:rPr>
            <w:fldChar w:fldCharType="separate"/>
          </w:r>
          <w:r>
            <w:rPr>
              <w:rFonts w:hint="eastAsia" w:ascii="Times New Roman" w:hAnsi="Times New Roman" w:eastAsia="黑体" w:cs="Times New Roman"/>
              <w:bCs w:val="0"/>
              <w:szCs w:val="32"/>
              <w:lang w:val="en-US" w:eastAsia="zh-CN"/>
            </w:rPr>
            <w:t>一、 权限管控</w:t>
          </w:r>
          <w:r>
            <w:tab/>
          </w:r>
          <w:r>
            <w:fldChar w:fldCharType="begin"/>
          </w:r>
          <w:r>
            <w:instrText xml:space="preserve"> PAGEREF _Toc31977 \h </w:instrText>
          </w:r>
          <w:r>
            <w:fldChar w:fldCharType="separate"/>
          </w:r>
          <w:r>
            <w:t>156</w:t>
          </w:r>
          <w:r>
            <w:fldChar w:fldCharType="end"/>
          </w:r>
          <w:r>
            <w:rPr>
              <w:rFonts w:asciiTheme="minorHAnsi" w:hAnsiTheme="minorHAnsi" w:eastAsiaTheme="minorEastAsia" w:cstheme="minorBidi"/>
              <w:szCs w:val="22"/>
              <w:lang w:val="en-US" w:eastAsia="en-US" w:bidi="ar-SA"/>
            </w:rPr>
            <w:fldChar w:fldCharType="end"/>
          </w:r>
        </w:p>
        <w:p w14:paraId="651A3B2C">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_Toc15939 </w:instrText>
          </w:r>
          <w:r>
            <w:rPr>
              <w:rFonts w:asciiTheme="minorHAnsi" w:hAnsiTheme="minorHAnsi" w:eastAsiaTheme="minorEastAsia" w:cstheme="minorBidi"/>
              <w:szCs w:val="22"/>
              <w:lang w:val="en-US" w:eastAsia="en-US" w:bidi="ar-SA"/>
            </w:rPr>
            <w:fldChar w:fldCharType="separate"/>
          </w:r>
          <w:r>
            <w:rPr>
              <w:rFonts w:hint="default" w:cs="Times New Roman"/>
              <w:bCs w:val="0"/>
              <w:szCs w:val="24"/>
              <w:lang w:val="en-US" w:eastAsia="zh-CN"/>
            </w:rPr>
            <w:t xml:space="preserve">1. </w:t>
          </w:r>
          <w:r>
            <w:rPr>
              <w:rFonts w:hint="eastAsia" w:cs="Times New Roman"/>
              <w:bCs w:val="0"/>
              <w:szCs w:val="24"/>
              <w:lang w:val="en-US" w:eastAsia="zh-CN"/>
            </w:rPr>
            <w:t>组织管理</w:t>
          </w:r>
          <w:r>
            <w:tab/>
          </w:r>
          <w:r>
            <w:fldChar w:fldCharType="begin"/>
          </w:r>
          <w:r>
            <w:instrText xml:space="preserve"> PAGEREF _Toc15939 \h </w:instrText>
          </w:r>
          <w:r>
            <w:fldChar w:fldCharType="separate"/>
          </w:r>
          <w:r>
            <w:t>156</w:t>
          </w:r>
          <w:r>
            <w:fldChar w:fldCharType="end"/>
          </w:r>
          <w:r>
            <w:rPr>
              <w:rFonts w:asciiTheme="minorHAnsi" w:hAnsiTheme="minorHAnsi" w:eastAsiaTheme="minorEastAsia" w:cstheme="minorBidi"/>
              <w:szCs w:val="22"/>
              <w:lang w:val="en-US" w:eastAsia="en-US" w:bidi="ar-SA"/>
            </w:rPr>
            <w:fldChar w:fldCharType="end"/>
          </w:r>
        </w:p>
        <w:p w14:paraId="39792BFC">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_Toc27635 </w:instrText>
          </w:r>
          <w:r>
            <w:rPr>
              <w:rFonts w:asciiTheme="minorHAnsi" w:hAnsiTheme="minorHAnsi" w:eastAsiaTheme="minorEastAsia" w:cstheme="minorBidi"/>
              <w:szCs w:val="22"/>
              <w:lang w:val="en-US" w:eastAsia="en-US" w:bidi="ar-SA"/>
            </w:rPr>
            <w:fldChar w:fldCharType="separate"/>
          </w:r>
          <w:r>
            <w:rPr>
              <w:rFonts w:hint="default" w:cs="Times New Roman"/>
              <w:bCs w:val="0"/>
              <w:szCs w:val="24"/>
              <w:lang w:val="en-US" w:eastAsia="zh-CN"/>
            </w:rPr>
            <w:t xml:space="preserve">2. </w:t>
          </w:r>
          <w:r>
            <w:rPr>
              <w:rFonts w:hint="eastAsia" w:cs="Times New Roman"/>
              <w:bCs w:val="0"/>
              <w:szCs w:val="24"/>
              <w:lang w:val="en-US" w:eastAsia="zh-CN"/>
            </w:rPr>
            <w:t>用户管理</w:t>
          </w:r>
          <w:r>
            <w:tab/>
          </w:r>
          <w:r>
            <w:fldChar w:fldCharType="begin"/>
          </w:r>
          <w:r>
            <w:instrText xml:space="preserve"> PAGEREF _Toc27635 \h </w:instrText>
          </w:r>
          <w:r>
            <w:fldChar w:fldCharType="separate"/>
          </w:r>
          <w:r>
            <w:t>158</w:t>
          </w:r>
          <w:r>
            <w:fldChar w:fldCharType="end"/>
          </w:r>
          <w:r>
            <w:rPr>
              <w:rFonts w:asciiTheme="minorHAnsi" w:hAnsiTheme="minorHAnsi" w:eastAsiaTheme="minorEastAsia" w:cstheme="minorBidi"/>
              <w:szCs w:val="22"/>
              <w:lang w:val="en-US" w:eastAsia="en-US" w:bidi="ar-SA"/>
            </w:rPr>
            <w:fldChar w:fldCharType="end"/>
          </w:r>
        </w:p>
        <w:p w14:paraId="1164396E">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_Toc7452 </w:instrText>
          </w:r>
          <w:r>
            <w:rPr>
              <w:rFonts w:asciiTheme="minorHAnsi" w:hAnsiTheme="minorHAnsi" w:eastAsiaTheme="minorEastAsia" w:cstheme="minorBidi"/>
              <w:szCs w:val="22"/>
              <w:lang w:val="en-US" w:eastAsia="en-US" w:bidi="ar-SA"/>
            </w:rPr>
            <w:fldChar w:fldCharType="separate"/>
          </w:r>
          <w:r>
            <w:rPr>
              <w:rFonts w:hint="default" w:cs="Times New Roman"/>
              <w:bCs w:val="0"/>
              <w:szCs w:val="24"/>
              <w:lang w:val="en-US" w:eastAsia="zh-CN"/>
            </w:rPr>
            <w:t xml:space="preserve">3. </w:t>
          </w:r>
          <w:r>
            <w:rPr>
              <w:rFonts w:hint="eastAsia" w:cs="Times New Roman"/>
              <w:bCs w:val="0"/>
              <w:szCs w:val="24"/>
              <w:lang w:val="en-US" w:eastAsia="zh-CN"/>
            </w:rPr>
            <w:t>角色与权限</w:t>
          </w:r>
          <w:r>
            <w:tab/>
          </w:r>
          <w:r>
            <w:fldChar w:fldCharType="begin"/>
          </w:r>
          <w:r>
            <w:instrText xml:space="preserve"> PAGEREF _Toc7452 \h </w:instrText>
          </w:r>
          <w:r>
            <w:fldChar w:fldCharType="separate"/>
          </w:r>
          <w:r>
            <w:t>161</w:t>
          </w:r>
          <w:r>
            <w:fldChar w:fldCharType="end"/>
          </w:r>
          <w:r>
            <w:rPr>
              <w:rFonts w:asciiTheme="minorHAnsi" w:hAnsiTheme="minorHAnsi" w:eastAsiaTheme="minorEastAsia" w:cstheme="minorBidi"/>
              <w:szCs w:val="22"/>
              <w:lang w:val="en-US" w:eastAsia="en-US" w:bidi="ar-SA"/>
            </w:rPr>
            <w:fldChar w:fldCharType="end"/>
          </w:r>
        </w:p>
        <w:p w14:paraId="58869181">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_Toc27816 </w:instrText>
          </w:r>
          <w:r>
            <w:rPr>
              <w:rFonts w:asciiTheme="minorHAnsi" w:hAnsiTheme="minorHAnsi" w:eastAsiaTheme="minorEastAsia" w:cstheme="minorBidi"/>
              <w:szCs w:val="22"/>
              <w:lang w:val="en-US" w:eastAsia="en-US" w:bidi="ar-SA"/>
            </w:rPr>
            <w:fldChar w:fldCharType="separate"/>
          </w:r>
          <w:r>
            <w:rPr>
              <w:rFonts w:hint="default" w:cs="Times New Roman"/>
              <w:bCs w:val="0"/>
              <w:szCs w:val="24"/>
              <w:lang w:val="en-US" w:eastAsia="zh-CN"/>
            </w:rPr>
            <w:t xml:space="preserve">4. </w:t>
          </w:r>
          <w:r>
            <w:rPr>
              <w:rFonts w:hint="eastAsia" w:cs="Times New Roman"/>
              <w:bCs w:val="0"/>
              <w:szCs w:val="24"/>
              <w:lang w:val="en-US" w:eastAsia="zh-CN"/>
            </w:rPr>
            <w:t>菜单与功能</w:t>
          </w:r>
          <w:r>
            <w:tab/>
          </w:r>
          <w:r>
            <w:fldChar w:fldCharType="begin"/>
          </w:r>
          <w:r>
            <w:instrText xml:space="preserve"> PAGEREF _Toc27816 \h </w:instrText>
          </w:r>
          <w:r>
            <w:fldChar w:fldCharType="separate"/>
          </w:r>
          <w:r>
            <w:t>163</w:t>
          </w:r>
          <w:r>
            <w:fldChar w:fldCharType="end"/>
          </w:r>
          <w:r>
            <w:rPr>
              <w:rFonts w:asciiTheme="minorHAnsi" w:hAnsiTheme="minorHAnsi" w:eastAsiaTheme="minorEastAsia" w:cstheme="minorBidi"/>
              <w:szCs w:val="22"/>
              <w:lang w:val="en-US" w:eastAsia="en-US" w:bidi="ar-SA"/>
            </w:rPr>
            <w:fldChar w:fldCharType="end"/>
          </w:r>
        </w:p>
        <w:p w14:paraId="6EC652B7">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_Toc24546 </w:instrText>
          </w:r>
          <w:r>
            <w:rPr>
              <w:rFonts w:asciiTheme="minorHAnsi" w:hAnsiTheme="minorHAnsi" w:eastAsiaTheme="minorEastAsia" w:cstheme="minorBidi"/>
              <w:szCs w:val="22"/>
              <w:lang w:val="en-US" w:eastAsia="en-US" w:bidi="ar-SA"/>
            </w:rPr>
            <w:fldChar w:fldCharType="separate"/>
          </w:r>
          <w:r>
            <w:rPr>
              <w:rFonts w:hint="eastAsia" w:ascii="Times New Roman" w:hAnsi="Times New Roman" w:eastAsia="黑体" w:cs="Times New Roman"/>
              <w:bCs w:val="0"/>
              <w:szCs w:val="32"/>
              <w:lang w:val="en-US" w:eastAsia="zh-CN"/>
            </w:rPr>
            <w:t>二、 能碳基础因子管理</w:t>
          </w:r>
          <w:r>
            <w:tab/>
          </w:r>
          <w:r>
            <w:fldChar w:fldCharType="begin"/>
          </w:r>
          <w:r>
            <w:instrText xml:space="preserve"> PAGEREF _Toc24546 \h </w:instrText>
          </w:r>
          <w:r>
            <w:fldChar w:fldCharType="separate"/>
          </w:r>
          <w:r>
            <w:t>165</w:t>
          </w:r>
          <w:r>
            <w:fldChar w:fldCharType="end"/>
          </w:r>
          <w:r>
            <w:rPr>
              <w:rFonts w:asciiTheme="minorHAnsi" w:hAnsiTheme="minorHAnsi" w:eastAsiaTheme="minorEastAsia" w:cstheme="minorBidi"/>
              <w:szCs w:val="22"/>
              <w:lang w:val="en-US" w:eastAsia="en-US" w:bidi="ar-SA"/>
            </w:rPr>
            <w:fldChar w:fldCharType="end"/>
          </w:r>
        </w:p>
        <w:p w14:paraId="6C7142D2">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_Toc32713 </w:instrText>
          </w:r>
          <w:r>
            <w:rPr>
              <w:rFonts w:asciiTheme="minorHAnsi" w:hAnsiTheme="minorHAnsi" w:eastAsiaTheme="minorEastAsia" w:cstheme="minorBidi"/>
              <w:szCs w:val="22"/>
              <w:lang w:val="en-US" w:eastAsia="en-US" w:bidi="ar-SA"/>
            </w:rPr>
            <w:fldChar w:fldCharType="separate"/>
          </w:r>
          <w:r>
            <w:rPr>
              <w:rFonts w:hint="default" w:cs="Times New Roman"/>
              <w:bCs w:val="0"/>
              <w:szCs w:val="24"/>
              <w:lang w:val="en-US" w:eastAsia="zh-CN"/>
            </w:rPr>
            <w:t xml:space="preserve">1. </w:t>
          </w:r>
          <w:r>
            <w:rPr>
              <w:rFonts w:hint="eastAsia"/>
              <w:bCs w:val="0"/>
              <w:lang w:val="en-US" w:eastAsia="zh-CN"/>
            </w:rPr>
            <w:t>电</w:t>
          </w:r>
          <w:r>
            <w:rPr>
              <w:rFonts w:hint="eastAsia" w:cs="Times New Roman"/>
              <w:bCs w:val="0"/>
              <w:szCs w:val="24"/>
              <w:lang w:val="en-US" w:eastAsia="zh-CN"/>
            </w:rPr>
            <w:t>力碳排因子</w:t>
          </w:r>
          <w:r>
            <w:tab/>
          </w:r>
          <w:r>
            <w:fldChar w:fldCharType="begin"/>
          </w:r>
          <w:r>
            <w:instrText xml:space="preserve"> PAGEREF _Toc32713 \h </w:instrText>
          </w:r>
          <w:r>
            <w:fldChar w:fldCharType="separate"/>
          </w:r>
          <w:r>
            <w:t>165</w:t>
          </w:r>
          <w:r>
            <w:fldChar w:fldCharType="end"/>
          </w:r>
          <w:r>
            <w:rPr>
              <w:rFonts w:asciiTheme="minorHAnsi" w:hAnsiTheme="minorHAnsi" w:eastAsiaTheme="minorEastAsia" w:cstheme="minorBidi"/>
              <w:szCs w:val="22"/>
              <w:lang w:val="en-US" w:eastAsia="en-US" w:bidi="ar-SA"/>
            </w:rPr>
            <w:fldChar w:fldCharType="end"/>
          </w:r>
        </w:p>
        <w:p w14:paraId="02125303">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_Toc5571 </w:instrText>
          </w:r>
          <w:r>
            <w:rPr>
              <w:rFonts w:asciiTheme="minorHAnsi" w:hAnsiTheme="minorHAnsi" w:eastAsiaTheme="minorEastAsia" w:cstheme="minorBidi"/>
              <w:szCs w:val="22"/>
              <w:lang w:val="en-US" w:eastAsia="en-US" w:bidi="ar-SA"/>
            </w:rPr>
            <w:fldChar w:fldCharType="separate"/>
          </w:r>
          <w:r>
            <w:rPr>
              <w:rFonts w:hint="default" w:cs="Times New Roman"/>
              <w:bCs w:val="0"/>
              <w:szCs w:val="24"/>
              <w:lang w:val="en-US" w:eastAsia="zh-CN"/>
            </w:rPr>
            <w:t xml:space="preserve">2. </w:t>
          </w:r>
          <w:r>
            <w:rPr>
              <w:rFonts w:hint="eastAsia" w:cs="Times New Roman"/>
              <w:bCs w:val="0"/>
              <w:szCs w:val="24"/>
              <w:lang w:val="en-US" w:eastAsia="zh-CN"/>
            </w:rPr>
            <w:t>能源活动碳排因子</w:t>
          </w:r>
          <w:r>
            <w:tab/>
          </w:r>
          <w:r>
            <w:fldChar w:fldCharType="begin"/>
          </w:r>
          <w:r>
            <w:instrText xml:space="preserve"> PAGEREF _Toc5571 \h </w:instrText>
          </w:r>
          <w:r>
            <w:fldChar w:fldCharType="separate"/>
          </w:r>
          <w:r>
            <w:t>167</w:t>
          </w:r>
          <w:r>
            <w:fldChar w:fldCharType="end"/>
          </w:r>
          <w:r>
            <w:rPr>
              <w:rFonts w:asciiTheme="minorHAnsi" w:hAnsiTheme="minorHAnsi" w:eastAsiaTheme="minorEastAsia" w:cstheme="minorBidi"/>
              <w:szCs w:val="22"/>
              <w:lang w:val="en-US" w:eastAsia="en-US" w:bidi="ar-SA"/>
            </w:rPr>
            <w:fldChar w:fldCharType="end"/>
          </w:r>
        </w:p>
        <w:p w14:paraId="1F40D9FD">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_Toc2938 </w:instrText>
          </w:r>
          <w:r>
            <w:rPr>
              <w:rFonts w:asciiTheme="minorHAnsi" w:hAnsiTheme="minorHAnsi" w:eastAsiaTheme="minorEastAsia" w:cstheme="minorBidi"/>
              <w:szCs w:val="22"/>
              <w:lang w:val="en-US" w:eastAsia="en-US" w:bidi="ar-SA"/>
            </w:rPr>
            <w:fldChar w:fldCharType="separate"/>
          </w:r>
          <w:r>
            <w:rPr>
              <w:rFonts w:hint="default" w:cs="Times New Roman"/>
              <w:bCs w:val="0"/>
              <w:szCs w:val="24"/>
              <w:lang w:val="en-US" w:eastAsia="zh-CN"/>
            </w:rPr>
            <w:t xml:space="preserve">3. </w:t>
          </w:r>
          <w:r>
            <w:rPr>
              <w:rFonts w:hint="eastAsia" w:cs="Times New Roman"/>
              <w:bCs w:val="0"/>
              <w:szCs w:val="24"/>
              <w:lang w:val="en-US" w:eastAsia="zh-CN"/>
            </w:rPr>
            <w:t>折标煤系数库</w:t>
          </w:r>
          <w:r>
            <w:tab/>
          </w:r>
          <w:r>
            <w:fldChar w:fldCharType="begin"/>
          </w:r>
          <w:r>
            <w:instrText xml:space="preserve"> PAGEREF _Toc2938 \h </w:instrText>
          </w:r>
          <w:r>
            <w:fldChar w:fldCharType="separate"/>
          </w:r>
          <w:r>
            <w:t>169</w:t>
          </w:r>
          <w:r>
            <w:fldChar w:fldCharType="end"/>
          </w:r>
          <w:r>
            <w:rPr>
              <w:rFonts w:asciiTheme="minorHAnsi" w:hAnsiTheme="minorHAnsi" w:eastAsiaTheme="minorEastAsia" w:cstheme="minorBidi"/>
              <w:szCs w:val="22"/>
              <w:lang w:val="en-US" w:eastAsia="en-US" w:bidi="ar-SA"/>
            </w:rPr>
            <w:fldChar w:fldCharType="end"/>
          </w:r>
        </w:p>
        <w:p w14:paraId="6494708C">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_Toc31062 </w:instrText>
          </w:r>
          <w:r>
            <w:rPr>
              <w:rFonts w:asciiTheme="minorHAnsi" w:hAnsiTheme="minorHAnsi" w:eastAsiaTheme="minorEastAsia" w:cstheme="minorBidi"/>
              <w:szCs w:val="22"/>
              <w:lang w:val="en-US" w:eastAsia="en-US" w:bidi="ar-SA"/>
            </w:rPr>
            <w:fldChar w:fldCharType="separate"/>
          </w:r>
          <w:r>
            <w:rPr>
              <w:rFonts w:hint="eastAsia" w:ascii="Times New Roman" w:hAnsi="Times New Roman" w:eastAsia="黑体" w:cs="Times New Roman"/>
              <w:bCs w:val="0"/>
              <w:szCs w:val="32"/>
              <w:lang w:val="en-US" w:eastAsia="zh-CN"/>
            </w:rPr>
            <w:t>三、 费价模型</w:t>
          </w:r>
          <w:r>
            <w:tab/>
          </w:r>
          <w:r>
            <w:fldChar w:fldCharType="begin"/>
          </w:r>
          <w:r>
            <w:instrText xml:space="preserve"> PAGEREF _Toc31062 \h </w:instrText>
          </w:r>
          <w:r>
            <w:fldChar w:fldCharType="separate"/>
          </w:r>
          <w:r>
            <w:t>171</w:t>
          </w:r>
          <w:r>
            <w:fldChar w:fldCharType="end"/>
          </w:r>
          <w:r>
            <w:rPr>
              <w:rFonts w:asciiTheme="minorHAnsi" w:hAnsiTheme="minorHAnsi" w:eastAsiaTheme="minorEastAsia" w:cstheme="minorBidi"/>
              <w:szCs w:val="22"/>
              <w:lang w:val="en-US" w:eastAsia="en-US" w:bidi="ar-SA"/>
            </w:rPr>
            <w:fldChar w:fldCharType="end"/>
          </w:r>
        </w:p>
        <w:p w14:paraId="18630ECF">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_Toc8429 </w:instrText>
          </w:r>
          <w:r>
            <w:rPr>
              <w:rFonts w:asciiTheme="minorHAnsi" w:hAnsiTheme="minorHAnsi" w:eastAsiaTheme="minorEastAsia" w:cstheme="minorBidi"/>
              <w:szCs w:val="22"/>
              <w:lang w:val="en-US" w:eastAsia="en-US" w:bidi="ar-SA"/>
            </w:rPr>
            <w:fldChar w:fldCharType="separate"/>
          </w:r>
          <w:r>
            <w:rPr>
              <w:rFonts w:hint="eastAsia" w:ascii="Times New Roman" w:hAnsi="Times New Roman" w:eastAsia="黑体" w:cs="Times New Roman"/>
              <w:bCs w:val="0"/>
              <w:szCs w:val="32"/>
              <w:lang w:val="en-US" w:eastAsia="zh-CN"/>
            </w:rPr>
            <w:t>四、 生产设备维护</w:t>
          </w:r>
          <w:r>
            <w:tab/>
          </w:r>
          <w:r>
            <w:fldChar w:fldCharType="begin"/>
          </w:r>
          <w:r>
            <w:instrText xml:space="preserve"> PAGEREF _Toc8429 \h </w:instrText>
          </w:r>
          <w:r>
            <w:fldChar w:fldCharType="separate"/>
          </w:r>
          <w:r>
            <w:t>175</w:t>
          </w:r>
          <w:r>
            <w:fldChar w:fldCharType="end"/>
          </w:r>
          <w:r>
            <w:rPr>
              <w:rFonts w:asciiTheme="minorHAnsi" w:hAnsiTheme="minorHAnsi" w:eastAsiaTheme="minorEastAsia" w:cstheme="minorBidi"/>
              <w:szCs w:val="22"/>
              <w:lang w:val="en-US" w:eastAsia="en-US" w:bidi="ar-SA"/>
            </w:rPr>
            <w:fldChar w:fldCharType="end"/>
          </w:r>
        </w:p>
        <w:p w14:paraId="52F46149">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_Toc31767 </w:instrText>
          </w:r>
          <w:r>
            <w:rPr>
              <w:rFonts w:asciiTheme="minorHAnsi" w:hAnsiTheme="minorHAnsi" w:eastAsiaTheme="minorEastAsia" w:cstheme="minorBidi"/>
              <w:szCs w:val="22"/>
              <w:lang w:val="en-US" w:eastAsia="en-US" w:bidi="ar-SA"/>
            </w:rPr>
            <w:fldChar w:fldCharType="separate"/>
          </w:r>
          <w:r>
            <w:rPr>
              <w:rFonts w:hint="default"/>
              <w:bCs w:val="0"/>
              <w:lang w:val="en-US" w:eastAsia="zh-CN"/>
            </w:rPr>
            <w:t xml:space="preserve">1. </w:t>
          </w:r>
          <w:r>
            <w:rPr>
              <w:rFonts w:hint="eastAsia"/>
              <w:bCs w:val="0"/>
              <w:lang w:val="en-US" w:eastAsia="zh-CN"/>
            </w:rPr>
            <w:t>重点用能设备</w:t>
          </w:r>
          <w:r>
            <w:tab/>
          </w:r>
          <w:r>
            <w:fldChar w:fldCharType="begin"/>
          </w:r>
          <w:r>
            <w:instrText xml:space="preserve"> PAGEREF _Toc31767 \h </w:instrText>
          </w:r>
          <w:r>
            <w:fldChar w:fldCharType="separate"/>
          </w:r>
          <w:r>
            <w:t>175</w:t>
          </w:r>
          <w:r>
            <w:fldChar w:fldCharType="end"/>
          </w:r>
          <w:r>
            <w:rPr>
              <w:rFonts w:asciiTheme="minorHAnsi" w:hAnsiTheme="minorHAnsi" w:eastAsiaTheme="minorEastAsia" w:cstheme="minorBidi"/>
              <w:szCs w:val="22"/>
              <w:lang w:val="en-US" w:eastAsia="en-US" w:bidi="ar-SA"/>
            </w:rPr>
            <w:fldChar w:fldCharType="end"/>
          </w:r>
        </w:p>
        <w:p w14:paraId="06DC4D8C">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_Toc17529 </w:instrText>
          </w:r>
          <w:r>
            <w:rPr>
              <w:rFonts w:asciiTheme="minorHAnsi" w:hAnsiTheme="minorHAnsi" w:eastAsiaTheme="minorEastAsia" w:cstheme="minorBidi"/>
              <w:szCs w:val="22"/>
              <w:lang w:val="en-US" w:eastAsia="en-US" w:bidi="ar-SA"/>
            </w:rPr>
            <w:fldChar w:fldCharType="separate"/>
          </w:r>
          <w:r>
            <w:rPr>
              <w:rFonts w:hint="default"/>
              <w:bCs w:val="0"/>
              <w:lang w:val="en-US" w:eastAsia="zh-CN"/>
            </w:rPr>
            <w:t xml:space="preserve">2. </w:t>
          </w:r>
          <w:r>
            <w:rPr>
              <w:rFonts w:hint="eastAsia"/>
              <w:bCs w:val="0"/>
              <w:lang w:val="en-US" w:eastAsia="zh-CN"/>
            </w:rPr>
            <w:t>光伏设备管理</w:t>
          </w:r>
          <w:r>
            <w:tab/>
          </w:r>
          <w:r>
            <w:fldChar w:fldCharType="begin"/>
          </w:r>
          <w:r>
            <w:instrText xml:space="preserve"> PAGEREF _Toc17529 \h </w:instrText>
          </w:r>
          <w:r>
            <w:fldChar w:fldCharType="separate"/>
          </w:r>
          <w:r>
            <w:t>177</w:t>
          </w:r>
          <w:r>
            <w:fldChar w:fldCharType="end"/>
          </w:r>
          <w:r>
            <w:rPr>
              <w:rFonts w:asciiTheme="minorHAnsi" w:hAnsiTheme="minorHAnsi" w:eastAsiaTheme="minorEastAsia" w:cstheme="minorBidi"/>
              <w:szCs w:val="22"/>
              <w:lang w:val="en-US" w:eastAsia="en-US" w:bidi="ar-SA"/>
            </w:rPr>
            <w:fldChar w:fldCharType="end"/>
          </w:r>
        </w:p>
        <w:p w14:paraId="6B98C861">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_Toc11939 </w:instrText>
          </w:r>
          <w:r>
            <w:rPr>
              <w:rFonts w:asciiTheme="minorHAnsi" w:hAnsiTheme="minorHAnsi" w:eastAsiaTheme="minorEastAsia" w:cstheme="minorBidi"/>
              <w:szCs w:val="22"/>
              <w:lang w:val="en-US" w:eastAsia="en-US" w:bidi="ar-SA"/>
            </w:rPr>
            <w:fldChar w:fldCharType="separate"/>
          </w:r>
          <w:r>
            <w:rPr>
              <w:rFonts w:hint="eastAsia" w:ascii="Times New Roman" w:hAnsi="Times New Roman" w:eastAsia="黑体" w:cs="Times New Roman"/>
              <w:bCs w:val="0"/>
              <w:szCs w:val="32"/>
              <w:lang w:val="en-US" w:eastAsia="zh-CN"/>
            </w:rPr>
            <w:t>五、 生产数据维护</w:t>
          </w:r>
          <w:r>
            <w:tab/>
          </w:r>
          <w:r>
            <w:fldChar w:fldCharType="begin"/>
          </w:r>
          <w:r>
            <w:instrText xml:space="preserve"> PAGEREF _Toc11939 \h </w:instrText>
          </w:r>
          <w:r>
            <w:fldChar w:fldCharType="separate"/>
          </w:r>
          <w:r>
            <w:t>179</w:t>
          </w:r>
          <w:r>
            <w:fldChar w:fldCharType="end"/>
          </w:r>
          <w:r>
            <w:rPr>
              <w:rFonts w:asciiTheme="minorHAnsi" w:hAnsiTheme="minorHAnsi" w:eastAsiaTheme="minorEastAsia" w:cstheme="minorBidi"/>
              <w:szCs w:val="22"/>
              <w:lang w:val="en-US" w:eastAsia="en-US" w:bidi="ar-SA"/>
            </w:rPr>
            <w:fldChar w:fldCharType="end"/>
          </w:r>
        </w:p>
        <w:p w14:paraId="116E8C18">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_Toc29538 </w:instrText>
          </w:r>
          <w:r>
            <w:rPr>
              <w:rFonts w:asciiTheme="minorHAnsi" w:hAnsiTheme="minorHAnsi" w:eastAsiaTheme="minorEastAsia" w:cstheme="minorBidi"/>
              <w:szCs w:val="22"/>
              <w:lang w:val="en-US" w:eastAsia="en-US" w:bidi="ar-SA"/>
            </w:rPr>
            <w:fldChar w:fldCharType="separate"/>
          </w:r>
          <w:r>
            <w:rPr>
              <w:rFonts w:hint="default"/>
              <w:bCs w:val="0"/>
              <w:lang w:val="en-US" w:eastAsia="zh-CN"/>
            </w:rPr>
            <w:t xml:space="preserve">1. </w:t>
          </w:r>
          <w:r>
            <w:rPr>
              <w:rFonts w:hint="eastAsia"/>
              <w:bCs w:val="0"/>
              <w:lang w:val="en-US" w:eastAsia="zh-CN"/>
            </w:rPr>
            <w:t>产品类型管理</w:t>
          </w:r>
          <w:r>
            <w:tab/>
          </w:r>
          <w:r>
            <w:fldChar w:fldCharType="begin"/>
          </w:r>
          <w:r>
            <w:instrText xml:space="preserve"> PAGEREF _Toc29538 \h </w:instrText>
          </w:r>
          <w:r>
            <w:fldChar w:fldCharType="separate"/>
          </w:r>
          <w:r>
            <w:t>179</w:t>
          </w:r>
          <w:r>
            <w:fldChar w:fldCharType="end"/>
          </w:r>
          <w:r>
            <w:rPr>
              <w:rFonts w:asciiTheme="minorHAnsi" w:hAnsiTheme="minorHAnsi" w:eastAsiaTheme="minorEastAsia" w:cstheme="minorBidi"/>
              <w:szCs w:val="22"/>
              <w:lang w:val="en-US" w:eastAsia="en-US" w:bidi="ar-SA"/>
            </w:rPr>
            <w:fldChar w:fldCharType="end"/>
          </w:r>
        </w:p>
        <w:p w14:paraId="1504C70D">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_Toc29667 </w:instrText>
          </w:r>
          <w:r>
            <w:rPr>
              <w:rFonts w:asciiTheme="minorHAnsi" w:hAnsiTheme="minorHAnsi" w:eastAsiaTheme="minorEastAsia" w:cstheme="minorBidi"/>
              <w:szCs w:val="22"/>
              <w:lang w:val="en-US" w:eastAsia="en-US" w:bidi="ar-SA"/>
            </w:rPr>
            <w:fldChar w:fldCharType="separate"/>
          </w:r>
          <w:r>
            <w:rPr>
              <w:rFonts w:hint="default"/>
              <w:bCs w:val="0"/>
              <w:lang w:val="en-US" w:eastAsia="zh-CN"/>
            </w:rPr>
            <w:t xml:space="preserve">2. </w:t>
          </w:r>
          <w:r>
            <w:rPr>
              <w:rFonts w:hint="eastAsia"/>
              <w:bCs w:val="0"/>
              <w:lang w:val="en-US" w:eastAsia="zh-CN"/>
            </w:rPr>
            <w:t>产品型号管理</w:t>
          </w:r>
          <w:r>
            <w:tab/>
          </w:r>
          <w:r>
            <w:fldChar w:fldCharType="begin"/>
          </w:r>
          <w:r>
            <w:instrText xml:space="preserve"> PAGEREF _Toc29667 \h </w:instrText>
          </w:r>
          <w:r>
            <w:fldChar w:fldCharType="separate"/>
          </w:r>
          <w:r>
            <w:t>181</w:t>
          </w:r>
          <w:r>
            <w:fldChar w:fldCharType="end"/>
          </w:r>
          <w:r>
            <w:rPr>
              <w:rFonts w:asciiTheme="minorHAnsi" w:hAnsiTheme="minorHAnsi" w:eastAsiaTheme="minorEastAsia" w:cstheme="minorBidi"/>
              <w:szCs w:val="22"/>
              <w:lang w:val="en-US" w:eastAsia="en-US" w:bidi="ar-SA"/>
            </w:rPr>
            <w:fldChar w:fldCharType="end"/>
          </w:r>
        </w:p>
        <w:p w14:paraId="04ADDE34">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_Toc15573 </w:instrText>
          </w:r>
          <w:r>
            <w:rPr>
              <w:rFonts w:asciiTheme="minorHAnsi" w:hAnsiTheme="minorHAnsi" w:eastAsiaTheme="minorEastAsia" w:cstheme="minorBidi"/>
              <w:szCs w:val="22"/>
              <w:lang w:val="en-US" w:eastAsia="en-US" w:bidi="ar-SA"/>
            </w:rPr>
            <w:fldChar w:fldCharType="separate"/>
          </w:r>
          <w:r>
            <w:rPr>
              <w:rFonts w:hint="default"/>
              <w:bCs w:val="0"/>
              <w:lang w:val="en-US" w:eastAsia="zh-CN"/>
            </w:rPr>
            <w:t xml:space="preserve">3. </w:t>
          </w:r>
          <w:r>
            <w:rPr>
              <w:rFonts w:hint="eastAsia"/>
              <w:bCs w:val="0"/>
              <w:lang w:val="en-US" w:eastAsia="zh-CN"/>
            </w:rPr>
            <w:t>基础数据管理</w:t>
          </w:r>
          <w:r>
            <w:tab/>
          </w:r>
          <w:r>
            <w:fldChar w:fldCharType="begin"/>
          </w:r>
          <w:r>
            <w:instrText xml:space="preserve"> PAGEREF _Toc15573 \h </w:instrText>
          </w:r>
          <w:r>
            <w:fldChar w:fldCharType="separate"/>
          </w:r>
          <w:r>
            <w:t>184</w:t>
          </w:r>
          <w:r>
            <w:fldChar w:fldCharType="end"/>
          </w:r>
          <w:r>
            <w:rPr>
              <w:rFonts w:asciiTheme="minorHAnsi" w:hAnsiTheme="minorHAnsi" w:eastAsiaTheme="minorEastAsia" w:cstheme="minorBidi"/>
              <w:szCs w:val="22"/>
              <w:lang w:val="en-US" w:eastAsia="en-US" w:bidi="ar-SA"/>
            </w:rPr>
            <w:fldChar w:fldCharType="end"/>
          </w:r>
        </w:p>
        <w:p w14:paraId="5BFC0AA4">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_Toc7820 </w:instrText>
          </w:r>
          <w:r>
            <w:rPr>
              <w:rFonts w:asciiTheme="minorHAnsi" w:hAnsiTheme="minorHAnsi" w:eastAsiaTheme="minorEastAsia" w:cstheme="minorBidi"/>
              <w:szCs w:val="22"/>
              <w:lang w:val="en-US" w:eastAsia="en-US" w:bidi="ar-SA"/>
            </w:rPr>
            <w:fldChar w:fldCharType="separate"/>
          </w:r>
          <w:r>
            <w:rPr>
              <w:rFonts w:hint="default"/>
              <w:bCs w:val="0"/>
              <w:lang w:val="en-US" w:eastAsia="zh-CN"/>
            </w:rPr>
            <w:t xml:space="preserve">4. </w:t>
          </w:r>
          <w:r>
            <w:rPr>
              <w:rFonts w:hint="eastAsia"/>
              <w:bCs w:val="0"/>
              <w:lang w:val="en-US" w:eastAsia="zh-CN"/>
            </w:rPr>
            <w:t>生产工序管理</w:t>
          </w:r>
          <w:r>
            <w:tab/>
          </w:r>
          <w:r>
            <w:fldChar w:fldCharType="begin"/>
          </w:r>
          <w:r>
            <w:instrText xml:space="preserve"> PAGEREF _Toc7820 \h </w:instrText>
          </w:r>
          <w:r>
            <w:fldChar w:fldCharType="separate"/>
          </w:r>
          <w:r>
            <w:t>186</w:t>
          </w:r>
          <w:r>
            <w:fldChar w:fldCharType="end"/>
          </w:r>
          <w:r>
            <w:rPr>
              <w:rFonts w:asciiTheme="minorHAnsi" w:hAnsiTheme="minorHAnsi" w:eastAsiaTheme="minorEastAsia" w:cstheme="minorBidi"/>
              <w:szCs w:val="22"/>
              <w:lang w:val="en-US" w:eastAsia="en-US" w:bidi="ar-SA"/>
            </w:rPr>
            <w:fldChar w:fldCharType="end"/>
          </w:r>
        </w:p>
        <w:p w14:paraId="6065F5F4">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_Toc12273 </w:instrText>
          </w:r>
          <w:r>
            <w:rPr>
              <w:rFonts w:asciiTheme="minorHAnsi" w:hAnsiTheme="minorHAnsi" w:eastAsiaTheme="minorEastAsia" w:cstheme="minorBidi"/>
              <w:szCs w:val="22"/>
              <w:lang w:val="en-US" w:eastAsia="en-US" w:bidi="ar-SA"/>
            </w:rPr>
            <w:fldChar w:fldCharType="separate"/>
          </w:r>
          <w:r>
            <w:rPr>
              <w:rFonts w:hint="eastAsia" w:ascii="Times New Roman" w:hAnsi="Times New Roman" w:eastAsia="黑体" w:cs="Times New Roman"/>
              <w:bCs w:val="0"/>
              <w:szCs w:val="32"/>
              <w:lang w:val="en-US" w:eastAsia="zh-CN"/>
            </w:rPr>
            <w:t>六、 日志管理</w:t>
          </w:r>
          <w:r>
            <w:tab/>
          </w:r>
          <w:r>
            <w:fldChar w:fldCharType="begin"/>
          </w:r>
          <w:r>
            <w:instrText xml:space="preserve"> PAGEREF _Toc12273 \h </w:instrText>
          </w:r>
          <w:r>
            <w:fldChar w:fldCharType="separate"/>
          </w:r>
          <w:r>
            <w:t>188</w:t>
          </w:r>
          <w:r>
            <w:fldChar w:fldCharType="end"/>
          </w:r>
          <w:r>
            <w:rPr>
              <w:rFonts w:asciiTheme="minorHAnsi" w:hAnsiTheme="minorHAnsi" w:eastAsiaTheme="minorEastAsia" w:cstheme="minorBidi"/>
              <w:szCs w:val="22"/>
              <w:lang w:val="en-US" w:eastAsia="en-US" w:bidi="ar-SA"/>
            </w:rPr>
            <w:fldChar w:fldCharType="end"/>
          </w:r>
        </w:p>
        <w:p w14:paraId="24E11A7A">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_Toc21402 </w:instrText>
          </w:r>
          <w:r>
            <w:rPr>
              <w:rFonts w:asciiTheme="minorHAnsi" w:hAnsiTheme="minorHAnsi" w:eastAsiaTheme="minorEastAsia" w:cstheme="minorBidi"/>
              <w:szCs w:val="22"/>
              <w:lang w:val="en-US" w:eastAsia="en-US" w:bidi="ar-SA"/>
            </w:rPr>
            <w:fldChar w:fldCharType="separate"/>
          </w:r>
          <w:r>
            <w:rPr>
              <w:rFonts w:hint="eastAsia" w:eastAsia="黑体"/>
              <w:bCs w:val="0"/>
              <w:szCs w:val="44"/>
            </w:rPr>
            <w:t xml:space="preserve">第五章 </w:t>
          </w:r>
          <w:r>
            <w:rPr>
              <w:rFonts w:ascii="Times New Roman" w:hAnsi="Times New Roman" w:eastAsia="黑体" w:cs="Times New Roman"/>
              <w:bCs w:val="0"/>
              <w:szCs w:val="44"/>
            </w:rPr>
            <w:t>系统底座、接口契约与 QA 质量验收</w:t>
          </w:r>
          <w:r>
            <w:tab/>
          </w:r>
          <w:r>
            <w:fldChar w:fldCharType="begin"/>
          </w:r>
          <w:r>
            <w:instrText xml:space="preserve"> PAGEREF _Toc21402 \h </w:instrText>
          </w:r>
          <w:r>
            <w:fldChar w:fldCharType="separate"/>
          </w:r>
          <w:r>
            <w:t>190</w:t>
          </w:r>
          <w:r>
            <w:fldChar w:fldCharType="end"/>
          </w:r>
          <w:r>
            <w:rPr>
              <w:rFonts w:asciiTheme="minorHAnsi" w:hAnsiTheme="minorHAnsi" w:eastAsiaTheme="minorEastAsia" w:cstheme="minorBidi"/>
              <w:szCs w:val="22"/>
              <w:lang w:val="en-US" w:eastAsia="en-US" w:bidi="ar-SA"/>
            </w:rPr>
            <w:fldChar w:fldCharType="end"/>
          </w:r>
        </w:p>
        <w:p w14:paraId="59A052B7">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_Toc11975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一、 </w:t>
          </w:r>
          <w:r>
            <w:rPr>
              <w:rFonts w:ascii="Times New Roman" w:hAnsi="Times New Roman" w:eastAsia="黑体" w:cs="Times New Roman"/>
              <w:bCs w:val="0"/>
              <w:szCs w:val="32"/>
            </w:rPr>
            <w:t>六级组织架构与穿透鉴权体系</w:t>
          </w:r>
          <w:r>
            <w:tab/>
          </w:r>
          <w:r>
            <w:fldChar w:fldCharType="begin"/>
          </w:r>
          <w:r>
            <w:instrText xml:space="preserve"> PAGEREF _Toc11975 \h </w:instrText>
          </w:r>
          <w:r>
            <w:fldChar w:fldCharType="separate"/>
          </w:r>
          <w:r>
            <w:t>190</w:t>
          </w:r>
          <w:r>
            <w:fldChar w:fldCharType="end"/>
          </w:r>
          <w:r>
            <w:rPr>
              <w:rFonts w:asciiTheme="minorHAnsi" w:hAnsiTheme="minorHAnsi" w:eastAsiaTheme="minorEastAsia" w:cstheme="minorBidi"/>
              <w:szCs w:val="22"/>
              <w:lang w:val="en-US" w:eastAsia="en-US" w:bidi="ar-SA"/>
            </w:rPr>
            <w:fldChar w:fldCharType="end"/>
          </w:r>
        </w:p>
        <w:p w14:paraId="7E7EB5CC">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_Toc8628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二、 </w:t>
          </w:r>
          <w:r>
            <w:rPr>
              <w:rFonts w:ascii="Times New Roman" w:hAnsi="Times New Roman" w:eastAsia="黑体" w:cs="Times New Roman"/>
              <w:bCs w:val="0"/>
              <w:szCs w:val="32"/>
            </w:rPr>
            <w:t>外部系统集成与 API 契约</w:t>
          </w:r>
          <w:r>
            <w:tab/>
          </w:r>
          <w:r>
            <w:fldChar w:fldCharType="begin"/>
          </w:r>
          <w:r>
            <w:instrText xml:space="preserve"> PAGEREF _Toc8628 \h </w:instrText>
          </w:r>
          <w:r>
            <w:fldChar w:fldCharType="separate"/>
          </w:r>
          <w:r>
            <w:t>191</w:t>
          </w:r>
          <w:r>
            <w:fldChar w:fldCharType="end"/>
          </w:r>
          <w:r>
            <w:rPr>
              <w:rFonts w:asciiTheme="minorHAnsi" w:hAnsiTheme="minorHAnsi" w:eastAsiaTheme="minorEastAsia" w:cstheme="minorBidi"/>
              <w:szCs w:val="22"/>
              <w:lang w:val="en-US" w:eastAsia="en-US" w:bidi="ar-SA"/>
            </w:rPr>
            <w:fldChar w:fldCharType="end"/>
          </w:r>
        </w:p>
        <w:p w14:paraId="29D0718F">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_Toc30400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三、 </w:t>
          </w:r>
          <w:r>
            <w:rPr>
              <w:rFonts w:ascii="Times New Roman" w:hAnsi="Times New Roman" w:eastAsia="黑体" w:cs="Times New Roman"/>
              <w:bCs w:val="0"/>
              <w:szCs w:val="32"/>
            </w:rPr>
            <w:t>质量保障体系与全量验收测试用例矩阵</w:t>
          </w:r>
          <w:r>
            <w:tab/>
          </w:r>
          <w:r>
            <w:fldChar w:fldCharType="begin"/>
          </w:r>
          <w:r>
            <w:instrText xml:space="preserve"> PAGEREF _Toc30400 \h </w:instrText>
          </w:r>
          <w:r>
            <w:fldChar w:fldCharType="separate"/>
          </w:r>
          <w:r>
            <w:t>192</w:t>
          </w:r>
          <w:r>
            <w:fldChar w:fldCharType="end"/>
          </w:r>
          <w:r>
            <w:rPr>
              <w:rFonts w:asciiTheme="minorHAnsi" w:hAnsiTheme="minorHAnsi" w:eastAsiaTheme="minorEastAsia" w:cstheme="minorBidi"/>
              <w:szCs w:val="22"/>
              <w:lang w:val="en-US" w:eastAsia="en-US" w:bidi="ar-SA"/>
            </w:rPr>
            <w:fldChar w:fldCharType="end"/>
          </w:r>
        </w:p>
        <w:p w14:paraId="2DFB833C">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_Toc31896 </w:instrText>
          </w:r>
          <w:r>
            <w:rPr>
              <w:rFonts w:asciiTheme="minorHAnsi" w:hAnsiTheme="minorHAnsi" w:eastAsiaTheme="minorEastAsia" w:cstheme="minorBidi"/>
              <w:szCs w:val="22"/>
              <w:lang w:val="en-US" w:eastAsia="en-US" w:bidi="ar-SA"/>
            </w:rPr>
            <w:fldChar w:fldCharType="separate"/>
          </w:r>
          <w:r>
            <w:rPr>
              <w:rFonts w:hint="eastAsia" w:eastAsia="黑体"/>
              <w:bCs w:val="0"/>
              <w:szCs w:val="44"/>
            </w:rPr>
            <w:t xml:space="preserve">第六章 </w:t>
          </w:r>
          <w:r>
            <w:rPr>
              <w:rFonts w:ascii="Times New Roman" w:hAnsi="Times New Roman" w:eastAsia="黑体" w:cs="Times New Roman"/>
              <w:bCs w:val="0"/>
              <w:szCs w:val="44"/>
            </w:rPr>
            <w:t>工程治理、状态机与合规保障体系</w:t>
          </w:r>
          <w:r>
            <w:tab/>
          </w:r>
          <w:r>
            <w:fldChar w:fldCharType="begin"/>
          </w:r>
          <w:r>
            <w:instrText xml:space="preserve"> PAGEREF _Toc31896 \h </w:instrText>
          </w:r>
          <w:r>
            <w:fldChar w:fldCharType="separate"/>
          </w:r>
          <w:r>
            <w:t>194</w:t>
          </w:r>
          <w:r>
            <w:fldChar w:fldCharType="end"/>
          </w:r>
          <w:r>
            <w:rPr>
              <w:rFonts w:asciiTheme="minorHAnsi" w:hAnsiTheme="minorHAnsi" w:eastAsiaTheme="minorEastAsia" w:cstheme="minorBidi"/>
              <w:szCs w:val="22"/>
              <w:lang w:val="en-US" w:eastAsia="en-US" w:bidi="ar-SA"/>
            </w:rPr>
            <w:fldChar w:fldCharType="end"/>
          </w:r>
        </w:p>
        <w:p w14:paraId="74DB3B93">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_Toc28871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一、 </w:t>
          </w:r>
          <w:r>
            <w:rPr>
              <w:rFonts w:ascii="Times New Roman" w:hAnsi="Times New Roman" w:eastAsia="黑体" w:cs="Times New Roman"/>
              <w:bCs w:val="0"/>
              <w:szCs w:val="32"/>
            </w:rPr>
            <w:t>数据治理与商密合规</w:t>
          </w:r>
          <w:r>
            <w:tab/>
          </w:r>
          <w:r>
            <w:fldChar w:fldCharType="begin"/>
          </w:r>
          <w:r>
            <w:instrText xml:space="preserve"> PAGEREF _Toc28871 \h </w:instrText>
          </w:r>
          <w:r>
            <w:fldChar w:fldCharType="separate"/>
          </w:r>
          <w:r>
            <w:t>194</w:t>
          </w:r>
          <w:r>
            <w:fldChar w:fldCharType="end"/>
          </w:r>
          <w:r>
            <w:rPr>
              <w:rFonts w:asciiTheme="minorHAnsi" w:hAnsiTheme="minorHAnsi" w:eastAsiaTheme="minorEastAsia" w:cstheme="minorBidi"/>
              <w:szCs w:val="22"/>
              <w:lang w:val="en-US" w:eastAsia="en-US" w:bidi="ar-SA"/>
            </w:rPr>
            <w:fldChar w:fldCharType="end"/>
          </w:r>
        </w:p>
        <w:p w14:paraId="23522F2C">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_Toc1283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二、 </w:t>
          </w:r>
          <w:r>
            <w:rPr>
              <w:rFonts w:ascii="Times New Roman" w:hAnsi="Times New Roman" w:eastAsia="黑体" w:cs="Times New Roman"/>
              <w:bCs w:val="0"/>
              <w:szCs w:val="32"/>
            </w:rPr>
            <w:t>数据冲突仲裁与降级补传治理机制（Reconciliation）</w:t>
          </w:r>
          <w:r>
            <w:tab/>
          </w:r>
          <w:r>
            <w:fldChar w:fldCharType="begin"/>
          </w:r>
          <w:r>
            <w:instrText xml:space="preserve"> PAGEREF _Toc1283 \h </w:instrText>
          </w:r>
          <w:r>
            <w:fldChar w:fldCharType="separate"/>
          </w:r>
          <w:r>
            <w:t>194</w:t>
          </w:r>
          <w:r>
            <w:fldChar w:fldCharType="end"/>
          </w:r>
          <w:r>
            <w:rPr>
              <w:rFonts w:asciiTheme="minorHAnsi" w:hAnsiTheme="minorHAnsi" w:eastAsiaTheme="minorEastAsia" w:cstheme="minorBidi"/>
              <w:szCs w:val="22"/>
              <w:lang w:val="en-US" w:eastAsia="en-US" w:bidi="ar-SA"/>
            </w:rPr>
            <w:fldChar w:fldCharType="end"/>
          </w:r>
        </w:p>
        <w:p w14:paraId="2F54936F">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_Toc12326 </w:instrText>
          </w:r>
          <w:r>
            <w:rPr>
              <w:rFonts w:asciiTheme="minorHAnsi" w:hAnsiTheme="minorHAnsi" w:eastAsiaTheme="minorEastAsia" w:cstheme="minorBidi"/>
              <w:szCs w:val="22"/>
              <w:lang w:val="en-US" w:eastAsia="en-US" w:bidi="ar-SA"/>
            </w:rPr>
            <w:fldChar w:fldCharType="separate"/>
          </w:r>
          <w:r>
            <w:rPr>
              <w:rFonts w:hint="default" w:ascii="Times New Roman" w:hAnsi="Times New Roman" w:eastAsia="黑体" w:cs="Times New Roman"/>
              <w:bCs w:val="0"/>
              <w:szCs w:val="24"/>
            </w:rPr>
            <w:t xml:space="preserve">1. </w:t>
          </w:r>
          <w:r>
            <w:rPr>
              <w:rFonts w:ascii="Times New Roman" w:hAnsi="Times New Roman" w:eastAsia="黑体" w:cs="Times New Roman"/>
              <w:bCs w:val="0"/>
              <w:szCs w:val="24"/>
            </w:rPr>
            <w:t>时序补传冲突消解（断网恢复场景）</w:t>
          </w:r>
          <w:r>
            <w:tab/>
          </w:r>
          <w:r>
            <w:fldChar w:fldCharType="begin"/>
          </w:r>
          <w:r>
            <w:instrText xml:space="preserve"> PAGEREF _Toc12326 \h </w:instrText>
          </w:r>
          <w:r>
            <w:fldChar w:fldCharType="separate"/>
          </w:r>
          <w:r>
            <w:t>194</w:t>
          </w:r>
          <w:r>
            <w:fldChar w:fldCharType="end"/>
          </w:r>
          <w:r>
            <w:rPr>
              <w:rFonts w:asciiTheme="minorHAnsi" w:hAnsiTheme="minorHAnsi" w:eastAsiaTheme="minorEastAsia" w:cstheme="minorBidi"/>
              <w:szCs w:val="22"/>
              <w:lang w:val="en-US" w:eastAsia="en-US" w:bidi="ar-SA"/>
            </w:rPr>
            <w:fldChar w:fldCharType="end"/>
          </w:r>
        </w:p>
        <w:p w14:paraId="48C92E56">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_Toc2219 </w:instrText>
          </w:r>
          <w:r>
            <w:rPr>
              <w:rFonts w:asciiTheme="minorHAnsi" w:hAnsiTheme="minorHAnsi" w:eastAsiaTheme="minorEastAsia" w:cstheme="minorBidi"/>
              <w:szCs w:val="22"/>
              <w:lang w:val="en-US" w:eastAsia="en-US" w:bidi="ar-SA"/>
            </w:rPr>
            <w:fldChar w:fldCharType="separate"/>
          </w:r>
          <w:r>
            <w:rPr>
              <w:rFonts w:hint="default" w:ascii="Times New Roman" w:hAnsi="Times New Roman" w:eastAsia="黑体" w:cs="Times New Roman"/>
              <w:bCs w:val="0"/>
              <w:szCs w:val="24"/>
            </w:rPr>
            <w:t xml:space="preserve">2. </w:t>
          </w:r>
          <w:r>
            <w:rPr>
              <w:rFonts w:ascii="Times New Roman" w:hAnsi="Times New Roman" w:eastAsia="黑体" w:cs="Times New Roman"/>
              <w:bCs w:val="0"/>
              <w:szCs w:val="24"/>
            </w:rPr>
            <w:t>BOM 差异对账仲裁（ERP 恢复场景）</w:t>
          </w:r>
          <w:r>
            <w:tab/>
          </w:r>
          <w:r>
            <w:fldChar w:fldCharType="begin"/>
          </w:r>
          <w:r>
            <w:instrText xml:space="preserve"> PAGEREF _Toc2219 \h </w:instrText>
          </w:r>
          <w:r>
            <w:fldChar w:fldCharType="separate"/>
          </w:r>
          <w:r>
            <w:t>195</w:t>
          </w:r>
          <w:r>
            <w:fldChar w:fldCharType="end"/>
          </w:r>
          <w:r>
            <w:rPr>
              <w:rFonts w:asciiTheme="minorHAnsi" w:hAnsiTheme="minorHAnsi" w:eastAsiaTheme="minorEastAsia" w:cstheme="minorBidi"/>
              <w:szCs w:val="22"/>
              <w:lang w:val="en-US" w:eastAsia="en-US" w:bidi="ar-SA"/>
            </w:rPr>
            <w:fldChar w:fldCharType="end"/>
          </w:r>
        </w:p>
        <w:p w14:paraId="107A3B27">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_Toc31999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三、 </w:t>
          </w:r>
          <w:r>
            <w:rPr>
              <w:rFonts w:ascii="Times New Roman" w:hAnsi="Times New Roman" w:eastAsia="黑体" w:cs="Times New Roman"/>
              <w:bCs w:val="0"/>
              <w:szCs w:val="32"/>
            </w:rPr>
            <w:t>关键业务长流程状态机图谱</w:t>
          </w:r>
          <w:r>
            <w:tab/>
          </w:r>
          <w:r>
            <w:fldChar w:fldCharType="begin"/>
          </w:r>
          <w:r>
            <w:instrText xml:space="preserve"> PAGEREF _Toc31999 \h </w:instrText>
          </w:r>
          <w:r>
            <w:fldChar w:fldCharType="separate"/>
          </w:r>
          <w:r>
            <w:t>196</w:t>
          </w:r>
          <w:r>
            <w:fldChar w:fldCharType="end"/>
          </w:r>
          <w:r>
            <w:rPr>
              <w:rFonts w:asciiTheme="minorHAnsi" w:hAnsiTheme="minorHAnsi" w:eastAsiaTheme="minorEastAsia" w:cstheme="minorBidi"/>
              <w:szCs w:val="22"/>
              <w:lang w:val="en-US" w:eastAsia="en-US" w:bidi="ar-SA"/>
            </w:rPr>
            <w:fldChar w:fldCharType="end"/>
          </w:r>
        </w:p>
        <w:p w14:paraId="57D6ED49">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_Toc17227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四、 </w:t>
          </w:r>
          <w:r>
            <w:rPr>
              <w:rFonts w:ascii="Times New Roman" w:hAnsi="Times New Roman" w:eastAsia="黑体" w:cs="Times New Roman"/>
              <w:bCs w:val="0"/>
              <w:szCs w:val="32"/>
            </w:rPr>
            <w:t>术语表与缩略语大全</w:t>
          </w:r>
          <w:r>
            <w:tab/>
          </w:r>
          <w:r>
            <w:fldChar w:fldCharType="begin"/>
          </w:r>
          <w:r>
            <w:instrText xml:space="preserve"> PAGEREF _Toc17227 \h </w:instrText>
          </w:r>
          <w:r>
            <w:fldChar w:fldCharType="separate"/>
          </w:r>
          <w:r>
            <w:t>197</w:t>
          </w:r>
          <w:r>
            <w:fldChar w:fldCharType="end"/>
          </w:r>
          <w:r>
            <w:rPr>
              <w:rFonts w:asciiTheme="minorHAnsi" w:hAnsiTheme="minorHAnsi" w:eastAsiaTheme="minorEastAsia" w:cstheme="minorBidi"/>
              <w:szCs w:val="22"/>
              <w:lang w:val="en-US" w:eastAsia="en-US" w:bidi="ar-SA"/>
            </w:rPr>
            <w:fldChar w:fldCharType="end"/>
          </w:r>
        </w:p>
        <w:p w14:paraId="57AE7DAD">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_Toc28606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五、 </w:t>
          </w:r>
          <w:r>
            <w:rPr>
              <w:rFonts w:ascii="Times New Roman" w:hAnsi="Times New Roman" w:eastAsia="黑体" w:cs="Times New Roman"/>
              <w:bCs w:val="0"/>
              <w:szCs w:val="32"/>
            </w:rPr>
            <w:t>标准化错误码字典与异常分级</w:t>
          </w:r>
          <w:r>
            <w:tab/>
          </w:r>
          <w:r>
            <w:fldChar w:fldCharType="begin"/>
          </w:r>
          <w:r>
            <w:instrText xml:space="preserve"> PAGEREF _Toc28606 \h </w:instrText>
          </w:r>
          <w:r>
            <w:fldChar w:fldCharType="separate"/>
          </w:r>
          <w:r>
            <w:t>198</w:t>
          </w:r>
          <w:r>
            <w:fldChar w:fldCharType="end"/>
          </w:r>
          <w:r>
            <w:rPr>
              <w:rFonts w:asciiTheme="minorHAnsi" w:hAnsiTheme="minorHAnsi" w:eastAsiaTheme="minorEastAsia" w:cstheme="minorBidi"/>
              <w:szCs w:val="22"/>
              <w:lang w:val="en-US" w:eastAsia="en-US" w:bidi="ar-SA"/>
            </w:rPr>
            <w:fldChar w:fldCharType="end"/>
          </w:r>
        </w:p>
        <w:p w14:paraId="5ED97F05">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_Toc28882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六、 </w:t>
          </w:r>
          <w:r>
            <w:rPr>
              <w:rFonts w:ascii="Times New Roman" w:hAnsi="Times New Roman" w:eastAsia="黑体" w:cs="Times New Roman"/>
              <w:bCs w:val="0"/>
              <w:szCs w:val="32"/>
            </w:rPr>
            <w:t>决策治理责任矩阵</w:t>
          </w:r>
          <w:r>
            <w:tab/>
          </w:r>
          <w:r>
            <w:fldChar w:fldCharType="begin"/>
          </w:r>
          <w:r>
            <w:instrText xml:space="preserve"> PAGEREF _Toc28882 \h </w:instrText>
          </w:r>
          <w:r>
            <w:fldChar w:fldCharType="separate"/>
          </w:r>
          <w:r>
            <w:t>200</w:t>
          </w:r>
          <w:r>
            <w:fldChar w:fldCharType="end"/>
          </w:r>
          <w:r>
            <w:rPr>
              <w:rFonts w:asciiTheme="minorHAnsi" w:hAnsiTheme="minorHAnsi" w:eastAsiaTheme="minorEastAsia" w:cstheme="minorBidi"/>
              <w:szCs w:val="22"/>
              <w:lang w:val="en-US" w:eastAsia="en-US" w:bidi="ar-SA"/>
            </w:rPr>
            <w:fldChar w:fldCharType="end"/>
          </w:r>
        </w:p>
        <w:p w14:paraId="388FD799">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_Toc3327 </w:instrText>
          </w:r>
          <w:r>
            <w:rPr>
              <w:rFonts w:asciiTheme="minorHAnsi" w:hAnsiTheme="minorHAnsi" w:eastAsiaTheme="minorEastAsia" w:cstheme="minorBidi"/>
              <w:szCs w:val="22"/>
              <w:lang w:val="en-US" w:eastAsia="en-US" w:bidi="ar-SA"/>
            </w:rPr>
            <w:fldChar w:fldCharType="separate"/>
          </w:r>
          <w:r>
            <w:rPr>
              <w:rFonts w:hint="eastAsia" w:eastAsia="黑体"/>
              <w:bCs w:val="0"/>
              <w:szCs w:val="44"/>
            </w:rPr>
            <w:t xml:space="preserve">第七章 </w:t>
          </w:r>
          <w:r>
            <w:rPr>
              <w:rFonts w:ascii="Times New Roman" w:hAnsi="Times New Roman" w:eastAsia="黑体" w:cs="Times New Roman"/>
              <w:bCs w:val="0"/>
              <w:szCs w:val="44"/>
            </w:rPr>
            <w:t>非功能需求与性能指标</w:t>
          </w:r>
          <w:r>
            <w:tab/>
          </w:r>
          <w:r>
            <w:fldChar w:fldCharType="begin"/>
          </w:r>
          <w:r>
            <w:instrText xml:space="preserve"> PAGEREF _Toc3327 \h </w:instrText>
          </w:r>
          <w:r>
            <w:fldChar w:fldCharType="separate"/>
          </w:r>
          <w:r>
            <w:t>201</w:t>
          </w:r>
          <w:r>
            <w:fldChar w:fldCharType="end"/>
          </w:r>
          <w:r>
            <w:rPr>
              <w:rFonts w:asciiTheme="minorHAnsi" w:hAnsiTheme="minorHAnsi" w:eastAsiaTheme="minorEastAsia" w:cstheme="minorBidi"/>
              <w:szCs w:val="22"/>
              <w:lang w:val="en-US" w:eastAsia="en-US" w:bidi="ar-SA"/>
            </w:rPr>
            <w:fldChar w:fldCharType="end"/>
          </w:r>
        </w:p>
        <w:p w14:paraId="252295B8">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_Toc555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一、 </w:t>
          </w:r>
          <w:r>
            <w:rPr>
              <w:rFonts w:ascii="Times New Roman" w:hAnsi="Times New Roman" w:eastAsia="黑体" w:cs="Times New Roman"/>
              <w:bCs w:val="0"/>
              <w:szCs w:val="32"/>
            </w:rPr>
            <w:t>性能指标基线</w:t>
          </w:r>
          <w:r>
            <w:tab/>
          </w:r>
          <w:r>
            <w:fldChar w:fldCharType="begin"/>
          </w:r>
          <w:r>
            <w:instrText xml:space="preserve"> PAGEREF _Toc555 \h </w:instrText>
          </w:r>
          <w:r>
            <w:fldChar w:fldCharType="separate"/>
          </w:r>
          <w:r>
            <w:t>201</w:t>
          </w:r>
          <w:r>
            <w:fldChar w:fldCharType="end"/>
          </w:r>
          <w:r>
            <w:rPr>
              <w:rFonts w:asciiTheme="minorHAnsi" w:hAnsiTheme="minorHAnsi" w:eastAsiaTheme="minorEastAsia" w:cstheme="minorBidi"/>
              <w:szCs w:val="22"/>
              <w:lang w:val="en-US" w:eastAsia="en-US" w:bidi="ar-SA"/>
            </w:rPr>
            <w:fldChar w:fldCharType="end"/>
          </w:r>
        </w:p>
        <w:p w14:paraId="6DE30790">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_Toc3514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二、 </w:t>
          </w:r>
          <w:r>
            <w:rPr>
              <w:rFonts w:ascii="Times New Roman" w:hAnsi="Times New Roman" w:eastAsia="黑体" w:cs="Times New Roman"/>
              <w:bCs w:val="0"/>
              <w:szCs w:val="32"/>
            </w:rPr>
            <w:t>可靠性与可观测性基线</w:t>
          </w:r>
          <w:r>
            <w:tab/>
          </w:r>
          <w:r>
            <w:fldChar w:fldCharType="begin"/>
          </w:r>
          <w:r>
            <w:instrText xml:space="preserve"> PAGEREF _Toc3514 \h </w:instrText>
          </w:r>
          <w:r>
            <w:fldChar w:fldCharType="separate"/>
          </w:r>
          <w:r>
            <w:t>201</w:t>
          </w:r>
          <w:r>
            <w:fldChar w:fldCharType="end"/>
          </w:r>
          <w:r>
            <w:rPr>
              <w:rFonts w:asciiTheme="minorHAnsi" w:hAnsiTheme="minorHAnsi" w:eastAsiaTheme="minorEastAsia" w:cstheme="minorBidi"/>
              <w:szCs w:val="22"/>
              <w:lang w:val="en-US" w:eastAsia="en-US" w:bidi="ar-SA"/>
            </w:rPr>
            <w:fldChar w:fldCharType="end"/>
          </w:r>
        </w:p>
        <w:p w14:paraId="1492B7C0">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_Toc4420 </w:instrText>
          </w:r>
          <w:r>
            <w:rPr>
              <w:rFonts w:asciiTheme="minorHAnsi" w:hAnsiTheme="minorHAnsi" w:eastAsiaTheme="minorEastAsia" w:cstheme="minorBidi"/>
              <w:szCs w:val="22"/>
              <w:lang w:val="en-US" w:eastAsia="en-US" w:bidi="ar-SA"/>
            </w:rPr>
            <w:fldChar w:fldCharType="separate"/>
          </w:r>
          <w:r>
            <w:rPr>
              <w:rFonts w:hint="eastAsia" w:eastAsia="黑体"/>
              <w:bCs w:val="0"/>
              <w:szCs w:val="44"/>
            </w:rPr>
            <w:t xml:space="preserve">第八章 </w:t>
          </w:r>
          <w:r>
            <w:rPr>
              <w:rFonts w:ascii="Times New Roman" w:hAnsi="Times New Roman" w:eastAsia="黑体" w:cs="Times New Roman"/>
              <w:bCs w:val="0"/>
              <w:szCs w:val="44"/>
            </w:rPr>
            <w:t>技术架构与系统选型</w:t>
          </w:r>
          <w:r>
            <w:tab/>
          </w:r>
          <w:r>
            <w:fldChar w:fldCharType="begin"/>
          </w:r>
          <w:r>
            <w:instrText xml:space="preserve"> PAGEREF _Toc4420 \h </w:instrText>
          </w:r>
          <w:r>
            <w:fldChar w:fldCharType="separate"/>
          </w:r>
          <w:r>
            <w:t>202</w:t>
          </w:r>
          <w:r>
            <w:fldChar w:fldCharType="end"/>
          </w:r>
          <w:r>
            <w:rPr>
              <w:rFonts w:asciiTheme="minorHAnsi" w:hAnsiTheme="minorHAnsi" w:eastAsiaTheme="minorEastAsia" w:cstheme="minorBidi"/>
              <w:szCs w:val="22"/>
              <w:lang w:val="en-US" w:eastAsia="en-US" w:bidi="ar-SA"/>
            </w:rPr>
            <w:fldChar w:fldCharType="end"/>
          </w:r>
        </w:p>
        <w:p w14:paraId="3455F726">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_Toc7602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一、 </w:t>
          </w:r>
          <w:r>
            <w:rPr>
              <w:rFonts w:ascii="Times New Roman" w:hAnsi="Times New Roman" w:eastAsia="黑体" w:cs="Times New Roman"/>
              <w:bCs w:val="0"/>
              <w:szCs w:val="32"/>
            </w:rPr>
            <w:t>原型实现技术栈</w:t>
          </w:r>
          <w:r>
            <w:tab/>
          </w:r>
          <w:r>
            <w:fldChar w:fldCharType="begin"/>
          </w:r>
          <w:r>
            <w:instrText xml:space="preserve"> PAGEREF _Toc7602 \h </w:instrText>
          </w:r>
          <w:r>
            <w:fldChar w:fldCharType="separate"/>
          </w:r>
          <w:r>
            <w:t>202</w:t>
          </w:r>
          <w:r>
            <w:fldChar w:fldCharType="end"/>
          </w:r>
          <w:r>
            <w:rPr>
              <w:rFonts w:asciiTheme="minorHAnsi" w:hAnsiTheme="minorHAnsi" w:eastAsiaTheme="minorEastAsia" w:cstheme="minorBidi"/>
              <w:szCs w:val="22"/>
              <w:lang w:val="en-US" w:eastAsia="en-US" w:bidi="ar-SA"/>
            </w:rPr>
            <w:fldChar w:fldCharType="end"/>
          </w:r>
        </w:p>
        <w:p w14:paraId="76E4F5E1">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_Toc22068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二、 </w:t>
          </w:r>
          <w:r>
            <w:rPr>
              <w:rFonts w:ascii="Times New Roman" w:hAnsi="Times New Roman" w:eastAsia="黑体" w:cs="Times New Roman"/>
              <w:bCs w:val="0"/>
              <w:szCs w:val="32"/>
            </w:rPr>
            <w:t>关键架构决策（ADR）</w:t>
          </w:r>
          <w:r>
            <w:tab/>
          </w:r>
          <w:r>
            <w:fldChar w:fldCharType="begin"/>
          </w:r>
          <w:r>
            <w:instrText xml:space="preserve"> PAGEREF _Toc22068 \h </w:instrText>
          </w:r>
          <w:r>
            <w:fldChar w:fldCharType="separate"/>
          </w:r>
          <w:r>
            <w:t>202</w:t>
          </w:r>
          <w:r>
            <w:fldChar w:fldCharType="end"/>
          </w:r>
          <w:r>
            <w:rPr>
              <w:rFonts w:asciiTheme="minorHAnsi" w:hAnsiTheme="minorHAnsi" w:eastAsiaTheme="minorEastAsia" w:cstheme="minorBidi"/>
              <w:szCs w:val="22"/>
              <w:lang w:val="en-US" w:eastAsia="en-US" w:bidi="ar-SA"/>
            </w:rPr>
            <w:fldChar w:fldCharType="end"/>
          </w:r>
        </w:p>
        <w:p w14:paraId="4444240E">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_Toc27258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三、 </w:t>
          </w:r>
          <w:r>
            <w:rPr>
              <w:rFonts w:ascii="Times New Roman" w:hAnsi="Times New Roman" w:eastAsia="黑体" w:cs="Times New Roman"/>
              <w:bCs w:val="0"/>
              <w:szCs w:val="32"/>
            </w:rPr>
            <w:t>技术决策裁决记录与残留待确认项</w:t>
          </w:r>
          <w:r>
            <w:tab/>
          </w:r>
          <w:r>
            <w:fldChar w:fldCharType="begin"/>
          </w:r>
          <w:r>
            <w:instrText xml:space="preserve"> PAGEREF _Toc27258 \h </w:instrText>
          </w:r>
          <w:r>
            <w:fldChar w:fldCharType="separate"/>
          </w:r>
          <w:r>
            <w:t>203</w:t>
          </w:r>
          <w:r>
            <w:fldChar w:fldCharType="end"/>
          </w:r>
          <w:r>
            <w:rPr>
              <w:rFonts w:asciiTheme="minorHAnsi" w:hAnsiTheme="minorHAnsi" w:eastAsiaTheme="minorEastAsia" w:cstheme="minorBidi"/>
              <w:szCs w:val="22"/>
              <w:lang w:val="en-US" w:eastAsia="en-US" w:bidi="ar-SA"/>
            </w:rPr>
            <w:fldChar w:fldCharType="end"/>
          </w:r>
        </w:p>
        <w:p w14:paraId="6CE8E5C5">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_Toc11956 </w:instrText>
          </w:r>
          <w:r>
            <w:rPr>
              <w:rFonts w:asciiTheme="minorHAnsi" w:hAnsiTheme="minorHAnsi" w:eastAsiaTheme="minorEastAsia" w:cstheme="minorBidi"/>
              <w:szCs w:val="22"/>
              <w:lang w:val="en-US" w:eastAsia="en-US" w:bidi="ar-SA"/>
            </w:rPr>
            <w:fldChar w:fldCharType="separate"/>
          </w:r>
          <w:r>
            <w:rPr>
              <w:rFonts w:hint="eastAsia" w:eastAsia="黑体"/>
              <w:bCs w:val="0"/>
              <w:szCs w:val="44"/>
            </w:rPr>
            <w:t xml:space="preserve">第九章 </w:t>
          </w:r>
          <w:r>
            <w:rPr>
              <w:rFonts w:ascii="Times New Roman" w:hAnsi="Times New Roman" w:eastAsia="黑体" w:cs="Times New Roman"/>
              <w:bCs w:val="0"/>
              <w:szCs w:val="44"/>
            </w:rPr>
            <w:t>系统级公共模块需求</w:t>
          </w:r>
          <w:r>
            <w:tab/>
          </w:r>
          <w:r>
            <w:fldChar w:fldCharType="begin"/>
          </w:r>
          <w:r>
            <w:instrText xml:space="preserve"> PAGEREF _Toc11956 \h </w:instrText>
          </w:r>
          <w:r>
            <w:fldChar w:fldCharType="separate"/>
          </w:r>
          <w:r>
            <w:t>203</w:t>
          </w:r>
          <w:r>
            <w:fldChar w:fldCharType="end"/>
          </w:r>
          <w:r>
            <w:rPr>
              <w:rFonts w:asciiTheme="minorHAnsi" w:hAnsiTheme="minorHAnsi" w:eastAsiaTheme="minorEastAsia" w:cstheme="minorBidi"/>
              <w:szCs w:val="22"/>
              <w:lang w:val="en-US" w:eastAsia="en-US" w:bidi="ar-SA"/>
            </w:rPr>
            <w:fldChar w:fldCharType="end"/>
          </w:r>
        </w:p>
        <w:p w14:paraId="0F205F54">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_Toc28561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一、 </w:t>
          </w:r>
          <w:r>
            <w:rPr>
              <w:rFonts w:ascii="Times New Roman" w:hAnsi="Times New Roman" w:eastAsia="黑体" w:cs="Times New Roman"/>
              <w:bCs w:val="0"/>
              <w:szCs w:val="32"/>
            </w:rPr>
            <w:t>公共模块清单</w:t>
          </w:r>
          <w:r>
            <w:tab/>
          </w:r>
          <w:r>
            <w:fldChar w:fldCharType="begin"/>
          </w:r>
          <w:r>
            <w:instrText xml:space="preserve"> PAGEREF _Toc28561 \h </w:instrText>
          </w:r>
          <w:r>
            <w:fldChar w:fldCharType="separate"/>
          </w:r>
          <w:r>
            <w:t>203</w:t>
          </w:r>
          <w:r>
            <w:fldChar w:fldCharType="end"/>
          </w:r>
          <w:r>
            <w:rPr>
              <w:rFonts w:asciiTheme="minorHAnsi" w:hAnsiTheme="minorHAnsi" w:eastAsiaTheme="minorEastAsia" w:cstheme="minorBidi"/>
              <w:szCs w:val="22"/>
              <w:lang w:val="en-US" w:eastAsia="en-US" w:bidi="ar-SA"/>
            </w:rPr>
            <w:fldChar w:fldCharType="end"/>
          </w:r>
        </w:p>
        <w:p w14:paraId="0ED47526">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_Toc4683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二、 </w:t>
          </w:r>
          <w:r>
            <w:rPr>
              <w:rFonts w:ascii="Times New Roman" w:hAnsi="Times New Roman" w:eastAsia="黑体" w:cs="Times New Roman"/>
              <w:bCs w:val="0"/>
              <w:szCs w:val="32"/>
            </w:rPr>
            <w:t>告警中枢分级与响应契约</w:t>
          </w:r>
          <w:r>
            <w:tab/>
          </w:r>
          <w:r>
            <w:fldChar w:fldCharType="begin"/>
          </w:r>
          <w:r>
            <w:instrText xml:space="preserve"> PAGEREF _Toc4683 \h </w:instrText>
          </w:r>
          <w:r>
            <w:fldChar w:fldCharType="separate"/>
          </w:r>
          <w:r>
            <w:t>204</w:t>
          </w:r>
          <w:r>
            <w:fldChar w:fldCharType="end"/>
          </w:r>
          <w:r>
            <w:rPr>
              <w:rFonts w:asciiTheme="minorHAnsi" w:hAnsiTheme="minorHAnsi" w:eastAsiaTheme="minorEastAsia" w:cstheme="minorBidi"/>
              <w:szCs w:val="22"/>
              <w:lang w:val="en-US" w:eastAsia="en-US" w:bidi="ar-SA"/>
            </w:rPr>
            <w:fldChar w:fldCharType="end"/>
          </w:r>
        </w:p>
        <w:p w14:paraId="4B28A4DF">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_Toc4190 </w:instrText>
          </w:r>
          <w:r>
            <w:rPr>
              <w:rFonts w:asciiTheme="minorHAnsi" w:hAnsiTheme="minorHAnsi" w:eastAsiaTheme="minorEastAsia" w:cstheme="minorBidi"/>
              <w:szCs w:val="22"/>
              <w:lang w:val="en-US" w:eastAsia="en-US" w:bidi="ar-SA"/>
            </w:rPr>
            <w:fldChar w:fldCharType="separate"/>
          </w:r>
          <w:r>
            <w:rPr>
              <w:rFonts w:hint="eastAsia" w:eastAsia="黑体"/>
              <w:bCs w:val="0"/>
              <w:szCs w:val="44"/>
            </w:rPr>
            <w:t xml:space="preserve">第十章 </w:t>
          </w:r>
          <w:r>
            <w:rPr>
              <w:rFonts w:ascii="Times New Roman" w:hAnsi="Times New Roman" w:eastAsia="黑体" w:cs="Times New Roman"/>
              <w:bCs w:val="0"/>
              <w:szCs w:val="44"/>
            </w:rPr>
            <w:t>安全与合规需求</w:t>
          </w:r>
          <w:r>
            <w:tab/>
          </w:r>
          <w:r>
            <w:fldChar w:fldCharType="begin"/>
          </w:r>
          <w:r>
            <w:instrText xml:space="preserve"> PAGEREF _Toc4190 \h </w:instrText>
          </w:r>
          <w:r>
            <w:fldChar w:fldCharType="separate"/>
          </w:r>
          <w:r>
            <w:t>205</w:t>
          </w:r>
          <w:r>
            <w:fldChar w:fldCharType="end"/>
          </w:r>
          <w:r>
            <w:rPr>
              <w:rFonts w:asciiTheme="minorHAnsi" w:hAnsiTheme="minorHAnsi" w:eastAsiaTheme="minorEastAsia" w:cstheme="minorBidi"/>
              <w:szCs w:val="22"/>
              <w:lang w:val="en-US" w:eastAsia="en-US" w:bidi="ar-SA"/>
            </w:rPr>
            <w:fldChar w:fldCharType="end"/>
          </w:r>
        </w:p>
        <w:p w14:paraId="505D5FD6">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_Toc24788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一、 </w:t>
          </w:r>
          <w:r>
            <w:rPr>
              <w:rFonts w:ascii="Times New Roman" w:hAnsi="Times New Roman" w:eastAsia="黑体" w:cs="Times New Roman"/>
              <w:bCs w:val="0"/>
              <w:szCs w:val="32"/>
            </w:rPr>
            <w:t>网络安全防护体系</w:t>
          </w:r>
          <w:r>
            <w:tab/>
          </w:r>
          <w:r>
            <w:fldChar w:fldCharType="begin"/>
          </w:r>
          <w:r>
            <w:instrText xml:space="preserve"> PAGEREF _Toc24788 \h </w:instrText>
          </w:r>
          <w:r>
            <w:fldChar w:fldCharType="separate"/>
          </w:r>
          <w:r>
            <w:t>205</w:t>
          </w:r>
          <w:r>
            <w:fldChar w:fldCharType="end"/>
          </w:r>
          <w:r>
            <w:rPr>
              <w:rFonts w:asciiTheme="minorHAnsi" w:hAnsiTheme="minorHAnsi" w:eastAsiaTheme="minorEastAsia" w:cstheme="minorBidi"/>
              <w:szCs w:val="22"/>
              <w:lang w:val="en-US" w:eastAsia="en-US" w:bidi="ar-SA"/>
            </w:rPr>
            <w:fldChar w:fldCharType="end"/>
          </w:r>
        </w:p>
        <w:p w14:paraId="26509082">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_Toc22294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二、 </w:t>
          </w:r>
          <w:r>
            <w:rPr>
              <w:rFonts w:ascii="Times New Roman" w:hAnsi="Times New Roman" w:eastAsia="黑体" w:cs="Times New Roman"/>
              <w:bCs w:val="0"/>
              <w:szCs w:val="32"/>
            </w:rPr>
            <w:t>数据出境与合规</w:t>
          </w:r>
          <w:r>
            <w:tab/>
          </w:r>
          <w:r>
            <w:fldChar w:fldCharType="begin"/>
          </w:r>
          <w:r>
            <w:instrText xml:space="preserve"> PAGEREF _Toc22294 \h </w:instrText>
          </w:r>
          <w:r>
            <w:fldChar w:fldCharType="separate"/>
          </w:r>
          <w:r>
            <w:t>205</w:t>
          </w:r>
          <w:r>
            <w:fldChar w:fldCharType="end"/>
          </w:r>
          <w:r>
            <w:rPr>
              <w:rFonts w:asciiTheme="minorHAnsi" w:hAnsiTheme="minorHAnsi" w:eastAsiaTheme="minorEastAsia" w:cstheme="minorBidi"/>
              <w:szCs w:val="22"/>
              <w:lang w:val="en-US" w:eastAsia="en-US" w:bidi="ar-SA"/>
            </w:rPr>
            <w:fldChar w:fldCharType="end"/>
          </w:r>
        </w:p>
        <w:p w14:paraId="32B29E70">
          <w:pPr>
            <w:pStyle w:val="31"/>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_Toc9806 </w:instrText>
          </w:r>
          <w:r>
            <w:rPr>
              <w:rFonts w:asciiTheme="minorHAnsi" w:hAnsiTheme="minorHAnsi" w:eastAsiaTheme="minorEastAsia" w:cstheme="minorBidi"/>
              <w:szCs w:val="22"/>
              <w:lang w:val="en-US" w:eastAsia="en-US" w:bidi="ar-SA"/>
            </w:rPr>
            <w:fldChar w:fldCharType="separate"/>
          </w:r>
          <w:r>
            <w:rPr>
              <w:rFonts w:hint="default" w:ascii="Times New Roman" w:hAnsi="Times New Roman" w:eastAsia="黑体" w:cs="Times New Roman"/>
              <w:bCs w:val="0"/>
              <w:szCs w:val="24"/>
            </w:rPr>
            <w:t xml:space="preserve">3. </w:t>
          </w:r>
          <w:r>
            <w:rPr>
              <w:rFonts w:ascii="Times New Roman" w:hAnsi="Times New Roman" w:eastAsia="黑体" w:cs="Times New Roman"/>
              <w:bCs w:val="0"/>
              <w:szCs w:val="24"/>
            </w:rPr>
            <w:t>CBAM 数据出境安全合规前置方案</w:t>
          </w:r>
          <w:r>
            <w:tab/>
          </w:r>
          <w:r>
            <w:fldChar w:fldCharType="begin"/>
          </w:r>
          <w:r>
            <w:instrText xml:space="preserve"> PAGEREF _Toc9806 \h </w:instrText>
          </w:r>
          <w:r>
            <w:fldChar w:fldCharType="separate"/>
          </w:r>
          <w:r>
            <w:t>205</w:t>
          </w:r>
          <w:r>
            <w:fldChar w:fldCharType="end"/>
          </w:r>
          <w:r>
            <w:rPr>
              <w:rFonts w:asciiTheme="minorHAnsi" w:hAnsiTheme="minorHAnsi" w:eastAsiaTheme="minorEastAsia" w:cstheme="minorBidi"/>
              <w:szCs w:val="22"/>
              <w:lang w:val="en-US" w:eastAsia="en-US" w:bidi="ar-SA"/>
            </w:rPr>
            <w:fldChar w:fldCharType="end"/>
          </w:r>
        </w:p>
        <w:p w14:paraId="2A7A7D47">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_Toc10200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三、 </w:t>
          </w:r>
          <w:r>
            <w:rPr>
              <w:rFonts w:ascii="Times New Roman" w:hAnsi="Times New Roman" w:eastAsia="黑体" w:cs="Times New Roman"/>
              <w:bCs w:val="0"/>
              <w:szCs w:val="32"/>
            </w:rPr>
            <w:t>安全合规遗留待确认项清单</w:t>
          </w:r>
          <w:r>
            <w:tab/>
          </w:r>
          <w:r>
            <w:fldChar w:fldCharType="begin"/>
          </w:r>
          <w:r>
            <w:instrText xml:space="preserve"> PAGEREF _Toc10200 \h </w:instrText>
          </w:r>
          <w:r>
            <w:fldChar w:fldCharType="separate"/>
          </w:r>
          <w:r>
            <w:t>206</w:t>
          </w:r>
          <w:r>
            <w:fldChar w:fldCharType="end"/>
          </w:r>
          <w:r>
            <w:rPr>
              <w:rFonts w:asciiTheme="minorHAnsi" w:hAnsiTheme="minorHAnsi" w:eastAsiaTheme="minorEastAsia" w:cstheme="minorBidi"/>
              <w:szCs w:val="22"/>
              <w:lang w:val="en-US" w:eastAsia="en-US" w:bidi="ar-SA"/>
            </w:rPr>
            <w:fldChar w:fldCharType="end"/>
          </w:r>
        </w:p>
        <w:p w14:paraId="430068E8">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_Toc1560 </w:instrText>
          </w:r>
          <w:r>
            <w:rPr>
              <w:rFonts w:asciiTheme="minorHAnsi" w:hAnsiTheme="minorHAnsi" w:eastAsiaTheme="minorEastAsia" w:cstheme="minorBidi"/>
              <w:szCs w:val="22"/>
              <w:lang w:val="en-US" w:eastAsia="en-US" w:bidi="ar-SA"/>
            </w:rPr>
            <w:fldChar w:fldCharType="separate"/>
          </w:r>
          <w:r>
            <w:rPr>
              <w:rFonts w:hint="eastAsia" w:eastAsia="黑体"/>
              <w:bCs w:val="0"/>
              <w:szCs w:val="44"/>
            </w:rPr>
            <w:t xml:space="preserve">第十一章 </w:t>
          </w:r>
          <w:r>
            <w:rPr>
              <w:rFonts w:ascii="Times New Roman" w:hAnsi="Times New Roman" w:eastAsia="黑体" w:cs="Times New Roman"/>
              <w:bCs w:val="0"/>
              <w:szCs w:val="44"/>
            </w:rPr>
            <w:t>外部系统集成与数据采集点表</w:t>
          </w:r>
          <w:r>
            <w:tab/>
          </w:r>
          <w:r>
            <w:fldChar w:fldCharType="begin"/>
          </w:r>
          <w:r>
            <w:instrText xml:space="preserve"> PAGEREF _Toc1560 \h </w:instrText>
          </w:r>
          <w:r>
            <w:fldChar w:fldCharType="separate"/>
          </w:r>
          <w:r>
            <w:t>206</w:t>
          </w:r>
          <w:r>
            <w:fldChar w:fldCharType="end"/>
          </w:r>
          <w:r>
            <w:rPr>
              <w:rFonts w:asciiTheme="minorHAnsi" w:hAnsiTheme="minorHAnsi" w:eastAsiaTheme="minorEastAsia" w:cstheme="minorBidi"/>
              <w:szCs w:val="22"/>
              <w:lang w:val="en-US" w:eastAsia="en-US" w:bidi="ar-SA"/>
            </w:rPr>
            <w:fldChar w:fldCharType="end"/>
          </w:r>
        </w:p>
        <w:p w14:paraId="4F8D52D8">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_Toc29044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一、 </w:t>
          </w:r>
          <w:r>
            <w:rPr>
              <w:rFonts w:ascii="Times New Roman" w:hAnsi="Times New Roman" w:eastAsia="黑体" w:cs="Times New Roman"/>
              <w:bCs w:val="0"/>
              <w:szCs w:val="32"/>
            </w:rPr>
            <w:t>集成接口</w:t>
          </w:r>
          <w:r>
            <w:tab/>
          </w:r>
          <w:r>
            <w:fldChar w:fldCharType="begin"/>
          </w:r>
          <w:r>
            <w:instrText xml:space="preserve"> PAGEREF _Toc29044 \h </w:instrText>
          </w:r>
          <w:r>
            <w:fldChar w:fldCharType="separate"/>
          </w:r>
          <w:r>
            <w:t>207</w:t>
          </w:r>
          <w:r>
            <w:fldChar w:fldCharType="end"/>
          </w:r>
          <w:r>
            <w:rPr>
              <w:rFonts w:asciiTheme="minorHAnsi" w:hAnsiTheme="minorHAnsi" w:eastAsiaTheme="minorEastAsia" w:cstheme="minorBidi"/>
              <w:szCs w:val="22"/>
              <w:lang w:val="en-US" w:eastAsia="en-US" w:bidi="ar-SA"/>
            </w:rPr>
            <w:fldChar w:fldCharType="end"/>
          </w:r>
        </w:p>
        <w:p w14:paraId="0FBB832C">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_Toc20731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二、 </w:t>
          </w:r>
          <w:r>
            <w:rPr>
              <w:rFonts w:ascii="Times New Roman" w:hAnsi="Times New Roman" w:eastAsia="黑体" w:cs="Times New Roman"/>
              <w:bCs w:val="0"/>
              <w:szCs w:val="32"/>
            </w:rPr>
            <w:t>采集点表（核心点位）</w:t>
          </w:r>
          <w:r>
            <w:tab/>
          </w:r>
          <w:r>
            <w:fldChar w:fldCharType="begin"/>
          </w:r>
          <w:r>
            <w:instrText xml:space="preserve"> PAGEREF _Toc20731 \h </w:instrText>
          </w:r>
          <w:r>
            <w:fldChar w:fldCharType="separate"/>
          </w:r>
          <w:r>
            <w:t>207</w:t>
          </w:r>
          <w:r>
            <w:fldChar w:fldCharType="end"/>
          </w:r>
          <w:r>
            <w:rPr>
              <w:rFonts w:asciiTheme="minorHAnsi" w:hAnsiTheme="minorHAnsi" w:eastAsiaTheme="minorEastAsia" w:cstheme="minorBidi"/>
              <w:szCs w:val="22"/>
              <w:lang w:val="en-US" w:eastAsia="en-US" w:bidi="ar-SA"/>
            </w:rPr>
            <w:fldChar w:fldCharType="end"/>
          </w:r>
        </w:p>
        <w:p w14:paraId="5C76A0B6">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_Toc29125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三、 </w:t>
          </w:r>
          <w:r>
            <w:rPr>
              <w:rFonts w:ascii="Times New Roman" w:hAnsi="Times New Roman" w:eastAsia="黑体" w:cs="Times New Roman"/>
              <w:bCs w:val="0"/>
              <w:szCs w:val="32"/>
            </w:rPr>
            <w:t>外部数据源与授权</w:t>
          </w:r>
          <w:r>
            <w:tab/>
          </w:r>
          <w:r>
            <w:fldChar w:fldCharType="begin"/>
          </w:r>
          <w:r>
            <w:instrText xml:space="preserve"> PAGEREF _Toc29125 \h </w:instrText>
          </w:r>
          <w:r>
            <w:fldChar w:fldCharType="separate"/>
          </w:r>
          <w:r>
            <w:t>208</w:t>
          </w:r>
          <w:r>
            <w:fldChar w:fldCharType="end"/>
          </w:r>
          <w:r>
            <w:rPr>
              <w:rFonts w:asciiTheme="minorHAnsi" w:hAnsiTheme="minorHAnsi" w:eastAsiaTheme="minorEastAsia" w:cstheme="minorBidi"/>
              <w:szCs w:val="22"/>
              <w:lang w:val="en-US" w:eastAsia="en-US" w:bidi="ar-SA"/>
            </w:rPr>
            <w:fldChar w:fldCharType="end"/>
          </w:r>
        </w:p>
        <w:p w14:paraId="5009D0EA">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_Toc9404 </w:instrText>
          </w:r>
          <w:r>
            <w:rPr>
              <w:rFonts w:asciiTheme="minorHAnsi" w:hAnsiTheme="minorHAnsi" w:eastAsiaTheme="minorEastAsia" w:cstheme="minorBidi"/>
              <w:szCs w:val="22"/>
              <w:lang w:val="en-US" w:eastAsia="en-US" w:bidi="ar-SA"/>
            </w:rPr>
            <w:fldChar w:fldCharType="separate"/>
          </w:r>
          <w:r>
            <w:rPr>
              <w:rFonts w:hint="eastAsia" w:eastAsia="黑体"/>
              <w:bCs w:val="0"/>
              <w:szCs w:val="44"/>
            </w:rPr>
            <w:t xml:space="preserve">第十二章 </w:t>
          </w:r>
          <w:r>
            <w:rPr>
              <w:rFonts w:ascii="Times New Roman" w:hAnsi="Times New Roman" w:eastAsia="黑体" w:cs="Times New Roman"/>
              <w:bCs w:val="0"/>
              <w:szCs w:val="44"/>
            </w:rPr>
            <w:t>测试与验收基线</w:t>
          </w:r>
          <w:r>
            <w:tab/>
          </w:r>
          <w:r>
            <w:fldChar w:fldCharType="begin"/>
          </w:r>
          <w:r>
            <w:instrText xml:space="preserve"> PAGEREF _Toc9404 \h </w:instrText>
          </w:r>
          <w:r>
            <w:fldChar w:fldCharType="separate"/>
          </w:r>
          <w:r>
            <w:t>209</w:t>
          </w:r>
          <w:r>
            <w:fldChar w:fldCharType="end"/>
          </w:r>
          <w:r>
            <w:rPr>
              <w:rFonts w:asciiTheme="minorHAnsi" w:hAnsiTheme="minorHAnsi" w:eastAsiaTheme="minorEastAsia" w:cstheme="minorBidi"/>
              <w:szCs w:val="22"/>
              <w:lang w:val="en-US" w:eastAsia="en-US" w:bidi="ar-SA"/>
            </w:rPr>
            <w:fldChar w:fldCharType="end"/>
          </w:r>
        </w:p>
        <w:p w14:paraId="07B8BD5D">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_Toc4485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一、 </w:t>
          </w:r>
          <w:r>
            <w:rPr>
              <w:rFonts w:ascii="Times New Roman" w:hAnsi="Times New Roman" w:eastAsia="黑体" w:cs="Times New Roman"/>
              <w:bCs w:val="0"/>
              <w:szCs w:val="32"/>
            </w:rPr>
            <w:t>验收准则</w:t>
          </w:r>
          <w:r>
            <w:tab/>
          </w:r>
          <w:r>
            <w:fldChar w:fldCharType="begin"/>
          </w:r>
          <w:r>
            <w:instrText xml:space="preserve"> PAGEREF _Toc4485 \h </w:instrText>
          </w:r>
          <w:r>
            <w:fldChar w:fldCharType="separate"/>
          </w:r>
          <w:r>
            <w:t>209</w:t>
          </w:r>
          <w:r>
            <w:fldChar w:fldCharType="end"/>
          </w:r>
          <w:r>
            <w:rPr>
              <w:rFonts w:asciiTheme="minorHAnsi" w:hAnsiTheme="minorHAnsi" w:eastAsiaTheme="minorEastAsia" w:cstheme="minorBidi"/>
              <w:szCs w:val="22"/>
              <w:lang w:val="en-US" w:eastAsia="en-US" w:bidi="ar-SA"/>
            </w:rPr>
            <w:fldChar w:fldCharType="end"/>
          </w:r>
        </w:p>
        <w:p w14:paraId="5F6ED749">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_Toc10509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二、 </w:t>
          </w:r>
          <w:r>
            <w:rPr>
              <w:rFonts w:ascii="Times New Roman" w:hAnsi="Times New Roman" w:eastAsia="黑体" w:cs="Times New Roman"/>
              <w:bCs w:val="0"/>
              <w:szCs w:val="32"/>
            </w:rPr>
            <w:t>破坏性测试矩阵（EQP / BVA）</w:t>
          </w:r>
          <w:r>
            <w:tab/>
          </w:r>
          <w:r>
            <w:fldChar w:fldCharType="begin"/>
          </w:r>
          <w:r>
            <w:instrText xml:space="preserve"> PAGEREF _Toc10509 \h </w:instrText>
          </w:r>
          <w:r>
            <w:fldChar w:fldCharType="separate"/>
          </w:r>
          <w:r>
            <w:t>209</w:t>
          </w:r>
          <w:r>
            <w:fldChar w:fldCharType="end"/>
          </w:r>
          <w:r>
            <w:rPr>
              <w:rFonts w:asciiTheme="minorHAnsi" w:hAnsiTheme="minorHAnsi" w:eastAsiaTheme="minorEastAsia" w:cstheme="minorBidi"/>
              <w:szCs w:val="22"/>
              <w:lang w:val="en-US" w:eastAsia="en-US" w:bidi="ar-SA"/>
            </w:rPr>
            <w:fldChar w:fldCharType="end"/>
          </w:r>
        </w:p>
        <w:p w14:paraId="1A7C5B7D">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_Toc15357 </w:instrText>
          </w:r>
          <w:r>
            <w:rPr>
              <w:rFonts w:asciiTheme="minorHAnsi" w:hAnsiTheme="minorHAnsi" w:eastAsiaTheme="minorEastAsia" w:cstheme="minorBidi"/>
              <w:szCs w:val="22"/>
              <w:lang w:val="en-US" w:eastAsia="en-US" w:bidi="ar-SA"/>
            </w:rPr>
            <w:fldChar w:fldCharType="separate"/>
          </w:r>
          <w:r>
            <w:rPr>
              <w:rFonts w:hint="eastAsia" w:eastAsia="黑体"/>
              <w:bCs w:val="0"/>
              <w:szCs w:val="32"/>
            </w:rPr>
            <w:t xml:space="preserve">三、 </w:t>
          </w:r>
          <w:r>
            <w:rPr>
              <w:rFonts w:ascii="Times New Roman" w:hAnsi="Times New Roman" w:eastAsia="黑体" w:cs="Times New Roman"/>
              <w:bCs w:val="0"/>
              <w:szCs w:val="32"/>
            </w:rPr>
            <w:t>全系统验收基线</w:t>
          </w:r>
          <w:r>
            <w:tab/>
          </w:r>
          <w:r>
            <w:fldChar w:fldCharType="begin"/>
          </w:r>
          <w:r>
            <w:instrText xml:space="preserve"> PAGEREF _Toc15357 \h </w:instrText>
          </w:r>
          <w:r>
            <w:fldChar w:fldCharType="separate"/>
          </w:r>
          <w:r>
            <w:t>209</w:t>
          </w:r>
          <w:r>
            <w:fldChar w:fldCharType="end"/>
          </w:r>
          <w:r>
            <w:rPr>
              <w:rFonts w:asciiTheme="minorHAnsi" w:hAnsiTheme="minorHAnsi" w:eastAsiaTheme="minorEastAsia" w:cstheme="minorBidi"/>
              <w:szCs w:val="22"/>
              <w:lang w:val="en-US" w:eastAsia="en-US" w:bidi="ar-SA"/>
            </w:rPr>
            <w:fldChar w:fldCharType="end"/>
          </w:r>
        </w:p>
        <w:p w14:paraId="26B77CE8">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_Toc23816 </w:instrText>
          </w:r>
          <w:r>
            <w:rPr>
              <w:rFonts w:asciiTheme="minorHAnsi" w:hAnsiTheme="minorHAnsi" w:eastAsiaTheme="minorEastAsia" w:cstheme="minorBidi"/>
              <w:szCs w:val="22"/>
              <w:lang w:val="en-US" w:eastAsia="en-US" w:bidi="ar-SA"/>
            </w:rPr>
            <w:fldChar w:fldCharType="separate"/>
          </w:r>
          <w:r>
            <w:rPr>
              <w:rFonts w:ascii="Times New Roman" w:hAnsi="Times New Roman" w:eastAsia="黑体" w:cs="Times New Roman"/>
              <w:bCs w:val="0"/>
              <w:szCs w:val="24"/>
            </w:rPr>
            <w:t>附录 A：现行国标 / 行标 / 欧标 法规映射表</w:t>
          </w:r>
          <w:r>
            <w:tab/>
          </w:r>
          <w:r>
            <w:fldChar w:fldCharType="begin"/>
          </w:r>
          <w:r>
            <w:instrText xml:space="preserve"> PAGEREF _Toc23816 \h </w:instrText>
          </w:r>
          <w:r>
            <w:fldChar w:fldCharType="separate"/>
          </w:r>
          <w:r>
            <w:t>210</w:t>
          </w:r>
          <w:r>
            <w:fldChar w:fldCharType="end"/>
          </w:r>
          <w:r>
            <w:rPr>
              <w:rFonts w:asciiTheme="minorHAnsi" w:hAnsiTheme="minorHAnsi" w:eastAsiaTheme="minorEastAsia" w:cstheme="minorBidi"/>
              <w:szCs w:val="22"/>
              <w:lang w:val="en-US" w:eastAsia="en-US" w:bidi="ar-SA"/>
            </w:rPr>
            <w:fldChar w:fldCharType="end"/>
          </w:r>
        </w:p>
        <w:p w14:paraId="50D93F0F">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_Toc30980 </w:instrText>
          </w:r>
          <w:r>
            <w:rPr>
              <w:rFonts w:asciiTheme="minorHAnsi" w:hAnsiTheme="minorHAnsi" w:eastAsiaTheme="minorEastAsia" w:cstheme="minorBidi"/>
              <w:szCs w:val="22"/>
              <w:lang w:val="en-US" w:eastAsia="en-US" w:bidi="ar-SA"/>
            </w:rPr>
            <w:fldChar w:fldCharType="separate"/>
          </w:r>
          <w:r>
            <w:rPr>
              <w:rFonts w:ascii="Times New Roman" w:hAnsi="Times New Roman" w:eastAsia="黑体" w:cs="Times New Roman"/>
              <w:bCs w:val="0"/>
              <w:szCs w:val="24"/>
            </w:rPr>
            <w:t>附录 B：反模式与反例对照治理清单</w:t>
          </w:r>
          <w:r>
            <w:tab/>
          </w:r>
          <w:r>
            <w:fldChar w:fldCharType="begin"/>
          </w:r>
          <w:r>
            <w:instrText xml:space="preserve"> PAGEREF _Toc30980 \h </w:instrText>
          </w:r>
          <w:r>
            <w:fldChar w:fldCharType="separate"/>
          </w:r>
          <w:r>
            <w:t>210</w:t>
          </w:r>
          <w:r>
            <w:fldChar w:fldCharType="end"/>
          </w:r>
          <w:r>
            <w:rPr>
              <w:rFonts w:asciiTheme="minorHAnsi" w:hAnsiTheme="minorHAnsi" w:eastAsiaTheme="minorEastAsia" w:cstheme="minorBidi"/>
              <w:szCs w:val="22"/>
              <w:lang w:val="en-US" w:eastAsia="en-US" w:bidi="ar-SA"/>
            </w:rPr>
            <w:fldChar w:fldCharType="end"/>
          </w:r>
        </w:p>
        <w:p w14:paraId="15ED4686">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_Toc16807 </w:instrText>
          </w:r>
          <w:r>
            <w:rPr>
              <w:rFonts w:asciiTheme="minorHAnsi" w:hAnsiTheme="minorHAnsi" w:eastAsiaTheme="minorEastAsia" w:cstheme="minorBidi"/>
              <w:szCs w:val="22"/>
              <w:lang w:val="en-US" w:eastAsia="en-US" w:bidi="ar-SA"/>
            </w:rPr>
            <w:fldChar w:fldCharType="separate"/>
          </w:r>
          <w:r>
            <w:rPr>
              <w:rFonts w:ascii="Times New Roman" w:hAnsi="Times New Roman" w:eastAsia="黑体" w:cs="Times New Roman"/>
              <w:bCs w:val="0"/>
              <w:szCs w:val="24"/>
            </w:rPr>
            <w:t>附录 C：企业组织结构树</w:t>
          </w:r>
          <w:r>
            <w:tab/>
          </w:r>
          <w:r>
            <w:fldChar w:fldCharType="begin"/>
          </w:r>
          <w:r>
            <w:instrText xml:space="preserve"> PAGEREF _Toc16807 \h </w:instrText>
          </w:r>
          <w:r>
            <w:fldChar w:fldCharType="separate"/>
          </w:r>
          <w:r>
            <w:t>211</w:t>
          </w:r>
          <w:r>
            <w:fldChar w:fldCharType="end"/>
          </w:r>
          <w:r>
            <w:rPr>
              <w:rFonts w:asciiTheme="minorHAnsi" w:hAnsiTheme="minorHAnsi" w:eastAsiaTheme="minorEastAsia" w:cstheme="minorBidi"/>
              <w:szCs w:val="22"/>
              <w:lang w:val="en-US" w:eastAsia="en-US" w:bidi="ar-SA"/>
            </w:rPr>
            <w:fldChar w:fldCharType="end"/>
          </w:r>
        </w:p>
        <w:p w14:paraId="4DC89B10">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_Toc1064 </w:instrText>
          </w:r>
          <w:r>
            <w:rPr>
              <w:rFonts w:asciiTheme="minorHAnsi" w:hAnsiTheme="minorHAnsi" w:eastAsiaTheme="minorEastAsia" w:cstheme="minorBidi"/>
              <w:szCs w:val="22"/>
              <w:lang w:val="en-US" w:eastAsia="en-US" w:bidi="ar-SA"/>
            </w:rPr>
            <w:fldChar w:fldCharType="separate"/>
          </w:r>
          <w:r>
            <w:rPr>
              <w:rFonts w:ascii="Times New Roman" w:hAnsi="Times New Roman" w:eastAsia="黑体" w:cs="Times New Roman"/>
              <w:bCs w:val="0"/>
              <w:szCs w:val="24"/>
            </w:rPr>
            <w:t>附录 D：园区组织结构树</w:t>
          </w:r>
          <w:r>
            <w:tab/>
          </w:r>
          <w:r>
            <w:fldChar w:fldCharType="begin"/>
          </w:r>
          <w:r>
            <w:instrText xml:space="preserve"> PAGEREF _Toc1064 \h </w:instrText>
          </w:r>
          <w:r>
            <w:fldChar w:fldCharType="separate"/>
          </w:r>
          <w:r>
            <w:t>212</w:t>
          </w:r>
          <w:r>
            <w:fldChar w:fldCharType="end"/>
          </w:r>
          <w:r>
            <w:rPr>
              <w:rFonts w:asciiTheme="minorHAnsi" w:hAnsiTheme="minorHAnsi" w:eastAsiaTheme="minorEastAsia" w:cstheme="minorBidi"/>
              <w:szCs w:val="22"/>
              <w:lang w:val="en-US" w:eastAsia="en-US" w:bidi="ar-SA"/>
            </w:rPr>
            <w:fldChar w:fldCharType="end"/>
          </w:r>
        </w:p>
        <w:p w14:paraId="6A7B460D">
          <w:pPr>
            <w:pStyle w:val="27"/>
            <w:tabs>
              <w:tab w:val="right" w:leader="dot" w:pos="9314"/>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_Toc20691 </w:instrText>
          </w:r>
          <w:r>
            <w:rPr>
              <w:rFonts w:asciiTheme="minorHAnsi" w:hAnsiTheme="minorHAnsi" w:eastAsiaTheme="minorEastAsia" w:cstheme="minorBidi"/>
              <w:szCs w:val="22"/>
              <w:lang w:val="en-US" w:eastAsia="en-US" w:bidi="ar-SA"/>
            </w:rPr>
            <w:fldChar w:fldCharType="separate"/>
          </w:r>
          <w:r>
            <w:rPr>
              <w:rFonts w:ascii="Times New Roman" w:hAnsi="Times New Roman" w:eastAsia="黑体" w:cs="Times New Roman"/>
              <w:bCs w:val="0"/>
              <w:szCs w:val="24"/>
            </w:rPr>
            <w:t>附录 E：角色与权限矩阵</w:t>
          </w:r>
          <w:r>
            <w:tab/>
          </w:r>
          <w:r>
            <w:fldChar w:fldCharType="begin"/>
          </w:r>
          <w:r>
            <w:instrText xml:space="preserve"> PAGEREF _Toc20691 \h </w:instrText>
          </w:r>
          <w:r>
            <w:fldChar w:fldCharType="separate"/>
          </w:r>
          <w:r>
            <w:t>213</w:t>
          </w:r>
          <w:r>
            <w:fldChar w:fldCharType="end"/>
          </w:r>
          <w:r>
            <w:rPr>
              <w:rFonts w:asciiTheme="minorHAnsi" w:hAnsiTheme="minorHAnsi" w:eastAsiaTheme="minorEastAsia" w:cstheme="minorBidi"/>
              <w:szCs w:val="22"/>
              <w:lang w:val="en-US" w:eastAsia="en-US" w:bidi="ar-SA"/>
            </w:rPr>
            <w:fldChar w:fldCharType="end"/>
          </w:r>
        </w:p>
        <w:p w14:paraId="48282ACD">
          <w:pPr>
            <w:rPr>
              <w:rFonts w:asciiTheme="minorHAnsi" w:hAnsiTheme="minorHAnsi" w:eastAsiaTheme="minorEastAsia" w:cstheme="minorBidi"/>
              <w:sz w:val="22"/>
              <w:szCs w:val="22"/>
              <w:lang w:val="en-US" w:eastAsia="en-US" w:bidi="ar-SA"/>
            </w:rPr>
          </w:pPr>
          <w:r>
            <w:rPr>
              <w:rFonts w:asciiTheme="minorHAnsi" w:hAnsiTheme="minorHAnsi" w:eastAsiaTheme="minorEastAsia" w:cstheme="minorBidi"/>
              <w:szCs w:val="22"/>
              <w:lang w:val="en-US" w:eastAsia="en-US" w:bidi="ar-SA"/>
            </w:rPr>
            <w:fldChar w:fldCharType="end"/>
          </w:r>
        </w:p>
      </w:sdtContent>
    </w:sdt>
    <w:p w14:paraId="48E832F0">
      <w:pPr>
        <w:rPr>
          <w:rFonts w:asciiTheme="minorHAnsi" w:hAnsiTheme="minorHAnsi" w:eastAsiaTheme="minorEastAsia" w:cstheme="minorBidi"/>
          <w:sz w:val="22"/>
          <w:szCs w:val="22"/>
          <w:lang w:val="en-US" w:eastAsia="en-US" w:bidi="ar-SA"/>
        </w:rPr>
      </w:pPr>
    </w:p>
    <w:p w14:paraId="294A731F">
      <w:pPr>
        <w:ind w:left="0" w:leftChars="0" w:firstLine="0" w:firstLineChars="0"/>
        <w:rPr>
          <w:rFonts w:eastAsia="黑体"/>
          <w:b w:val="0"/>
          <w:bCs w:val="0"/>
          <w:sz w:val="32"/>
          <w:szCs w:val="44"/>
        </w:rPr>
        <w:sectPr>
          <w:footerReference r:id="rId8" w:type="first"/>
          <w:footerReference r:id="rId7" w:type="default"/>
          <w:pgSz w:w="11906" w:h="16838"/>
          <w:pgMar w:top="1296" w:right="1296" w:bottom="1296" w:left="1296" w:header="720" w:footer="720" w:gutter="0"/>
          <w:pgBorders>
            <w:top w:val="none" w:sz="0" w:space="0"/>
            <w:left w:val="none" w:sz="0" w:space="0"/>
            <w:bottom w:val="none" w:sz="0" w:space="0"/>
            <w:right w:val="none" w:sz="0" w:space="0"/>
          </w:pgBorders>
          <w:pgNumType w:fmt="decimal" w:start="1"/>
          <w:cols w:space="720" w:num="1"/>
          <w:titlePg/>
          <w:docGrid w:linePitch="360" w:charSpace="0"/>
        </w:sectPr>
      </w:pPr>
    </w:p>
    <w:p w14:paraId="1972F910">
      <w:pPr>
        <w:pStyle w:val="3"/>
        <w:numPr>
          <w:ilvl w:val="0"/>
          <w:numId w:val="7"/>
        </w:numPr>
        <w:ind w:left="0" w:leftChars="0" w:firstLine="0" w:firstLineChars="0"/>
        <w:rPr>
          <w:rFonts w:eastAsia="黑体"/>
          <w:b w:val="0"/>
          <w:bCs w:val="0"/>
          <w:sz w:val="32"/>
          <w:szCs w:val="44"/>
        </w:rPr>
      </w:pPr>
      <w:bookmarkStart w:id="0" w:name="_Toc18767"/>
      <w:r>
        <w:rPr>
          <w:rFonts w:ascii="Times New Roman" w:hAnsi="Times New Roman" w:eastAsia="黑体" w:cs="Times New Roman"/>
          <w:b w:val="0"/>
          <w:bCs w:val="0"/>
          <w:sz w:val="32"/>
          <w:szCs w:val="44"/>
        </w:rPr>
        <w:t>顶层业务架构与标准规范</w:t>
      </w:r>
      <w:bookmarkEnd w:id="0"/>
    </w:p>
    <w:p w14:paraId="34822E17">
      <w:pPr>
        <w:pStyle w:val="4"/>
        <w:numPr>
          <w:ilvl w:val="0"/>
          <w:numId w:val="8"/>
        </w:numPr>
        <w:topLinePunct w:val="0"/>
        <w:ind w:left="0" w:leftChars="0" w:firstLine="0" w:firstLineChars="0"/>
        <w:outlineLvl w:val="0"/>
        <w:rPr>
          <w:rFonts w:hint="eastAsia" w:eastAsia="黑体"/>
          <w:b w:val="0"/>
          <w:bCs w:val="0"/>
          <w:sz w:val="30"/>
          <w:szCs w:val="32"/>
        </w:rPr>
      </w:pPr>
      <w:bookmarkStart w:id="1" w:name="_Toc19855"/>
      <w:r>
        <w:rPr>
          <w:rFonts w:ascii="Times New Roman" w:hAnsi="Times New Roman" w:eastAsia="黑体" w:cs="Times New Roman"/>
          <w:b w:val="0"/>
          <w:bCs w:val="0"/>
          <w:sz w:val="30"/>
          <w:szCs w:val="32"/>
        </w:rPr>
        <w:t>项目背景与建设目标</w:t>
      </w:r>
      <w:bookmarkEnd w:id="1"/>
    </w:p>
    <w:p w14:paraId="09B42206">
      <w:pPr>
        <w:pStyle w:val="5"/>
        <w:widowControl/>
        <w:numPr>
          <w:ilvl w:val="0"/>
          <w:numId w:val="9"/>
        </w:numPr>
        <w:ind w:left="0" w:leftChars="0" w:firstLine="0" w:firstLineChars="0"/>
        <w:outlineLvl w:val="1"/>
        <w:rPr>
          <w:rFonts w:eastAsia="黑体"/>
          <w:b w:val="0"/>
          <w:bCs w:val="0"/>
          <w:sz w:val="30"/>
          <w:szCs w:val="24"/>
        </w:rPr>
      </w:pPr>
      <w:bookmarkStart w:id="2" w:name="_Toc11274"/>
      <w:r>
        <w:rPr>
          <w:rFonts w:ascii="Times New Roman" w:hAnsi="Times New Roman" w:eastAsia="黑体" w:cs="Times New Roman"/>
          <w:b w:val="0"/>
          <w:bCs w:val="0"/>
          <w:sz w:val="30"/>
          <w:szCs w:val="24"/>
        </w:rPr>
        <w:t>项目建设背景</w:t>
      </w:r>
      <w:bookmarkEnd w:id="2"/>
    </w:p>
    <w:p w14:paraId="7EFF12F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宏观战略与集团"十五五"低碳发展要求。</w:t>
      </w:r>
      <w:r>
        <w:rPr>
          <w:rFonts w:ascii="Times New Roman" w:hAnsi="Times New Roman" w:eastAsia="宋体" w:cs="Times New Roman"/>
          <w:i w:val="0"/>
          <w:color w:val="1F2937"/>
          <w:sz w:val="24"/>
          <w:szCs w:val="24"/>
        </w:rPr>
        <w:t xml:space="preserve"> 在国家"碳达峰、碳中和"战略深入推进的宏观背景下，工业装备制造业正加速向全生命周期绿色化、数字化转型。特变电工电装集团作为我国输变电高端装备制造领域的龙头企业，坚决贯彻集团绿色低碳发展统一部署。根据集团"十五五"战略规划纲要，到 2028 年，电装集团须全面形成以"零碳园区、零碳工厂、零碳产品"为主线的绿色高质量发展模式，确保零碳园区全面建成并成为集团新的核心产业增长极。在此目标引领下，构建一套覆盖自身运营并向上下游产业链纵深辐射、具备高公信力与高效协同能力的碳足迹数字化管理生态系统，已成为支撑集团战略落地的关键路径。</w:t>
      </w:r>
    </w:p>
    <w:p w14:paraId="79E049F5">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国际贸易绿色壁垒与合规实质性倒逼。</w:t>
      </w:r>
      <w:r>
        <w:rPr>
          <w:rFonts w:ascii="Times New Roman" w:hAnsi="Times New Roman" w:eastAsia="宋体" w:cs="Times New Roman"/>
          <w:i w:val="0"/>
          <w:color w:val="1F2937"/>
          <w:sz w:val="24"/>
          <w:szCs w:val="24"/>
        </w:rPr>
        <w:t xml:space="preserve"> 随着全球绿色供应链竞争加剧，欧盟碳边境调节机制（CBAM）已进入实质性操作阶段，针对输变电产品及其原材料（钢、铝等）的直接与间接排放溯源监管日益严苛。电装集团产品大量服务于国内外重点工程及海外基础设施建设，亟需建立符合国际核算标准（如 ISO 14067、GHG Protocol 等）、支持全流程证据链追溯与多维溯源的产品碳足迹认证体系，打破国际绿色贸易壁垒，巩固全球竞争优势。</w:t>
      </w:r>
    </w:p>
    <w:p w14:paraId="72737059">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数字化能碳运营现状与核心痛点。</w:t>
      </w:r>
      <w:r>
        <w:rPr>
          <w:rFonts w:ascii="Times New Roman" w:hAnsi="Times New Roman" w:eastAsia="宋体" w:cs="Times New Roman"/>
          <w:i w:val="0"/>
          <w:color w:val="1F2937"/>
          <w:sz w:val="24"/>
          <w:szCs w:val="24"/>
        </w:rPr>
        <w:t xml:space="preserve"> 当前，电装集团绿色转型已进入深水区，但数字化支撑与集约化管控层面仍存在显著瓶颈：</w:t>
      </w:r>
    </w:p>
    <w:p w14:paraId="3F1DADA6">
      <w:pPr>
        <w:pStyle w:val="19"/>
        <w:widowControl/>
        <w:numPr>
          <w:ilvl w:val="0"/>
          <w:numId w:val="10"/>
        </w:numPr>
        <w:ind w:left="420" w:leftChars="0" w:hanging="420" w:firstLineChars="0"/>
        <w:rPr>
          <w:rFonts w:eastAsia="宋体"/>
          <w:i w:val="0"/>
          <w:sz w:val="24"/>
          <w:szCs w:val="24"/>
        </w:rPr>
      </w:pPr>
      <w:r>
        <w:rPr>
          <w:rFonts w:ascii="Times New Roman" w:hAnsi="Times New Roman" w:eastAsia="宋体" w:cs="Times New Roman"/>
          <w:b/>
          <w:i w:val="0"/>
          <w:color w:val="1E3A8A"/>
          <w:sz w:val="24"/>
          <w:szCs w:val="24"/>
        </w:rPr>
        <w:t>能碳数据底座割裂，缺乏统一监管抓手</w:t>
      </w:r>
      <w:r>
        <w:rPr>
          <w:rFonts w:ascii="Times New Roman" w:hAnsi="Times New Roman" w:eastAsia="宋体" w:cs="Times New Roman"/>
          <w:i w:val="0"/>
          <w:color w:val="1F2937"/>
          <w:sz w:val="24"/>
          <w:szCs w:val="24"/>
        </w:rPr>
        <w:t>：集团下辖 18 个生产基地/园区所处区域广泛、生产工艺与用能结构各异，各单位能源计量统计口径、数据精度及碳排放管控标准不一致，数据孤岛严重，总部层面难以实现"一本账"穿透式监管和精准横向对标。</w:t>
      </w:r>
    </w:p>
    <w:p w14:paraId="43D93B0B">
      <w:pPr>
        <w:pStyle w:val="19"/>
        <w:widowControl/>
        <w:numPr>
          <w:ilvl w:val="0"/>
          <w:numId w:val="10"/>
        </w:numPr>
        <w:ind w:left="420" w:leftChars="0" w:hanging="420" w:firstLineChars="0"/>
        <w:rPr>
          <w:rFonts w:eastAsia="宋体"/>
          <w:i w:val="0"/>
          <w:sz w:val="24"/>
          <w:szCs w:val="24"/>
        </w:rPr>
      </w:pPr>
      <w:r>
        <w:rPr>
          <w:rFonts w:ascii="Times New Roman" w:hAnsi="Times New Roman" w:eastAsia="宋体" w:cs="Times New Roman"/>
          <w:b/>
          <w:i w:val="0"/>
          <w:color w:val="1E3A8A"/>
          <w:sz w:val="24"/>
          <w:szCs w:val="24"/>
        </w:rPr>
        <w:t>零碳评价无标可依，成效难以量化评估</w:t>
      </w:r>
      <w:r>
        <w:rPr>
          <w:rFonts w:ascii="Times New Roman" w:hAnsi="Times New Roman" w:eastAsia="宋体" w:cs="Times New Roman"/>
          <w:i w:val="0"/>
          <w:color w:val="1F2937"/>
          <w:sz w:val="24"/>
          <w:szCs w:val="24"/>
        </w:rPr>
        <w:t>：零碳园区建设缺乏统一、标准化的指标评价框架与动态打分体系，各单位降碳举措分散、效果参差不齐，难以形成可复制、可推广的绿色制造示范模式。</w:t>
      </w:r>
    </w:p>
    <w:p w14:paraId="34FE40E1">
      <w:pPr>
        <w:pStyle w:val="19"/>
        <w:widowControl/>
        <w:numPr>
          <w:ilvl w:val="0"/>
          <w:numId w:val="10"/>
        </w:numPr>
        <w:ind w:left="420" w:leftChars="0" w:hanging="420" w:firstLineChars="0"/>
        <w:rPr>
          <w:rFonts w:eastAsia="宋体"/>
          <w:i w:val="0"/>
          <w:sz w:val="24"/>
          <w:szCs w:val="24"/>
        </w:rPr>
      </w:pPr>
      <w:r>
        <w:rPr>
          <w:rFonts w:ascii="Times New Roman" w:hAnsi="Times New Roman" w:eastAsia="宋体" w:cs="Times New Roman"/>
          <w:b/>
          <w:i w:val="0"/>
          <w:color w:val="1E3A8A"/>
          <w:sz w:val="24"/>
          <w:szCs w:val="24"/>
        </w:rPr>
        <w:t>碳足迹核算成本高、周期长、证据链缺失</w:t>
      </w:r>
      <w:r>
        <w:rPr>
          <w:rFonts w:ascii="Times New Roman" w:hAnsi="Times New Roman" w:eastAsia="宋体" w:cs="Times New Roman"/>
          <w:i w:val="0"/>
          <w:color w:val="1F2937"/>
          <w:sz w:val="24"/>
          <w:szCs w:val="24"/>
        </w:rPr>
        <w:t>：传统的碳足迹核算高度依赖离线调研与第三方机构人工驻场，数据收集周期动辄数月，认证成本居高不下；且过程数据缺乏原始采样凭证与不可篡改的时间戳支撑，权威性易受质疑。</w:t>
      </w:r>
    </w:p>
    <w:p w14:paraId="712E0970">
      <w:pPr>
        <w:pStyle w:val="19"/>
        <w:widowControl/>
        <w:numPr>
          <w:ilvl w:val="0"/>
          <w:numId w:val="10"/>
        </w:numPr>
        <w:ind w:left="420" w:leftChars="0" w:hanging="420" w:firstLineChars="0"/>
        <w:rPr>
          <w:rFonts w:eastAsia="宋体"/>
          <w:i w:val="0"/>
          <w:sz w:val="24"/>
          <w:szCs w:val="24"/>
        </w:rPr>
      </w:pPr>
      <w:r>
        <w:rPr>
          <w:rFonts w:ascii="Times New Roman" w:hAnsi="Times New Roman" w:eastAsia="宋体" w:cs="Times New Roman"/>
          <w:b/>
          <w:i w:val="0"/>
          <w:color w:val="1E3A8A"/>
          <w:sz w:val="24"/>
          <w:szCs w:val="24"/>
        </w:rPr>
        <w:t>云边端协同能力薄弱，缺乏实时闭环调控</w:t>
      </w:r>
      <w:r>
        <w:rPr>
          <w:rFonts w:ascii="Times New Roman" w:hAnsi="Times New Roman" w:eastAsia="宋体" w:cs="Times New Roman"/>
          <w:i w:val="0"/>
          <w:color w:val="1F2937"/>
          <w:sz w:val="24"/>
          <w:szCs w:val="24"/>
        </w:rPr>
        <w:t>：现有系统多停留在"事后统计与静态展示"，边缘侧缺乏智能化数据采集、边缘计算与闭环控制机制，无法实现供能、储能、用能多要素的微秒级与秒级协同优化。</w:t>
      </w:r>
    </w:p>
    <w:p w14:paraId="4134183C">
      <w:pPr>
        <w:pStyle w:val="5"/>
        <w:widowControl/>
        <w:numPr>
          <w:ilvl w:val="0"/>
          <w:numId w:val="9"/>
        </w:numPr>
        <w:ind w:left="0" w:leftChars="0" w:firstLine="0" w:firstLineChars="0"/>
        <w:outlineLvl w:val="1"/>
        <w:rPr>
          <w:rFonts w:eastAsia="黑体"/>
          <w:b w:val="0"/>
          <w:bCs w:val="0"/>
          <w:sz w:val="30"/>
          <w:szCs w:val="24"/>
        </w:rPr>
      </w:pPr>
      <w:bookmarkStart w:id="3" w:name="_Toc28818"/>
      <w:r>
        <w:rPr>
          <w:rFonts w:ascii="Times New Roman" w:hAnsi="Times New Roman" w:eastAsia="黑体" w:cs="Times New Roman"/>
          <w:b w:val="0"/>
          <w:bCs w:val="0"/>
          <w:sz w:val="30"/>
          <w:szCs w:val="24"/>
        </w:rPr>
        <w:t>建设目标</w:t>
      </w:r>
      <w:bookmarkEnd w:id="3"/>
    </w:p>
    <w:p w14:paraId="57D95C52">
      <w:pPr>
        <w:pStyle w:val="19"/>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color w:val="1F2937"/>
          <w:sz w:val="24"/>
          <w:szCs w:val="24"/>
        </w:rPr>
        <w:t>本项目旨在通过"软硬件一体、云边端协同、管服一体化"的整体建设路径，研发构建"工厂—产业单位—总部"三级贯通的零碳集控运营系统与产品碳足迹集采管理认证一体化平台，实现对能源与碳排放"精准化计量、精细化管控、智能化决策、可视化呈现"。</w:t>
      </w:r>
    </w:p>
    <w:p w14:paraId="177F112A">
      <w:pPr>
        <w:pStyle w:val="19"/>
        <w:widowControl/>
        <w:ind w:left="0" w:leftChars="0" w:firstLine="0" w:firstLineChars="0"/>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管理层级落地目标：</w:t>
      </w:r>
    </w:p>
    <w:tbl>
      <w:tblPr>
        <w:tblStyle w:val="38"/>
        <w:tblW w:w="9784" w:type="dxa"/>
        <w:jc w:val="center"/>
        <w:tblLayout w:type="autofit"/>
        <w:tblCellMar>
          <w:top w:w="0" w:type="dxa"/>
          <w:left w:w="108" w:type="dxa"/>
          <w:bottom w:w="0" w:type="dxa"/>
          <w:right w:w="108" w:type="dxa"/>
        </w:tblCellMar>
      </w:tblPr>
      <w:tblGrid>
        <w:gridCol w:w="1415"/>
        <w:gridCol w:w="2235"/>
        <w:gridCol w:w="6134"/>
      </w:tblGrid>
      <w:tr w14:paraId="723DC6FB">
        <w:tblPrEx>
          <w:tblCellMar>
            <w:top w:w="0" w:type="dxa"/>
            <w:left w:w="108" w:type="dxa"/>
            <w:bottom w:w="0" w:type="dxa"/>
            <w:right w:w="108" w:type="dxa"/>
          </w:tblCellMar>
        </w:tblPrEx>
        <w:trPr>
          <w:trHeight w:val="0" w:hRule="atLeast"/>
          <w:tblHeader/>
          <w:jc w:val="center"/>
        </w:trPr>
        <w:tc>
          <w:tcPr>
            <w:tcW w:w="141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96B01E5">
            <w:pPr>
              <w:snapToGrid w:val="0"/>
              <w:spacing w:before="0" w:after="0" w:line="240" w:lineRule="auto"/>
              <w:ind w:left="0" w:leftChars="0" w:right="0" w:rightChars="0" w:firstLine="0" w:firstLineChars="0"/>
              <w:jc w:val="center"/>
              <w:rPr>
                <w:rFonts w:hint="eastAsia" w:ascii="宋体" w:hAnsi="宋体" w:eastAsia="宋体" w:cs="宋体"/>
                <w:b/>
                <w:i w:val="0"/>
                <w:iCs w:val="0"/>
                <w:sz w:val="24"/>
                <w:szCs w:val="24"/>
              </w:rPr>
            </w:pPr>
            <w:r>
              <w:rPr>
                <w:rFonts w:hint="eastAsia" w:ascii="宋体" w:hAnsi="宋体" w:eastAsia="宋体" w:cs="宋体"/>
                <w:b/>
                <w:i w:val="0"/>
                <w:iCs w:val="0"/>
                <w:color w:val="FFFFFF"/>
                <w:sz w:val="24"/>
                <w:szCs w:val="24"/>
              </w:rPr>
              <w:t>管理层级</w:t>
            </w:r>
          </w:p>
        </w:tc>
        <w:tc>
          <w:tcPr>
            <w:tcW w:w="223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7FF9D85">
            <w:pPr>
              <w:snapToGrid w:val="0"/>
              <w:spacing w:before="0" w:after="0" w:line="240" w:lineRule="auto"/>
              <w:ind w:left="0" w:leftChars="0" w:right="0" w:rightChars="0" w:firstLine="0" w:firstLineChars="0"/>
              <w:jc w:val="center"/>
              <w:rPr>
                <w:rFonts w:hint="eastAsia" w:ascii="宋体" w:hAnsi="宋体" w:eastAsia="宋体" w:cs="宋体"/>
                <w:b/>
                <w:i w:val="0"/>
                <w:iCs w:val="0"/>
                <w:sz w:val="24"/>
                <w:szCs w:val="24"/>
              </w:rPr>
            </w:pPr>
            <w:r>
              <w:rPr>
                <w:rFonts w:hint="eastAsia" w:ascii="宋体" w:hAnsi="宋体" w:eastAsia="宋体" w:cs="宋体"/>
                <w:b/>
                <w:i w:val="0"/>
                <w:iCs w:val="0"/>
                <w:color w:val="FFFFFF"/>
                <w:sz w:val="24"/>
                <w:szCs w:val="24"/>
              </w:rPr>
              <w:t>角色定位</w:t>
            </w:r>
          </w:p>
        </w:tc>
        <w:tc>
          <w:tcPr>
            <w:tcW w:w="613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DF1148A">
            <w:pPr>
              <w:snapToGrid w:val="0"/>
              <w:spacing w:before="0" w:after="0" w:line="240" w:lineRule="auto"/>
              <w:ind w:left="0" w:leftChars="0" w:right="0" w:rightChars="0" w:firstLine="0" w:firstLineChars="0"/>
              <w:jc w:val="center"/>
              <w:rPr>
                <w:rFonts w:hint="eastAsia" w:ascii="宋体" w:hAnsi="宋体" w:eastAsia="宋体" w:cs="宋体"/>
                <w:b/>
                <w:i w:val="0"/>
                <w:iCs w:val="0"/>
                <w:sz w:val="24"/>
                <w:szCs w:val="24"/>
              </w:rPr>
            </w:pPr>
            <w:r>
              <w:rPr>
                <w:rFonts w:hint="eastAsia" w:ascii="宋体" w:hAnsi="宋体" w:eastAsia="宋体" w:cs="宋体"/>
                <w:b/>
                <w:i w:val="0"/>
                <w:iCs w:val="0"/>
                <w:color w:val="FFFFFF"/>
                <w:sz w:val="24"/>
                <w:szCs w:val="24"/>
              </w:rPr>
              <w:t>核心落地目标</w:t>
            </w:r>
          </w:p>
        </w:tc>
      </w:tr>
      <w:tr w14:paraId="73ADFA66">
        <w:tblPrEx>
          <w:tblCellMar>
            <w:top w:w="0" w:type="dxa"/>
            <w:left w:w="108" w:type="dxa"/>
            <w:bottom w:w="0" w:type="dxa"/>
            <w:right w:w="108" w:type="dxa"/>
          </w:tblCellMar>
        </w:tblPrEx>
        <w:trPr>
          <w:trHeight w:val="0" w:hRule="atLeast"/>
          <w:jc w:val="center"/>
        </w:trPr>
        <w:tc>
          <w:tcPr>
            <w:tcW w:w="141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408EBC9">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集团总部层</w:t>
            </w:r>
          </w:p>
        </w:tc>
        <w:tc>
          <w:tcPr>
            <w:tcW w:w="22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17F00D8">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监管与决策中心</w:t>
            </w:r>
          </w:p>
        </w:tc>
        <w:tc>
          <w:tcPr>
            <w:tcW w:w="613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BEDC4B4">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打造集团能碳数据"驾驶舱"与统管枢纽，全面接入并统一管理 18 个园区的能碳运行态势；建立健全集团级能效对标体系与零碳园区评估模型，实现能耗异常穿透分析、减碳潜能挖掘与绿色转型成效的权威对外呈现</w:t>
            </w:r>
          </w:p>
        </w:tc>
      </w:tr>
      <w:tr w14:paraId="32A84555">
        <w:tblPrEx>
          <w:tblCellMar>
            <w:top w:w="0" w:type="dxa"/>
            <w:left w:w="108" w:type="dxa"/>
            <w:bottom w:w="0" w:type="dxa"/>
            <w:right w:w="108" w:type="dxa"/>
          </w:tblCellMar>
        </w:tblPrEx>
        <w:trPr>
          <w:trHeight w:val="0" w:hRule="atLeast"/>
          <w:jc w:val="center"/>
        </w:trPr>
        <w:tc>
          <w:tcPr>
            <w:tcW w:w="141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3D374B5">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产业单位层</w:t>
            </w:r>
          </w:p>
        </w:tc>
        <w:tc>
          <w:tcPr>
            <w:tcW w:w="22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2B6C687">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协同与治理中心</w:t>
            </w:r>
          </w:p>
        </w:tc>
        <w:tc>
          <w:tcPr>
            <w:tcW w:w="613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5A6AE4D">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固化标准化的碳足迹数据采集、因子匹配与全过程核算流程，构建面向变压器、电缆、高低压开关等重点装备的行业级实景数据库（LCI），指导下属各生产经营单位科学编制降碳规划并精准落地技改措施</w:t>
            </w:r>
          </w:p>
        </w:tc>
      </w:tr>
      <w:tr w14:paraId="5B899D87">
        <w:tblPrEx>
          <w:tblCellMar>
            <w:top w:w="0" w:type="dxa"/>
            <w:left w:w="108" w:type="dxa"/>
            <w:bottom w:w="0" w:type="dxa"/>
            <w:right w:w="108" w:type="dxa"/>
          </w:tblCellMar>
        </w:tblPrEx>
        <w:trPr>
          <w:trHeight w:val="0" w:hRule="atLeast"/>
          <w:jc w:val="center"/>
        </w:trPr>
        <w:tc>
          <w:tcPr>
            <w:tcW w:w="141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C7147F7">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工厂车间层</w:t>
            </w:r>
          </w:p>
        </w:tc>
        <w:tc>
          <w:tcPr>
            <w:tcW w:w="22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A9B44E0">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执行与核算中心</w:t>
            </w:r>
          </w:p>
        </w:tc>
        <w:tc>
          <w:tcPr>
            <w:tcW w:w="613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F1D80F5">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沉淀标准因子集、计算模型规范及一键式认证申报模板等数字化工具包，配合边缘网关与控制器实现产线级与设备级数据自动采集，支撑各工厂快速响应客户低碳招投标与第三方合规认证需求，核算效率提升 50% 以上</w:t>
            </w:r>
          </w:p>
        </w:tc>
      </w:tr>
    </w:tbl>
    <w:p w14:paraId="13E36B75">
      <w:pPr>
        <w:spacing w:after="60"/>
        <w:rPr>
          <w:rFonts w:hint="eastAsia" w:ascii="宋体" w:hAnsi="宋体" w:eastAsia="宋体" w:cs="宋体"/>
          <w:i w:val="0"/>
          <w:iCs w:val="0"/>
          <w:sz w:val="24"/>
          <w:szCs w:val="24"/>
        </w:rPr>
      </w:pPr>
    </w:p>
    <w:p w14:paraId="6F95DF3F">
      <w:pPr>
        <w:pStyle w:val="19"/>
        <w:widowControl/>
        <w:ind w:left="0" w:leftChars="0" w:firstLine="0" w:firstLineChars="0"/>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系统核心能力目标：</w:t>
      </w:r>
    </w:p>
    <w:p w14:paraId="5AE3C436">
      <w:pPr>
        <w:pStyle w:val="19"/>
        <w:widowControl/>
        <w:numPr>
          <w:ilvl w:val="0"/>
          <w:numId w:val="1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计量精准化</w:t>
      </w:r>
      <w:r>
        <w:rPr>
          <w:rFonts w:ascii="Times New Roman" w:hAnsi="Times New Roman" w:eastAsia="宋体" w:cs="Times New Roman"/>
          <w:i w:val="0"/>
          <w:color w:val="1F2937"/>
          <w:sz w:val="24"/>
          <w:szCs w:val="24"/>
        </w:rPr>
        <w:t>：依托工业物联网架构与边缘调控一体机，打通产线 DCS、SCADA、能源表计等系统，消除数据盲区与统计偏差，实现核心能碳指标毫秒级/秒级高精度感知。</w:t>
      </w:r>
    </w:p>
    <w:p w14:paraId="6A130B1A">
      <w:pPr>
        <w:pStyle w:val="19"/>
        <w:widowControl/>
        <w:numPr>
          <w:ilvl w:val="0"/>
          <w:numId w:val="1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管控精细化</w:t>
      </w:r>
      <w:r>
        <w:rPr>
          <w:rFonts w:ascii="Times New Roman" w:hAnsi="Times New Roman" w:eastAsia="宋体" w:cs="Times New Roman"/>
          <w:i w:val="0"/>
          <w:color w:val="1F2937"/>
          <w:sz w:val="24"/>
          <w:szCs w:val="24"/>
        </w:rPr>
        <w:t>：建立覆盖原材料输入、生产加工、组装测试到包装出厂的装备产品全生命周期（Cradle-to-Gate）碳足迹追踪链路，形成不可篡改的碳排放数据追溯链。</w:t>
      </w:r>
    </w:p>
    <w:p w14:paraId="1340333D">
      <w:pPr>
        <w:pStyle w:val="19"/>
        <w:widowControl/>
        <w:numPr>
          <w:ilvl w:val="0"/>
          <w:numId w:val="1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决策智能化</w:t>
      </w:r>
      <w:r>
        <w:rPr>
          <w:rFonts w:ascii="Times New Roman" w:hAnsi="Times New Roman" w:eastAsia="宋体" w:cs="Times New Roman"/>
          <w:i w:val="0"/>
          <w:color w:val="1F2937"/>
          <w:sz w:val="24"/>
          <w:szCs w:val="24"/>
        </w:rPr>
        <w:t>：深度融合行业机理与 AI 优化算法，实现用能负荷精准预测、峰谷分时响应、多能互补协同调度与碳减排路径智能推荐。</w:t>
      </w:r>
    </w:p>
    <w:p w14:paraId="64915C65">
      <w:pPr>
        <w:pStyle w:val="19"/>
        <w:widowControl/>
        <w:numPr>
          <w:ilvl w:val="0"/>
          <w:numId w:val="1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呈现全景化</w:t>
      </w:r>
      <w:r>
        <w:rPr>
          <w:rFonts w:ascii="Times New Roman" w:hAnsi="Times New Roman" w:eastAsia="宋体" w:cs="Times New Roman"/>
          <w:i w:val="0"/>
          <w:color w:val="1F2937"/>
          <w:sz w:val="24"/>
          <w:szCs w:val="24"/>
        </w:rPr>
        <w:t>：打造集管控、运营、汇报于一体的 3D/多维数字化大屏，以生动图表与动态全景呈现集团双碳目标推进路径。</w:t>
      </w:r>
    </w:p>
    <w:p w14:paraId="4E5072BD">
      <w:pPr>
        <w:pStyle w:val="4"/>
        <w:numPr>
          <w:ilvl w:val="0"/>
          <w:numId w:val="8"/>
        </w:numPr>
        <w:topLinePunct w:val="0"/>
        <w:ind w:left="0" w:leftChars="0" w:firstLine="0" w:firstLineChars="0"/>
        <w:outlineLvl w:val="0"/>
        <w:rPr>
          <w:rFonts w:hint="eastAsia" w:eastAsia="黑体"/>
          <w:b w:val="0"/>
          <w:bCs w:val="0"/>
          <w:sz w:val="30"/>
          <w:szCs w:val="32"/>
        </w:rPr>
      </w:pPr>
      <w:bookmarkStart w:id="4" w:name="_Toc24061"/>
      <w:r>
        <w:rPr>
          <w:rFonts w:ascii="Times New Roman" w:hAnsi="Times New Roman" w:eastAsia="黑体" w:cs="Times New Roman"/>
          <w:b w:val="0"/>
          <w:bCs w:val="0"/>
          <w:sz w:val="30"/>
          <w:szCs w:val="32"/>
        </w:rPr>
        <w:t>建设范围</w:t>
      </w:r>
      <w:bookmarkEnd w:id="4"/>
    </w:p>
    <w:p w14:paraId="4DD8C535">
      <w:pPr>
        <w:pStyle w:val="19"/>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color w:val="1F2937"/>
          <w:sz w:val="24"/>
          <w:szCs w:val="24"/>
        </w:rPr>
        <w:t>本项目建设范围涵盖技术服务（标准与咨询）、软件研发、系统集成与数据治理、实施交付、硬件研制及供货部署五大板块，全面实现软硬件交钥匙工程。</w:t>
      </w:r>
    </w:p>
    <w:p w14:paraId="5F72605A">
      <w:pPr>
        <w:pStyle w:val="19"/>
        <w:widowControl/>
        <w:numPr>
          <w:ilvl w:val="0"/>
          <w:numId w:val="0"/>
        </w:numPr>
        <w:rPr>
          <w:rFonts w:eastAsia="宋体"/>
          <w:b/>
          <w:i w:val="0"/>
          <w:color w:val="0284C7"/>
          <w:sz w:val="24"/>
          <w:szCs w:val="24"/>
        </w:rPr>
      </w:pPr>
      <w:r>
        <w:rPr>
          <w:rFonts w:ascii="Times New Roman" w:hAnsi="Times New Roman" w:eastAsia="宋体" w:cs="Times New Roman"/>
          <w:b/>
          <w:i w:val="0"/>
          <w:color w:val="1E3A8A"/>
          <w:sz w:val="24"/>
          <w:szCs w:val="24"/>
        </w:rPr>
        <w:t>技术服务范围</w:t>
      </w:r>
    </w:p>
    <w:p w14:paraId="09A7A047">
      <w:pPr>
        <w:pStyle w:val="19"/>
        <w:widowControl/>
        <w:numPr>
          <w:ilvl w:val="0"/>
          <w:numId w:val="12"/>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能碳与园区管理标准构建：深入结合输变电制造行业工艺特征，完成特变电工电装集团零碳园区集控中心管理标准研制；梳理零碳园区、零碳工厂评价指标体系，形成分级评价准则与对标评估方案。</w:t>
      </w:r>
    </w:p>
    <w:p w14:paraId="36FE872B">
      <w:pPr>
        <w:pStyle w:val="19"/>
        <w:widowControl/>
        <w:numPr>
          <w:ilvl w:val="0"/>
          <w:numId w:val="12"/>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产品碳足迹规范与管理体系：编制输变电装备（涵盖变压器、线缆、开关设备）碳足迹核算导则与管控规范，明确生命周期边界（系统边界、分配原则、截止准则等），研究符合 CBAM 政策及主流国际标准（ISO 14067）的实景数据采集与证据链管理体系。</w:t>
      </w:r>
    </w:p>
    <w:p w14:paraId="5F752E06">
      <w:pPr>
        <w:pStyle w:val="19"/>
        <w:widowControl/>
        <w:numPr>
          <w:ilvl w:val="0"/>
          <w:numId w:val="12"/>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标准数据字典与接口规范梳理：制定集团统一度量衡的能碳物联数据字典、多源异构系统数据交互协议规范，梳理并设计集控中心与集采中心的核心 API 标准接口规范。</w:t>
      </w:r>
    </w:p>
    <w:p w14:paraId="47723DC3">
      <w:pPr>
        <w:pStyle w:val="19"/>
        <w:widowControl/>
        <w:numPr>
          <w:ilvl w:val="0"/>
          <w:numId w:val="12"/>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装备制造专属因子库体系梳理：系统化完成变压器、线缆、开关等主营产品的上下游物料基础背景数据库梳理，梳理电力消耗、化石燃料、原材料专属因子集，支撑平台快速算碳。</w:t>
      </w:r>
    </w:p>
    <w:p w14:paraId="552E296F">
      <w:pPr>
        <w:pStyle w:val="4"/>
        <w:numPr>
          <w:ilvl w:val="0"/>
          <w:numId w:val="8"/>
        </w:numPr>
        <w:topLinePunct w:val="0"/>
        <w:ind w:left="0" w:leftChars="0" w:firstLine="0" w:firstLineChars="0"/>
        <w:outlineLvl w:val="0"/>
        <w:rPr>
          <w:rFonts w:hint="eastAsia" w:eastAsia="黑体"/>
          <w:b w:val="0"/>
          <w:bCs w:val="0"/>
          <w:sz w:val="30"/>
          <w:szCs w:val="32"/>
        </w:rPr>
      </w:pPr>
      <w:bookmarkStart w:id="5" w:name="_Toc5095"/>
      <w:r>
        <w:rPr>
          <w:rFonts w:ascii="Times New Roman" w:hAnsi="Times New Roman" w:eastAsia="黑体" w:cs="Times New Roman"/>
          <w:b w:val="0"/>
          <w:bCs w:val="0"/>
          <w:sz w:val="30"/>
          <w:szCs w:val="32"/>
        </w:rPr>
        <w:t>双中心总体架构与协同机制</w:t>
      </w:r>
      <w:bookmarkEnd w:id="5"/>
    </w:p>
    <w:p w14:paraId="7EB70714">
      <w:pPr>
        <w:jc w:val="center"/>
        <w:rPr>
          <w:rFonts w:hint="eastAsia" w:eastAsia="黑体"/>
          <w:lang w:eastAsia="zh-CN"/>
        </w:rPr>
      </w:pPr>
      <w:r>
        <w:drawing>
          <wp:inline distT="0" distB="0" distL="114300" distR="114300">
            <wp:extent cx="5904865" cy="3961130"/>
            <wp:effectExtent l="0" t="0" r="635" b="1270"/>
            <wp:docPr id="3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6"/>
                    <pic:cNvPicPr>
                      <a:picLocks noChangeAspect="1"/>
                    </pic:cNvPicPr>
                  </pic:nvPicPr>
                  <pic:blipFill>
                    <a:blip r:embed="rId12"/>
                    <a:stretch>
                      <a:fillRect/>
                    </a:stretch>
                  </pic:blipFill>
                  <pic:spPr>
                    <a:xfrm>
                      <a:off x="0" y="0"/>
                      <a:ext cx="5904865" cy="3961130"/>
                    </a:xfrm>
                    <a:prstGeom prst="rect">
                      <a:avLst/>
                    </a:prstGeom>
                    <a:noFill/>
                    <a:ln>
                      <a:noFill/>
                    </a:ln>
                  </pic:spPr>
                </pic:pic>
              </a:graphicData>
            </a:graphic>
          </wp:inline>
        </w:drawing>
      </w:r>
    </w:p>
    <w:p w14:paraId="04121F5F">
      <w:pPr>
        <w:pStyle w:val="5"/>
        <w:widowControl/>
        <w:numPr>
          <w:ilvl w:val="0"/>
          <w:numId w:val="13"/>
        </w:numPr>
        <w:ind w:left="0" w:leftChars="0" w:firstLine="0" w:firstLineChars="0"/>
        <w:outlineLvl w:val="1"/>
        <w:rPr>
          <w:rFonts w:eastAsia="黑体"/>
          <w:b w:val="0"/>
          <w:bCs w:val="0"/>
          <w:sz w:val="30"/>
          <w:szCs w:val="24"/>
        </w:rPr>
      </w:pPr>
      <w:bookmarkStart w:id="6" w:name="_Toc10778"/>
      <w:r>
        <w:rPr>
          <w:rFonts w:ascii="Times New Roman" w:hAnsi="Times New Roman" w:eastAsia="黑体" w:cs="Times New Roman"/>
          <w:b w:val="0"/>
          <w:bCs w:val="0"/>
          <w:sz w:val="30"/>
          <w:szCs w:val="24"/>
        </w:rPr>
        <w:t>端—边—云三层物联网架构</w:t>
      </w:r>
      <w:bookmarkEnd w:id="6"/>
    </w:p>
    <w:tbl>
      <w:tblPr>
        <w:tblStyle w:val="38"/>
        <w:tblW w:w="9784" w:type="dxa"/>
        <w:jc w:val="center"/>
        <w:tblLayout w:type="autofit"/>
        <w:tblCellMar>
          <w:top w:w="0" w:type="dxa"/>
          <w:left w:w="108" w:type="dxa"/>
          <w:bottom w:w="0" w:type="dxa"/>
          <w:right w:w="108" w:type="dxa"/>
        </w:tblCellMar>
      </w:tblPr>
      <w:tblGrid>
        <w:gridCol w:w="1545"/>
        <w:gridCol w:w="1596"/>
        <w:gridCol w:w="2453"/>
        <w:gridCol w:w="4190"/>
      </w:tblGrid>
      <w:tr w14:paraId="68413DA6">
        <w:tblPrEx>
          <w:tblCellMar>
            <w:top w:w="0" w:type="dxa"/>
            <w:left w:w="108" w:type="dxa"/>
            <w:bottom w:w="0" w:type="dxa"/>
            <w:right w:w="108" w:type="dxa"/>
          </w:tblCellMar>
        </w:tblPrEx>
        <w:trPr>
          <w:trHeight w:val="0" w:hRule="atLeast"/>
          <w:jc w:val="center"/>
        </w:trPr>
        <w:tc>
          <w:tcPr>
            <w:tcW w:w="154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C5F4AEB">
            <w:pPr>
              <w:snapToGrid w:val="0"/>
              <w:spacing w:before="0" w:after="0" w:line="240" w:lineRule="auto"/>
              <w:ind w:left="0" w:leftChars="0" w:right="0" w:rightChars="0" w:firstLine="0" w:firstLineChars="0"/>
              <w:jc w:val="center"/>
              <w:rPr>
                <w:rFonts w:hint="eastAsia" w:ascii="宋体" w:hAnsi="宋体" w:eastAsia="宋体" w:cs="宋体"/>
                <w:b/>
                <w:i w:val="0"/>
                <w:iCs w:val="0"/>
                <w:sz w:val="24"/>
                <w:szCs w:val="24"/>
              </w:rPr>
            </w:pPr>
            <w:r>
              <w:rPr>
                <w:rFonts w:hint="eastAsia" w:ascii="宋体" w:hAnsi="宋体" w:eastAsia="宋体" w:cs="宋体"/>
                <w:b/>
                <w:i w:val="0"/>
                <w:iCs w:val="0"/>
                <w:color w:val="FFFFFF"/>
                <w:sz w:val="24"/>
                <w:szCs w:val="24"/>
              </w:rPr>
              <w:t>层级</w:t>
            </w:r>
          </w:p>
        </w:tc>
        <w:tc>
          <w:tcPr>
            <w:tcW w:w="159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BE335A9">
            <w:pPr>
              <w:snapToGrid w:val="0"/>
              <w:spacing w:before="0" w:after="0" w:line="240" w:lineRule="auto"/>
              <w:ind w:left="0" w:leftChars="0" w:right="0" w:rightChars="0" w:firstLine="0" w:firstLineChars="0"/>
              <w:jc w:val="center"/>
              <w:rPr>
                <w:rFonts w:hint="eastAsia" w:ascii="宋体" w:hAnsi="宋体" w:eastAsia="宋体" w:cs="宋体"/>
                <w:b/>
                <w:i w:val="0"/>
                <w:iCs w:val="0"/>
                <w:sz w:val="24"/>
                <w:szCs w:val="24"/>
              </w:rPr>
            </w:pPr>
            <w:r>
              <w:rPr>
                <w:rFonts w:hint="eastAsia" w:ascii="宋体" w:hAnsi="宋体" w:eastAsia="宋体" w:cs="宋体"/>
                <w:b/>
                <w:i w:val="0"/>
                <w:iCs w:val="0"/>
                <w:color w:val="FFFFFF"/>
                <w:sz w:val="24"/>
                <w:szCs w:val="24"/>
              </w:rPr>
              <w:t>部署形态</w:t>
            </w:r>
          </w:p>
        </w:tc>
        <w:tc>
          <w:tcPr>
            <w:tcW w:w="245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B165037">
            <w:pPr>
              <w:snapToGrid w:val="0"/>
              <w:spacing w:before="0" w:after="0" w:line="240" w:lineRule="auto"/>
              <w:ind w:left="0" w:leftChars="0" w:right="0" w:rightChars="0" w:firstLine="0" w:firstLineChars="0"/>
              <w:jc w:val="center"/>
              <w:rPr>
                <w:rFonts w:hint="eastAsia" w:ascii="宋体" w:hAnsi="宋体" w:eastAsia="宋体" w:cs="宋体"/>
                <w:b/>
                <w:i w:val="0"/>
                <w:iCs w:val="0"/>
                <w:sz w:val="24"/>
                <w:szCs w:val="24"/>
              </w:rPr>
            </w:pPr>
            <w:r>
              <w:rPr>
                <w:rFonts w:hint="eastAsia" w:ascii="宋体" w:hAnsi="宋体" w:eastAsia="宋体" w:cs="宋体"/>
                <w:b/>
                <w:i w:val="0"/>
                <w:iCs w:val="0"/>
                <w:color w:val="FFFFFF"/>
                <w:sz w:val="24"/>
                <w:szCs w:val="24"/>
              </w:rPr>
              <w:t>核心职责</w:t>
            </w:r>
          </w:p>
        </w:tc>
        <w:tc>
          <w:tcPr>
            <w:tcW w:w="418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7CDAFA6">
            <w:pPr>
              <w:snapToGrid w:val="0"/>
              <w:spacing w:before="0" w:after="0" w:line="240" w:lineRule="auto"/>
              <w:ind w:left="0" w:leftChars="0" w:right="0" w:rightChars="0" w:firstLine="0" w:firstLineChars="0"/>
              <w:jc w:val="center"/>
              <w:rPr>
                <w:rFonts w:hint="eastAsia" w:ascii="宋体" w:hAnsi="宋体" w:eastAsia="宋体" w:cs="宋体"/>
                <w:b/>
                <w:i w:val="0"/>
                <w:iCs w:val="0"/>
                <w:sz w:val="24"/>
                <w:szCs w:val="24"/>
              </w:rPr>
            </w:pPr>
            <w:r>
              <w:rPr>
                <w:rFonts w:hint="eastAsia" w:ascii="宋体" w:hAnsi="宋体" w:eastAsia="宋体" w:cs="宋体"/>
                <w:b/>
                <w:i w:val="0"/>
                <w:iCs w:val="0"/>
                <w:color w:val="FFFFFF"/>
                <w:sz w:val="24"/>
                <w:szCs w:val="24"/>
              </w:rPr>
              <w:t>关键组件</w:t>
            </w:r>
          </w:p>
        </w:tc>
      </w:tr>
      <w:tr w14:paraId="173368F5">
        <w:tblPrEx>
          <w:tblCellMar>
            <w:top w:w="0" w:type="dxa"/>
            <w:left w:w="108" w:type="dxa"/>
            <w:bottom w:w="0" w:type="dxa"/>
            <w:right w:w="108" w:type="dxa"/>
          </w:tblCellMar>
        </w:tblPrEx>
        <w:trPr>
          <w:trHeight w:val="0" w:hRule="atLeast"/>
          <w:jc w:val="center"/>
        </w:trPr>
        <w:tc>
          <w:tcPr>
            <w:tcW w:w="15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798DD86">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端层（感知执行层）</w:t>
            </w:r>
          </w:p>
        </w:tc>
        <w:tc>
          <w:tcPr>
            <w:tcW w:w="159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EB46484">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园区现场</w:t>
            </w:r>
          </w:p>
        </w:tc>
        <w:tc>
          <w:tcPr>
            <w:tcW w:w="245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45647FF">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能源介质与工艺参数物理量采集、设备状态感知与调控执行</w:t>
            </w:r>
          </w:p>
        </w:tc>
        <w:tc>
          <w:tcPr>
            <w:tcW w:w="41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7C83D5B">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数字电表、涡街/孔板流量计、温度压力变送器、智能仪表、变频器、储能 BMS</w:t>
            </w:r>
          </w:p>
        </w:tc>
      </w:tr>
      <w:tr w14:paraId="245C57AC">
        <w:tblPrEx>
          <w:tblCellMar>
            <w:top w:w="0" w:type="dxa"/>
            <w:left w:w="108" w:type="dxa"/>
            <w:bottom w:w="0" w:type="dxa"/>
            <w:right w:w="108" w:type="dxa"/>
          </w:tblCellMar>
        </w:tblPrEx>
        <w:trPr>
          <w:trHeight w:val="0" w:hRule="atLeast"/>
          <w:jc w:val="center"/>
        </w:trPr>
        <w:tc>
          <w:tcPr>
            <w:tcW w:w="154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0802441">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边层（边缘计算层）</w:t>
            </w:r>
          </w:p>
        </w:tc>
        <w:tc>
          <w:tcPr>
            <w:tcW w:w="159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90B34CD">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园区机房/车间</w:t>
            </w:r>
          </w:p>
        </w:tc>
        <w:tc>
          <w:tcPr>
            <w:tcW w:w="245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EAAF333">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协议转换、边缘计算、断点续传、本地闭环控制与告警预判</w:t>
            </w:r>
          </w:p>
        </w:tc>
        <w:tc>
          <w:tcPr>
            <w:tcW w:w="41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B673089">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边缘调控一体机、IoT 采集网关、协议适配引擎（Modbus-TCP / MQTT / OPC-UA）、本地 SQLite 缓存</w:t>
            </w:r>
          </w:p>
        </w:tc>
      </w:tr>
      <w:tr w14:paraId="5DCCD43B">
        <w:tblPrEx>
          <w:tblCellMar>
            <w:top w:w="0" w:type="dxa"/>
            <w:left w:w="108" w:type="dxa"/>
            <w:bottom w:w="0" w:type="dxa"/>
            <w:right w:w="108" w:type="dxa"/>
          </w:tblCellMar>
        </w:tblPrEx>
        <w:trPr>
          <w:trHeight w:val="0" w:hRule="atLeast"/>
          <w:jc w:val="center"/>
        </w:trPr>
        <w:tc>
          <w:tcPr>
            <w:tcW w:w="15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6BFA74E">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云层（平台应用层）</w:t>
            </w:r>
          </w:p>
        </w:tc>
        <w:tc>
          <w:tcPr>
            <w:tcW w:w="159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6B827CC">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集团私有云</w:t>
            </w:r>
          </w:p>
        </w:tc>
        <w:tc>
          <w:tcPr>
            <w:tcW w:w="245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6CD27E4">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时序数据存储、指标核算、业务应用、跨域协同与对报告输出</w:t>
            </w:r>
          </w:p>
        </w:tc>
        <w:tc>
          <w:tcPr>
            <w:tcW w:w="41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0485450">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时序数仓（TDengine 3.x）、业务主库（PostgreSQL）、指标计算引擎、双中心应用集群</w:t>
            </w:r>
          </w:p>
        </w:tc>
      </w:tr>
    </w:tbl>
    <w:p w14:paraId="065DF3F5">
      <w:pPr>
        <w:spacing w:after="60"/>
        <w:rPr>
          <w:rFonts w:hint="eastAsia" w:ascii="宋体" w:hAnsi="宋体" w:eastAsia="宋体" w:cs="宋体"/>
          <w:i w:val="0"/>
          <w:iCs w:val="0"/>
          <w:sz w:val="24"/>
          <w:szCs w:val="24"/>
        </w:rPr>
      </w:pPr>
    </w:p>
    <w:p w14:paraId="7B48DB1C">
      <w:pPr>
        <w:pStyle w:val="5"/>
        <w:widowControl/>
        <w:numPr>
          <w:ilvl w:val="0"/>
          <w:numId w:val="13"/>
        </w:numPr>
        <w:ind w:left="0" w:leftChars="0" w:firstLine="0" w:firstLineChars="0"/>
        <w:outlineLvl w:val="1"/>
        <w:rPr>
          <w:rFonts w:eastAsia="黑体"/>
          <w:b w:val="0"/>
          <w:bCs w:val="0"/>
          <w:sz w:val="30"/>
          <w:szCs w:val="24"/>
        </w:rPr>
      </w:pPr>
      <w:bookmarkStart w:id="7" w:name="_Toc26715"/>
      <w:r>
        <w:rPr>
          <w:rFonts w:ascii="Times New Roman" w:hAnsi="Times New Roman" w:eastAsia="黑体" w:cs="Times New Roman"/>
          <w:b w:val="0"/>
          <w:bCs w:val="0"/>
          <w:sz w:val="30"/>
          <w:szCs w:val="24"/>
        </w:rPr>
        <w:t>双中心定位与协同</w:t>
      </w:r>
      <w:bookmarkEnd w:id="7"/>
    </w:p>
    <w:p w14:paraId="5F0AEBAD">
      <w:pPr>
        <w:pStyle w:val="19"/>
        <w:widowControl/>
        <w:numPr>
          <w:ilvl w:val="0"/>
          <w:numId w:val="0"/>
        </w:numPr>
        <w:jc w:val="center"/>
        <w:rPr>
          <w:rFonts w:eastAsia="宋体"/>
          <w:b/>
          <w:i w:val="0"/>
          <w:color w:val="0284C7"/>
          <w:sz w:val="24"/>
          <w:szCs w:val="24"/>
        </w:rPr>
      </w:pPr>
      <w:r>
        <w:rPr>
          <w:rFonts w:hint="eastAsia" w:eastAsia="黑体"/>
          <w:lang w:eastAsia="zh-CN"/>
        </w:rPr>
        <w:drawing>
          <wp:inline distT="0" distB="0" distL="114300" distR="114300">
            <wp:extent cx="5588000" cy="3547110"/>
            <wp:effectExtent l="0" t="0" r="12700" b="15240"/>
            <wp:docPr id="5" name="图片 5" descr="55464558cab95a28eca7e088139696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55464558cab95a28eca7e088139696a7"/>
                    <pic:cNvPicPr>
                      <a:picLocks noChangeAspect="1"/>
                    </pic:cNvPicPr>
                  </pic:nvPicPr>
                  <pic:blipFill>
                    <a:blip r:embed="rId13"/>
                    <a:stretch>
                      <a:fillRect/>
                    </a:stretch>
                  </pic:blipFill>
                  <pic:spPr>
                    <a:xfrm>
                      <a:off x="0" y="0"/>
                      <a:ext cx="5588000" cy="3547110"/>
                    </a:xfrm>
                    <a:prstGeom prst="rect">
                      <a:avLst/>
                    </a:prstGeom>
                  </pic:spPr>
                </pic:pic>
              </a:graphicData>
            </a:graphic>
          </wp:inline>
        </w:drawing>
      </w:r>
    </w:p>
    <w:p w14:paraId="1042B3C7">
      <w:pPr>
        <w:pStyle w:val="19"/>
        <w:widowControl/>
        <w:numPr>
          <w:ilvl w:val="0"/>
          <w:numId w:val="1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零碳园区集控中心</w:t>
      </w:r>
      <w:r>
        <w:rPr>
          <w:rFonts w:ascii="Times New Roman" w:hAnsi="Times New Roman" w:eastAsia="宋体" w:cs="Times New Roman"/>
          <w:i w:val="0"/>
          <w:color w:val="1F2937"/>
          <w:sz w:val="24"/>
          <w:szCs w:val="24"/>
        </w:rPr>
        <w:t>：面向"组织—能源—碳排放"的运行态管控，承担集团 18 园区能碳数据的统一采集、指标核算、对标分析与零碳评价，是集团能碳运行"驾驶舱"。</w:t>
      </w:r>
    </w:p>
    <w:p w14:paraId="3D146E8C">
      <w:pPr>
        <w:pStyle w:val="19"/>
        <w:widowControl/>
        <w:numPr>
          <w:ilvl w:val="0"/>
          <w:numId w:val="1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产品碳足迹集采中心</w:t>
      </w:r>
      <w:r>
        <w:rPr>
          <w:rFonts w:ascii="Times New Roman" w:hAnsi="Times New Roman" w:eastAsia="宋体" w:cs="Times New Roman"/>
          <w:i w:val="0"/>
          <w:color w:val="1F2937"/>
          <w:sz w:val="24"/>
          <w:szCs w:val="24"/>
        </w:rPr>
        <w:t>：面向"物料—工序—产品"的核算态管控，承担产品全生命周期 LCA 建模、因子匹配、认证签发与 CBAM 申报，是集团绿色贸易合规"通行证"。</w:t>
      </w:r>
    </w:p>
    <w:p w14:paraId="158CBB5E">
      <w:pPr>
        <w:pStyle w:val="19"/>
        <w:widowControl/>
        <w:numPr>
          <w:ilvl w:val="0"/>
          <w:numId w:val="1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协同赋能机制</w:t>
      </w:r>
      <w:r>
        <w:rPr>
          <w:rFonts w:ascii="Times New Roman" w:hAnsi="Times New Roman" w:eastAsia="宋体" w:cs="Times New Roman"/>
          <w:i w:val="0"/>
          <w:color w:val="1F2937"/>
          <w:sz w:val="24"/>
          <w:szCs w:val="24"/>
        </w:rPr>
        <w:t>：集控中心的能耗与工序实测数据是集采中心 LCA 制造加工阶段的核心输入；集采中心的单位产品碳足迹结果回流集控中心，作为零碳工厂自评估与对标管理的关键指标，形成"运行态数据反哺核算态模型、核算态结果约束运行态改进"的双向闭环。</w:t>
      </w:r>
    </w:p>
    <w:p w14:paraId="5C6B96EF">
      <w:pPr>
        <w:pStyle w:val="19"/>
        <w:widowControl/>
        <w:numPr>
          <w:ilvl w:val="0"/>
          <w:numId w:val="0"/>
        </w:numPr>
        <w:rPr>
          <w:rFonts w:ascii="Times New Roman" w:hAnsi="Times New Roman" w:eastAsia="宋体" w:cs="Times New Roman"/>
          <w:i w:val="0"/>
          <w:color w:val="1F2937"/>
          <w:sz w:val="24"/>
          <w:szCs w:val="24"/>
        </w:rPr>
      </w:pPr>
    </w:p>
    <w:p w14:paraId="58D108F6">
      <w:pPr>
        <w:pStyle w:val="19"/>
        <w:widowControl/>
        <w:numPr>
          <w:ilvl w:val="0"/>
          <w:numId w:val="0"/>
        </w:numPr>
        <w:rPr>
          <w:rFonts w:ascii="Times New Roman" w:hAnsi="Times New Roman" w:eastAsia="宋体" w:cs="Times New Roman"/>
          <w:i w:val="0"/>
          <w:color w:val="1F2937"/>
          <w:sz w:val="24"/>
          <w:szCs w:val="24"/>
        </w:rPr>
      </w:pPr>
    </w:p>
    <w:p w14:paraId="10A754AB">
      <w:pPr>
        <w:pStyle w:val="19"/>
        <w:widowControl/>
        <w:numPr>
          <w:ilvl w:val="0"/>
          <w:numId w:val="0"/>
        </w:numPr>
        <w:rPr>
          <w:rFonts w:ascii="Times New Roman" w:hAnsi="Times New Roman" w:eastAsia="宋体" w:cs="Times New Roman"/>
          <w:i w:val="0"/>
          <w:color w:val="1F2937"/>
          <w:sz w:val="24"/>
          <w:szCs w:val="24"/>
        </w:rPr>
      </w:pPr>
    </w:p>
    <w:p w14:paraId="6C5F8055">
      <w:pPr>
        <w:pStyle w:val="19"/>
        <w:widowControl/>
        <w:numPr>
          <w:ilvl w:val="0"/>
          <w:numId w:val="0"/>
        </w:numPr>
        <w:rPr>
          <w:rFonts w:ascii="Times New Roman" w:hAnsi="Times New Roman" w:eastAsia="宋体" w:cs="Times New Roman"/>
          <w:i w:val="0"/>
          <w:color w:val="1F2937"/>
          <w:sz w:val="24"/>
          <w:szCs w:val="24"/>
        </w:rPr>
      </w:pPr>
    </w:p>
    <w:p w14:paraId="60406835">
      <w:pPr>
        <w:pStyle w:val="19"/>
        <w:widowControl/>
        <w:numPr>
          <w:ilvl w:val="0"/>
          <w:numId w:val="0"/>
        </w:numPr>
        <w:rPr>
          <w:rFonts w:hint="eastAsia" w:ascii="黑体" w:hAnsi="黑体" w:eastAsia="黑体" w:cs="黑体"/>
          <w:b w:val="0"/>
          <w:bCs w:val="0"/>
          <w:i w:val="0"/>
          <w:color w:val="1F2937"/>
          <w:sz w:val="30"/>
          <w:szCs w:val="30"/>
          <w:lang w:val="en-US" w:eastAsia="zh-CN"/>
        </w:rPr>
      </w:pPr>
      <w:r>
        <w:rPr>
          <w:rFonts w:hint="eastAsia" w:ascii="黑体" w:hAnsi="黑体" w:eastAsia="黑体" w:cs="黑体"/>
          <w:b w:val="0"/>
          <w:bCs w:val="0"/>
          <w:i w:val="0"/>
          <w:color w:val="1F2937"/>
          <w:sz w:val="30"/>
          <w:szCs w:val="30"/>
          <w:lang w:val="en-US" w:eastAsia="zh-CN"/>
        </w:rPr>
        <w:t>系统数据流转</w:t>
      </w:r>
    </w:p>
    <w:p w14:paraId="18B8B3AF">
      <w:pPr>
        <w:pStyle w:val="19"/>
        <w:widowControl/>
        <w:numPr>
          <w:ilvl w:val="0"/>
          <w:numId w:val="0"/>
        </w:numPr>
        <w:rPr>
          <w:rFonts w:eastAsia="宋体"/>
          <w:b/>
          <w:i w:val="0"/>
          <w:color w:val="0284C7"/>
          <w:sz w:val="24"/>
          <w:szCs w:val="24"/>
        </w:rPr>
      </w:pPr>
      <w:r>
        <w:drawing>
          <wp:inline distT="0" distB="0" distL="114300" distR="114300">
            <wp:extent cx="5904865" cy="2928620"/>
            <wp:effectExtent l="0" t="0" r="635" b="5080"/>
            <wp:docPr id="4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8"/>
                    <pic:cNvPicPr>
                      <a:picLocks noChangeAspect="1"/>
                    </pic:cNvPicPr>
                  </pic:nvPicPr>
                  <pic:blipFill>
                    <a:blip r:embed="rId14"/>
                    <a:stretch>
                      <a:fillRect/>
                    </a:stretch>
                  </pic:blipFill>
                  <pic:spPr>
                    <a:xfrm>
                      <a:off x="0" y="0"/>
                      <a:ext cx="5904865" cy="2928620"/>
                    </a:xfrm>
                    <a:prstGeom prst="rect">
                      <a:avLst/>
                    </a:prstGeom>
                    <a:noFill/>
                    <a:ln>
                      <a:noFill/>
                    </a:ln>
                  </pic:spPr>
                </pic:pic>
              </a:graphicData>
            </a:graphic>
          </wp:inline>
        </w:drawing>
      </w:r>
    </w:p>
    <w:p w14:paraId="2464998B">
      <w:pPr>
        <w:pStyle w:val="4"/>
        <w:numPr>
          <w:ilvl w:val="0"/>
          <w:numId w:val="8"/>
        </w:numPr>
        <w:topLinePunct w:val="0"/>
        <w:ind w:left="0" w:leftChars="0" w:firstLine="0" w:firstLineChars="0"/>
        <w:outlineLvl w:val="0"/>
        <w:rPr>
          <w:rFonts w:hint="eastAsia" w:eastAsia="黑体"/>
          <w:b w:val="0"/>
          <w:bCs w:val="0"/>
          <w:sz w:val="30"/>
          <w:szCs w:val="32"/>
        </w:rPr>
      </w:pPr>
      <w:bookmarkStart w:id="8" w:name="_Toc28925"/>
      <w:r>
        <w:rPr>
          <w:rFonts w:ascii="Times New Roman" w:hAnsi="Times New Roman" w:eastAsia="黑体" w:cs="Times New Roman"/>
          <w:b w:val="0"/>
          <w:bCs w:val="0"/>
          <w:sz w:val="30"/>
          <w:szCs w:val="32"/>
        </w:rPr>
        <w:t>角色画像与权限边界</w:t>
      </w:r>
      <w:bookmarkEnd w:id="8"/>
    </w:p>
    <w:tbl>
      <w:tblPr>
        <w:tblStyle w:val="38"/>
        <w:tblW w:w="10096" w:type="dxa"/>
        <w:jc w:val="center"/>
        <w:tblLayout w:type="autofit"/>
        <w:tblCellMar>
          <w:top w:w="0" w:type="dxa"/>
          <w:left w:w="108" w:type="dxa"/>
          <w:bottom w:w="0" w:type="dxa"/>
          <w:right w:w="108" w:type="dxa"/>
        </w:tblCellMar>
      </w:tblPr>
      <w:tblGrid>
        <w:gridCol w:w="817"/>
        <w:gridCol w:w="1265"/>
        <w:gridCol w:w="1886"/>
        <w:gridCol w:w="3096"/>
        <w:gridCol w:w="3032"/>
      </w:tblGrid>
      <w:tr w14:paraId="495E0E11">
        <w:tblPrEx>
          <w:tblCellMar>
            <w:top w:w="0" w:type="dxa"/>
            <w:left w:w="108" w:type="dxa"/>
            <w:bottom w:w="0" w:type="dxa"/>
            <w:right w:w="108" w:type="dxa"/>
          </w:tblCellMar>
        </w:tblPrEx>
        <w:trPr>
          <w:trHeight w:val="0" w:hRule="atLeast"/>
          <w:tblHeade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044AB85">
            <w:pPr>
              <w:snapToGrid w:val="0"/>
              <w:spacing w:before="0" w:after="0" w:line="240" w:lineRule="auto"/>
              <w:ind w:left="0" w:leftChars="0" w:right="0" w:rightChars="0" w:firstLine="0" w:firstLineChars="0"/>
              <w:jc w:val="center"/>
              <w:rPr>
                <w:rFonts w:hint="eastAsia" w:ascii="宋体" w:hAnsi="宋体" w:eastAsia="宋体" w:cs="宋体"/>
                <w:b/>
                <w:i w:val="0"/>
                <w:iCs w:val="0"/>
                <w:sz w:val="24"/>
                <w:szCs w:val="24"/>
              </w:rPr>
            </w:pPr>
            <w:r>
              <w:rPr>
                <w:rFonts w:hint="eastAsia" w:ascii="宋体" w:hAnsi="宋体" w:eastAsia="宋体" w:cs="宋体"/>
                <w:b/>
                <w:i w:val="0"/>
                <w:iCs w:val="0"/>
                <w:color w:val="FFFFFF"/>
                <w:sz w:val="24"/>
                <w:szCs w:val="24"/>
              </w:rPr>
              <w:t>编号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F86210C">
            <w:pPr>
              <w:snapToGrid w:val="0"/>
              <w:spacing w:before="0" w:after="0" w:line="240" w:lineRule="auto"/>
              <w:ind w:left="0" w:leftChars="0" w:right="0" w:rightChars="0" w:firstLine="0" w:firstLineChars="0"/>
              <w:jc w:val="center"/>
              <w:rPr>
                <w:rFonts w:hint="eastAsia" w:ascii="宋体" w:hAnsi="宋体" w:eastAsia="宋体" w:cs="宋体"/>
                <w:b/>
                <w:i w:val="0"/>
                <w:iCs w:val="0"/>
                <w:sz w:val="24"/>
                <w:szCs w:val="24"/>
              </w:rPr>
            </w:pPr>
            <w:r>
              <w:rPr>
                <w:rFonts w:hint="eastAsia" w:ascii="宋体" w:hAnsi="宋体" w:eastAsia="宋体" w:cs="宋体"/>
                <w:b/>
                <w:i w:val="0"/>
                <w:iCs w:val="0"/>
                <w:color w:val="FFFFFF"/>
                <w:sz w:val="24"/>
                <w:szCs w:val="24"/>
              </w:rPr>
              <w:t>角色名称</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B866AA9">
            <w:pPr>
              <w:snapToGrid w:val="0"/>
              <w:spacing w:before="0" w:after="0" w:line="240" w:lineRule="auto"/>
              <w:ind w:left="0" w:leftChars="0" w:right="0" w:rightChars="0" w:firstLine="0" w:firstLineChars="0"/>
              <w:jc w:val="center"/>
              <w:rPr>
                <w:rFonts w:hint="eastAsia" w:ascii="宋体" w:hAnsi="宋体" w:eastAsia="宋体" w:cs="宋体"/>
                <w:b/>
                <w:i w:val="0"/>
                <w:iCs w:val="0"/>
                <w:sz w:val="24"/>
                <w:szCs w:val="24"/>
              </w:rPr>
            </w:pPr>
            <w:r>
              <w:rPr>
                <w:rFonts w:hint="eastAsia" w:ascii="宋体" w:hAnsi="宋体" w:eastAsia="宋体" w:cs="宋体"/>
                <w:b/>
                <w:i w:val="0"/>
                <w:iCs w:val="0"/>
                <w:color w:val="FFFFFF"/>
                <w:sz w:val="24"/>
                <w:szCs w:val="24"/>
              </w:rPr>
              <w:t>代表岗位</w:t>
            </w:r>
          </w:p>
        </w:tc>
        <w:tc>
          <w:tcPr>
            <w:tcW w:w="309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C6FEE25">
            <w:pPr>
              <w:snapToGrid w:val="0"/>
              <w:spacing w:before="0" w:after="0" w:line="240" w:lineRule="auto"/>
              <w:ind w:left="0" w:leftChars="0" w:right="0" w:rightChars="0" w:firstLine="0" w:firstLineChars="0"/>
              <w:jc w:val="center"/>
              <w:rPr>
                <w:rFonts w:hint="eastAsia" w:ascii="宋体" w:hAnsi="宋体" w:eastAsia="宋体" w:cs="宋体"/>
                <w:b/>
                <w:i w:val="0"/>
                <w:iCs w:val="0"/>
                <w:sz w:val="24"/>
                <w:szCs w:val="24"/>
              </w:rPr>
            </w:pPr>
            <w:r>
              <w:rPr>
                <w:rFonts w:hint="eastAsia" w:ascii="宋体" w:hAnsi="宋体" w:eastAsia="宋体" w:cs="宋体"/>
                <w:b/>
                <w:i w:val="0"/>
                <w:iCs w:val="0"/>
                <w:color w:val="FFFFFF"/>
                <w:sz w:val="24"/>
                <w:szCs w:val="24"/>
              </w:rPr>
              <w:t>核心业务诉求</w:t>
            </w:r>
          </w:p>
        </w:tc>
        <w:tc>
          <w:tcPr>
            <w:tcW w:w="303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84EAFE1">
            <w:pPr>
              <w:snapToGrid w:val="0"/>
              <w:spacing w:before="0" w:after="0" w:line="240" w:lineRule="auto"/>
              <w:ind w:left="0" w:leftChars="0" w:right="0" w:rightChars="0" w:firstLine="0" w:firstLineChars="0"/>
              <w:jc w:val="center"/>
              <w:rPr>
                <w:rFonts w:hint="eastAsia" w:ascii="宋体" w:hAnsi="宋体" w:eastAsia="宋体" w:cs="宋体"/>
                <w:b/>
                <w:i w:val="0"/>
                <w:iCs w:val="0"/>
                <w:sz w:val="24"/>
                <w:szCs w:val="24"/>
              </w:rPr>
            </w:pPr>
            <w:r>
              <w:rPr>
                <w:rFonts w:hint="eastAsia" w:ascii="宋体" w:hAnsi="宋体" w:eastAsia="宋体" w:cs="宋体"/>
                <w:b/>
                <w:i w:val="0"/>
                <w:iCs w:val="0"/>
                <w:color w:val="FFFFFF"/>
                <w:sz w:val="24"/>
                <w:szCs w:val="24"/>
              </w:rPr>
              <w:t>系统权限边界</w:t>
            </w:r>
          </w:p>
        </w:tc>
      </w:tr>
      <w:tr w14:paraId="192EDA35">
        <w:tblPrEx>
          <w:tblCellMar>
            <w:top w:w="0" w:type="dxa"/>
            <w:left w:w="108" w:type="dxa"/>
            <w:bottom w:w="0" w:type="dxa"/>
            <w:right w:w="108" w:type="dxa"/>
          </w:tblCellMar>
        </w:tblPrEx>
        <w:trPr>
          <w:trHeight w:val="0" w:hRule="atLeast"/>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C6D03C8">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F2BAD74">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集团决策层</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9324F73">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董事长/分管副总裁</w:t>
            </w:r>
          </w:p>
        </w:tc>
        <w:tc>
          <w:tcPr>
            <w:tcW w:w="309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33D4DB1">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掌控全集团综合能耗趋势与国际碳关税合规态势</w:t>
            </w:r>
          </w:p>
        </w:tc>
        <w:tc>
          <w:tcPr>
            <w:tcW w:w="303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8BA9D3F">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全系统只读大盘、战略批示、特批反冲</w:t>
            </w:r>
          </w:p>
        </w:tc>
      </w:tr>
      <w:tr w14:paraId="039A1B12">
        <w:tblPrEx>
          <w:tblCellMar>
            <w:top w:w="0" w:type="dxa"/>
            <w:left w:w="108" w:type="dxa"/>
            <w:bottom w:w="0" w:type="dxa"/>
            <w:right w:w="108" w:type="dxa"/>
          </w:tblCellMar>
        </w:tblPrEx>
        <w:trPr>
          <w:trHeight w:val="0" w:hRule="atLeast"/>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D2E0C00">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D08CA10">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园区能碳专员</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8215FF3">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各基地动力处长/能源主管</w:t>
            </w:r>
          </w:p>
        </w:tc>
        <w:tc>
          <w:tcPr>
            <w:tcW w:w="309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E5173AA">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穿透式排查工序用能跑冒滴漏，错峰用电降本</w:t>
            </w:r>
          </w:p>
        </w:tc>
        <w:tc>
          <w:tcPr>
            <w:tcW w:w="303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9AA8496">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所辖基地读写与全量导出</w:t>
            </w:r>
          </w:p>
        </w:tc>
      </w:tr>
      <w:tr w14:paraId="2E721EFB">
        <w:tblPrEx>
          <w:tblCellMar>
            <w:top w:w="0" w:type="dxa"/>
            <w:left w:w="108" w:type="dxa"/>
            <w:bottom w:w="0" w:type="dxa"/>
            <w:right w:w="108" w:type="dxa"/>
          </w:tblCellMar>
        </w:tblPrEx>
        <w:trPr>
          <w:trHeight w:val="0" w:hRule="atLeast"/>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B554AC0">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E6F8AAF">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车间填报员</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882615A">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车间统计员/动力值班员</w:t>
            </w:r>
          </w:p>
        </w:tc>
        <w:tc>
          <w:tcPr>
            <w:tcW w:w="309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0CFF5E8">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高密快速录入离线产量、能耗、相册与大事记</w:t>
            </w:r>
          </w:p>
        </w:tc>
        <w:tc>
          <w:tcPr>
            <w:tcW w:w="303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EB462FC">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数据表录入/修改/纠错</w:t>
            </w:r>
          </w:p>
        </w:tc>
      </w:tr>
      <w:tr w14:paraId="39F5DAB6">
        <w:tblPrEx>
          <w:tblCellMar>
            <w:top w:w="0" w:type="dxa"/>
            <w:left w:w="108" w:type="dxa"/>
            <w:bottom w:w="0" w:type="dxa"/>
            <w:right w:w="108" w:type="dxa"/>
          </w:tblCellMar>
        </w:tblPrEx>
        <w:trPr>
          <w:trHeight w:val="0" w:hRule="atLeast"/>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6502A0A">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F1A25CD">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碳核算工程师</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CA1D0C1">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碳资产部/产品技术部</w:t>
            </w:r>
          </w:p>
        </w:tc>
        <w:tc>
          <w:tcPr>
            <w:tcW w:w="309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E7F67A2">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展开产品 BOM 树，匹配本土实测因子，导出报告</w:t>
            </w:r>
          </w:p>
        </w:tc>
        <w:tc>
          <w:tcPr>
            <w:tcW w:w="303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8266099">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LCA 建模、因子库、碳标签</w:t>
            </w:r>
          </w:p>
        </w:tc>
      </w:tr>
      <w:tr w14:paraId="75A5F1F0">
        <w:tblPrEx>
          <w:tblCellMar>
            <w:top w:w="0" w:type="dxa"/>
            <w:left w:w="108" w:type="dxa"/>
            <w:bottom w:w="0" w:type="dxa"/>
            <w:right w:w="108" w:type="dxa"/>
          </w:tblCellMar>
        </w:tblPrEx>
        <w:trPr>
          <w:trHeight w:val="0" w:hRule="atLeast"/>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A14967F">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A9D8380">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报关与关税专家</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39B2DF9">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国际贸易部/关务岗</w:t>
            </w:r>
          </w:p>
        </w:tc>
        <w:tc>
          <w:tcPr>
            <w:tcW w:w="309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AC32B9F">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测算 CBAM 碳关税、生成合规申报包</w:t>
            </w:r>
          </w:p>
        </w:tc>
        <w:tc>
          <w:tcPr>
            <w:tcW w:w="303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C376AE7">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CBAM 申报、税号白名单、申报包导出</w:t>
            </w:r>
          </w:p>
        </w:tc>
      </w:tr>
      <w:tr w14:paraId="2A6D16A4">
        <w:tblPrEx>
          <w:tblCellMar>
            <w:top w:w="0" w:type="dxa"/>
            <w:left w:w="108" w:type="dxa"/>
            <w:bottom w:w="0" w:type="dxa"/>
            <w:right w:w="108" w:type="dxa"/>
          </w:tblCellMar>
        </w:tblPrEx>
        <w:trPr>
          <w:trHeight w:val="0" w:hRule="atLeast"/>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75123B5">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P6</w:t>
            </w:r>
          </w:p>
        </w:tc>
        <w:tc>
          <w:tcPr>
            <w:tcW w:w="126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46C5F22">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外部独立审计机构</w:t>
            </w:r>
          </w:p>
        </w:tc>
        <w:tc>
          <w:tcPr>
            <w:tcW w:w="188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90CA1DF">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SGS / TÜV 南德 / 中国方圆</w:t>
            </w:r>
          </w:p>
        </w:tc>
        <w:tc>
          <w:tcPr>
            <w:tcW w:w="309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E6ADCA0">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在线核验碳足迹证据链与原始凭证</w:t>
            </w:r>
          </w:p>
        </w:tc>
        <w:tc>
          <w:tcPr>
            <w:tcW w:w="303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5001007">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只读沙箱：指定报告与凭证原件，禁止导出全量</w:t>
            </w:r>
          </w:p>
        </w:tc>
      </w:tr>
    </w:tbl>
    <w:p w14:paraId="5560C252">
      <w:pPr>
        <w:pStyle w:val="4"/>
        <w:numPr>
          <w:ilvl w:val="0"/>
          <w:numId w:val="8"/>
        </w:numPr>
        <w:topLinePunct w:val="0"/>
        <w:ind w:left="0" w:leftChars="0" w:firstLine="0" w:firstLineChars="0"/>
        <w:outlineLvl w:val="0"/>
        <w:rPr>
          <w:rFonts w:hint="eastAsia" w:eastAsia="黑体"/>
          <w:b w:val="0"/>
          <w:bCs w:val="0"/>
          <w:sz w:val="30"/>
          <w:szCs w:val="32"/>
        </w:rPr>
      </w:pPr>
      <w:bookmarkStart w:id="9" w:name="_Toc31509"/>
      <w:r>
        <w:rPr>
          <w:rFonts w:ascii="Times New Roman" w:hAnsi="Times New Roman" w:eastAsia="黑体" w:cs="Times New Roman"/>
          <w:b w:val="0"/>
          <w:bCs w:val="0"/>
          <w:sz w:val="30"/>
          <w:szCs w:val="32"/>
        </w:rPr>
        <w:t>文档编制范式：统一八段式模块模板</w:t>
      </w:r>
      <w:bookmarkEnd w:id="9"/>
    </w:p>
    <w:tbl>
      <w:tblPr>
        <w:tblStyle w:val="38"/>
        <w:tblW w:w="9530" w:type="dxa"/>
        <w:jc w:val="center"/>
        <w:tblLayout w:type="autofit"/>
        <w:tblCellMar>
          <w:top w:w="0" w:type="dxa"/>
          <w:left w:w="108" w:type="dxa"/>
          <w:bottom w:w="0" w:type="dxa"/>
          <w:right w:w="108" w:type="dxa"/>
        </w:tblCellMar>
      </w:tblPr>
      <w:tblGrid>
        <w:gridCol w:w="802"/>
        <w:gridCol w:w="2190"/>
        <w:gridCol w:w="4285"/>
        <w:gridCol w:w="2253"/>
      </w:tblGrid>
      <w:tr w14:paraId="183A7D12">
        <w:tblPrEx>
          <w:tblCellMar>
            <w:top w:w="0" w:type="dxa"/>
            <w:left w:w="108" w:type="dxa"/>
            <w:bottom w:w="0" w:type="dxa"/>
            <w:right w:w="108" w:type="dxa"/>
          </w:tblCellMar>
        </w:tblPrEx>
        <w:trPr>
          <w:trHeight w:val="0" w:hRule="atLeast"/>
          <w:jc w:val="center"/>
        </w:trPr>
        <w:tc>
          <w:tcPr>
            <w:tcW w:w="80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D046D29">
            <w:pPr>
              <w:snapToGrid w:val="0"/>
              <w:spacing w:before="0" w:after="0" w:line="240" w:lineRule="auto"/>
              <w:ind w:left="0" w:leftChars="0" w:right="0" w:rightChars="0" w:firstLine="0" w:firstLineChars="0"/>
              <w:jc w:val="center"/>
              <w:rPr>
                <w:rFonts w:hint="eastAsia" w:ascii="宋体" w:hAnsi="宋体" w:eastAsia="宋体" w:cs="宋体"/>
                <w:b/>
                <w:i w:val="0"/>
                <w:iCs w:val="0"/>
                <w:sz w:val="24"/>
                <w:szCs w:val="24"/>
              </w:rPr>
            </w:pPr>
            <w:r>
              <w:rPr>
                <w:rFonts w:hint="eastAsia" w:ascii="宋体" w:hAnsi="宋体" w:eastAsia="宋体" w:cs="宋体"/>
                <w:b/>
                <w:i w:val="0"/>
                <w:iCs w:val="0"/>
                <w:color w:val="FFFFFF"/>
                <w:sz w:val="24"/>
                <w:szCs w:val="24"/>
              </w:rPr>
              <w:t>段序</w:t>
            </w:r>
          </w:p>
        </w:tc>
        <w:tc>
          <w:tcPr>
            <w:tcW w:w="219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A56BAB4">
            <w:pPr>
              <w:snapToGrid w:val="0"/>
              <w:spacing w:before="0" w:after="0" w:line="240" w:lineRule="auto"/>
              <w:ind w:left="0" w:leftChars="0" w:right="0" w:rightChars="0" w:firstLine="0" w:firstLineChars="0"/>
              <w:jc w:val="center"/>
              <w:rPr>
                <w:rFonts w:hint="eastAsia" w:ascii="宋体" w:hAnsi="宋体" w:eastAsia="宋体" w:cs="宋体"/>
                <w:b/>
                <w:i w:val="0"/>
                <w:iCs w:val="0"/>
                <w:sz w:val="24"/>
                <w:szCs w:val="24"/>
              </w:rPr>
            </w:pPr>
            <w:r>
              <w:rPr>
                <w:rFonts w:hint="eastAsia" w:ascii="宋体" w:hAnsi="宋体" w:eastAsia="宋体" w:cs="宋体"/>
                <w:b/>
                <w:i w:val="0"/>
                <w:iCs w:val="0"/>
                <w:color w:val="FFFFFF"/>
                <w:sz w:val="24"/>
                <w:szCs w:val="24"/>
              </w:rPr>
              <w:t>段落名称</w:t>
            </w:r>
          </w:p>
        </w:tc>
        <w:tc>
          <w:tcPr>
            <w:tcW w:w="428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BAADD0B">
            <w:pPr>
              <w:snapToGrid w:val="0"/>
              <w:spacing w:before="0" w:after="0" w:line="240" w:lineRule="auto"/>
              <w:ind w:left="0" w:leftChars="0" w:right="0" w:rightChars="0" w:firstLine="0" w:firstLineChars="0"/>
              <w:jc w:val="center"/>
              <w:rPr>
                <w:rFonts w:hint="eastAsia" w:ascii="宋体" w:hAnsi="宋体" w:eastAsia="宋体" w:cs="宋体"/>
                <w:b/>
                <w:i w:val="0"/>
                <w:iCs w:val="0"/>
                <w:sz w:val="24"/>
                <w:szCs w:val="24"/>
              </w:rPr>
            </w:pPr>
            <w:r>
              <w:rPr>
                <w:rFonts w:hint="eastAsia" w:ascii="宋体" w:hAnsi="宋体" w:eastAsia="宋体" w:cs="宋体"/>
                <w:b/>
                <w:i w:val="0"/>
                <w:iCs w:val="0"/>
                <w:color w:val="FFFFFF"/>
                <w:sz w:val="24"/>
                <w:szCs w:val="24"/>
              </w:rPr>
              <w:t>编制要求</w:t>
            </w:r>
          </w:p>
        </w:tc>
        <w:tc>
          <w:tcPr>
            <w:tcW w:w="225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6CF50CB">
            <w:pPr>
              <w:snapToGrid w:val="0"/>
              <w:spacing w:before="0" w:after="0" w:line="240" w:lineRule="auto"/>
              <w:ind w:left="0" w:leftChars="0" w:right="0" w:rightChars="0" w:firstLine="0" w:firstLineChars="0"/>
              <w:jc w:val="center"/>
              <w:rPr>
                <w:rFonts w:hint="eastAsia" w:ascii="宋体" w:hAnsi="宋体" w:eastAsia="宋体" w:cs="宋体"/>
                <w:b/>
                <w:i w:val="0"/>
                <w:iCs w:val="0"/>
                <w:sz w:val="24"/>
                <w:szCs w:val="24"/>
              </w:rPr>
            </w:pPr>
            <w:r>
              <w:rPr>
                <w:rFonts w:hint="eastAsia" w:ascii="宋体" w:hAnsi="宋体" w:eastAsia="宋体" w:cs="宋体"/>
                <w:b/>
                <w:i w:val="0"/>
                <w:iCs w:val="0"/>
                <w:color w:val="FFFFFF"/>
                <w:sz w:val="24"/>
                <w:szCs w:val="24"/>
              </w:rPr>
              <w:t>缺失判定</w:t>
            </w:r>
          </w:p>
        </w:tc>
      </w:tr>
      <w:tr w14:paraId="7FDBD26E">
        <w:tblPrEx>
          <w:tblCellMar>
            <w:top w:w="0" w:type="dxa"/>
            <w:left w:w="108" w:type="dxa"/>
            <w:bottom w:w="0" w:type="dxa"/>
            <w:right w:w="108" w:type="dxa"/>
          </w:tblCellMar>
        </w:tblPrEx>
        <w:trPr>
          <w:trHeight w:val="0" w:hRule="atLeast"/>
          <w:jc w:val="center"/>
        </w:trPr>
        <w:tc>
          <w:tcPr>
            <w:tcW w:w="80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FABB610">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21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18B298B">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定位与架构角色</w:t>
            </w:r>
          </w:p>
        </w:tc>
        <w:tc>
          <w:tcPr>
            <w:tcW w:w="42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C304ACD">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明确模块功能定位、承载角色 Persona、页面路由/入口、上下游依赖与输出物</w:t>
            </w:r>
          </w:p>
        </w:tc>
        <w:tc>
          <w:tcPr>
            <w:tcW w:w="225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489981C">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缺失即视为模块不完整，不得进入研发准入</w:t>
            </w:r>
          </w:p>
        </w:tc>
      </w:tr>
      <w:tr w14:paraId="246F9DB3">
        <w:tblPrEx>
          <w:tblCellMar>
            <w:top w:w="0" w:type="dxa"/>
            <w:left w:w="108" w:type="dxa"/>
            <w:bottom w:w="0" w:type="dxa"/>
            <w:right w:w="108" w:type="dxa"/>
          </w:tblCellMar>
        </w:tblPrEx>
        <w:trPr>
          <w:trHeight w:val="0" w:hRule="atLeast"/>
          <w:jc w:val="center"/>
        </w:trPr>
        <w:tc>
          <w:tcPr>
            <w:tcW w:w="80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E9A74BD">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21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7C4C441">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业务场景与用户故事</w:t>
            </w:r>
          </w:p>
        </w:tc>
        <w:tc>
          <w:tcPr>
            <w:tcW w:w="42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80BF45D">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业务场景一句话描述 + INVEST 合规用户故事（As a / I want / So that）</w:t>
            </w:r>
          </w:p>
        </w:tc>
        <w:tc>
          <w:tcPr>
            <w:tcW w:w="225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232BCF5">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缺失用户故事视为需求来源不可追溯</w:t>
            </w:r>
          </w:p>
        </w:tc>
      </w:tr>
      <w:tr w14:paraId="2B6C0941">
        <w:tblPrEx>
          <w:tblCellMar>
            <w:top w:w="0" w:type="dxa"/>
            <w:left w:w="108" w:type="dxa"/>
            <w:bottom w:w="0" w:type="dxa"/>
            <w:right w:w="108" w:type="dxa"/>
          </w:tblCellMar>
        </w:tblPrEx>
        <w:trPr>
          <w:trHeight w:val="0" w:hRule="atLeast"/>
          <w:jc w:val="center"/>
        </w:trPr>
        <w:tc>
          <w:tcPr>
            <w:tcW w:w="80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95BB87D">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21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C393437">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功能规格与交互契约</w:t>
            </w:r>
          </w:p>
        </w:tc>
        <w:tc>
          <w:tcPr>
            <w:tcW w:w="42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ADD16EA">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页面布局分区说明 + 交互规则逐条枚举，含筛选器、联动、钻取与刷新策略</w:t>
            </w:r>
          </w:p>
        </w:tc>
        <w:tc>
          <w:tcPr>
            <w:tcW w:w="225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4034C9F">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缺失交互契约视为不可开发</w:t>
            </w:r>
          </w:p>
        </w:tc>
      </w:tr>
      <w:tr w14:paraId="22C7F418">
        <w:tblPrEx>
          <w:tblCellMar>
            <w:top w:w="0" w:type="dxa"/>
            <w:left w:w="108" w:type="dxa"/>
            <w:bottom w:w="0" w:type="dxa"/>
            <w:right w:w="108" w:type="dxa"/>
          </w:tblCellMar>
        </w:tblPrEx>
        <w:trPr>
          <w:trHeight w:val="0" w:hRule="atLeast"/>
          <w:jc w:val="center"/>
        </w:trPr>
        <w:tc>
          <w:tcPr>
            <w:tcW w:w="80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402DE11">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21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D2715A2">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页面字段字典与数据契约</w:t>
            </w:r>
          </w:p>
        </w:tc>
        <w:tc>
          <w:tcPr>
            <w:tcW w:w="42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C04C985">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字段级表格：序号 / 字段中文名称 / 数据类型 / 工程单位 / 校验与约束规则</w:t>
            </w:r>
          </w:p>
        </w:tc>
        <w:tc>
          <w:tcPr>
            <w:tcW w:w="225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8CBFD27">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字段无校验规则视为不可测试</w:t>
            </w:r>
          </w:p>
        </w:tc>
      </w:tr>
      <w:tr w14:paraId="5280F496">
        <w:tblPrEx>
          <w:tblCellMar>
            <w:top w:w="0" w:type="dxa"/>
            <w:left w:w="108" w:type="dxa"/>
            <w:bottom w:w="0" w:type="dxa"/>
            <w:right w:w="108" w:type="dxa"/>
          </w:tblCellMar>
        </w:tblPrEx>
        <w:trPr>
          <w:trHeight w:val="0" w:hRule="atLeast"/>
          <w:jc w:val="center"/>
        </w:trPr>
        <w:tc>
          <w:tcPr>
            <w:tcW w:w="80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EFCD0AE">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21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F0F740C">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核心数学模型与算法公式</w:t>
            </w:r>
          </w:p>
        </w:tc>
        <w:tc>
          <w:tcPr>
            <w:tcW w:w="42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5BE051A">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公式卡片：核算公式 + 逻辑说明 + 变量定义与取值约定</w:t>
            </w:r>
          </w:p>
        </w:tc>
        <w:tc>
          <w:tcPr>
            <w:tcW w:w="225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725A730">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涉及计算而无公式视为不可验收</w:t>
            </w:r>
          </w:p>
        </w:tc>
      </w:tr>
      <w:tr w14:paraId="78F6B4A3">
        <w:tblPrEx>
          <w:tblCellMar>
            <w:top w:w="0" w:type="dxa"/>
            <w:left w:w="108" w:type="dxa"/>
            <w:bottom w:w="0" w:type="dxa"/>
            <w:right w:w="108" w:type="dxa"/>
          </w:tblCellMar>
        </w:tblPrEx>
        <w:trPr>
          <w:trHeight w:val="0" w:hRule="atLeast"/>
          <w:jc w:val="center"/>
        </w:trPr>
        <w:tc>
          <w:tcPr>
            <w:tcW w:w="80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D25CA58">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21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B1442CB">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展示、对标与判定口径</w:t>
            </w:r>
          </w:p>
        </w:tc>
        <w:tc>
          <w:tcPr>
            <w:tcW w:w="42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0CB3F5C">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指标粒度、对比口径（同比/环比）、三色判定阈值、排名与达标规则</w:t>
            </w:r>
          </w:p>
        </w:tc>
        <w:tc>
          <w:tcPr>
            <w:tcW w:w="225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4DCE3E0">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缺失判定口径视为结果不可解释</w:t>
            </w:r>
          </w:p>
        </w:tc>
      </w:tr>
      <w:tr w14:paraId="51D27E2F">
        <w:tblPrEx>
          <w:tblCellMar>
            <w:top w:w="0" w:type="dxa"/>
            <w:left w:w="108" w:type="dxa"/>
            <w:bottom w:w="0" w:type="dxa"/>
            <w:right w:w="108" w:type="dxa"/>
          </w:tblCellMar>
        </w:tblPrEx>
        <w:trPr>
          <w:trHeight w:val="0" w:hRule="atLeast"/>
          <w:jc w:val="center"/>
        </w:trPr>
        <w:tc>
          <w:tcPr>
            <w:tcW w:w="80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8BF1CB5">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21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133C1F5">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边界条件、异常处理与防错规则</w:t>
            </w:r>
          </w:p>
        </w:tc>
        <w:tc>
          <w:tcPr>
            <w:tcW w:w="42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D6E9415">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除零、空值、越权、超时、并发、离线等异常的标准错误码与界面表现</w:t>
            </w:r>
          </w:p>
        </w:tc>
        <w:tc>
          <w:tcPr>
            <w:tcW w:w="225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5038284">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缺失异常规则视为生产事故隐患</w:t>
            </w:r>
          </w:p>
        </w:tc>
      </w:tr>
      <w:tr w14:paraId="182582CC">
        <w:tblPrEx>
          <w:tblCellMar>
            <w:top w:w="0" w:type="dxa"/>
            <w:left w:w="108" w:type="dxa"/>
            <w:bottom w:w="0" w:type="dxa"/>
            <w:right w:w="108" w:type="dxa"/>
          </w:tblCellMar>
        </w:tblPrEx>
        <w:trPr>
          <w:trHeight w:val="0" w:hRule="atLeast"/>
          <w:jc w:val="center"/>
        </w:trPr>
        <w:tc>
          <w:tcPr>
            <w:tcW w:w="80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178744D">
            <w:pPr>
              <w:snapToGrid w:val="0"/>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21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BDA37B9">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QA 自动化验收准则（Gherkin BDD）</w:t>
            </w:r>
          </w:p>
        </w:tc>
        <w:tc>
          <w:tcPr>
            <w:tcW w:w="42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A818F19">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Given / When / Then 三段式可自动化执行的验收用例</w:t>
            </w:r>
          </w:p>
        </w:tc>
        <w:tc>
          <w:tcPr>
            <w:tcW w:w="225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E3DD6D4">
            <w:pPr>
              <w:snapToGrid w:val="0"/>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缺失验收准则不得进入测试准入</w:t>
            </w:r>
          </w:p>
        </w:tc>
      </w:tr>
    </w:tbl>
    <w:p w14:paraId="4808555E">
      <w:pPr>
        <w:rPr>
          <w:rFonts w:hint="eastAsia" w:ascii="宋体" w:hAnsi="宋体" w:eastAsia="宋体" w:cs="宋体"/>
          <w:b/>
          <w:i w:val="0"/>
          <w:iCs w:val="0"/>
          <w:color w:val="1E3A8A"/>
          <w:sz w:val="24"/>
          <w:szCs w:val="24"/>
        </w:rPr>
      </w:pPr>
      <w:r>
        <w:rPr>
          <w:rFonts w:hint="eastAsia" w:ascii="宋体" w:hAnsi="宋体" w:eastAsia="宋体" w:cs="宋体"/>
          <w:b/>
          <w:i w:val="0"/>
          <w:iCs w:val="0"/>
          <w:color w:val="1E3A8A"/>
          <w:sz w:val="24"/>
          <w:szCs w:val="24"/>
        </w:rPr>
        <w:br w:type="page"/>
      </w:r>
    </w:p>
    <w:p w14:paraId="123E3550">
      <w:pPr>
        <w:pStyle w:val="3"/>
        <w:widowControl/>
        <w:numPr>
          <w:ilvl w:val="0"/>
          <w:numId w:val="7"/>
        </w:numPr>
        <w:ind w:left="0" w:leftChars="0" w:firstLine="0" w:firstLineChars="0"/>
        <w:rPr>
          <w:rFonts w:eastAsia="黑体"/>
          <w:b w:val="0"/>
          <w:bCs w:val="0"/>
          <w:sz w:val="32"/>
          <w:szCs w:val="44"/>
        </w:rPr>
      </w:pPr>
      <w:bookmarkStart w:id="10" w:name="_Toc26178"/>
      <w:r>
        <w:rPr>
          <w:rFonts w:ascii="Times New Roman" w:hAnsi="Times New Roman" w:eastAsia="黑体" w:cs="Times New Roman"/>
          <w:b w:val="0"/>
          <w:bCs w:val="0"/>
          <w:sz w:val="32"/>
          <w:szCs w:val="44"/>
        </w:rPr>
        <w:t>零碳园区集控中心功能需求规格</w:t>
      </w:r>
      <w:bookmarkEnd w:id="10"/>
    </w:p>
    <w:p w14:paraId="0B06A0C1">
      <w:pPr>
        <w:pStyle w:val="19"/>
        <w:widowControl/>
        <w:ind w:left="0" w:leftChars="0" w:firstLine="0" w:firstLineChars="0"/>
        <w:rPr>
          <w:rFonts w:ascii="Times New Roman" w:hAnsi="Times New Roman" w:eastAsia="宋体" w:cs="Times New Roman"/>
          <w:b w:val="0"/>
          <w:bCs w:val="0"/>
          <w:i w:val="0"/>
          <w:color w:val="1F2937"/>
          <w:sz w:val="24"/>
          <w:szCs w:val="24"/>
        </w:rPr>
      </w:pPr>
      <w:r>
        <w:rPr>
          <w:rFonts w:hint="eastAsia" w:ascii="宋体" w:hAnsi="宋体" w:eastAsia="宋体" w:cs="宋体"/>
          <w:i w:val="0"/>
          <w:iCs w:val="0"/>
        </w:rPr>
        <w:drawing>
          <wp:inline distT="0" distB="0" distL="114300" distR="114300">
            <wp:extent cx="6210300" cy="3079115"/>
            <wp:effectExtent l="0" t="0" r="0" b="6985"/>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15"/>
                    <a:stretch>
                      <a:fillRect/>
                    </a:stretch>
                  </pic:blipFill>
                  <pic:spPr>
                    <a:xfrm>
                      <a:off x="0" y="0"/>
                      <a:ext cx="6210300" cy="3079115"/>
                    </a:xfrm>
                    <a:prstGeom prst="rect">
                      <a:avLst/>
                    </a:prstGeom>
                    <a:noFill/>
                    <a:ln>
                      <a:noFill/>
                    </a:ln>
                  </pic:spPr>
                </pic:pic>
              </a:graphicData>
            </a:graphic>
          </wp:inline>
        </w:drawing>
      </w:r>
    </w:p>
    <w:p w14:paraId="21C483D5">
      <w:pPr>
        <w:pStyle w:val="19"/>
        <w:widowControl/>
        <w:rPr>
          <w:rFonts w:hint="eastAsia" w:ascii="Times New Roman" w:hAnsi="Times New Roman" w:eastAsia="宋体" w:cs="Times New Roman"/>
          <w:b w:val="0"/>
          <w:bCs w:val="0"/>
          <w:i w:val="0"/>
          <w:sz w:val="24"/>
          <w:szCs w:val="24"/>
          <w:lang w:eastAsia="zh-CN"/>
        </w:rPr>
      </w:pPr>
      <w:r>
        <w:rPr>
          <w:rFonts w:ascii="Times New Roman" w:hAnsi="Times New Roman" w:eastAsia="宋体" w:cs="Times New Roman"/>
          <w:b w:val="0"/>
          <w:bCs w:val="0"/>
          <w:i w:val="0"/>
          <w:color w:val="1F2937"/>
          <w:sz w:val="24"/>
          <w:szCs w:val="24"/>
        </w:rPr>
        <w:t>本章严格</w:t>
      </w:r>
      <w:r>
        <w:rPr>
          <w:rFonts w:hint="eastAsia" w:ascii="Times New Roman" w:hAnsi="Times New Roman" w:eastAsia="宋体" w:cs="Times New Roman"/>
          <w:b w:val="0"/>
          <w:bCs w:val="0"/>
          <w:i w:val="0"/>
          <w:color w:val="1F2937"/>
          <w:sz w:val="24"/>
          <w:szCs w:val="24"/>
          <w:lang w:eastAsia="zh-CN"/>
        </w:rPr>
        <w:t>匹配</w:t>
      </w:r>
      <w:r>
        <w:rPr>
          <w:rFonts w:ascii="Times New Roman" w:hAnsi="Times New Roman" w:eastAsia="宋体" w:cs="Times New Roman"/>
          <w:b w:val="0"/>
          <w:bCs w:val="0"/>
          <w:i w:val="0"/>
          <w:color w:val="1F2937"/>
          <w:sz w:val="24"/>
          <w:szCs w:val="24"/>
        </w:rPr>
        <w:t>系统切换至【零碳园区集控中心】</w:t>
      </w:r>
      <w:r>
        <w:rPr>
          <w:rFonts w:hint="eastAsia" w:ascii="Times New Roman" w:hAnsi="Times New Roman" w:eastAsia="宋体" w:cs="Times New Roman"/>
          <w:b w:val="0"/>
          <w:bCs w:val="0"/>
          <w:i w:val="0"/>
          <w:color w:val="1F2937"/>
          <w:sz w:val="24"/>
          <w:szCs w:val="24"/>
          <w:lang w:eastAsia="zh-CN"/>
        </w:rPr>
        <w:t>后</w:t>
      </w:r>
      <w:r>
        <w:rPr>
          <w:rFonts w:ascii="Times New Roman" w:hAnsi="Times New Roman" w:eastAsia="宋体" w:cs="Times New Roman"/>
          <w:b w:val="0"/>
          <w:bCs w:val="0"/>
          <w:i w:val="0"/>
          <w:color w:val="1F2937"/>
          <w:sz w:val="24"/>
          <w:szCs w:val="24"/>
        </w:rPr>
        <w:t>的6大一级主导航</w:t>
      </w:r>
      <w:r>
        <w:rPr>
          <w:rFonts w:hint="eastAsia" w:ascii="Times New Roman" w:hAnsi="Times New Roman" w:eastAsia="宋体" w:cs="Times New Roman"/>
          <w:b w:val="0"/>
          <w:bCs w:val="0"/>
          <w:i w:val="0"/>
          <w:color w:val="1F2937"/>
          <w:sz w:val="24"/>
          <w:szCs w:val="24"/>
          <w:lang w:eastAsia="zh-CN"/>
        </w:rPr>
        <w:t>分层</w:t>
      </w:r>
      <w:r>
        <w:rPr>
          <w:rFonts w:ascii="Times New Roman" w:hAnsi="Times New Roman" w:eastAsia="宋体" w:cs="Times New Roman"/>
          <w:b w:val="0"/>
          <w:bCs w:val="0"/>
          <w:i w:val="0"/>
          <w:color w:val="1F2937"/>
          <w:sz w:val="24"/>
          <w:szCs w:val="24"/>
        </w:rPr>
        <w:t>展开，全面覆盖集中监控大屏、集中监管、能耗能效分析、零碳项目评估、统计报表与基础管理六大</w:t>
      </w:r>
      <w:r>
        <w:rPr>
          <w:rFonts w:hint="eastAsia" w:cs="Times New Roman"/>
          <w:b w:val="0"/>
          <w:bCs w:val="0"/>
          <w:i w:val="0"/>
          <w:color w:val="1F2937"/>
          <w:sz w:val="24"/>
          <w:szCs w:val="24"/>
          <w:lang w:eastAsia="zh-CN"/>
        </w:rPr>
        <w:t>业务</w:t>
      </w:r>
      <w:r>
        <w:rPr>
          <w:rFonts w:ascii="Times New Roman" w:hAnsi="Times New Roman" w:eastAsia="宋体" w:cs="Times New Roman"/>
          <w:b w:val="0"/>
          <w:bCs w:val="0"/>
          <w:i w:val="0"/>
          <w:color w:val="1F2937"/>
          <w:sz w:val="24"/>
          <w:szCs w:val="24"/>
        </w:rPr>
        <w:t>板块。</w:t>
      </w:r>
      <w:r>
        <w:rPr>
          <w:rFonts w:hint="eastAsia" w:ascii="Times New Roman" w:hAnsi="Times New Roman" w:eastAsia="宋体" w:cs="Times New Roman"/>
          <w:b w:val="0"/>
          <w:bCs w:val="0"/>
          <w:i w:val="0"/>
          <w:color w:val="1F2937"/>
          <w:sz w:val="24"/>
          <w:szCs w:val="24"/>
          <w:lang w:eastAsia="zh-CN"/>
        </w:rPr>
        <w:t>本章节的功能权限矩阵收录于附录E，</w:t>
      </w:r>
      <w:r>
        <w:rPr>
          <w:rFonts w:ascii="Times New Roman" w:hAnsi="Times New Roman" w:eastAsia="宋体" w:cs="Times New Roman"/>
          <w:b w:val="0"/>
          <w:bCs w:val="0"/>
          <w:i w:val="0"/>
          <w:color w:val="1F2937"/>
          <w:sz w:val="24"/>
          <w:szCs w:val="24"/>
        </w:rPr>
        <w:t>验收用例</w:t>
      </w:r>
      <w:r>
        <w:rPr>
          <w:rFonts w:hint="eastAsia" w:ascii="Times New Roman" w:hAnsi="Times New Roman" w:eastAsia="宋体" w:cs="Times New Roman"/>
          <w:b w:val="0"/>
          <w:bCs w:val="0"/>
          <w:i w:val="0"/>
          <w:color w:val="1F2937"/>
          <w:sz w:val="24"/>
          <w:szCs w:val="24"/>
          <w:lang w:eastAsia="zh-CN"/>
        </w:rPr>
        <w:t>放在</w:t>
      </w:r>
      <w:r>
        <w:rPr>
          <w:rFonts w:ascii="Times New Roman" w:hAnsi="Times New Roman" w:eastAsia="宋体" w:cs="Times New Roman"/>
          <w:b w:val="0"/>
          <w:bCs w:val="0"/>
          <w:i w:val="0"/>
          <w:color w:val="1F2937"/>
          <w:sz w:val="24"/>
          <w:szCs w:val="24"/>
        </w:rPr>
        <w:t>第十一章，</w:t>
      </w:r>
      <w:r>
        <w:rPr>
          <w:rFonts w:hint="eastAsia" w:ascii="Times New Roman" w:hAnsi="Times New Roman" w:eastAsia="宋体" w:cs="Times New Roman"/>
          <w:b w:val="0"/>
          <w:bCs w:val="0"/>
          <w:i w:val="0"/>
          <w:color w:val="1F2937"/>
          <w:sz w:val="24"/>
          <w:szCs w:val="24"/>
          <w:lang w:eastAsia="zh-CN"/>
        </w:rPr>
        <w:t>相关错误码可查阅第五章“标准化错误码字典”。</w:t>
      </w:r>
    </w:p>
    <w:p w14:paraId="0EEEF575">
      <w:pPr>
        <w:pStyle w:val="4"/>
        <w:numPr>
          <w:ilvl w:val="0"/>
          <w:numId w:val="15"/>
        </w:numPr>
        <w:topLinePunct w:val="0"/>
        <w:ind w:left="0" w:leftChars="0" w:firstLine="0" w:firstLineChars="0"/>
        <w:outlineLvl w:val="0"/>
        <w:rPr>
          <w:rFonts w:hint="eastAsia" w:eastAsia="黑体"/>
          <w:b w:val="0"/>
          <w:bCs w:val="0"/>
          <w:sz w:val="30"/>
          <w:szCs w:val="32"/>
        </w:rPr>
      </w:pPr>
      <w:bookmarkStart w:id="11" w:name="_Toc26638"/>
      <w:r>
        <w:rPr>
          <w:rFonts w:ascii="Times New Roman" w:hAnsi="Times New Roman" w:eastAsia="黑体" w:cs="Times New Roman"/>
          <w:b w:val="0"/>
          <w:bCs w:val="0"/>
          <w:sz w:val="30"/>
          <w:szCs w:val="32"/>
        </w:rPr>
        <w:t>集控中心大屏</w:t>
      </w:r>
      <w:bookmarkEnd w:id="11"/>
    </w:p>
    <w:p w14:paraId="6FAAACEE">
      <w:pPr>
        <w:pStyle w:val="5"/>
        <w:numPr>
          <w:ilvl w:val="0"/>
          <w:numId w:val="16"/>
        </w:numPr>
        <w:ind w:left="0" w:leftChars="0" w:firstLine="0" w:firstLineChars="0"/>
        <w:outlineLvl w:val="1"/>
        <w:rPr>
          <w:rFonts w:eastAsia="黑体"/>
          <w:b w:val="0"/>
          <w:bCs w:val="0"/>
          <w:sz w:val="30"/>
          <w:szCs w:val="24"/>
        </w:rPr>
      </w:pPr>
      <w:bookmarkStart w:id="12" w:name="_Toc14753"/>
      <w:r>
        <w:rPr>
          <w:rFonts w:ascii="Times New Roman" w:hAnsi="Times New Roman" w:eastAsia="黑体" w:cs="Times New Roman"/>
          <w:b w:val="0"/>
          <w:bCs w:val="0"/>
          <w:sz w:val="30"/>
          <w:szCs w:val="24"/>
        </w:rPr>
        <w:t>全景环幕大屏 46:9</w:t>
      </w:r>
      <w:bookmarkEnd w:id="12"/>
    </w:p>
    <w:p w14:paraId="0122400A">
      <w:pPr>
        <w:keepNext/>
        <w:keepLines/>
        <w:widowControl w:val="0"/>
        <w:numPr>
          <w:ilvl w:val="0"/>
          <w:numId w:val="0"/>
        </w:numPr>
        <w:adjustRightInd w:val="0"/>
        <w:spacing w:before="200" w:line="300" w:lineRule="auto"/>
        <w:ind w:leftChars="0"/>
        <w:jc w:val="both"/>
        <w:outlineLvl w:val="9"/>
        <w:rPr>
          <w:rFonts w:hint="eastAsia" w:ascii="Times New Roman" w:hAnsi="Times New Roman" w:eastAsia="黑体" w:cs="Times New Roman"/>
          <w:b w:val="0"/>
          <w:bCs/>
          <w:kern w:val="2"/>
          <w:sz w:val="28"/>
          <w:szCs w:val="28"/>
          <w:lang w:eastAsia="zh-CN" w:bidi="ar-SA"/>
        </w:rPr>
      </w:pPr>
      <w:r>
        <w:rPr>
          <w:rFonts w:hint="eastAsia" w:ascii="Times New Roman" w:hAnsi="Times New Roman" w:eastAsia="黑体" w:cs="Times New Roman"/>
          <w:b w:val="0"/>
          <w:bCs/>
          <w:kern w:val="2"/>
          <w:sz w:val="28"/>
          <w:szCs w:val="28"/>
          <w:lang w:eastAsia="zh-CN" w:bidi="ar-SA"/>
        </w:rPr>
        <w:drawing>
          <wp:inline distT="0" distB="0" distL="114300" distR="114300">
            <wp:extent cx="6035040" cy="1131570"/>
            <wp:effectExtent l="0" t="0" r="3810" b="11430"/>
            <wp:docPr id="3" name="图片 3" descr="6547531b2aabc72f6817ed220ea5bd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6547531b2aabc72f6817ed220ea5bdc7"/>
                    <pic:cNvPicPr>
                      <a:picLocks noChangeAspect="1"/>
                    </pic:cNvPicPr>
                  </pic:nvPicPr>
                  <pic:blipFill>
                    <a:blip r:embed="rId16"/>
                    <a:stretch>
                      <a:fillRect/>
                    </a:stretch>
                  </pic:blipFill>
                  <pic:spPr>
                    <a:xfrm>
                      <a:off x="0" y="0"/>
                      <a:ext cx="6035040" cy="1131570"/>
                    </a:xfrm>
                    <a:prstGeom prst="rect">
                      <a:avLst/>
                    </a:prstGeom>
                  </pic:spPr>
                </pic:pic>
              </a:graphicData>
            </a:graphic>
          </wp:inline>
        </w:drawing>
      </w:r>
    </w:p>
    <w:p w14:paraId="378743A9">
      <w:pPr>
        <w:jc w:val="center"/>
        <w:rPr>
          <w:rFonts w:hint="default" w:eastAsia="黑体"/>
          <w:b w:val="0"/>
          <w:bCs/>
          <w:sz w:val="28"/>
          <w:szCs w:val="28"/>
          <w:lang w:val="en-US" w:eastAsia="zh-CN"/>
        </w:rPr>
      </w:pPr>
      <w:r>
        <w:rPr>
          <w:rFonts w:hint="eastAsia" w:eastAsia="黑体"/>
          <w:b w:val="0"/>
          <w:bCs/>
          <w:sz w:val="28"/>
          <w:szCs w:val="28"/>
          <w:lang w:val="en-US" w:eastAsia="zh-CN"/>
        </w:rPr>
        <w:t>集控中心大屏展示</w:t>
      </w:r>
    </w:p>
    <w:p w14:paraId="3ECF291B">
      <w:pPr>
        <w:rPr>
          <w:rFonts w:hint="eastAsia" w:eastAsia="黑体"/>
          <w:b w:val="0"/>
          <w:bCs/>
          <w:sz w:val="28"/>
          <w:szCs w:val="28"/>
          <w:lang w:eastAsia="zh-CN"/>
        </w:rPr>
      </w:pPr>
      <w:r>
        <w:rPr>
          <w:rFonts w:hint="eastAsia" w:eastAsia="黑体"/>
          <w:b w:val="0"/>
          <w:bCs/>
          <w:sz w:val="28"/>
          <w:szCs w:val="28"/>
          <w:lang w:eastAsia="zh-CN"/>
        </w:rPr>
        <w:drawing>
          <wp:inline distT="0" distB="0" distL="114300" distR="114300">
            <wp:extent cx="6094730" cy="884555"/>
            <wp:effectExtent l="0" t="0" r="1270" b="10795"/>
            <wp:docPr id="4" name="图片 4" descr="0bdadf2d4ce88726b5dd957ae0dd2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0bdadf2d4ce88726b5dd957ae0dd2024"/>
                    <pic:cNvPicPr>
                      <a:picLocks noChangeAspect="1"/>
                    </pic:cNvPicPr>
                  </pic:nvPicPr>
                  <pic:blipFill>
                    <a:blip r:embed="rId17"/>
                    <a:stretch>
                      <a:fillRect/>
                    </a:stretch>
                  </pic:blipFill>
                  <pic:spPr>
                    <a:xfrm>
                      <a:off x="0" y="0"/>
                      <a:ext cx="6094730" cy="884555"/>
                    </a:xfrm>
                    <a:prstGeom prst="rect">
                      <a:avLst/>
                    </a:prstGeom>
                  </pic:spPr>
                </pic:pic>
              </a:graphicData>
            </a:graphic>
          </wp:inline>
        </w:drawing>
      </w:r>
    </w:p>
    <w:p w14:paraId="3707B6F1">
      <w:pPr>
        <w:jc w:val="center"/>
        <w:rPr>
          <w:rFonts w:hint="default" w:eastAsia="黑体"/>
          <w:b w:val="0"/>
          <w:bCs/>
          <w:sz w:val="28"/>
          <w:szCs w:val="28"/>
          <w:lang w:val="en-US" w:eastAsia="zh-CN"/>
        </w:rPr>
      </w:pPr>
      <w:r>
        <w:rPr>
          <w:rFonts w:hint="eastAsia" w:eastAsia="黑体"/>
          <w:b w:val="0"/>
          <w:bCs/>
          <w:sz w:val="28"/>
          <w:szCs w:val="28"/>
          <w:lang w:val="en-US" w:eastAsia="zh-CN"/>
        </w:rPr>
        <w:t>集采中心大屏展示</w:t>
      </w:r>
    </w:p>
    <w:p w14:paraId="6EBDB885">
      <w:pPr>
        <w:pStyle w:val="6"/>
        <w:numPr>
          <w:ilvl w:val="0"/>
          <w:numId w:val="1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3CEDBC1B">
      <w:pPr>
        <w:pStyle w:val="19"/>
        <w:widowControl/>
        <w:numPr>
          <w:ilvl w:val="0"/>
          <w:numId w:val="1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：集团级对外示范与战略汇报窗口，以 46:9 超宽环幕形态宏观通览全集团园区能源大盘、实时功率流、微电网出力与降碳成效。</w:t>
      </w:r>
    </w:p>
    <w:p w14:paraId="384C81F0">
      <w:pPr>
        <w:pStyle w:val="19"/>
        <w:widowControl/>
        <w:numPr>
          <w:ilvl w:val="0"/>
          <w:numId w:val="1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：P1 集团决策层（主视角）；面向省部级领导、全球大客户参观场景。</w:t>
      </w:r>
    </w:p>
    <w:p w14:paraId="55C278F6">
      <w:pPr>
        <w:pStyle w:val="19"/>
        <w:widowControl/>
        <w:numPr>
          <w:ilvl w:val="0"/>
          <w:numId w:val="1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/monitor/screen/panoramic </w:t>
      </w:r>
      <w:r>
        <w:rPr>
          <w:rFonts w:ascii="Times New Roman" w:hAnsi="Times New Roman" w:eastAsia="宋体" w:cs="Times New Roman"/>
          <w:i w:val="0"/>
          <w:color w:val="1F2937"/>
          <w:sz w:val="24"/>
          <w:szCs w:val="24"/>
        </w:rPr>
        <w:t>；适配 46:9 超宽拼接环幕，支持 4K/8K 分辨率自适应缩放。</w:t>
      </w:r>
    </w:p>
    <w:p w14:paraId="5DE42AC1">
      <w:pPr>
        <w:pStyle w:val="19"/>
        <w:widowControl/>
        <w:numPr>
          <w:ilvl w:val="0"/>
          <w:numId w:val="1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：IoT 采集网关遥测流、指标管控核算结果、微电网监测数据、组织架构主数据。</w:t>
      </w:r>
    </w:p>
    <w:p w14:paraId="570C7D2C">
      <w:pPr>
        <w:pStyle w:val="19"/>
        <w:widowControl/>
        <w:numPr>
          <w:ilvl w:val="0"/>
          <w:numId w:val="1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：对外演示态数据快照；全屏轮播切换指令。</w:t>
      </w:r>
    </w:p>
    <w:p w14:paraId="304935FD">
      <w:pPr>
        <w:pStyle w:val="6"/>
        <w:numPr>
          <w:ilvl w:val="0"/>
          <w:numId w:val="1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0983E235">
      <w:pPr>
        <w:pStyle w:val="19"/>
        <w:widowControl/>
        <w:numPr>
          <w:ilvl w:val="0"/>
          <w:numId w:val="1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：面向集团董事长、省部级领导及全球大客户参观特变电工指挥大厅时，宏观通览全集团 15 大园区及 21 家实体工厂的能源大盘、实时功率流、微电网出力与降碳成效。</w:t>
      </w:r>
    </w:p>
    <w:p w14:paraId="05114668">
      <w:pPr>
        <w:pStyle w:val="19"/>
        <w:widowControl/>
        <w:numPr>
          <w:ilvl w:val="0"/>
          <w:numId w:val="1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201AA18B">
      <w:pPr>
        <w:pStyle w:val="19"/>
        <w:widowControl/>
        <w:numPr>
          <w:ilvl w:val="0"/>
          <w:numId w:val="19"/>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集团高层决策者 (Persona P1)</w:t>
      </w:r>
      <w:r>
        <w:rPr>
          <w:rFonts w:ascii="Times New Roman" w:hAnsi="Times New Roman" w:eastAsia="宋体" w:cs="Times New Roman"/>
          <w:i w:val="0"/>
          <w:color w:val="1F2937"/>
          <w:sz w:val="24"/>
          <w:szCs w:val="24"/>
        </w:rPr>
        <w:t>，</w:t>
      </w:r>
    </w:p>
    <w:p w14:paraId="689AD6AF">
      <w:pPr>
        <w:pStyle w:val="19"/>
        <w:widowControl/>
        <w:numPr>
          <w:ilvl w:val="0"/>
          <w:numId w:val="19"/>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在集控中心环幕大屏上一屏穿透全集团实时能耗折标总量、万元产值能耗变动、微电网光储充实时出力与全国制造基地空间分布</w:t>
      </w:r>
      <w:r>
        <w:rPr>
          <w:rFonts w:ascii="Times New Roman" w:hAnsi="Times New Roman" w:eastAsia="宋体" w:cs="Times New Roman"/>
          <w:i w:val="0"/>
          <w:color w:val="1F2937"/>
          <w:sz w:val="24"/>
          <w:szCs w:val="24"/>
        </w:rPr>
        <w:t>，</w:t>
      </w:r>
    </w:p>
    <w:p w14:paraId="51948574">
      <w:pPr>
        <w:pStyle w:val="19"/>
        <w:widowControl/>
        <w:numPr>
          <w:ilvl w:val="0"/>
          <w:numId w:val="19"/>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我能掌握集团能碳战略执行进度，对外彰显特变电工世界级绿色智造硬实力</w:t>
      </w:r>
      <w:r>
        <w:rPr>
          <w:rFonts w:ascii="Times New Roman" w:hAnsi="Times New Roman" w:eastAsia="宋体" w:cs="Times New Roman"/>
          <w:i w:val="0"/>
          <w:color w:val="1F2937"/>
          <w:sz w:val="24"/>
          <w:szCs w:val="24"/>
        </w:rPr>
        <w:t>。</w:t>
      </w:r>
    </w:p>
    <w:p w14:paraId="301F7043">
      <w:pPr>
        <w:pStyle w:val="6"/>
        <w:numPr>
          <w:ilvl w:val="0"/>
          <w:numId w:val="1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089EAF6A">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三栏式布局流：</w:t>
      </w:r>
    </w:p>
    <w:tbl>
      <w:tblPr>
        <w:tblStyle w:val="38"/>
        <w:tblW w:w="9530" w:type="dxa"/>
        <w:jc w:val="center"/>
        <w:tblLayout w:type="autofit"/>
        <w:tblCellMar>
          <w:top w:w="0" w:type="dxa"/>
          <w:left w:w="108" w:type="dxa"/>
          <w:bottom w:w="0" w:type="dxa"/>
          <w:right w:w="108" w:type="dxa"/>
        </w:tblCellMar>
      </w:tblPr>
      <w:tblGrid>
        <w:gridCol w:w="1555"/>
        <w:gridCol w:w="928"/>
        <w:gridCol w:w="7047"/>
      </w:tblGrid>
      <w:tr w14:paraId="4CCD0601">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2930EBA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分区</w:t>
            </w:r>
          </w:p>
        </w:tc>
        <w:tc>
          <w:tcPr>
            <w:tcW w:w="92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3E33B72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占比</w:t>
            </w:r>
          </w:p>
        </w:tc>
        <w:tc>
          <w:tcPr>
            <w:tcW w:w="704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805DFA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核心内容</w:t>
            </w:r>
          </w:p>
        </w:tc>
      </w:tr>
      <w:tr w14:paraId="3096D7A2">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6F14EC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左侧大盘</w:t>
            </w:r>
          </w:p>
        </w:tc>
        <w:tc>
          <w:tcPr>
            <w:tcW w:w="92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BEEDEA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25%</w:t>
            </w:r>
          </w:p>
        </w:tc>
        <w:tc>
          <w:tcPr>
            <w:tcW w:w="704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71A676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集团综合折标能耗总看板、万元产值综合单耗卡片、8 大能源介质消费占比圆环图、24 小时全集团用电负荷连续走势</w:t>
            </w:r>
          </w:p>
        </w:tc>
      </w:tr>
      <w:tr w14:paraId="218FF76F">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912D3E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中央 3D 数字孪生地图</w:t>
            </w:r>
          </w:p>
        </w:tc>
        <w:tc>
          <w:tcPr>
            <w:tcW w:w="92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F39ACE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50%</w:t>
            </w:r>
          </w:p>
        </w:tc>
        <w:tc>
          <w:tcPr>
            <w:tcW w:w="704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8D1FA7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Three.js + D3-Geo 3D 浮雕中国立体地图、15 大园区与 21 家生产基地地理航标、5 家主力工厂切片胶囊 Tab</w:t>
            </w:r>
          </w:p>
        </w:tc>
      </w:tr>
      <w:tr w14:paraId="05A873B2">
        <w:tblPrEx>
          <w:tblCellMar>
            <w:top w:w="0" w:type="dxa"/>
            <w:left w:w="108" w:type="dxa"/>
            <w:bottom w:w="0" w:type="dxa"/>
            <w:right w:w="108" w:type="dxa"/>
          </w:tblCellMar>
        </w:tblPrEx>
        <w:trPr>
          <w:jc w:val="center"/>
        </w:trPr>
        <w:tc>
          <w:tcPr>
            <w:tcW w:w="15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9469B6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右侧微网与告警</w:t>
            </w:r>
          </w:p>
        </w:tc>
        <w:tc>
          <w:tcPr>
            <w:tcW w:w="92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E19F84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25%</w:t>
            </w:r>
          </w:p>
        </w:tc>
        <w:tc>
          <w:tcPr>
            <w:tcW w:w="704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492F46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微电网实时出力矩阵、重点工序能效对标看板、实时运行事件流</w:t>
            </w:r>
          </w:p>
        </w:tc>
      </w:tr>
    </w:tbl>
    <w:p w14:paraId="77C84767">
      <w:pPr>
        <w:spacing w:after="60"/>
        <w:rPr>
          <w:rFonts w:hint="eastAsia" w:ascii="宋体" w:hAnsi="宋体" w:eastAsia="宋体" w:cs="宋体"/>
          <w:i w:val="0"/>
          <w:iCs w:val="0"/>
          <w:sz w:val="24"/>
          <w:szCs w:val="24"/>
        </w:rPr>
      </w:pPr>
    </w:p>
    <w:p w14:paraId="06147B99">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关键交互规则：</w:t>
      </w:r>
    </w:p>
    <w:p w14:paraId="2074DBA7">
      <w:pPr>
        <w:pStyle w:val="19"/>
        <w:widowControl/>
        <w:numPr>
          <w:ilvl w:val="0"/>
          <w:numId w:val="2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左侧大盘</w:t>
      </w:r>
      <w:r>
        <w:rPr>
          <w:rFonts w:ascii="Times New Roman" w:hAnsi="Times New Roman" w:eastAsia="宋体" w:cs="Times New Roman"/>
          <w:i w:val="0"/>
          <w:color w:val="1F2937"/>
          <w:sz w:val="24"/>
          <w:szCs w:val="24"/>
        </w:rPr>
        <w:t xml:space="preserve">：集团综合折标能耗总看板展示当前年度/月度累计能耗（形如 </w:t>
      </w:r>
      <w:r>
        <w:rPr>
          <w:rFonts w:ascii="Times New Roman" w:hAnsi="Times New Roman" w:eastAsia="宋体" w:cs="Times New Roman"/>
          <w:b w:val="0"/>
          <w:i w:val="0"/>
          <w:color w:val="0284C7"/>
          <w:sz w:val="24"/>
          <w:szCs w:val="24"/>
        </w:rPr>
        <w:t xml:space="preserve"> 48,290 tce </w:t>
      </w:r>
      <w:r>
        <w:rPr>
          <w:rFonts w:ascii="Times New Roman" w:hAnsi="Times New Roman" w:eastAsia="宋体" w:cs="Times New Roman"/>
          <w:i w:val="0"/>
          <w:color w:val="1F2937"/>
          <w:sz w:val="24"/>
          <w:szCs w:val="24"/>
        </w:rPr>
        <w:t xml:space="preserve">）与同比降幅；万元产值综合单耗卡片展示 </w:t>
      </w:r>
      <w:r>
        <w:rPr>
          <w:rFonts w:ascii="Times New Roman" w:hAnsi="Times New Roman" w:eastAsia="宋体" w:cs="Times New Roman"/>
          <w:b w:val="0"/>
          <w:i w:val="0"/>
          <w:color w:val="0284C7"/>
          <w:sz w:val="24"/>
          <w:szCs w:val="24"/>
        </w:rPr>
        <w:t xml:space="preserve"> 0.0526 tce/万元 </w:t>
      </w:r>
      <w:r>
        <w:rPr>
          <w:rFonts w:ascii="Times New Roman" w:hAnsi="Times New Roman" w:eastAsia="宋体" w:cs="Times New Roman"/>
          <w:i w:val="0"/>
          <w:color w:val="1F2937"/>
          <w:sz w:val="24"/>
          <w:szCs w:val="24"/>
        </w:rPr>
        <w:t xml:space="preserve">（同比 </w:t>
      </w:r>
      <w:r>
        <w:rPr>
          <w:rFonts w:ascii="Times New Roman" w:hAnsi="Times New Roman" w:eastAsia="宋体" w:cs="Times New Roman"/>
          <w:b w:val="0"/>
          <w:i w:val="0"/>
          <w:color w:val="0284C7"/>
          <w:sz w:val="24"/>
          <w:szCs w:val="24"/>
        </w:rPr>
        <w:t xml:space="preserve"> -3.8% </w:t>
      </w:r>
      <w:r>
        <w:rPr>
          <w:rFonts w:ascii="Times New Roman" w:hAnsi="Times New Roman" w:eastAsia="宋体" w:cs="Times New Roman"/>
          <w:i w:val="0"/>
          <w:color w:val="1F2937"/>
          <w:sz w:val="24"/>
          <w:szCs w:val="24"/>
        </w:rPr>
        <w:t>）；8 大能源介质消费占比圆环图外圈呈现电力 (68.4%)、蒸汽 (14.2%)、天然气 (11.1%)、水资源 (3.2%)、液氮 (3.1%)，悬停展示标煤换算量；24 小时全集团用电负荷走势图展示当日与昨日对比曲线，游标采用微透科技蓝。</w:t>
      </w:r>
    </w:p>
    <w:p w14:paraId="6902F7F1">
      <w:pPr>
        <w:pStyle w:val="19"/>
        <w:widowControl/>
        <w:numPr>
          <w:ilvl w:val="0"/>
          <w:numId w:val="2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中央地图</w:t>
      </w:r>
      <w:r>
        <w:rPr>
          <w:rFonts w:ascii="Times New Roman" w:hAnsi="Times New Roman" w:eastAsia="宋体" w:cs="Times New Roman"/>
          <w:i w:val="0"/>
          <w:color w:val="1F2937"/>
          <w:sz w:val="24"/>
          <w:szCs w:val="24"/>
        </w:rPr>
        <w:t>：严格基于国家自然资源部标准地图服务系统官方底图构建，包含十段线、南海诸岛、钓鱼岛及其附属岛屿，右下角永久固化审图号文本（</w:t>
      </w:r>
      <w:r>
        <w:rPr>
          <w:rFonts w:ascii="Times New Roman" w:hAnsi="Times New Roman" w:eastAsia="宋体" w:cs="Times New Roman"/>
          <w:b/>
          <w:i w:val="0"/>
          <w:color w:val="1E3A8A"/>
          <w:sz w:val="24"/>
          <w:szCs w:val="24"/>
        </w:rPr>
        <w:t>自然资源部地图审图号合规红线</w:t>
      </w:r>
      <w:r>
        <w:rPr>
          <w:rFonts w:ascii="Times New Roman" w:hAnsi="Times New Roman" w:eastAsia="宋体" w:cs="Times New Roman"/>
          <w:i w:val="0"/>
          <w:color w:val="1F2937"/>
          <w:sz w:val="24"/>
          <w:szCs w:val="24"/>
        </w:rPr>
        <w:t>）；不同产业类型航标展示专属粒子光效（变压器为科技蓝脉冲，线缆为天青蓝脉冲，微电网为翡翠绿脉冲）；点击基地航标滑出轻量浮窗，展示基地瞬时有功负荷、当日光伏发电量、储能充放状态；5 家主力制造工厂（沈变、衡变、新变、鲁缆、德缆）切片胶囊 Tab 支持手动轮播或 30 秒自动巡检切换。</w:t>
      </w:r>
    </w:p>
    <w:p w14:paraId="23AB61D5">
      <w:pPr>
        <w:pStyle w:val="19"/>
        <w:widowControl/>
        <w:numPr>
          <w:ilvl w:val="0"/>
          <w:numId w:val="2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右侧微网</w:t>
      </w:r>
      <w:r>
        <w:rPr>
          <w:rFonts w:ascii="Times New Roman" w:hAnsi="Times New Roman" w:eastAsia="宋体" w:cs="Times New Roman"/>
          <w:i w:val="0"/>
          <w:color w:val="1F2937"/>
          <w:sz w:val="24"/>
          <w:szCs w:val="24"/>
        </w:rPr>
        <w:t>：微电网实时出力矩阵展示分布式光伏实时瞬时功率 (MW) 与当日发电量 (MWh)、储能电站当前 SOC 荷电状态 (%) 与充放电状态、柴油发电机应急热备用状态；重点工序能效对标看板展示变压器干燥工序、线缆交联挤出等标杆工序综合能效；实时运行事件流展示近 24 小时设备越限、通讯状态等动态流水。</w:t>
      </w:r>
    </w:p>
    <w:p w14:paraId="60746CFC">
      <w:pPr>
        <w:pStyle w:val="19"/>
        <w:widowControl/>
        <w:numPr>
          <w:ilvl w:val="0"/>
          <w:numId w:val="2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数据状态指示</w:t>
      </w:r>
      <w:r>
        <w:rPr>
          <w:rFonts w:ascii="Times New Roman" w:hAnsi="Times New Roman" w:eastAsia="宋体" w:cs="Times New Roman"/>
          <w:i w:val="0"/>
          <w:color w:val="1F2937"/>
          <w:sz w:val="24"/>
          <w:szCs w:val="24"/>
        </w:rPr>
        <w:t xml:space="preserve">：试运行演示阶段右上角展示演示标识；生产网联通后自动切换为 </w:t>
      </w:r>
      <w:r>
        <w:rPr>
          <w:rFonts w:ascii="Times New Roman" w:hAnsi="Times New Roman" w:eastAsia="宋体" w:cs="Times New Roman"/>
          <w:b w:val="0"/>
          <w:i w:val="0"/>
          <w:color w:val="0284C7"/>
          <w:sz w:val="24"/>
          <w:szCs w:val="24"/>
        </w:rPr>
        <w:t xml:space="preserve"> LIVE · 实时生产 </w:t>
      </w:r>
      <w:r>
        <w:rPr>
          <w:rFonts w:ascii="Times New Roman" w:hAnsi="Times New Roman" w:eastAsia="宋体" w:cs="Times New Roman"/>
          <w:i w:val="0"/>
          <w:color w:val="1F2937"/>
          <w:sz w:val="24"/>
          <w:szCs w:val="24"/>
        </w:rPr>
        <w:t>。</w:t>
      </w:r>
    </w:p>
    <w:p w14:paraId="5620E871">
      <w:pPr>
        <w:pStyle w:val="19"/>
        <w:widowControl/>
        <w:numPr>
          <w:ilvl w:val="0"/>
          <w:numId w:val="2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客观中立原则</w:t>
      </w:r>
      <w:r>
        <w:rPr>
          <w:rFonts w:ascii="Times New Roman" w:hAnsi="Times New Roman" w:eastAsia="宋体" w:cs="Times New Roman"/>
          <w:i w:val="0"/>
          <w:color w:val="1F2937"/>
          <w:sz w:val="24"/>
          <w:szCs w:val="24"/>
        </w:rPr>
        <w:t xml:space="preserve">：大屏全量图表与卡片严禁出现"表现优异""落后单位"等定性评语，统一以客观数值与客观时序环比（如 </w:t>
      </w:r>
      <w:r>
        <w:rPr>
          <w:rFonts w:ascii="Times New Roman" w:hAnsi="Times New Roman" w:eastAsia="宋体" w:cs="Times New Roman"/>
          <w:b w:val="0"/>
          <w:i w:val="0"/>
          <w:color w:val="0284C7"/>
          <w:sz w:val="24"/>
          <w:szCs w:val="24"/>
        </w:rPr>
        <w:t xml:space="preserve"> 同比 -2.4% ↓ </w:t>
      </w:r>
      <w:r>
        <w:rPr>
          <w:rFonts w:ascii="Times New Roman" w:hAnsi="Times New Roman" w:eastAsia="宋体" w:cs="Times New Roman"/>
          <w:i w:val="0"/>
          <w:color w:val="1F2937"/>
          <w:sz w:val="24"/>
          <w:szCs w:val="24"/>
        </w:rPr>
        <w:t>）自解释。</w:t>
      </w:r>
    </w:p>
    <w:p w14:paraId="3CE3273F">
      <w:pPr>
        <w:pStyle w:val="6"/>
        <w:numPr>
          <w:ilvl w:val="0"/>
          <w:numId w:val="1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530" w:type="dxa"/>
        <w:jc w:val="center"/>
        <w:tblLayout w:type="autofit"/>
        <w:tblCellMar>
          <w:top w:w="0" w:type="dxa"/>
          <w:left w:w="108" w:type="dxa"/>
          <w:bottom w:w="0" w:type="dxa"/>
          <w:right w:w="108" w:type="dxa"/>
        </w:tblCellMar>
      </w:tblPr>
      <w:tblGrid>
        <w:gridCol w:w="876"/>
        <w:gridCol w:w="1829"/>
        <w:gridCol w:w="1358"/>
        <w:gridCol w:w="1358"/>
        <w:gridCol w:w="4109"/>
      </w:tblGrid>
      <w:tr w14:paraId="5D995F27">
        <w:tblPrEx>
          <w:tblCellMar>
            <w:top w:w="0" w:type="dxa"/>
            <w:left w:w="108" w:type="dxa"/>
            <w:bottom w:w="0" w:type="dxa"/>
            <w:right w:w="108" w:type="dxa"/>
          </w:tblCellMar>
        </w:tblPrEx>
        <w:trPr>
          <w:jc w:val="center"/>
        </w:trPr>
        <w:tc>
          <w:tcPr>
            <w:tcW w:w="87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10ECBEC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182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43FDED0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35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4F2EEF1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135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F5DD4A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411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828119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4D90BF81">
        <w:tblPrEx>
          <w:tblCellMar>
            <w:top w:w="0" w:type="dxa"/>
            <w:left w:w="108" w:type="dxa"/>
            <w:bottom w:w="0" w:type="dxa"/>
            <w:right w:w="108" w:type="dxa"/>
          </w:tblCellMar>
        </w:tblPrEx>
        <w:trPr>
          <w:jc w:val="center"/>
        </w:trPr>
        <w:tc>
          <w:tcPr>
            <w:tcW w:w="8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B0B391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182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5F248E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集团累计综合能耗</w:t>
            </w:r>
          </w:p>
        </w:tc>
        <w:tc>
          <w:tcPr>
            <w:tcW w:w="13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5D45DF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88ED62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w:t>
            </w:r>
          </w:p>
        </w:tc>
        <w:tc>
          <w:tcPr>
            <w:tcW w:w="411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00CB53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0.00，由下级园区物化视图按日结汇总</w:t>
            </w:r>
          </w:p>
        </w:tc>
      </w:tr>
      <w:tr w14:paraId="0CA0232B">
        <w:tblPrEx>
          <w:tblCellMar>
            <w:top w:w="0" w:type="dxa"/>
            <w:left w:w="108" w:type="dxa"/>
            <w:bottom w:w="0" w:type="dxa"/>
            <w:right w:w="108" w:type="dxa"/>
          </w:tblCellMar>
        </w:tblPrEx>
        <w:trPr>
          <w:jc w:val="center"/>
        </w:trPr>
        <w:tc>
          <w:tcPr>
            <w:tcW w:w="87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7EBF91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182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455DA6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综合能耗同比变动率</w:t>
            </w:r>
          </w:p>
        </w:tc>
        <w:tc>
          <w:tcPr>
            <w:tcW w:w="135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65F64A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5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5758A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1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74596B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与去年同期对比；无同期数据时显示 </w:t>
            </w:r>
            <w:r>
              <w:rPr>
                <w:rFonts w:hint="eastAsia" w:ascii="宋体" w:hAnsi="宋体" w:eastAsia="宋体" w:cs="宋体"/>
                <w:b w:val="0"/>
                <w:i w:val="0"/>
                <w:iCs w:val="0"/>
                <w:color w:val="0284C7"/>
                <w:sz w:val="24"/>
                <w:szCs w:val="24"/>
              </w:rPr>
              <w:t xml:space="preserve"> -- </w:t>
            </w:r>
          </w:p>
        </w:tc>
      </w:tr>
      <w:tr w14:paraId="6CC5193A">
        <w:tblPrEx>
          <w:tblCellMar>
            <w:top w:w="0" w:type="dxa"/>
            <w:left w:w="108" w:type="dxa"/>
            <w:bottom w:w="0" w:type="dxa"/>
            <w:right w:w="108" w:type="dxa"/>
          </w:tblCellMar>
        </w:tblPrEx>
        <w:trPr>
          <w:jc w:val="center"/>
        </w:trPr>
        <w:tc>
          <w:tcPr>
            <w:tcW w:w="8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B25F4E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182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5B19A5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万元产值综合单耗</w:t>
            </w:r>
          </w:p>
        </w:tc>
        <w:tc>
          <w:tcPr>
            <w:tcW w:w="13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80284B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6B7B5F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tce/万元</w:t>
            </w:r>
          </w:p>
        </w:tc>
        <w:tc>
          <w:tcPr>
            <w:tcW w:w="411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D62FA3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产值分母为 0 时安全兜底显示 </w:t>
            </w:r>
            <w:r>
              <w:rPr>
                <w:rFonts w:hint="eastAsia" w:ascii="宋体" w:hAnsi="宋体" w:eastAsia="宋体" w:cs="宋体"/>
                <w:b w:val="0"/>
                <w:i w:val="0"/>
                <w:iCs w:val="0"/>
                <w:color w:val="0284C7"/>
                <w:sz w:val="24"/>
                <w:szCs w:val="24"/>
              </w:rPr>
              <w:t xml:space="preserve"> -- </w:t>
            </w:r>
          </w:p>
        </w:tc>
      </w:tr>
      <w:tr w14:paraId="16AFDAAD">
        <w:tblPrEx>
          <w:tblCellMar>
            <w:top w:w="0" w:type="dxa"/>
            <w:left w:w="108" w:type="dxa"/>
            <w:bottom w:w="0" w:type="dxa"/>
            <w:right w:w="108" w:type="dxa"/>
          </w:tblCellMar>
        </w:tblPrEx>
        <w:trPr>
          <w:jc w:val="center"/>
        </w:trPr>
        <w:tc>
          <w:tcPr>
            <w:tcW w:w="87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EC34FA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182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9453D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 大能源介质消费占比</w:t>
            </w:r>
          </w:p>
        </w:tc>
        <w:tc>
          <w:tcPr>
            <w:tcW w:w="135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A8ED3A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5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A0868D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1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4D2FAE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各介质占比之和四舍五入至 100.0%，偏差 &gt;0.1% 触发配平自检</w:t>
            </w:r>
          </w:p>
        </w:tc>
      </w:tr>
      <w:tr w14:paraId="503622D8">
        <w:tblPrEx>
          <w:tblCellMar>
            <w:top w:w="0" w:type="dxa"/>
            <w:left w:w="108" w:type="dxa"/>
            <w:bottom w:w="0" w:type="dxa"/>
            <w:right w:w="108" w:type="dxa"/>
          </w:tblCellMar>
        </w:tblPrEx>
        <w:trPr>
          <w:jc w:val="center"/>
        </w:trPr>
        <w:tc>
          <w:tcPr>
            <w:tcW w:w="8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B6C0FF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182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020B6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园区地理航标坐标</w:t>
            </w:r>
          </w:p>
        </w:tc>
        <w:tc>
          <w:tcPr>
            <w:tcW w:w="13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5D58D7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308E22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经纬度</w:t>
            </w:r>
          </w:p>
        </w:tc>
        <w:tc>
          <w:tcPr>
            <w:tcW w:w="411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F789C5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必须落在标准底图国界范围内，越界坐标拦截入库</w:t>
            </w:r>
          </w:p>
        </w:tc>
      </w:tr>
      <w:tr w14:paraId="70AF4443">
        <w:tblPrEx>
          <w:tblCellMar>
            <w:top w:w="0" w:type="dxa"/>
            <w:left w:w="108" w:type="dxa"/>
            <w:bottom w:w="0" w:type="dxa"/>
            <w:right w:w="108" w:type="dxa"/>
          </w:tblCellMar>
        </w:tblPrEx>
        <w:trPr>
          <w:jc w:val="center"/>
        </w:trPr>
        <w:tc>
          <w:tcPr>
            <w:tcW w:w="87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03B2E9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182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E3022C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光伏实时瞬时功率</w:t>
            </w:r>
          </w:p>
        </w:tc>
        <w:tc>
          <w:tcPr>
            <w:tcW w:w="135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4743C3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5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D8AF9B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MW</w:t>
            </w:r>
          </w:p>
        </w:tc>
        <w:tc>
          <w:tcPr>
            <w:tcW w:w="411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61A0D9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0.000；数据延迟超 5s 打"数据延迟"微标签</w:t>
            </w:r>
          </w:p>
        </w:tc>
      </w:tr>
      <w:tr w14:paraId="563DD9E2">
        <w:tblPrEx>
          <w:tblCellMar>
            <w:top w:w="0" w:type="dxa"/>
            <w:left w:w="108" w:type="dxa"/>
            <w:bottom w:w="0" w:type="dxa"/>
            <w:right w:w="108" w:type="dxa"/>
          </w:tblCellMar>
        </w:tblPrEx>
        <w:trPr>
          <w:jc w:val="center"/>
        </w:trPr>
        <w:tc>
          <w:tcPr>
            <w:tcW w:w="8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1AA334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182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93F0F5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储能 SOC 荷电状态</w:t>
            </w:r>
          </w:p>
        </w:tc>
        <w:tc>
          <w:tcPr>
            <w:tcW w:w="13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AFDBB7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3A95B8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1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2C13E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取值范围 0.0 ~ 100.0</w:t>
            </w:r>
          </w:p>
        </w:tc>
      </w:tr>
      <w:tr w14:paraId="3C42E61D">
        <w:tblPrEx>
          <w:tblCellMar>
            <w:top w:w="0" w:type="dxa"/>
            <w:left w:w="108" w:type="dxa"/>
            <w:bottom w:w="0" w:type="dxa"/>
            <w:right w:w="108" w:type="dxa"/>
          </w:tblCellMar>
        </w:tblPrEx>
        <w:trPr>
          <w:jc w:val="center"/>
        </w:trPr>
        <w:tc>
          <w:tcPr>
            <w:tcW w:w="87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C661E1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182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DC2872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地图审图号固化文本</w:t>
            </w:r>
          </w:p>
        </w:tc>
        <w:tc>
          <w:tcPr>
            <w:tcW w:w="135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7CCD9B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35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C502F5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1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3720B6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非空，强制常驻于地图右下角，不可隐藏</w:t>
            </w:r>
          </w:p>
        </w:tc>
      </w:tr>
      <w:tr w14:paraId="2E7EED09">
        <w:tblPrEx>
          <w:tblCellMar>
            <w:top w:w="0" w:type="dxa"/>
            <w:left w:w="108" w:type="dxa"/>
            <w:bottom w:w="0" w:type="dxa"/>
            <w:right w:w="108" w:type="dxa"/>
          </w:tblCellMar>
        </w:tblPrEx>
        <w:trPr>
          <w:jc w:val="center"/>
        </w:trPr>
        <w:tc>
          <w:tcPr>
            <w:tcW w:w="8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9D2E50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182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BCF957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数据状态标识</w:t>
            </w:r>
          </w:p>
        </w:tc>
        <w:tc>
          <w:tcPr>
            <w:tcW w:w="13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9B362B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3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49DC87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1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EF9B18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取值 </w:t>
            </w:r>
            <w:r>
              <w:rPr>
                <w:rFonts w:hint="eastAsia" w:ascii="宋体" w:hAnsi="宋体" w:eastAsia="宋体" w:cs="宋体"/>
                <w:b w:val="0"/>
                <w:i w:val="0"/>
                <w:iCs w:val="0"/>
                <w:color w:val="0284C7"/>
                <w:sz w:val="24"/>
                <w:szCs w:val="24"/>
              </w:rPr>
              <w:t xml:space="preserve"> DEMO </w:t>
            </w:r>
            <w:r>
              <w:rPr>
                <w:rFonts w:hint="eastAsia" w:ascii="宋体" w:hAnsi="宋体" w:eastAsia="宋体" w:cs="宋体"/>
                <w:i w:val="0"/>
                <w:iCs w:val="0"/>
                <w:color w:val="1F2937"/>
                <w:sz w:val="24"/>
                <w:szCs w:val="24"/>
              </w:rPr>
              <w:t xml:space="preserve"> / </w:t>
            </w:r>
            <w:r>
              <w:rPr>
                <w:rFonts w:hint="eastAsia" w:ascii="宋体" w:hAnsi="宋体" w:eastAsia="宋体" w:cs="宋体"/>
                <w:b w:val="0"/>
                <w:i w:val="0"/>
                <w:iCs w:val="0"/>
                <w:color w:val="0284C7"/>
                <w:sz w:val="24"/>
                <w:szCs w:val="24"/>
              </w:rPr>
              <w:t xml:space="preserve"> LIVE </w:t>
            </w:r>
            <w:r>
              <w:rPr>
                <w:rFonts w:hint="eastAsia" w:ascii="宋体" w:hAnsi="宋体" w:eastAsia="宋体" w:cs="宋体"/>
                <w:i w:val="0"/>
                <w:iCs w:val="0"/>
                <w:color w:val="1F2937"/>
                <w:sz w:val="24"/>
                <w:szCs w:val="24"/>
              </w:rPr>
              <w:t>，由生产网联通状态自动切换</w:t>
            </w:r>
          </w:p>
        </w:tc>
      </w:tr>
    </w:tbl>
    <w:p w14:paraId="52174D1A">
      <w:pPr>
        <w:spacing w:after="60"/>
        <w:rPr>
          <w:rFonts w:hint="eastAsia" w:ascii="宋体" w:hAnsi="宋体" w:eastAsia="宋体" w:cs="宋体"/>
          <w:i w:val="0"/>
          <w:iCs w:val="0"/>
          <w:sz w:val="24"/>
          <w:szCs w:val="24"/>
        </w:rPr>
      </w:pPr>
    </w:p>
    <w:p w14:paraId="267FB17F">
      <w:pPr>
        <w:pStyle w:val="6"/>
        <w:numPr>
          <w:ilvl w:val="0"/>
          <w:numId w:val="1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6D3C6422">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1984C86D">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【核心业务数学模型与计算公式】</w:t>
            </w:r>
            <w:r>
              <w:rPr>
                <w:rFonts w:hint="eastAsia" w:ascii="宋体" w:hAnsi="宋体" w:eastAsia="宋体" w:cs="宋体"/>
                <w:b/>
                <w:i w:val="0"/>
                <w:iCs w:val="0"/>
                <w:color w:val="16A34A"/>
                <w:sz w:val="24"/>
                <w:szCs w:val="24"/>
              </w:rPr>
              <w:br w:type="textWrapping"/>
            </w:r>
          </w:p>
          <w:p w14:paraId="72AF2726">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E_group = Σ ( E_park_i )               集团累计综合能耗 = 各园区折算能耗求和</w:t>
            </w:r>
          </w:p>
          <w:p w14:paraId="6CDC815C">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E_park_i = Σ ( Q_ij × k_j )            第 i 园区能耗 = 各介质实物量 × 折标准煤系数</w:t>
            </w:r>
          </w:p>
          <w:p w14:paraId="020477DF">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R_media_j = Q_j · k_j / Σ ( Q_n · k_n )  第 j 种介质折标占比</w:t>
            </w:r>
          </w:p>
          <w:p w14:paraId="102B2F3B">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Δ_E_yoy = ( E_current - E_last_year ) / E_last_year × 100%   同比变动率</w:t>
            </w:r>
          </w:p>
        </w:tc>
      </w:tr>
    </w:tbl>
    <w:p w14:paraId="6B0E8240">
      <w:pPr>
        <w:spacing w:after="40"/>
        <w:rPr>
          <w:rFonts w:hint="eastAsia" w:ascii="宋体" w:hAnsi="宋体" w:eastAsia="宋体" w:cs="宋体"/>
          <w:i w:val="0"/>
          <w:iCs w:val="0"/>
          <w:sz w:val="24"/>
          <w:szCs w:val="24"/>
        </w:rPr>
      </w:pPr>
    </w:p>
    <w:p w14:paraId="4EE60998">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w:t>
      </w:r>
      <w:r>
        <w:rPr>
          <w:rFonts w:ascii="Times New Roman" w:hAnsi="Times New Roman" w:eastAsia="宋体" w:cs="Times New Roman"/>
          <w:b w:val="0"/>
          <w:i w:val="0"/>
          <w:color w:val="0284C7"/>
          <w:sz w:val="24"/>
          <w:szCs w:val="24"/>
        </w:rPr>
        <w:t xml:space="preserve"> Q_ij </w:t>
      </w:r>
      <w:r>
        <w:rPr>
          <w:rFonts w:ascii="Times New Roman" w:hAnsi="Times New Roman" w:eastAsia="宋体" w:cs="Times New Roman"/>
          <w:i w:val="0"/>
          <w:color w:val="1F2937"/>
          <w:sz w:val="24"/>
          <w:szCs w:val="24"/>
        </w:rPr>
        <w:t xml:space="preserve"> 为第 i 园区第 j 种能源介质实物消耗量；</w:t>
      </w:r>
      <w:r>
        <w:rPr>
          <w:rFonts w:ascii="Times New Roman" w:hAnsi="Times New Roman" w:eastAsia="宋体" w:cs="Times New Roman"/>
          <w:b w:val="0"/>
          <w:i w:val="0"/>
          <w:color w:val="0284C7"/>
          <w:sz w:val="24"/>
          <w:szCs w:val="24"/>
        </w:rPr>
        <w:t xml:space="preserve"> k_j </w:t>
      </w:r>
      <w:r>
        <w:rPr>
          <w:rFonts w:ascii="Times New Roman" w:hAnsi="Times New Roman" w:eastAsia="宋体" w:cs="Times New Roman"/>
          <w:i w:val="0"/>
          <w:color w:val="1F2937"/>
          <w:sz w:val="24"/>
          <w:szCs w:val="24"/>
        </w:rPr>
        <w:t xml:space="preserve"> 为第 j 种介质折标准煤系数（引用 GB/T 2589-2020 当量值）；</w:t>
      </w:r>
      <w:r>
        <w:rPr>
          <w:rFonts w:ascii="Times New Roman" w:hAnsi="Times New Roman" w:eastAsia="宋体" w:cs="Times New Roman"/>
          <w:b w:val="0"/>
          <w:i w:val="0"/>
          <w:color w:val="0284C7"/>
          <w:sz w:val="24"/>
          <w:szCs w:val="24"/>
        </w:rPr>
        <w:t xml:space="preserve"> R_media_j </w:t>
      </w:r>
      <w:r>
        <w:rPr>
          <w:rFonts w:ascii="Times New Roman" w:hAnsi="Times New Roman" w:eastAsia="宋体" w:cs="Times New Roman"/>
          <w:i w:val="0"/>
          <w:color w:val="1F2937"/>
          <w:sz w:val="24"/>
          <w:szCs w:val="24"/>
        </w:rPr>
        <w:t xml:space="preserve"> 为第 j 种介质折标煤消费占比；</w:t>
      </w:r>
      <w:r>
        <w:rPr>
          <w:rFonts w:ascii="Times New Roman" w:hAnsi="Times New Roman" w:eastAsia="宋体" w:cs="Times New Roman"/>
          <w:b w:val="0"/>
          <w:i w:val="0"/>
          <w:color w:val="0284C7"/>
          <w:sz w:val="24"/>
          <w:szCs w:val="24"/>
        </w:rPr>
        <w:t xml:space="preserve"> Δ_E_yoy </w:t>
      </w:r>
      <w:r>
        <w:rPr>
          <w:rFonts w:ascii="Times New Roman" w:hAnsi="Times New Roman" w:eastAsia="宋体" w:cs="Times New Roman"/>
          <w:i w:val="0"/>
          <w:color w:val="1F2937"/>
          <w:sz w:val="24"/>
          <w:szCs w:val="24"/>
        </w:rPr>
        <w:t xml:space="preserve"> 低于 0 表示同比下降（节能成效），显示为绿色。</w:t>
      </w:r>
    </w:p>
    <w:p w14:paraId="4F5820E6">
      <w:pPr>
        <w:pStyle w:val="6"/>
        <w:numPr>
          <w:ilvl w:val="0"/>
          <w:numId w:val="1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2C2A8D35">
      <w:pPr>
        <w:pStyle w:val="19"/>
        <w:widowControl/>
        <w:numPr>
          <w:ilvl w:val="0"/>
          <w:numId w:val="2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对比口径</w:t>
      </w:r>
      <w:r>
        <w:rPr>
          <w:rFonts w:ascii="Times New Roman" w:hAnsi="Times New Roman" w:eastAsia="宋体" w:cs="Times New Roman"/>
          <w:i w:val="0"/>
          <w:color w:val="1F2937"/>
          <w:sz w:val="24"/>
          <w:szCs w:val="24"/>
        </w:rPr>
        <w:t>：全部同比/环比以箭头 + 三色表达（绿：下降；红：上涨；灰：持平），遵循国内工业能耗语义。</w:t>
      </w:r>
    </w:p>
    <w:p w14:paraId="43B53E84">
      <w:pPr>
        <w:pStyle w:val="19"/>
        <w:widowControl/>
        <w:numPr>
          <w:ilvl w:val="0"/>
          <w:numId w:val="2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介质占比口径</w:t>
      </w:r>
      <w:r>
        <w:rPr>
          <w:rFonts w:ascii="Times New Roman" w:hAnsi="Times New Roman" w:eastAsia="宋体" w:cs="Times New Roman"/>
          <w:i w:val="0"/>
          <w:color w:val="1F2937"/>
          <w:sz w:val="24"/>
          <w:szCs w:val="24"/>
        </w:rPr>
        <w:t>：占比以折标准煤当量为统一量纲，严禁以实物量直接对比。</w:t>
      </w:r>
    </w:p>
    <w:p w14:paraId="256A5A2D">
      <w:pPr>
        <w:pStyle w:val="19"/>
        <w:widowControl/>
        <w:numPr>
          <w:ilvl w:val="0"/>
          <w:numId w:val="2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航标聚合口径</w:t>
      </w:r>
      <w:r>
        <w:rPr>
          <w:rFonts w:ascii="Times New Roman" w:hAnsi="Times New Roman" w:eastAsia="宋体" w:cs="Times New Roman"/>
          <w:i w:val="0"/>
          <w:color w:val="1F2937"/>
          <w:sz w:val="24"/>
          <w:szCs w:val="24"/>
        </w:rPr>
        <w:t>：产业集团节点展示下级园区加总；园区节点展示本园区实测值，禁止跨层级混算。</w:t>
      </w:r>
    </w:p>
    <w:p w14:paraId="5018C4BB">
      <w:pPr>
        <w:pStyle w:val="19"/>
        <w:widowControl/>
        <w:numPr>
          <w:ilvl w:val="0"/>
          <w:numId w:val="2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轮播节奏</w:t>
      </w:r>
      <w:r>
        <w:rPr>
          <w:rFonts w:ascii="Times New Roman" w:hAnsi="Times New Roman" w:eastAsia="宋体" w:cs="Times New Roman"/>
          <w:i w:val="0"/>
          <w:color w:val="1F2937"/>
          <w:sz w:val="24"/>
          <w:szCs w:val="24"/>
        </w:rPr>
        <w:t>：自动巡检周期固定 30 秒，手动操作后暂停 60 秒再恢复。</w:t>
      </w:r>
    </w:p>
    <w:p w14:paraId="6BF10879">
      <w:pPr>
        <w:pStyle w:val="6"/>
        <w:numPr>
          <w:ilvl w:val="0"/>
          <w:numId w:val="1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2BA91D6E">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3BDD727D">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t>
            </w:r>
            <w:r>
              <w:rPr>
                <w:rFonts w:hint="eastAsia" w:ascii="宋体" w:hAnsi="宋体" w:eastAsia="宋体" w:cs="宋体"/>
                <w:b/>
                <w:i w:val="0"/>
                <w:iCs w:val="0"/>
                <w:color w:val="1E3A8A"/>
                <w:sz w:val="24"/>
                <w:szCs w:val="24"/>
              </w:rPr>
              <w:t>地图合规红线</w:t>
            </w:r>
            <w:r>
              <w:rPr>
                <w:rFonts w:hint="eastAsia" w:ascii="宋体" w:hAnsi="宋体" w:eastAsia="宋体" w:cs="宋体"/>
                <w:i w:val="0"/>
                <w:iCs w:val="0"/>
                <w:color w:val="1F2937"/>
                <w:sz w:val="24"/>
                <w:szCs w:val="24"/>
              </w:rPr>
              <w:t>：底图与审图号不可动态替换、不可缩放至裁剪十段线；违规判定为阻断级缺陷。</w:t>
            </w:r>
          </w:p>
          <w:p w14:paraId="669CF8B8">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t>
            </w:r>
            <w:r>
              <w:rPr>
                <w:rFonts w:hint="eastAsia" w:ascii="宋体" w:hAnsi="宋体" w:eastAsia="宋体" w:cs="宋体"/>
                <w:b/>
                <w:i w:val="0"/>
                <w:iCs w:val="0"/>
                <w:color w:val="1E3A8A"/>
                <w:sz w:val="24"/>
                <w:szCs w:val="24"/>
              </w:rPr>
              <w:t>越权红线</w:t>
            </w:r>
            <w:r>
              <w:rPr>
                <w:rFonts w:hint="eastAsia" w:ascii="宋体" w:hAnsi="宋体" w:eastAsia="宋体" w:cs="宋体"/>
                <w:i w:val="0"/>
                <w:iCs w:val="0"/>
                <w:color w:val="1F2937"/>
                <w:sz w:val="24"/>
                <w:szCs w:val="24"/>
              </w:rPr>
              <w:t>：大屏默认只读，禁止在大屏路由内提供任何数据写入口。</w:t>
            </w:r>
          </w:p>
          <w:p w14:paraId="3A55452E">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遥测心跳超 5 秒未响应：触发 </w:t>
            </w:r>
            <w:r>
              <w:rPr>
                <w:rFonts w:hint="eastAsia" w:ascii="宋体" w:hAnsi="宋体" w:eastAsia="宋体" w:cs="宋体"/>
                <w:b w:val="0"/>
                <w:i w:val="0"/>
                <w:iCs w:val="0"/>
                <w:color w:val="0284C7"/>
                <w:sz w:val="24"/>
                <w:szCs w:val="24"/>
              </w:rPr>
              <w:t xml:space="preserve"> E_IO_MQTT_TIMEOUT </w:t>
            </w:r>
            <w:r>
              <w:rPr>
                <w:rFonts w:hint="eastAsia" w:ascii="宋体" w:hAnsi="宋体" w:eastAsia="宋体" w:cs="宋体"/>
                <w:i w:val="0"/>
                <w:iCs w:val="0"/>
                <w:color w:val="1F2937"/>
                <w:sz w:val="24"/>
                <w:szCs w:val="24"/>
              </w:rPr>
              <w:t>，图表展示最近一次缓存读数并打"数据延迟"微标签。</w:t>
            </w:r>
          </w:p>
          <w:p w14:paraId="355B1271">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边缘一体机物理断网：触发 </w:t>
            </w:r>
            <w:r>
              <w:rPr>
                <w:rFonts w:hint="eastAsia" w:ascii="宋体" w:hAnsi="宋体" w:eastAsia="宋体" w:cs="宋体"/>
                <w:b w:val="0"/>
                <w:i w:val="0"/>
                <w:iCs w:val="0"/>
                <w:color w:val="0284C7"/>
                <w:sz w:val="24"/>
                <w:szCs w:val="24"/>
              </w:rPr>
              <w:t xml:space="preserve"> E_IO_GATEWAY_OFFLINE </w:t>
            </w:r>
            <w:r>
              <w:rPr>
                <w:rFonts w:hint="eastAsia" w:ascii="宋体" w:hAnsi="宋体" w:eastAsia="宋体" w:cs="宋体"/>
                <w:i w:val="0"/>
                <w:iCs w:val="0"/>
                <w:color w:val="1F2937"/>
                <w:sz w:val="24"/>
                <w:szCs w:val="24"/>
              </w:rPr>
              <w:t>，启动本地断点续传，恢复联网后自动同步。</w:t>
            </w:r>
          </w:p>
          <w:p w14:paraId="5B88F1CC">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主库连接断开：触发 </w:t>
            </w:r>
            <w:r>
              <w:rPr>
                <w:rFonts w:hint="eastAsia" w:ascii="宋体" w:hAnsi="宋体" w:eastAsia="宋体" w:cs="宋体"/>
                <w:b w:val="0"/>
                <w:i w:val="0"/>
                <w:iCs w:val="0"/>
                <w:color w:val="0284C7"/>
                <w:sz w:val="24"/>
                <w:szCs w:val="24"/>
              </w:rPr>
              <w:t xml:space="preserve"> E_SYS_DB_CONN_LOST </w:t>
            </w:r>
            <w:r>
              <w:rPr>
                <w:rFonts w:hint="eastAsia" w:ascii="宋体" w:hAnsi="宋体" w:eastAsia="宋体" w:cs="宋体"/>
                <w:i w:val="0"/>
                <w:iCs w:val="0"/>
                <w:color w:val="1F2937"/>
                <w:sz w:val="24"/>
                <w:szCs w:val="24"/>
              </w:rPr>
              <w:t>，30 秒内备库接管并切换只读模式。</w:t>
            </w:r>
          </w:p>
          <w:p w14:paraId="5E893699">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分母产值为 0：单耗显示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，严禁 NaN 或白屏。</w:t>
            </w:r>
          </w:p>
        </w:tc>
      </w:tr>
    </w:tbl>
    <w:p w14:paraId="49C64564">
      <w:pPr>
        <w:pStyle w:val="6"/>
        <w:numPr>
          <w:ilvl w:val="0"/>
          <w:numId w:val="17"/>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1896BC10">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6905A31B">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全景环幕大屏 46:9</w:t>
            </w:r>
          </w:p>
          <w:p w14:paraId="1C2CD306">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环幕大屏一屏穿透全集团态势</w:t>
            </w:r>
          </w:p>
          <w:p w14:paraId="785E3179">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集团已接入 15 大园区与 21 家实体工厂的遥测与指标数据</w:t>
            </w:r>
          </w:p>
          <w:p w14:paraId="7278F99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P1 进入 /monitor/screen/panoramic 且屏幕比例为 46:9</w:t>
            </w:r>
          </w:p>
          <w:p w14:paraId="7FCF3BB2">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三栏布局占比分别为 25% / 50% / 25%，无横向滚动条</w:t>
            </w:r>
          </w:p>
          <w:p w14:paraId="6581775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地图右下角常驻显示自然资源部地图审图号文本</w:t>
            </w:r>
          </w:p>
          <w:p w14:paraId="3E0C7BF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8 大能源介质折标占比之和恒等于 100.0%</w:t>
            </w:r>
          </w:p>
          <w:p w14:paraId="18D414ED">
            <w:pPr>
              <w:spacing w:before="0" w:after="20" w:line="264" w:lineRule="auto"/>
              <w:rPr>
                <w:rFonts w:hint="eastAsia" w:ascii="宋体" w:hAnsi="宋体" w:eastAsia="宋体" w:cs="宋体"/>
                <w:i w:val="0"/>
                <w:iCs w:val="0"/>
                <w:sz w:val="24"/>
                <w:szCs w:val="24"/>
              </w:rPr>
            </w:pPr>
          </w:p>
          <w:p w14:paraId="42F6B2F1">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遥测延迟的客观自解释</w:t>
            </w:r>
          </w:p>
          <w:p w14:paraId="24A32D63">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IoT 网关心跳超过 5 秒未响应</w:t>
            </w:r>
          </w:p>
          <w:p w14:paraId="04D7A70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大屏右侧微网矩阵完成一次数据刷新</w:t>
            </w:r>
          </w:p>
          <w:p w14:paraId="2A36BDAE">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图表保留最近一次缓存读数并显示"数据延迟"微标签</w:t>
            </w:r>
          </w:p>
          <w:p w14:paraId="3B855433">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页面不出现任何主观定性评语</w:t>
            </w:r>
          </w:p>
          <w:p w14:paraId="7CDC9264">
            <w:pPr>
              <w:spacing w:before="0" w:after="20" w:line="264" w:lineRule="auto"/>
              <w:rPr>
                <w:rFonts w:hint="eastAsia" w:ascii="宋体" w:hAnsi="宋体" w:eastAsia="宋体" w:cs="宋体"/>
                <w:i w:val="0"/>
                <w:iCs w:val="0"/>
                <w:sz w:val="24"/>
                <w:szCs w:val="24"/>
              </w:rPr>
            </w:pPr>
          </w:p>
          <w:p w14:paraId="54FBDD7C">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大屏只读红线</w:t>
            </w:r>
          </w:p>
          <w:p w14:paraId="1CC38DB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任意角色已登录</w:t>
            </w:r>
          </w:p>
          <w:p w14:paraId="6D83FFFC">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在大屏路由内尝试发起数据提交请求</w:t>
            </w:r>
          </w:p>
          <w:p w14:paraId="36D34563">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请求被服务网关切断并记录越权审计日志</w:t>
            </w:r>
          </w:p>
          <w:p w14:paraId="6B9326E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返回 E_AUTH_RBAC_FORBIDDEN</w:t>
            </w:r>
          </w:p>
        </w:tc>
      </w:tr>
    </w:tbl>
    <w:p w14:paraId="6D7DD229">
      <w:pPr>
        <w:spacing w:after="40"/>
        <w:rPr>
          <w:rFonts w:hint="eastAsia" w:ascii="宋体" w:hAnsi="宋体" w:eastAsia="宋体" w:cs="宋体"/>
          <w:i w:val="0"/>
          <w:iCs w:val="0"/>
          <w:sz w:val="24"/>
          <w:szCs w:val="24"/>
        </w:rPr>
      </w:pPr>
    </w:p>
    <w:p w14:paraId="7DA4BC72">
      <w:pPr>
        <w:pStyle w:val="5"/>
        <w:numPr>
          <w:ilvl w:val="0"/>
          <w:numId w:val="16"/>
        </w:numPr>
        <w:ind w:left="0" w:leftChars="0" w:firstLine="0" w:firstLineChars="0"/>
        <w:outlineLvl w:val="1"/>
        <w:rPr>
          <w:rFonts w:eastAsia="黑体"/>
          <w:b w:val="0"/>
          <w:bCs w:val="0"/>
          <w:sz w:val="30"/>
          <w:szCs w:val="24"/>
        </w:rPr>
      </w:pPr>
      <w:bookmarkStart w:id="13" w:name="_Toc7478"/>
      <w:r>
        <w:rPr>
          <w:rFonts w:ascii="Times New Roman" w:hAnsi="Times New Roman" w:eastAsia="黑体" w:cs="Times New Roman"/>
          <w:b w:val="0"/>
          <w:bCs w:val="0"/>
          <w:sz w:val="30"/>
          <w:szCs w:val="24"/>
        </w:rPr>
        <w:t>综合集控大屏 16:9</w:t>
      </w:r>
      <w:bookmarkEnd w:id="13"/>
    </w:p>
    <w:p w14:paraId="1F90B59E">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drawing>
          <wp:inline distT="0" distB="0" distL="114300" distR="114300">
            <wp:extent cx="6210300" cy="3494405"/>
            <wp:effectExtent l="0" t="0" r="0" b="10795"/>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80"/>
                    <pic:cNvPicPr>
                      <a:picLocks noChangeAspect="1"/>
                    </pic:cNvPicPr>
                  </pic:nvPicPr>
                  <pic:blipFill>
                    <a:blip r:embed="rId18"/>
                    <a:stretch>
                      <a:fillRect/>
                    </a:stretch>
                  </pic:blipFill>
                  <pic:spPr>
                    <a:xfrm>
                      <a:off x="0" y="0"/>
                      <a:ext cx="6210300" cy="3494918"/>
                    </a:xfrm>
                    <a:prstGeom prst="rect">
                      <a:avLst/>
                    </a:prstGeom>
                  </pic:spPr>
                </pic:pic>
              </a:graphicData>
            </a:graphic>
          </wp:inline>
        </w:drawing>
      </w:r>
    </w:p>
    <w:p w14:paraId="51BCCC66">
      <w:pPr>
        <w:pStyle w:val="6"/>
        <w:numPr>
          <w:ilvl w:val="0"/>
          <w:numId w:val="2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07428DC3">
      <w:pPr>
        <w:pStyle w:val="19"/>
        <w:widowControl/>
        <w:numPr>
          <w:ilvl w:val="0"/>
          <w:numId w:val="2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：面向园区中控室 7×24 小时连续运行监视的标准 16:9 大屏，聚焦全域尖峰平谷用电结构、储能充放循环与能效平衡。</w:t>
      </w:r>
    </w:p>
    <w:p w14:paraId="36A24C2F">
      <w:pPr>
        <w:pStyle w:val="19"/>
        <w:widowControl/>
        <w:numPr>
          <w:ilvl w:val="0"/>
          <w:numId w:val="2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：P2 园区能碳专员（运行班长、能效运营工程师）。</w:t>
      </w:r>
    </w:p>
    <w:p w14:paraId="60E22178">
      <w:pPr>
        <w:pStyle w:val="19"/>
        <w:widowControl/>
        <w:numPr>
          <w:ilvl w:val="0"/>
          <w:numId w:val="2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/monitor/screen/integrated </w:t>
      </w:r>
      <w:r>
        <w:rPr>
          <w:rFonts w:ascii="Times New Roman" w:hAnsi="Times New Roman" w:eastAsia="宋体" w:cs="Times New Roman"/>
          <w:i w:val="0"/>
          <w:color w:val="1F2937"/>
          <w:sz w:val="24"/>
          <w:szCs w:val="24"/>
        </w:rPr>
        <w:t>；适配 1920×1080 / 2560×1440 / 3840×2160。</w:t>
      </w:r>
    </w:p>
    <w:p w14:paraId="0D628356">
      <w:pPr>
        <w:pStyle w:val="19"/>
        <w:widowControl/>
        <w:numPr>
          <w:ilvl w:val="0"/>
          <w:numId w:val="2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：分时电能遥测、能效对标核算结果、微电网监测数据。</w:t>
      </w:r>
    </w:p>
    <w:p w14:paraId="00980317">
      <w:pPr>
        <w:pStyle w:val="19"/>
        <w:widowControl/>
        <w:numPr>
          <w:ilvl w:val="0"/>
          <w:numId w:val="2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：削峰填谷调度指令依据、越限事件推送告警中枢。</w:t>
      </w:r>
    </w:p>
    <w:p w14:paraId="5A52D7CD">
      <w:pPr>
        <w:pStyle w:val="6"/>
        <w:numPr>
          <w:ilvl w:val="0"/>
          <w:numId w:val="2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64DE582A">
      <w:pPr>
        <w:pStyle w:val="19"/>
        <w:widowControl/>
        <w:numPr>
          <w:ilvl w:val="0"/>
          <w:numId w:val="2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：园区中控室运行班长与能效专员进行 7×24 小时连续运行监视，跟踪全域尖峰平谷用电结构、基地储能充放循环与能效平衡。</w:t>
      </w:r>
    </w:p>
    <w:p w14:paraId="334673FB">
      <w:pPr>
        <w:pStyle w:val="19"/>
        <w:widowControl/>
        <w:numPr>
          <w:ilvl w:val="0"/>
          <w:numId w:val="2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4316BB6E">
      <w:pPr>
        <w:pStyle w:val="19"/>
        <w:widowControl/>
        <w:numPr>
          <w:ilvl w:val="0"/>
          <w:numId w:val="24"/>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园区能效运营工程师 (Persona P2)</w:t>
      </w:r>
      <w:r>
        <w:rPr>
          <w:rFonts w:ascii="Times New Roman" w:hAnsi="Times New Roman" w:eastAsia="宋体" w:cs="Times New Roman"/>
          <w:i w:val="0"/>
          <w:color w:val="1F2937"/>
          <w:sz w:val="24"/>
          <w:szCs w:val="24"/>
        </w:rPr>
        <w:t>，</w:t>
      </w:r>
    </w:p>
    <w:p w14:paraId="6C505835">
      <w:pPr>
        <w:pStyle w:val="19"/>
        <w:widowControl/>
        <w:numPr>
          <w:ilvl w:val="0"/>
          <w:numId w:val="24"/>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在标准 16:9 集控大屏上实时监控全集团各经营单位当月用电峰平谷配比与基准线偏差</w:t>
      </w:r>
      <w:r>
        <w:rPr>
          <w:rFonts w:ascii="Times New Roman" w:hAnsi="Times New Roman" w:eastAsia="宋体" w:cs="Times New Roman"/>
          <w:i w:val="0"/>
          <w:color w:val="1F2937"/>
          <w:sz w:val="24"/>
          <w:szCs w:val="24"/>
        </w:rPr>
        <w:t>，</w:t>
      </w:r>
    </w:p>
    <w:p w14:paraId="70287F5D">
      <w:pPr>
        <w:pStyle w:val="19"/>
        <w:widowControl/>
        <w:numPr>
          <w:ilvl w:val="0"/>
          <w:numId w:val="24"/>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我能精准调度微电网削峰填谷，降低全厂尖峰电费支出</w:t>
      </w:r>
      <w:r>
        <w:rPr>
          <w:rFonts w:ascii="Times New Roman" w:hAnsi="Times New Roman" w:eastAsia="宋体" w:cs="Times New Roman"/>
          <w:i w:val="0"/>
          <w:color w:val="1F2937"/>
          <w:sz w:val="24"/>
          <w:szCs w:val="24"/>
        </w:rPr>
        <w:t>。</w:t>
      </w:r>
    </w:p>
    <w:p w14:paraId="023C88C5">
      <w:pPr>
        <w:pStyle w:val="6"/>
        <w:numPr>
          <w:ilvl w:val="0"/>
          <w:numId w:val="2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65633BE5">
      <w:pPr>
        <w:pStyle w:val="19"/>
        <w:widowControl/>
        <w:ind w:left="0" w:leftChars="0" w:firstLine="0" w:firstLineChars="0"/>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Bento 四象限栅格布局：</w:t>
      </w:r>
    </w:p>
    <w:tbl>
      <w:tblPr>
        <w:tblStyle w:val="38"/>
        <w:tblW w:w="9784" w:type="dxa"/>
        <w:jc w:val="center"/>
        <w:tblLayout w:type="autofit"/>
        <w:tblCellMar>
          <w:top w:w="0" w:type="dxa"/>
          <w:left w:w="108" w:type="dxa"/>
          <w:bottom w:w="0" w:type="dxa"/>
          <w:right w:w="108" w:type="dxa"/>
        </w:tblCellMar>
      </w:tblPr>
      <w:tblGrid>
        <w:gridCol w:w="1161"/>
        <w:gridCol w:w="2227"/>
        <w:gridCol w:w="6396"/>
      </w:tblGrid>
      <w:tr w14:paraId="5AA85EAF">
        <w:tblPrEx>
          <w:tblCellMar>
            <w:top w:w="0" w:type="dxa"/>
            <w:left w:w="108" w:type="dxa"/>
            <w:bottom w:w="0" w:type="dxa"/>
            <w:right w:w="108" w:type="dxa"/>
          </w:tblCellMar>
        </w:tblPrEx>
        <w:trPr>
          <w:jc w:val="center"/>
        </w:trPr>
        <w:tc>
          <w:tcPr>
            <w:tcW w:w="116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002B00B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象限</w:t>
            </w:r>
          </w:p>
        </w:tc>
        <w:tc>
          <w:tcPr>
            <w:tcW w:w="222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31211C2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位置</w:t>
            </w:r>
          </w:p>
        </w:tc>
        <w:tc>
          <w:tcPr>
            <w:tcW w:w="639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0C4B831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核心内容</w:t>
            </w:r>
          </w:p>
        </w:tc>
      </w:tr>
      <w:tr w14:paraId="071AEB3E">
        <w:tblPrEx>
          <w:tblCellMar>
            <w:top w:w="0" w:type="dxa"/>
            <w:left w:w="108" w:type="dxa"/>
            <w:bottom w:w="0" w:type="dxa"/>
            <w:right w:w="108" w:type="dxa"/>
          </w:tblCellMar>
        </w:tblPrEx>
        <w:trPr>
          <w:jc w:val="center"/>
        </w:trPr>
        <w:tc>
          <w:tcPr>
            <w:tcW w:w="116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5935AC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象限 A</w:t>
            </w:r>
          </w:p>
        </w:tc>
        <w:tc>
          <w:tcPr>
            <w:tcW w:w="222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520258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左上 · 能耗与分时负荷</w:t>
            </w:r>
          </w:p>
        </w:tc>
        <w:tc>
          <w:tcPr>
            <w:tcW w:w="639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721670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顶部聚合全集团综合能耗总值与当日累计电量；分时电量结构 4 段堆叠图（尖/峰/平/谷）时序连续面积图</w:t>
            </w:r>
          </w:p>
        </w:tc>
      </w:tr>
      <w:tr w14:paraId="017C9768">
        <w:tblPrEx>
          <w:tblCellMar>
            <w:top w:w="0" w:type="dxa"/>
            <w:left w:w="108" w:type="dxa"/>
            <w:bottom w:w="0" w:type="dxa"/>
            <w:right w:w="108" w:type="dxa"/>
          </w:tblCellMar>
        </w:tblPrEx>
        <w:trPr>
          <w:jc w:val="center"/>
        </w:trPr>
        <w:tc>
          <w:tcPr>
            <w:tcW w:w="116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7AC2E7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象限 B</w:t>
            </w:r>
          </w:p>
        </w:tc>
        <w:tc>
          <w:tcPr>
            <w:tcW w:w="222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F3063A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右上 · 经营单位能效对标</w:t>
            </w:r>
          </w:p>
        </w:tc>
        <w:tc>
          <w:tcPr>
            <w:tcW w:w="639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FE00FA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 大直属经营单位当月能效对标双向柱状图，叠加国家先进值基准标线与集团均值虚线</w:t>
            </w:r>
          </w:p>
        </w:tc>
      </w:tr>
      <w:tr w14:paraId="3C07B796">
        <w:tblPrEx>
          <w:tblCellMar>
            <w:top w:w="0" w:type="dxa"/>
            <w:left w:w="108" w:type="dxa"/>
            <w:bottom w:w="0" w:type="dxa"/>
            <w:right w:w="108" w:type="dxa"/>
          </w:tblCellMar>
        </w:tblPrEx>
        <w:trPr>
          <w:jc w:val="center"/>
        </w:trPr>
        <w:tc>
          <w:tcPr>
            <w:tcW w:w="116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0F1A38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象限 C</w:t>
            </w:r>
          </w:p>
        </w:tc>
        <w:tc>
          <w:tcPr>
            <w:tcW w:w="222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52C30F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左下 · 微电网源网荷储</w:t>
            </w:r>
          </w:p>
        </w:tc>
        <w:tc>
          <w:tcPr>
            <w:tcW w:w="639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683FE2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光伏出力与储能充放状态曲线（双 Y 轴），标注"谷充峰放"执行时段；直供绿电消纳比仪表盘</w:t>
            </w:r>
          </w:p>
        </w:tc>
      </w:tr>
      <w:tr w14:paraId="206FA138">
        <w:tblPrEx>
          <w:tblCellMar>
            <w:top w:w="0" w:type="dxa"/>
            <w:left w:w="108" w:type="dxa"/>
            <w:bottom w:w="0" w:type="dxa"/>
            <w:right w:w="108" w:type="dxa"/>
          </w:tblCellMar>
        </w:tblPrEx>
        <w:trPr>
          <w:jc w:val="center"/>
        </w:trPr>
        <w:tc>
          <w:tcPr>
            <w:tcW w:w="116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52121E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象限 D</w:t>
            </w:r>
          </w:p>
        </w:tc>
        <w:tc>
          <w:tcPr>
            <w:tcW w:w="222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94D0BC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右下 · 降碳等效与社会责任</w:t>
            </w:r>
          </w:p>
        </w:tc>
        <w:tc>
          <w:tcPr>
            <w:tcW w:w="639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60976C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累计碳减排量、等效植树量（万棵）、等效节约标煤量；重点车间排碳时序柱状图</w:t>
            </w:r>
          </w:p>
        </w:tc>
      </w:tr>
    </w:tbl>
    <w:p w14:paraId="0852B837">
      <w:pPr>
        <w:spacing w:after="60"/>
        <w:rPr>
          <w:rFonts w:hint="eastAsia" w:ascii="宋体" w:hAnsi="宋体" w:eastAsia="宋体" w:cs="宋体"/>
          <w:i w:val="0"/>
          <w:iCs w:val="0"/>
          <w:sz w:val="24"/>
          <w:szCs w:val="24"/>
        </w:rPr>
      </w:pPr>
    </w:p>
    <w:p w14:paraId="28BE125E">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交互规则：</w:t>
      </w:r>
    </w:p>
    <w:p w14:paraId="20CF8184">
      <w:pPr>
        <w:pStyle w:val="19"/>
        <w:widowControl/>
        <w:numPr>
          <w:ilvl w:val="0"/>
          <w:numId w:val="25"/>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柱状图悬停游标强制采用微透科技蓝；全屏顶部展示系统时钟（精准到秒）、天气及当前活跃通讯状态。</w:t>
      </w:r>
    </w:p>
    <w:p w14:paraId="73E2D9CA">
      <w:pPr>
        <w:pStyle w:val="19"/>
        <w:widowControl/>
        <w:numPr>
          <w:ilvl w:val="0"/>
          <w:numId w:val="25"/>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象限 B 叠加国家先进值基准标线与集团均值虚线，以偏差柱长短自解释，无主观定性标签。</w:t>
      </w:r>
    </w:p>
    <w:p w14:paraId="318FF444">
      <w:pPr>
        <w:pStyle w:val="19"/>
        <w:widowControl/>
        <w:numPr>
          <w:ilvl w:val="0"/>
          <w:numId w:val="25"/>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象限 C 清晰标注"谷充峰放"执行时段；直供绿电消纳比以仪表盘形态呈现。</w:t>
      </w:r>
    </w:p>
    <w:p w14:paraId="0F78B9BB">
      <w:pPr>
        <w:pStyle w:val="19"/>
        <w:widowControl/>
        <w:numPr>
          <w:ilvl w:val="0"/>
          <w:numId w:val="25"/>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全屏无滚动条，自适应缩放下所有图表保持等比，不出现文字截断。</w:t>
      </w:r>
    </w:p>
    <w:p w14:paraId="1DF35544">
      <w:pPr>
        <w:pStyle w:val="6"/>
        <w:numPr>
          <w:ilvl w:val="0"/>
          <w:numId w:val="2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87"/>
        <w:gridCol w:w="1769"/>
        <w:gridCol w:w="1369"/>
        <w:gridCol w:w="1369"/>
        <w:gridCol w:w="4390"/>
      </w:tblGrid>
      <w:tr w14:paraId="0E611C8E">
        <w:tblPrEx>
          <w:tblCellMar>
            <w:top w:w="0" w:type="dxa"/>
            <w:left w:w="108" w:type="dxa"/>
            <w:bottom w:w="0" w:type="dxa"/>
            <w:right w:w="108" w:type="dxa"/>
          </w:tblCellMar>
        </w:tblPrEx>
        <w:trPr>
          <w:jc w:val="center"/>
        </w:trPr>
        <w:tc>
          <w:tcPr>
            <w:tcW w:w="88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3EE8FB4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3C32961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36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91345A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136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0FE8996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439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648566A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6FD1F0F7">
        <w:tblPrEx>
          <w:tblCellMar>
            <w:top w:w="0" w:type="dxa"/>
            <w:left w:w="108" w:type="dxa"/>
            <w:bottom w:w="0" w:type="dxa"/>
            <w:right w:w="108" w:type="dxa"/>
          </w:tblCellMar>
        </w:tblPrEx>
        <w:trPr>
          <w:jc w:val="center"/>
        </w:trPr>
        <w:tc>
          <w:tcPr>
            <w:tcW w:w="88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15F7FB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497ADF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尖峰时段用电量</w:t>
            </w:r>
          </w:p>
        </w:tc>
        <w:tc>
          <w:tcPr>
            <w:tcW w:w="136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5E094F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C7A5A0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w:t>
            </w:r>
          </w:p>
        </w:tc>
        <w:tc>
          <w:tcPr>
            <w:tcW w:w="43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9287A5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0.00；四段之和须等于当日累计电量</w:t>
            </w:r>
          </w:p>
        </w:tc>
      </w:tr>
      <w:tr w14:paraId="74FF8965">
        <w:tblPrEx>
          <w:tblCellMar>
            <w:top w:w="0" w:type="dxa"/>
            <w:left w:w="108" w:type="dxa"/>
            <w:bottom w:w="0" w:type="dxa"/>
            <w:right w:w="108" w:type="dxa"/>
          </w:tblCellMar>
        </w:tblPrEx>
        <w:trPr>
          <w:jc w:val="center"/>
        </w:trPr>
        <w:tc>
          <w:tcPr>
            <w:tcW w:w="88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46D0AC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84E767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高峰时段用电量</w:t>
            </w:r>
          </w:p>
        </w:tc>
        <w:tc>
          <w:tcPr>
            <w:tcW w:w="13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FDE2CB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191208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w:t>
            </w:r>
          </w:p>
        </w:tc>
        <w:tc>
          <w:tcPr>
            <w:tcW w:w="43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71885C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0.00</w:t>
            </w:r>
          </w:p>
        </w:tc>
      </w:tr>
      <w:tr w14:paraId="45D4FE59">
        <w:tblPrEx>
          <w:tblCellMar>
            <w:top w:w="0" w:type="dxa"/>
            <w:left w:w="108" w:type="dxa"/>
            <w:bottom w:w="0" w:type="dxa"/>
            <w:right w:w="108" w:type="dxa"/>
          </w:tblCellMar>
        </w:tblPrEx>
        <w:trPr>
          <w:jc w:val="center"/>
        </w:trPr>
        <w:tc>
          <w:tcPr>
            <w:tcW w:w="88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C96320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83FD76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平时段用电量</w:t>
            </w:r>
          </w:p>
        </w:tc>
        <w:tc>
          <w:tcPr>
            <w:tcW w:w="136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DBFB5E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47F1B8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w:t>
            </w:r>
          </w:p>
        </w:tc>
        <w:tc>
          <w:tcPr>
            <w:tcW w:w="43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BE66D8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0.00</w:t>
            </w:r>
          </w:p>
        </w:tc>
      </w:tr>
      <w:tr w14:paraId="5779BC9C">
        <w:tblPrEx>
          <w:tblCellMar>
            <w:top w:w="0" w:type="dxa"/>
            <w:left w:w="108" w:type="dxa"/>
            <w:bottom w:w="0" w:type="dxa"/>
            <w:right w:w="108" w:type="dxa"/>
          </w:tblCellMar>
        </w:tblPrEx>
        <w:trPr>
          <w:jc w:val="center"/>
        </w:trPr>
        <w:tc>
          <w:tcPr>
            <w:tcW w:w="88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FCD85F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BDF142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低谷时段用电量</w:t>
            </w:r>
          </w:p>
        </w:tc>
        <w:tc>
          <w:tcPr>
            <w:tcW w:w="13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335277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C82DB7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w:t>
            </w:r>
          </w:p>
        </w:tc>
        <w:tc>
          <w:tcPr>
            <w:tcW w:w="43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E4AF37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0.00</w:t>
            </w:r>
          </w:p>
        </w:tc>
      </w:tr>
      <w:tr w14:paraId="731FFE69">
        <w:tblPrEx>
          <w:tblCellMar>
            <w:top w:w="0" w:type="dxa"/>
            <w:left w:w="108" w:type="dxa"/>
            <w:bottom w:w="0" w:type="dxa"/>
            <w:right w:w="108" w:type="dxa"/>
          </w:tblCellMar>
        </w:tblPrEx>
        <w:trPr>
          <w:jc w:val="center"/>
        </w:trPr>
        <w:tc>
          <w:tcPr>
            <w:tcW w:w="88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96C7C0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16B879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分时电量配比</w:t>
            </w:r>
          </w:p>
        </w:tc>
        <w:tc>
          <w:tcPr>
            <w:tcW w:w="136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D65E1C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8455E7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3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04FFDF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由系统自动计算，不可手工录入</w:t>
            </w:r>
          </w:p>
        </w:tc>
      </w:tr>
      <w:tr w14:paraId="2585C0D1">
        <w:tblPrEx>
          <w:tblCellMar>
            <w:top w:w="0" w:type="dxa"/>
            <w:left w:w="108" w:type="dxa"/>
            <w:bottom w:w="0" w:type="dxa"/>
            <w:right w:w="108" w:type="dxa"/>
          </w:tblCellMar>
        </w:tblPrEx>
        <w:trPr>
          <w:jc w:val="center"/>
        </w:trPr>
        <w:tc>
          <w:tcPr>
            <w:tcW w:w="88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5B15BB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BD15DC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能效对标偏差量</w:t>
            </w:r>
          </w:p>
        </w:tc>
        <w:tc>
          <w:tcPr>
            <w:tcW w:w="13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3B3E69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84AF09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tce/万元</w:t>
            </w:r>
          </w:p>
        </w:tc>
        <w:tc>
          <w:tcPr>
            <w:tcW w:w="43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0871EE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实测值 − 国家先进值；负值表示优于国家先进值</w:t>
            </w:r>
          </w:p>
        </w:tc>
      </w:tr>
      <w:tr w14:paraId="6FBD24E2">
        <w:tblPrEx>
          <w:tblCellMar>
            <w:top w:w="0" w:type="dxa"/>
            <w:left w:w="108" w:type="dxa"/>
            <w:bottom w:w="0" w:type="dxa"/>
            <w:right w:w="108" w:type="dxa"/>
          </w:tblCellMar>
        </w:tblPrEx>
        <w:trPr>
          <w:jc w:val="center"/>
        </w:trPr>
        <w:tc>
          <w:tcPr>
            <w:tcW w:w="88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D3230F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574CBB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光伏出力</w:t>
            </w:r>
          </w:p>
        </w:tc>
        <w:tc>
          <w:tcPr>
            <w:tcW w:w="136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B0193C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33063E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MW</w:t>
            </w:r>
          </w:p>
        </w:tc>
        <w:tc>
          <w:tcPr>
            <w:tcW w:w="43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A584D7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0.000，采样周期 15 分钟</w:t>
            </w:r>
          </w:p>
        </w:tc>
      </w:tr>
      <w:tr w14:paraId="7A82FD51">
        <w:tblPrEx>
          <w:tblCellMar>
            <w:top w:w="0" w:type="dxa"/>
            <w:left w:w="108" w:type="dxa"/>
            <w:bottom w:w="0" w:type="dxa"/>
            <w:right w:w="108" w:type="dxa"/>
          </w:tblCellMar>
        </w:tblPrEx>
        <w:trPr>
          <w:jc w:val="center"/>
        </w:trPr>
        <w:tc>
          <w:tcPr>
            <w:tcW w:w="88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366A6C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684EF2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储能充放电功率</w:t>
            </w:r>
          </w:p>
        </w:tc>
        <w:tc>
          <w:tcPr>
            <w:tcW w:w="13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F273D2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1C1AB0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w:t>
            </w:r>
          </w:p>
        </w:tc>
        <w:tc>
          <w:tcPr>
            <w:tcW w:w="43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DEAC5D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正值充电 / 负值放电，符号语义固定</w:t>
            </w:r>
          </w:p>
        </w:tc>
      </w:tr>
      <w:tr w14:paraId="6B728B13">
        <w:tblPrEx>
          <w:tblCellMar>
            <w:top w:w="0" w:type="dxa"/>
            <w:left w:w="108" w:type="dxa"/>
            <w:bottom w:w="0" w:type="dxa"/>
            <w:right w:w="108" w:type="dxa"/>
          </w:tblCellMar>
        </w:tblPrEx>
        <w:trPr>
          <w:jc w:val="center"/>
        </w:trPr>
        <w:tc>
          <w:tcPr>
            <w:tcW w:w="88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D2B4E6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E60F23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直供绿电消纳比</w:t>
            </w:r>
          </w:p>
        </w:tc>
        <w:tc>
          <w:tcPr>
            <w:tcW w:w="136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B8EBAA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2099FD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3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F7C5B3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取值范围 0.0 ~ 100.0</w:t>
            </w:r>
          </w:p>
        </w:tc>
      </w:tr>
      <w:tr w14:paraId="0AD9B705">
        <w:tblPrEx>
          <w:tblCellMar>
            <w:top w:w="0" w:type="dxa"/>
            <w:left w:w="108" w:type="dxa"/>
            <w:bottom w:w="0" w:type="dxa"/>
            <w:right w:w="108" w:type="dxa"/>
          </w:tblCellMar>
        </w:tblPrEx>
        <w:trPr>
          <w:jc w:val="center"/>
        </w:trPr>
        <w:tc>
          <w:tcPr>
            <w:tcW w:w="88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162072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17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E4A45A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累计碳减排量</w:t>
            </w:r>
          </w:p>
        </w:tc>
        <w:tc>
          <w:tcPr>
            <w:tcW w:w="13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AB8460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16767E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tCO2e</w:t>
            </w:r>
          </w:p>
        </w:tc>
        <w:tc>
          <w:tcPr>
            <w:tcW w:w="43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6B0494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0，按绿电自发自用量 × 区域电网因子核算</w:t>
            </w:r>
          </w:p>
        </w:tc>
      </w:tr>
    </w:tbl>
    <w:p w14:paraId="0C1743A9">
      <w:pPr>
        <w:spacing w:after="60"/>
        <w:rPr>
          <w:rFonts w:hint="eastAsia" w:ascii="宋体" w:hAnsi="宋体" w:eastAsia="宋体" w:cs="宋体"/>
          <w:i w:val="0"/>
          <w:iCs w:val="0"/>
          <w:sz w:val="24"/>
          <w:szCs w:val="24"/>
        </w:rPr>
      </w:pPr>
    </w:p>
    <w:p w14:paraId="097BF657">
      <w:pPr>
        <w:pStyle w:val="6"/>
        <w:numPr>
          <w:ilvl w:val="0"/>
          <w:numId w:val="2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3E555C76">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3DDF3227">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Q_total = Q_tip + Q_peak + Q_flat + Q_valley  当日累计电量 = 四时段用电量之和</w:t>
            </w:r>
          </w:p>
          <w:p w14:paraId="7E9909C3">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R_valley = Q_valley / Q_total × 100%         谷段电量占比（越高越好）</w:t>
            </w:r>
          </w:p>
          <w:p w14:paraId="25C6C77D">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Gap = KPI_actual - KPI_national_advanced      能效对标偏差量</w:t>
            </w:r>
          </w:p>
          <w:p w14:paraId="1967F5C2">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E_saved = T_shift × ( P_peak - P_valley ) × η_storage   移峰填谷理论节约金额</w:t>
            </w:r>
          </w:p>
          <w:p w14:paraId="1FA39B35">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C_reduce = P_pv_self × EF_grid               绿电自发自用减排量</w:t>
            </w:r>
          </w:p>
          <w:p w14:paraId="035AFD6B">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N_tree = C_reduce / 18.3                      等效植树量（1 棵树年均固碳 18.3 kgCO2）</w:t>
            </w:r>
          </w:p>
        </w:tc>
      </w:tr>
    </w:tbl>
    <w:p w14:paraId="48A5CBBD">
      <w:pPr>
        <w:spacing w:after="40"/>
        <w:rPr>
          <w:rFonts w:hint="eastAsia" w:ascii="宋体" w:hAnsi="宋体" w:eastAsia="宋体" w:cs="宋体"/>
          <w:i w:val="0"/>
          <w:iCs w:val="0"/>
          <w:sz w:val="24"/>
          <w:szCs w:val="24"/>
        </w:rPr>
      </w:pPr>
    </w:p>
    <w:p w14:paraId="711A9579">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w:t>
      </w:r>
      <w:r>
        <w:rPr>
          <w:rFonts w:ascii="Times New Roman" w:hAnsi="Times New Roman" w:eastAsia="宋体" w:cs="Times New Roman"/>
          <w:b w:val="0"/>
          <w:i w:val="0"/>
          <w:color w:val="0284C7"/>
          <w:sz w:val="24"/>
          <w:szCs w:val="24"/>
        </w:rPr>
        <w:t xml:space="preserve"> Q_tip/peak/flat/valley </w:t>
      </w:r>
      <w:r>
        <w:rPr>
          <w:rFonts w:ascii="Times New Roman" w:hAnsi="Times New Roman" w:eastAsia="宋体" w:cs="Times New Roman"/>
          <w:i w:val="0"/>
          <w:color w:val="1F2937"/>
          <w:sz w:val="24"/>
          <w:szCs w:val="24"/>
        </w:rPr>
        <w:t xml:space="preserve"> 分别对应尖、峰、平、谷时段电量；</w:t>
      </w:r>
      <w:r>
        <w:rPr>
          <w:rFonts w:ascii="Times New Roman" w:hAnsi="Times New Roman" w:eastAsia="宋体" w:cs="Times New Roman"/>
          <w:b w:val="0"/>
          <w:i w:val="0"/>
          <w:color w:val="0284C7"/>
          <w:sz w:val="24"/>
          <w:szCs w:val="24"/>
        </w:rPr>
        <w:t xml:space="preserve"> T_shift </w:t>
      </w:r>
      <w:r>
        <w:rPr>
          <w:rFonts w:ascii="Times New Roman" w:hAnsi="Times New Roman" w:eastAsia="宋体" w:cs="Times New Roman"/>
          <w:i w:val="0"/>
          <w:color w:val="1F2937"/>
          <w:sz w:val="24"/>
          <w:szCs w:val="24"/>
        </w:rPr>
        <w:t xml:space="preserve"> 为转移负荷时长；</w:t>
      </w:r>
      <w:r>
        <w:rPr>
          <w:rFonts w:ascii="Times New Roman" w:hAnsi="Times New Roman" w:eastAsia="宋体" w:cs="Times New Roman"/>
          <w:b w:val="0"/>
          <w:i w:val="0"/>
          <w:color w:val="0284C7"/>
          <w:sz w:val="24"/>
          <w:szCs w:val="24"/>
        </w:rPr>
        <w:t xml:space="preserve"> P_peak/P_valley </w:t>
      </w:r>
      <w:r>
        <w:rPr>
          <w:rFonts w:ascii="Times New Roman" w:hAnsi="Times New Roman" w:eastAsia="宋体" w:cs="Times New Roman"/>
          <w:i w:val="0"/>
          <w:color w:val="1F2937"/>
          <w:sz w:val="24"/>
          <w:szCs w:val="24"/>
        </w:rPr>
        <w:t xml:space="preserve"> 为峰谷电价；</w:t>
      </w:r>
      <w:r>
        <w:rPr>
          <w:rFonts w:ascii="Times New Roman" w:hAnsi="Times New Roman" w:eastAsia="宋体" w:cs="Times New Roman"/>
          <w:b w:val="0"/>
          <w:i w:val="0"/>
          <w:color w:val="0284C7"/>
          <w:sz w:val="24"/>
          <w:szCs w:val="24"/>
        </w:rPr>
        <w:t xml:space="preserve"> η_storage </w:t>
      </w:r>
      <w:r>
        <w:rPr>
          <w:rFonts w:ascii="Times New Roman" w:hAnsi="Times New Roman" w:eastAsia="宋体" w:cs="Times New Roman"/>
          <w:i w:val="0"/>
          <w:color w:val="1F2937"/>
          <w:sz w:val="24"/>
          <w:szCs w:val="24"/>
        </w:rPr>
        <w:t xml:space="preserve"> 为储能充放综合效率（默认 0.88）；</w:t>
      </w:r>
      <w:r>
        <w:rPr>
          <w:rFonts w:ascii="Times New Roman" w:hAnsi="Times New Roman" w:eastAsia="宋体" w:cs="Times New Roman"/>
          <w:b w:val="0"/>
          <w:i w:val="0"/>
          <w:color w:val="0284C7"/>
          <w:sz w:val="24"/>
          <w:szCs w:val="24"/>
        </w:rPr>
        <w:t xml:space="preserve"> P_pv_self </w:t>
      </w:r>
      <w:r>
        <w:rPr>
          <w:rFonts w:ascii="Times New Roman" w:hAnsi="Times New Roman" w:eastAsia="宋体" w:cs="Times New Roman"/>
          <w:i w:val="0"/>
          <w:color w:val="1F2937"/>
          <w:sz w:val="24"/>
          <w:szCs w:val="24"/>
        </w:rPr>
        <w:t xml:space="preserve"> 为光伏自发自用量；</w:t>
      </w:r>
      <w:r>
        <w:rPr>
          <w:rFonts w:ascii="Times New Roman" w:hAnsi="Times New Roman" w:eastAsia="宋体" w:cs="Times New Roman"/>
          <w:b w:val="0"/>
          <w:i w:val="0"/>
          <w:color w:val="0284C7"/>
          <w:sz w:val="24"/>
          <w:szCs w:val="24"/>
        </w:rPr>
        <w:t xml:space="preserve"> EF_grid </w:t>
      </w:r>
      <w:r>
        <w:rPr>
          <w:rFonts w:ascii="Times New Roman" w:hAnsi="Times New Roman" w:eastAsia="宋体" w:cs="Times New Roman"/>
          <w:i w:val="0"/>
          <w:color w:val="1F2937"/>
          <w:sz w:val="24"/>
          <w:szCs w:val="24"/>
        </w:rPr>
        <w:t xml:space="preserve"> 为区域电网排放因子。</w:t>
      </w:r>
    </w:p>
    <w:p w14:paraId="0AFC06F2">
      <w:pPr>
        <w:pStyle w:val="6"/>
        <w:numPr>
          <w:ilvl w:val="0"/>
          <w:numId w:val="2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60E4CEC3">
      <w:pPr>
        <w:pStyle w:val="19"/>
        <w:widowControl/>
        <w:numPr>
          <w:ilvl w:val="0"/>
          <w:numId w:val="2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时段口径</w:t>
      </w:r>
      <w:r>
        <w:rPr>
          <w:rFonts w:ascii="Times New Roman" w:hAnsi="Times New Roman" w:eastAsia="宋体" w:cs="Times New Roman"/>
          <w:i w:val="0"/>
          <w:color w:val="1F2937"/>
          <w:sz w:val="24"/>
          <w:szCs w:val="24"/>
        </w:rPr>
        <w:t>：尖/峰/平/谷时段划分严格取自能源价格管理模块最新生效版本，跨版本切换时页面提示时段变更。</w:t>
      </w:r>
    </w:p>
    <w:p w14:paraId="19788BAE">
      <w:pPr>
        <w:pStyle w:val="19"/>
        <w:widowControl/>
        <w:numPr>
          <w:ilvl w:val="0"/>
          <w:numId w:val="2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对标口径</w:t>
      </w:r>
      <w:r>
        <w:rPr>
          <w:rFonts w:ascii="Times New Roman" w:hAnsi="Times New Roman" w:eastAsia="宋体" w:cs="Times New Roman"/>
          <w:i w:val="0"/>
          <w:color w:val="1F2937"/>
          <w:sz w:val="24"/>
          <w:szCs w:val="24"/>
        </w:rPr>
        <w:t>：仅与项目公司同层级实体横向对比，项目公司/在建单位不参与排名与达标统计。</w:t>
      </w:r>
    </w:p>
    <w:p w14:paraId="0CCA8A70">
      <w:pPr>
        <w:pStyle w:val="19"/>
        <w:widowControl/>
        <w:numPr>
          <w:ilvl w:val="0"/>
          <w:numId w:val="2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等效换算口径</w:t>
      </w:r>
      <w:r>
        <w:rPr>
          <w:rFonts w:ascii="Times New Roman" w:hAnsi="Times New Roman" w:eastAsia="宋体" w:cs="Times New Roman"/>
          <w:i w:val="0"/>
          <w:color w:val="1F2937"/>
          <w:sz w:val="24"/>
          <w:szCs w:val="24"/>
        </w:rPr>
        <w:t>：等效植树按 1 棵成年乔木年均固碳 18.3 kgCO2 折算；等效节约标煤按 GB/T 2589 当量值折算。</w:t>
      </w:r>
    </w:p>
    <w:p w14:paraId="30F44C7E">
      <w:pPr>
        <w:pStyle w:val="19"/>
        <w:widowControl/>
        <w:numPr>
          <w:ilvl w:val="0"/>
          <w:numId w:val="2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刷新周期</w:t>
      </w:r>
      <w:r>
        <w:rPr>
          <w:rFonts w:ascii="Times New Roman" w:hAnsi="Times New Roman" w:eastAsia="宋体" w:cs="Times New Roman"/>
          <w:i w:val="0"/>
          <w:color w:val="1F2937"/>
          <w:sz w:val="24"/>
          <w:szCs w:val="24"/>
        </w:rPr>
        <w:t>：分时负荷与微网数据 15 分钟刷新，时钟与通讯状态 1 秒刷新。</w:t>
      </w:r>
    </w:p>
    <w:p w14:paraId="13FB458C">
      <w:pPr>
        <w:pStyle w:val="6"/>
        <w:numPr>
          <w:ilvl w:val="0"/>
          <w:numId w:val="2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5C2C1DCC">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13A6EFDD">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分时四段电量之和与累计电量偏差超过 0.5%：页面标注"分时数据待核对"，不在大屏上抛出技术错误码。</w:t>
            </w:r>
          </w:p>
          <w:p w14:paraId="3465F84E">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ETS/电价外链数据源不可用：按最近有效版本测算并标注价格时间戳。</w:t>
            </w:r>
          </w:p>
          <w:p w14:paraId="696E7DB5">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光伏与储能设备全部离线：象限 C 输出单行客观结论"当前无光伏/储能数据"，严禁空白占位卡片。</w:t>
            </w:r>
          </w:p>
          <w:p w14:paraId="7F25DCDC">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除零兜底：谷段占比、消纳比等分母为 0 时统一显示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w:t>
            </w:r>
          </w:p>
        </w:tc>
      </w:tr>
    </w:tbl>
    <w:p w14:paraId="69442215">
      <w:pPr>
        <w:spacing w:after="40"/>
        <w:rPr>
          <w:rFonts w:hint="eastAsia" w:ascii="宋体" w:hAnsi="宋体" w:eastAsia="宋体" w:cs="宋体"/>
          <w:i w:val="0"/>
          <w:iCs w:val="0"/>
          <w:sz w:val="24"/>
          <w:szCs w:val="24"/>
        </w:rPr>
      </w:pPr>
    </w:p>
    <w:p w14:paraId="59FD11BB">
      <w:pPr>
        <w:pStyle w:val="6"/>
        <w:numPr>
          <w:ilvl w:val="0"/>
          <w:numId w:val="22"/>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6F4C7B87">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59700214">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综合集控大屏 16:9</w:t>
            </w:r>
          </w:p>
          <w:p w14:paraId="4912B1BE">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分时电量结构自校验</w:t>
            </w:r>
          </w:p>
          <w:p w14:paraId="6E666AC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园区当日尖、峰、平、谷四段电量均已入账</w:t>
            </w:r>
          </w:p>
          <w:p w14:paraId="0731D45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大屏渲染象限 A 的分时电量堆叠图</w:t>
            </w:r>
          </w:p>
          <w:p w14:paraId="42C604F8">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四段电量之和与当日累计电量偏差不超过 0.5%</w:t>
            </w:r>
          </w:p>
          <w:p w14:paraId="0276ACB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偏差超限时显示"分时数据待核对"且不抛出技术错误码</w:t>
            </w:r>
          </w:p>
          <w:p w14:paraId="433B364F">
            <w:pPr>
              <w:spacing w:before="0" w:after="20" w:line="264" w:lineRule="auto"/>
              <w:rPr>
                <w:rFonts w:hint="eastAsia" w:ascii="宋体" w:hAnsi="宋体" w:eastAsia="宋体" w:cs="宋体"/>
                <w:i w:val="0"/>
                <w:iCs w:val="0"/>
                <w:sz w:val="24"/>
                <w:szCs w:val="24"/>
              </w:rPr>
            </w:pPr>
          </w:p>
          <w:p w14:paraId="066570D9">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移峰填谷效益测算</w:t>
            </w:r>
          </w:p>
          <w:p w14:paraId="0A3973B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园区已配置最新生效版本的尖峰平谷电价</w:t>
            </w:r>
          </w:p>
          <w:p w14:paraId="1806670A">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系统测算谷段充放储能的理论节约金额</w:t>
            </w:r>
          </w:p>
          <w:p w14:paraId="2C663E8C">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计算结果采用公式 E_saved = T_shift × (P_peak - P_valley) × η_storage</w:t>
            </w:r>
          </w:p>
          <w:p w14:paraId="6862289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储能综合效率取值 0.88</w:t>
            </w:r>
          </w:p>
        </w:tc>
      </w:tr>
    </w:tbl>
    <w:p w14:paraId="047A172B">
      <w:pPr>
        <w:spacing w:after="40"/>
        <w:rPr>
          <w:rFonts w:hint="eastAsia" w:ascii="宋体" w:hAnsi="宋体" w:eastAsia="宋体" w:cs="宋体"/>
          <w:i w:val="0"/>
          <w:iCs w:val="0"/>
          <w:sz w:val="24"/>
          <w:szCs w:val="24"/>
        </w:rPr>
      </w:pPr>
    </w:p>
    <w:p w14:paraId="516DEB5F">
      <w:pPr>
        <w:rPr>
          <w:rFonts w:hint="eastAsia" w:eastAsia="黑体"/>
          <w:b w:val="0"/>
          <w:bCs w:val="0"/>
          <w:sz w:val="30"/>
          <w:szCs w:val="32"/>
        </w:rPr>
      </w:pPr>
      <w:r>
        <w:rPr>
          <w:rFonts w:ascii="Times New Roman" w:hAnsi="Times New Roman" w:eastAsia="黑体" w:cs="Times New Roman"/>
          <w:b w:val="0"/>
          <w:bCs w:val="0"/>
          <w:sz w:val="30"/>
          <w:szCs w:val="32"/>
        </w:rPr>
        <w:br w:type="page"/>
      </w:r>
    </w:p>
    <w:p w14:paraId="4AA3585A">
      <w:pPr>
        <w:pStyle w:val="4"/>
        <w:numPr>
          <w:ilvl w:val="0"/>
          <w:numId w:val="15"/>
        </w:numPr>
        <w:topLinePunct w:val="0"/>
        <w:ind w:left="0" w:leftChars="0" w:firstLine="0" w:firstLineChars="0"/>
        <w:outlineLvl w:val="0"/>
        <w:rPr>
          <w:rFonts w:hint="eastAsia" w:eastAsia="黑体"/>
          <w:b w:val="0"/>
          <w:bCs w:val="0"/>
          <w:sz w:val="30"/>
          <w:szCs w:val="32"/>
        </w:rPr>
      </w:pPr>
      <w:bookmarkStart w:id="14" w:name="_Toc4603"/>
      <w:r>
        <w:rPr>
          <w:rFonts w:ascii="Times New Roman" w:hAnsi="Times New Roman" w:eastAsia="黑体" w:cs="Times New Roman"/>
          <w:b w:val="0"/>
          <w:bCs w:val="0"/>
          <w:sz w:val="30"/>
          <w:szCs w:val="32"/>
        </w:rPr>
        <w:t>集中监管</w:t>
      </w:r>
      <w:bookmarkEnd w:id="14"/>
    </w:p>
    <w:p w14:paraId="22E1B7C2">
      <w:pPr>
        <w:pStyle w:val="5"/>
        <w:numPr>
          <w:ilvl w:val="0"/>
          <w:numId w:val="27"/>
        </w:numPr>
        <w:ind w:left="0" w:leftChars="0" w:firstLine="0" w:firstLineChars="0"/>
        <w:outlineLvl w:val="1"/>
        <w:rPr>
          <w:rFonts w:eastAsia="黑体"/>
          <w:b w:val="0"/>
          <w:bCs w:val="0"/>
          <w:sz w:val="30"/>
          <w:szCs w:val="24"/>
        </w:rPr>
      </w:pPr>
      <w:bookmarkStart w:id="15" w:name="_Toc7125"/>
      <w:r>
        <w:rPr>
          <w:rFonts w:ascii="Times New Roman" w:hAnsi="Times New Roman" w:eastAsia="黑体" w:cs="Times New Roman"/>
          <w:b w:val="0"/>
          <w:bCs w:val="0"/>
          <w:sz w:val="30"/>
          <w:szCs w:val="24"/>
        </w:rPr>
        <w:t>指标管控</w:t>
      </w:r>
      <w:bookmarkEnd w:id="15"/>
    </w:p>
    <w:p w14:paraId="0F0E3F16">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drawing>
          <wp:inline distT="0" distB="0" distL="114300" distR="114300">
            <wp:extent cx="5900420" cy="2925445"/>
            <wp:effectExtent l="0" t="0" r="5080" b="825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9"/>
                    <a:stretch>
                      <a:fillRect/>
                    </a:stretch>
                  </pic:blipFill>
                  <pic:spPr>
                    <a:xfrm>
                      <a:off x="0" y="0"/>
                      <a:ext cx="5900420" cy="2925445"/>
                    </a:xfrm>
                    <a:prstGeom prst="rect">
                      <a:avLst/>
                    </a:prstGeom>
                    <a:noFill/>
                    <a:ln>
                      <a:noFill/>
                    </a:ln>
                  </pic:spPr>
                </pic:pic>
              </a:graphicData>
            </a:graphic>
          </wp:inline>
        </w:drawing>
      </w:r>
    </w:p>
    <w:p w14:paraId="124DF4CB">
      <w:pPr>
        <w:pStyle w:val="6"/>
        <w:numPr>
          <w:ilvl w:val="0"/>
          <w:numId w:val="2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12FC7759">
      <w:pPr>
        <w:pStyle w:val="19"/>
        <w:widowControl/>
        <w:numPr>
          <w:ilvl w:val="0"/>
          <w:numId w:val="2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：作为全集团能碳运行中枢，构建 Mode A（宏观指标卡片矩阵）与 Mode B（深入分析详情内页）双模无损穿透体系，彻底剥离冗余标签，实现纯粹的工业数据自解释。</w:t>
      </w:r>
    </w:p>
    <w:p w14:paraId="028480BE">
      <w:pPr>
        <w:pStyle w:val="19"/>
        <w:widowControl/>
        <w:numPr>
          <w:ilvl w:val="0"/>
          <w:numId w:val="2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：P1 集团决策层（宏观视角）、P2 园区能碳专员（穿透排查视角）。</w:t>
      </w:r>
    </w:p>
    <w:p w14:paraId="2F0B88A7">
      <w:pPr>
        <w:pStyle w:val="19"/>
        <w:widowControl/>
        <w:numPr>
          <w:ilvl w:val="0"/>
          <w:numId w:val="2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/monitor/indicators </w:t>
      </w:r>
      <w:r>
        <w:rPr>
          <w:rFonts w:ascii="Times New Roman" w:hAnsi="Times New Roman" w:eastAsia="宋体" w:cs="Times New Roman"/>
          <w:i w:val="0"/>
          <w:color w:val="1F2937"/>
          <w:sz w:val="24"/>
          <w:szCs w:val="24"/>
        </w:rPr>
        <w:t xml:space="preserve">；详情内页 </w:t>
      </w:r>
      <w:r>
        <w:rPr>
          <w:rFonts w:ascii="Times New Roman" w:hAnsi="Times New Roman" w:eastAsia="宋体" w:cs="Times New Roman"/>
          <w:b w:val="0"/>
          <w:i w:val="0"/>
          <w:color w:val="0284C7"/>
          <w:sz w:val="24"/>
          <w:szCs w:val="24"/>
        </w:rPr>
        <w:t xml:space="preserve"> /monitor/indicators/detail/:kpiCode </w:t>
      </w:r>
      <w:r>
        <w:rPr>
          <w:rFonts w:ascii="Times New Roman" w:hAnsi="Times New Roman" w:eastAsia="宋体" w:cs="Times New Roman"/>
          <w:i w:val="0"/>
          <w:color w:val="1F2937"/>
          <w:sz w:val="24"/>
          <w:szCs w:val="24"/>
        </w:rPr>
        <w:t>。</w:t>
      </w:r>
    </w:p>
    <w:p w14:paraId="1E2A08A9">
      <w:pPr>
        <w:pStyle w:val="19"/>
        <w:widowControl/>
        <w:numPr>
          <w:ilvl w:val="0"/>
          <w:numId w:val="2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：用能在线监测实时采集数据、基础参数配置的折标系数与能源价格版本、组织架构六级主数据。</w:t>
      </w:r>
    </w:p>
    <w:p w14:paraId="6D557549">
      <w:pPr>
        <w:pStyle w:val="19"/>
        <w:widowControl/>
        <w:numPr>
          <w:ilvl w:val="0"/>
          <w:numId w:val="2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：数据变化桑基图归因结果、对标管理输入、统计报表口径来源、零碳工厂自评估指标输入。</w:t>
      </w:r>
    </w:p>
    <w:p w14:paraId="6040B37D">
      <w:pPr>
        <w:pStyle w:val="19"/>
        <w:widowControl/>
        <w:numPr>
          <w:ilvl w:val="0"/>
          <w:numId w:val="2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本文档定位</w:t>
      </w:r>
      <w:r>
        <w:rPr>
          <w:rFonts w:ascii="Times New Roman" w:hAnsi="Times New Roman" w:eastAsia="宋体" w:cs="Times New Roman"/>
          <w:i w:val="0"/>
          <w:color w:val="1F2937"/>
          <w:sz w:val="24"/>
          <w:szCs w:val="24"/>
        </w:rPr>
        <w:t>：本模块为全量模块的</w:t>
      </w:r>
      <w:r>
        <w:rPr>
          <w:rFonts w:ascii="Times New Roman" w:hAnsi="Times New Roman" w:eastAsia="宋体" w:cs="Times New Roman"/>
          <w:b/>
          <w:i w:val="0"/>
          <w:color w:val="1E3A8A"/>
          <w:sz w:val="24"/>
          <w:szCs w:val="24"/>
        </w:rPr>
        <w:t>结构样板与颗粒度基准</w:t>
      </w:r>
      <w:r>
        <w:rPr>
          <w:rFonts w:ascii="Times New Roman" w:hAnsi="Times New Roman" w:eastAsia="宋体" w:cs="Times New Roman"/>
          <w:i w:val="0"/>
          <w:color w:val="1F2937"/>
          <w:sz w:val="24"/>
          <w:szCs w:val="24"/>
        </w:rPr>
        <w:t>，其余模块均对齐本模块的八段式完整度。</w:t>
      </w:r>
    </w:p>
    <w:p w14:paraId="1B54E29A">
      <w:pPr>
        <w:pStyle w:val="6"/>
        <w:numPr>
          <w:ilvl w:val="0"/>
          <w:numId w:val="2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495651DE">
      <w:pPr>
        <w:pStyle w:val="19"/>
        <w:widowControl/>
        <w:numPr>
          <w:ilvl w:val="0"/>
          <w:numId w:val="3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：集团月度能碳经营分析会上，决策层需一屏掌握 10 项核心指标的水平与走势；园区能碳专员需对异常指标逐层穿透至工厂、产线、工序与底层仪表，定位跑冒滴漏根因。</w:t>
      </w:r>
    </w:p>
    <w:p w14:paraId="1D77F438">
      <w:pPr>
        <w:pStyle w:val="19"/>
        <w:widowControl/>
        <w:numPr>
          <w:ilvl w:val="0"/>
          <w:numId w:val="3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3AD72F9B">
      <w:pPr>
        <w:pStyle w:val="19"/>
        <w:widowControl/>
        <w:numPr>
          <w:ilvl w:val="0"/>
          <w:numId w:val="30"/>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园区能碳专员 (Persona P2)</w:t>
      </w:r>
      <w:r>
        <w:rPr>
          <w:rFonts w:ascii="Times New Roman" w:hAnsi="Times New Roman" w:eastAsia="宋体" w:cs="Times New Roman"/>
          <w:i w:val="0"/>
          <w:color w:val="1F2937"/>
          <w:sz w:val="24"/>
          <w:szCs w:val="24"/>
        </w:rPr>
        <w:t>，</w:t>
      </w:r>
    </w:p>
    <w:p w14:paraId="31BD20F0">
      <w:pPr>
        <w:pStyle w:val="19"/>
        <w:widowControl/>
        <w:numPr>
          <w:ilvl w:val="0"/>
          <w:numId w:val="30"/>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在指标卡片矩阵中按组织树与时间维度查看 10 项核心指标，并点击任意指标卡穿透查看其分子分母工程物理量、核算公式、仪表点位路径与近 12 个月趋势</w:t>
      </w:r>
      <w:r>
        <w:rPr>
          <w:rFonts w:ascii="Times New Roman" w:hAnsi="Times New Roman" w:eastAsia="宋体" w:cs="Times New Roman"/>
          <w:i w:val="0"/>
          <w:color w:val="1F2937"/>
          <w:sz w:val="24"/>
          <w:szCs w:val="24"/>
        </w:rPr>
        <w:t>，</w:t>
      </w:r>
    </w:p>
    <w:p w14:paraId="05E3A3BE">
      <w:pPr>
        <w:pStyle w:val="19"/>
        <w:widowControl/>
        <w:numPr>
          <w:ilvl w:val="0"/>
          <w:numId w:val="30"/>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我能精准定位某工厂某工序的能耗异常根因，形成可追溯的整改依据</w:t>
      </w:r>
      <w:r>
        <w:rPr>
          <w:rFonts w:ascii="Times New Roman" w:hAnsi="Times New Roman" w:eastAsia="宋体" w:cs="Times New Roman"/>
          <w:i w:val="0"/>
          <w:color w:val="1F2937"/>
          <w:sz w:val="24"/>
          <w:szCs w:val="24"/>
        </w:rPr>
        <w:t>。</w:t>
      </w:r>
    </w:p>
    <w:p w14:paraId="79DC1AAD">
      <w:pPr>
        <w:pStyle w:val="6"/>
        <w:numPr>
          <w:ilvl w:val="0"/>
          <w:numId w:val="2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73394B51">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页面通用交互规则：</w:t>
      </w:r>
    </w:p>
    <w:p w14:paraId="45D481F9">
      <w:pPr>
        <w:pStyle w:val="19"/>
        <w:widowControl/>
        <w:numPr>
          <w:ilvl w:val="0"/>
          <w:numId w:val="3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左侧组织树</w:t>
      </w:r>
      <w:r>
        <w:rPr>
          <w:rFonts w:ascii="Times New Roman" w:hAnsi="Times New Roman" w:eastAsia="宋体" w:cs="Times New Roman"/>
          <w:i w:val="0"/>
          <w:color w:val="1F2937"/>
          <w:sz w:val="24"/>
          <w:szCs w:val="24"/>
        </w:rPr>
        <w:t>：左侧企业组织结构树 4 级结构驱动右侧数据联动，支持产业集团、二级公司及工厂级下钻（参考：附录 C）。</w:t>
      </w:r>
    </w:p>
    <w:p w14:paraId="0CE6586B">
      <w:pPr>
        <w:pStyle w:val="19"/>
        <w:widowControl/>
        <w:numPr>
          <w:ilvl w:val="0"/>
          <w:numId w:val="3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顶部控制</w:t>
      </w:r>
      <w:r>
        <w:rPr>
          <w:rFonts w:ascii="Times New Roman" w:hAnsi="Times New Roman" w:eastAsia="宋体" w:cs="Times New Roman"/>
          <w:i w:val="0"/>
          <w:color w:val="1F2937"/>
          <w:sz w:val="24"/>
          <w:szCs w:val="24"/>
        </w:rPr>
        <w:t>：右上方提供时间维度选择（月 / 年）与时间范围选择（跨月区间）。</w:t>
      </w:r>
    </w:p>
    <w:p w14:paraId="7D10C807">
      <w:pPr>
        <w:pStyle w:val="19"/>
        <w:widowControl/>
        <w:numPr>
          <w:ilvl w:val="0"/>
          <w:numId w:val="3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时间筛选条件</w:t>
      </w:r>
      <w:r>
        <w:rPr>
          <w:rFonts w:ascii="Times New Roman" w:hAnsi="Times New Roman" w:eastAsia="宋体" w:cs="Times New Roman"/>
          <w:i w:val="0"/>
          <w:color w:val="1F2937"/>
          <w:sz w:val="24"/>
          <w:szCs w:val="24"/>
        </w:rPr>
        <w:t>：选择【月度】【季度】【年度】时下方数据同步进行更新。</w:t>
      </w:r>
    </w:p>
    <w:p w14:paraId="5DBA4C61">
      <w:pPr>
        <w:pStyle w:val="19"/>
        <w:widowControl/>
        <w:numPr>
          <w:ilvl w:val="0"/>
          <w:numId w:val="3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双模穿透</w:t>
      </w:r>
      <w:r>
        <w:rPr>
          <w:rFonts w:ascii="Times New Roman" w:hAnsi="Times New Roman" w:eastAsia="宋体" w:cs="Times New Roman"/>
          <w:i w:val="0"/>
          <w:color w:val="1F2937"/>
          <w:sz w:val="24"/>
          <w:szCs w:val="24"/>
        </w:rPr>
        <w:t>：Mode A 为宏观指标卡片矩阵；点击任意卡片平滑展开 Mode B 详情内页（无页面跳转，采用侧滑内页），点击返回恢复 Mode A 且保留筛选上下文。</w:t>
      </w:r>
    </w:p>
    <w:p w14:paraId="785069A3">
      <w:pPr>
        <w:pStyle w:val="7"/>
        <w:numPr>
          <w:ilvl w:val="0"/>
          <w:numId w:val="32"/>
        </w:numPr>
        <w:ind w:left="0" w:leftChars="0" w:firstLine="0" w:firstLineChars="0"/>
        <w:outlineLvl w:val="3"/>
        <w:rPr>
          <w:rFonts w:eastAsia="黑体"/>
          <w:b w:val="0"/>
          <w:bCs/>
          <w:sz w:val="28"/>
          <w:szCs w:val="28"/>
        </w:rPr>
      </w:pPr>
      <w:r>
        <w:rPr>
          <w:rFonts w:ascii="Times New Roman" w:hAnsi="Times New Roman" w:eastAsia="黑体" w:cs="Times New Roman"/>
          <w:b w:val="0"/>
          <w:bCs/>
          <w:sz w:val="28"/>
          <w:szCs w:val="28"/>
        </w:rPr>
        <w:t>经营单位及项目公司整体指标</w:t>
      </w:r>
    </w:p>
    <w:p w14:paraId="538F4898">
      <w:pPr>
        <w:pStyle w:val="19"/>
        <w:widowControl/>
        <w:numPr>
          <w:ilvl w:val="0"/>
          <w:numId w:val="0"/>
        </w:numPr>
        <w:rPr>
          <w:rFonts w:eastAsia="宋体"/>
          <w:b/>
          <w:i w:val="0"/>
          <w:color w:val="0284C7"/>
          <w:sz w:val="24"/>
          <w:szCs w:val="24"/>
        </w:rPr>
      </w:pPr>
      <w:r>
        <w:drawing>
          <wp:inline distT="0" distB="0" distL="114300" distR="114300">
            <wp:extent cx="5913120" cy="1776730"/>
            <wp:effectExtent l="0" t="0" r="11430" b="1397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20"/>
                    <a:stretch>
                      <a:fillRect/>
                    </a:stretch>
                  </pic:blipFill>
                  <pic:spPr>
                    <a:xfrm>
                      <a:off x="0" y="0"/>
                      <a:ext cx="5913120" cy="1776730"/>
                    </a:xfrm>
                    <a:prstGeom prst="rect">
                      <a:avLst/>
                    </a:prstGeom>
                    <a:noFill/>
                    <a:ln>
                      <a:noFill/>
                    </a:ln>
                  </pic:spPr>
                </pic:pic>
              </a:graphicData>
            </a:graphic>
          </wp:inline>
        </w:drawing>
      </w:r>
    </w:p>
    <w:p w14:paraId="59F16D6E">
      <w:pPr>
        <w:pStyle w:val="19"/>
        <w:widowControl/>
        <w:numPr>
          <w:ilvl w:val="0"/>
          <w:numId w:val="3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指标卡片</w:t>
      </w:r>
      <w:r>
        <w:rPr>
          <w:rFonts w:ascii="Times New Roman" w:hAnsi="Times New Roman" w:eastAsia="宋体" w:cs="Times New Roman"/>
          <w:i w:val="0"/>
          <w:color w:val="1F2937"/>
          <w:sz w:val="24"/>
          <w:szCs w:val="24"/>
        </w:rPr>
        <w:t>：重点指标大号数值展示，各指标值右侧提供向上/向下箭头表示同比变化，并用三种颜色表示优秀值、正常值、异常值（与标杆值 / 基准值对比）。</w:t>
      </w:r>
    </w:p>
    <w:p w14:paraId="38381D48">
      <w:pPr>
        <w:pStyle w:val="19"/>
        <w:widowControl/>
        <w:numPr>
          <w:ilvl w:val="0"/>
          <w:numId w:val="3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详情展开</w:t>
      </w:r>
      <w:r>
        <w:rPr>
          <w:rFonts w:ascii="Times New Roman" w:hAnsi="Times New Roman" w:eastAsia="宋体" w:cs="Times New Roman"/>
          <w:i w:val="0"/>
          <w:color w:val="1F2937"/>
          <w:sz w:val="24"/>
          <w:szCs w:val="24"/>
        </w:rPr>
        <w:t>：点击任意指标卡片平滑展开 Mode B 详情内页，呈现指标标准定义、分子分母工程物理量、核算公式、仪表点位路径、近 12 个月趋势图与底层水电气汽折标台账。</w:t>
      </w:r>
    </w:p>
    <w:p w14:paraId="4DAFA394">
      <w:pPr>
        <w:pStyle w:val="19"/>
        <w:widowControl/>
        <w:numPr>
          <w:ilvl w:val="0"/>
          <w:numId w:val="3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对比口径</w:t>
      </w:r>
      <w:r>
        <w:rPr>
          <w:rFonts w:ascii="Times New Roman" w:hAnsi="Times New Roman" w:eastAsia="宋体" w:cs="Times New Roman"/>
          <w:i w:val="0"/>
          <w:color w:val="1F2937"/>
          <w:sz w:val="24"/>
          <w:szCs w:val="24"/>
        </w:rPr>
        <w:t>：同比变化以箭头 + 三色表达（绿：下降 / 红：上涨 / 灰：持平）。</w:t>
      </w:r>
    </w:p>
    <w:p w14:paraId="5BD70BD8">
      <w:pPr>
        <w:pStyle w:val="19"/>
        <w:widowControl/>
        <w:rPr>
          <w:rFonts w:ascii="Times New Roman" w:hAnsi="Times New Roman" w:eastAsia="宋体" w:cs="Times New Roman"/>
          <w:b/>
          <w:i w:val="0"/>
          <w:color w:val="1E3A8A"/>
          <w:sz w:val="24"/>
          <w:szCs w:val="24"/>
        </w:rPr>
      </w:pPr>
    </w:p>
    <w:p w14:paraId="0416109B">
      <w:pPr>
        <w:pStyle w:val="19"/>
        <w:widowControl/>
        <w:rPr>
          <w:rFonts w:ascii="Times New Roman" w:hAnsi="Times New Roman" w:eastAsia="宋体" w:cs="Times New Roman"/>
          <w:b/>
          <w:i w:val="0"/>
          <w:color w:val="1E3A8A"/>
          <w:sz w:val="24"/>
          <w:szCs w:val="24"/>
        </w:rPr>
      </w:pPr>
    </w:p>
    <w:p w14:paraId="24EB841A">
      <w:pPr>
        <w:pStyle w:val="19"/>
        <w:widowControl/>
        <w:rPr>
          <w:rFonts w:ascii="Times New Roman" w:hAnsi="Times New Roman" w:eastAsia="宋体" w:cs="Times New Roman"/>
          <w:b/>
          <w:i w:val="0"/>
          <w:color w:val="1E3A8A"/>
          <w:sz w:val="24"/>
          <w:szCs w:val="24"/>
        </w:rPr>
      </w:pPr>
    </w:p>
    <w:p w14:paraId="7D04CC92">
      <w:pPr>
        <w:pStyle w:val="19"/>
        <w:widowControl/>
        <w:rPr>
          <w:rFonts w:ascii="Times New Roman" w:hAnsi="Times New Roman" w:eastAsia="宋体" w:cs="Times New Roman"/>
          <w:b/>
          <w:i w:val="0"/>
          <w:color w:val="1E3A8A"/>
          <w:sz w:val="24"/>
          <w:szCs w:val="24"/>
        </w:rPr>
      </w:pPr>
    </w:p>
    <w:p w14:paraId="3AC939A1">
      <w:pPr>
        <w:pStyle w:val="19"/>
        <w:widowControl/>
        <w:rPr>
          <w:rFonts w:ascii="Times New Roman" w:hAnsi="Times New Roman" w:eastAsia="宋体" w:cs="Times New Roman"/>
          <w:b/>
          <w:i w:val="0"/>
          <w:color w:val="1E3A8A"/>
          <w:sz w:val="24"/>
          <w:szCs w:val="24"/>
        </w:rPr>
      </w:pPr>
    </w:p>
    <w:p w14:paraId="0573BC5E">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指标聚合口径矩阵：</w:t>
      </w:r>
    </w:p>
    <w:tbl>
      <w:tblPr>
        <w:tblStyle w:val="38"/>
        <w:tblW w:w="9454" w:type="dxa"/>
        <w:jc w:val="center"/>
        <w:tblLayout w:type="autofit"/>
        <w:tblCellMar>
          <w:top w:w="0" w:type="dxa"/>
          <w:left w:w="108" w:type="dxa"/>
          <w:bottom w:w="0" w:type="dxa"/>
          <w:right w:w="108" w:type="dxa"/>
        </w:tblCellMar>
      </w:tblPr>
      <w:tblGrid>
        <w:gridCol w:w="2560"/>
        <w:gridCol w:w="2625"/>
        <w:gridCol w:w="2400"/>
        <w:gridCol w:w="1869"/>
      </w:tblGrid>
      <w:tr w14:paraId="76283B5B">
        <w:tblPrEx>
          <w:tblCellMar>
            <w:top w:w="0" w:type="dxa"/>
            <w:left w:w="108" w:type="dxa"/>
            <w:bottom w:w="0" w:type="dxa"/>
            <w:right w:w="108" w:type="dxa"/>
          </w:tblCellMar>
        </w:tblPrEx>
        <w:trPr>
          <w:jc w:val="center"/>
        </w:trPr>
        <w:tc>
          <w:tcPr>
            <w:tcW w:w="256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top"/>
          </w:tcPr>
          <w:p w14:paraId="6C99B56A">
            <w:pPr>
              <w:spacing w:before="0" w:after="0" w:line="240" w:lineRule="auto"/>
              <w:ind w:left="0" w:leftChars="0" w:right="0" w:rightChars="0" w:firstLine="0" w:firstLineChars="0"/>
              <w:jc w:val="center"/>
              <w:rPr>
                <w:rFonts w:hint="eastAsia" w:ascii="宋体" w:hAnsi="宋体" w:eastAsia="宋体" w:cs="宋体"/>
                <w:i w:val="0"/>
                <w:iCs w:val="0"/>
                <w:sz w:val="24"/>
                <w:szCs w:val="24"/>
                <w:lang w:eastAsia="zh-CN"/>
              </w:rPr>
            </w:pPr>
            <w:r>
              <w:rPr>
                <w:rFonts w:hint="eastAsia" w:ascii="宋体" w:hAnsi="宋体" w:eastAsia="宋体" w:cs="宋体"/>
                <w:b/>
                <w:i w:val="0"/>
                <w:iCs w:val="0"/>
                <w:color w:val="FFFFFF"/>
                <w:sz w:val="24"/>
                <w:szCs w:val="24"/>
              </w:rPr>
              <w:t>一级节点</w:t>
            </w:r>
            <w:r>
              <w:rPr>
                <w:rFonts w:hint="eastAsia" w:ascii="宋体" w:hAnsi="宋体" w:eastAsia="宋体" w:cs="宋体"/>
                <w:b/>
                <w:i w:val="0"/>
                <w:iCs w:val="0"/>
                <w:color w:val="FFFFFF"/>
                <w:sz w:val="24"/>
                <w:szCs w:val="24"/>
              </w:rPr>
              <w:br w:type="textWrapping"/>
            </w:r>
            <w:r>
              <w:rPr>
                <w:rFonts w:hint="eastAsia" w:ascii="宋体" w:hAnsi="宋体" w:eastAsia="宋体" w:cs="宋体"/>
                <w:b/>
                <w:i w:val="0"/>
                <w:iCs w:val="0"/>
                <w:color w:val="FFFFFF"/>
                <w:sz w:val="24"/>
                <w:szCs w:val="24"/>
                <w:lang w:eastAsia="zh-CN"/>
              </w:rPr>
              <w:t>（</w:t>
            </w:r>
            <w:r>
              <w:rPr>
                <w:rFonts w:hint="eastAsia" w:ascii="宋体" w:hAnsi="宋体" w:eastAsia="宋体" w:cs="宋体"/>
                <w:b/>
                <w:i w:val="0"/>
                <w:iCs w:val="0"/>
                <w:color w:val="FFFFFF"/>
                <w:sz w:val="24"/>
                <w:szCs w:val="24"/>
                <w:lang w:val="en-US" w:eastAsia="zh-CN"/>
              </w:rPr>
              <w:t>集团</w:t>
            </w:r>
            <w:r>
              <w:rPr>
                <w:rFonts w:hint="eastAsia" w:ascii="宋体" w:hAnsi="宋体" w:eastAsia="宋体" w:cs="宋体"/>
                <w:b/>
                <w:i w:val="0"/>
                <w:iCs w:val="0"/>
                <w:color w:val="FFFFFF"/>
                <w:sz w:val="24"/>
                <w:szCs w:val="24"/>
                <w:lang w:eastAsia="zh-CN"/>
              </w:rPr>
              <w:t>）</w:t>
            </w:r>
          </w:p>
        </w:tc>
        <w:tc>
          <w:tcPr>
            <w:tcW w:w="262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top"/>
          </w:tcPr>
          <w:p w14:paraId="0E4E67C3">
            <w:pPr>
              <w:spacing w:before="0" w:after="0" w:line="240" w:lineRule="auto"/>
              <w:ind w:left="0" w:leftChars="0" w:right="0" w:rightChars="0" w:firstLine="0" w:firstLineChars="0"/>
              <w:jc w:val="center"/>
              <w:rPr>
                <w:rFonts w:hint="eastAsia" w:ascii="宋体" w:hAnsi="宋体" w:eastAsia="宋体" w:cs="宋体"/>
                <w:b/>
                <w:i w:val="0"/>
                <w:iCs w:val="0"/>
                <w:color w:val="FFFFFF"/>
                <w:sz w:val="24"/>
                <w:szCs w:val="24"/>
              </w:rPr>
            </w:pPr>
            <w:r>
              <w:rPr>
                <w:rFonts w:hint="eastAsia" w:ascii="宋体" w:hAnsi="宋体" w:eastAsia="宋体" w:cs="宋体"/>
                <w:b/>
                <w:i w:val="0"/>
                <w:iCs w:val="0"/>
                <w:color w:val="FFFFFF"/>
                <w:sz w:val="24"/>
                <w:szCs w:val="24"/>
              </w:rPr>
              <w:t>二级节点</w:t>
            </w:r>
          </w:p>
          <w:p w14:paraId="54708A28">
            <w:pPr>
              <w:spacing w:before="0" w:after="0" w:line="240" w:lineRule="auto"/>
              <w:ind w:left="0" w:leftChars="0" w:right="0" w:rightChars="0" w:firstLine="0" w:firstLineChars="0"/>
              <w:jc w:val="center"/>
              <w:rPr>
                <w:rFonts w:hint="eastAsia" w:ascii="宋体" w:hAnsi="宋体" w:eastAsia="宋体" w:cs="宋体"/>
                <w:b/>
                <w:i w:val="0"/>
                <w:iCs w:val="0"/>
                <w:color w:val="FFFFFF"/>
                <w:sz w:val="24"/>
                <w:szCs w:val="24"/>
                <w:lang w:eastAsia="zh-CN"/>
              </w:rPr>
            </w:pPr>
            <w:r>
              <w:rPr>
                <w:rFonts w:hint="eastAsia" w:ascii="宋体" w:hAnsi="宋体" w:eastAsia="宋体" w:cs="宋体"/>
                <w:b/>
                <w:i w:val="0"/>
                <w:iCs w:val="0"/>
                <w:color w:val="FFFFFF"/>
                <w:sz w:val="24"/>
                <w:szCs w:val="24"/>
                <w:lang w:eastAsia="zh-CN"/>
              </w:rPr>
              <w:t>（</w:t>
            </w:r>
            <w:r>
              <w:rPr>
                <w:rFonts w:hint="eastAsia" w:ascii="宋体" w:hAnsi="宋体" w:eastAsia="宋体" w:cs="宋体"/>
                <w:b/>
                <w:i w:val="0"/>
                <w:iCs w:val="0"/>
                <w:color w:val="FFFFFF"/>
                <w:sz w:val="24"/>
                <w:szCs w:val="24"/>
                <w:lang w:val="en-US" w:eastAsia="zh-CN"/>
              </w:rPr>
              <w:t>经营单位</w:t>
            </w:r>
            <w:r>
              <w:rPr>
                <w:rFonts w:hint="eastAsia" w:ascii="宋体" w:hAnsi="宋体" w:eastAsia="宋体" w:cs="宋体"/>
                <w:b/>
                <w:i w:val="0"/>
                <w:iCs w:val="0"/>
                <w:color w:val="FFFFFF"/>
                <w:sz w:val="24"/>
                <w:szCs w:val="24"/>
                <w:lang w:eastAsia="zh-CN"/>
              </w:rPr>
              <w:t>）</w:t>
            </w:r>
          </w:p>
        </w:tc>
        <w:tc>
          <w:tcPr>
            <w:tcW w:w="240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top"/>
          </w:tcPr>
          <w:p w14:paraId="29798EB9">
            <w:pPr>
              <w:spacing w:before="0" w:after="0" w:line="240" w:lineRule="auto"/>
              <w:ind w:left="0" w:leftChars="0" w:right="0" w:rightChars="0" w:firstLine="0" w:firstLineChars="0"/>
              <w:jc w:val="center"/>
              <w:rPr>
                <w:rFonts w:hint="eastAsia" w:ascii="宋体" w:hAnsi="宋体" w:eastAsia="宋体" w:cs="宋体"/>
                <w:b/>
                <w:i w:val="0"/>
                <w:iCs w:val="0"/>
                <w:color w:val="FFFFFF"/>
                <w:sz w:val="24"/>
                <w:szCs w:val="24"/>
              </w:rPr>
            </w:pPr>
            <w:r>
              <w:rPr>
                <w:rFonts w:hint="eastAsia" w:ascii="宋体" w:hAnsi="宋体" w:eastAsia="宋体" w:cs="宋体"/>
                <w:b/>
                <w:i w:val="0"/>
                <w:iCs w:val="0"/>
                <w:color w:val="FFFFFF"/>
                <w:sz w:val="24"/>
                <w:szCs w:val="24"/>
              </w:rPr>
              <w:t>三级节点</w:t>
            </w:r>
          </w:p>
          <w:p w14:paraId="37BA199C">
            <w:pPr>
              <w:spacing w:before="0" w:after="0" w:line="240" w:lineRule="auto"/>
              <w:ind w:left="0" w:leftChars="0" w:right="0" w:rightChars="0" w:firstLine="0" w:firstLineChars="0"/>
              <w:jc w:val="center"/>
              <w:rPr>
                <w:rFonts w:hint="eastAsia" w:ascii="宋体" w:hAnsi="宋体" w:eastAsia="宋体" w:cs="宋体"/>
                <w:b/>
                <w:i w:val="0"/>
                <w:iCs w:val="0"/>
                <w:color w:val="FFFFFF"/>
                <w:sz w:val="24"/>
                <w:szCs w:val="24"/>
                <w:lang w:eastAsia="zh-CN"/>
              </w:rPr>
            </w:pPr>
            <w:r>
              <w:rPr>
                <w:rFonts w:hint="eastAsia" w:ascii="宋体" w:hAnsi="宋体" w:eastAsia="宋体" w:cs="宋体"/>
                <w:b/>
                <w:i w:val="0"/>
                <w:iCs w:val="0"/>
                <w:color w:val="FFFFFF"/>
                <w:sz w:val="24"/>
                <w:szCs w:val="24"/>
                <w:lang w:eastAsia="zh-CN"/>
              </w:rPr>
              <w:t>（</w:t>
            </w:r>
            <w:r>
              <w:rPr>
                <w:rFonts w:hint="eastAsia" w:ascii="宋体" w:hAnsi="宋体" w:eastAsia="宋体" w:cs="宋体"/>
                <w:b/>
                <w:i w:val="0"/>
                <w:iCs w:val="0"/>
                <w:color w:val="FFFFFF"/>
                <w:sz w:val="24"/>
                <w:szCs w:val="24"/>
                <w:lang w:val="en-US" w:eastAsia="zh-CN"/>
              </w:rPr>
              <w:t>工厂</w:t>
            </w:r>
            <w:r>
              <w:rPr>
                <w:rFonts w:hint="eastAsia" w:ascii="宋体" w:hAnsi="宋体" w:eastAsia="宋体" w:cs="宋体"/>
                <w:b/>
                <w:i w:val="0"/>
                <w:iCs w:val="0"/>
                <w:color w:val="FFFFFF"/>
                <w:sz w:val="24"/>
                <w:szCs w:val="24"/>
                <w:lang w:eastAsia="zh-CN"/>
              </w:rPr>
              <w:t>）</w:t>
            </w:r>
          </w:p>
        </w:tc>
        <w:tc>
          <w:tcPr>
            <w:tcW w:w="186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top"/>
          </w:tcPr>
          <w:p w14:paraId="603BD981">
            <w:pPr>
              <w:spacing w:before="0" w:after="0" w:line="240" w:lineRule="auto"/>
              <w:ind w:left="0" w:leftChars="0" w:right="0" w:rightChars="0" w:firstLine="0" w:firstLineChars="0"/>
              <w:jc w:val="center"/>
              <w:rPr>
                <w:rFonts w:hint="eastAsia" w:ascii="宋体" w:hAnsi="宋体" w:eastAsia="宋体" w:cs="宋体"/>
                <w:b/>
                <w:i w:val="0"/>
                <w:iCs w:val="0"/>
                <w:color w:val="FFFFFF"/>
                <w:sz w:val="24"/>
                <w:szCs w:val="24"/>
              </w:rPr>
            </w:pPr>
            <w:r>
              <w:rPr>
                <w:rFonts w:hint="eastAsia" w:ascii="宋体" w:hAnsi="宋体" w:eastAsia="宋体" w:cs="宋体"/>
                <w:b/>
                <w:i w:val="0"/>
                <w:iCs w:val="0"/>
                <w:color w:val="FFFFFF"/>
                <w:sz w:val="24"/>
                <w:szCs w:val="24"/>
              </w:rPr>
              <w:t>四级节点</w:t>
            </w:r>
          </w:p>
          <w:p w14:paraId="70CCCAC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w:t>
            </w:r>
            <w:r>
              <w:rPr>
                <w:rFonts w:hint="eastAsia" w:ascii="宋体" w:hAnsi="宋体" w:eastAsia="宋体" w:cs="宋体"/>
                <w:b/>
                <w:i w:val="0"/>
                <w:iCs w:val="0"/>
                <w:color w:val="FFFFFF"/>
                <w:sz w:val="24"/>
                <w:szCs w:val="24"/>
                <w:lang w:val="en-US" w:eastAsia="zh-CN"/>
              </w:rPr>
              <w:t>下级</w:t>
            </w:r>
            <w:r>
              <w:rPr>
                <w:rFonts w:hint="eastAsia" w:ascii="宋体" w:hAnsi="宋体" w:eastAsia="宋体" w:cs="宋体"/>
                <w:b/>
                <w:i w:val="0"/>
                <w:iCs w:val="0"/>
                <w:color w:val="FFFFFF"/>
                <w:sz w:val="24"/>
                <w:szCs w:val="24"/>
              </w:rPr>
              <w:t>工厂）</w:t>
            </w:r>
          </w:p>
        </w:tc>
      </w:tr>
      <w:tr w14:paraId="4AE3E17C">
        <w:tblPrEx>
          <w:tblCellMar>
            <w:top w:w="0" w:type="dxa"/>
            <w:left w:w="108" w:type="dxa"/>
            <w:bottom w:w="0" w:type="dxa"/>
            <w:right w:w="108" w:type="dxa"/>
          </w:tblCellMar>
        </w:tblPrEx>
        <w:trPr>
          <w:jc w:val="center"/>
        </w:trPr>
        <w:tc>
          <w:tcPr>
            <w:tcW w:w="256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615846F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下级工厂数据汇总</w:t>
            </w:r>
          </w:p>
        </w:tc>
        <w:tc>
          <w:tcPr>
            <w:tcW w:w="262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23DAFC5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下级工厂数据汇总</w:t>
            </w:r>
          </w:p>
        </w:tc>
        <w:tc>
          <w:tcPr>
            <w:tcW w:w="240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42B347E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下级工厂数据汇总</w:t>
            </w:r>
          </w:p>
        </w:tc>
        <w:tc>
          <w:tcPr>
            <w:tcW w:w="186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71167C0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显示工厂数据</w:t>
            </w:r>
          </w:p>
        </w:tc>
      </w:tr>
      <w:tr w14:paraId="56F0C8B2">
        <w:tblPrEx>
          <w:tblCellMar>
            <w:top w:w="0" w:type="dxa"/>
            <w:left w:w="108" w:type="dxa"/>
            <w:bottom w:w="0" w:type="dxa"/>
            <w:right w:w="108" w:type="dxa"/>
          </w:tblCellMar>
        </w:tblPrEx>
        <w:trPr>
          <w:jc w:val="center"/>
        </w:trPr>
        <w:tc>
          <w:tcPr>
            <w:tcW w:w="25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6E57077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下级工厂分子分母相加后再计算占比</w:t>
            </w:r>
          </w:p>
        </w:tc>
        <w:tc>
          <w:tcPr>
            <w:tcW w:w="262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4E43E84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下级工厂分子分母相加后再计算占比</w:t>
            </w:r>
          </w:p>
        </w:tc>
        <w:tc>
          <w:tcPr>
            <w:tcW w:w="240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35A944B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下级工厂分子分母相加后再计算占比</w:t>
            </w:r>
          </w:p>
        </w:tc>
        <w:tc>
          <w:tcPr>
            <w:tcW w:w="18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0E6A6EE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显示工厂数据</w:t>
            </w:r>
          </w:p>
        </w:tc>
      </w:tr>
    </w:tbl>
    <w:p w14:paraId="01BF2E45">
      <w:pPr>
        <w:pStyle w:val="19"/>
        <w:widowControl/>
        <w:rPr>
          <w:rFonts w:ascii="Times New Roman" w:hAnsi="Times New Roman" w:eastAsia="宋体" w:cs="Times New Roman"/>
          <w:b/>
          <w:i w:val="0"/>
          <w:color w:val="1E3A8A"/>
          <w:sz w:val="24"/>
          <w:szCs w:val="24"/>
        </w:rPr>
      </w:pPr>
    </w:p>
    <w:p w14:paraId="4A5656BD">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10 项核心指标字典：</w:t>
      </w:r>
    </w:p>
    <w:tbl>
      <w:tblPr>
        <w:tblStyle w:val="38"/>
        <w:tblW w:w="9530" w:type="dxa"/>
        <w:jc w:val="center"/>
        <w:tblLayout w:type="fixed"/>
        <w:tblCellMar>
          <w:top w:w="0" w:type="dxa"/>
          <w:left w:w="108" w:type="dxa"/>
          <w:bottom w:w="0" w:type="dxa"/>
          <w:right w:w="108" w:type="dxa"/>
        </w:tblCellMar>
      </w:tblPr>
      <w:tblGrid>
        <w:gridCol w:w="753"/>
        <w:gridCol w:w="1860"/>
        <w:gridCol w:w="930"/>
        <w:gridCol w:w="2021"/>
        <w:gridCol w:w="3966"/>
      </w:tblGrid>
      <w:tr w14:paraId="66A941F9">
        <w:tblPrEx>
          <w:tblCellMar>
            <w:top w:w="0" w:type="dxa"/>
            <w:left w:w="108" w:type="dxa"/>
            <w:bottom w:w="0" w:type="dxa"/>
            <w:right w:w="108" w:type="dxa"/>
          </w:tblCellMar>
        </w:tblPrEx>
        <w:trPr>
          <w:jc w:val="center"/>
        </w:trPr>
        <w:tc>
          <w:tcPr>
            <w:tcW w:w="75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AFE2E5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186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860350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指标名称</w:t>
            </w:r>
          </w:p>
        </w:tc>
        <w:tc>
          <w:tcPr>
            <w:tcW w:w="93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128C2C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单位</w:t>
            </w:r>
          </w:p>
        </w:tc>
        <w:tc>
          <w:tcPr>
            <w:tcW w:w="202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55B259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核算数学模型</w:t>
            </w:r>
          </w:p>
        </w:tc>
        <w:tc>
          <w:tcPr>
            <w:tcW w:w="396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D00E796">
            <w:pPr>
              <w:spacing w:before="0" w:after="0" w:line="240" w:lineRule="auto"/>
              <w:ind w:left="0" w:leftChars="0" w:right="0" w:rightChars="0" w:firstLine="0" w:firstLineChars="0"/>
              <w:jc w:val="both"/>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说明</w:t>
            </w:r>
          </w:p>
        </w:tc>
      </w:tr>
      <w:tr w14:paraId="630B251B">
        <w:tblPrEx>
          <w:tblCellMar>
            <w:top w:w="0" w:type="dxa"/>
            <w:left w:w="108" w:type="dxa"/>
            <w:bottom w:w="0" w:type="dxa"/>
            <w:right w:w="108" w:type="dxa"/>
          </w:tblCellMar>
        </w:tblPrEx>
        <w:trPr>
          <w:jc w:val="center"/>
        </w:trPr>
        <w:tc>
          <w:tcPr>
            <w:tcW w:w="75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9696ED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186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BD82E4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综合能源消费量</w:t>
            </w:r>
          </w:p>
        </w:tc>
        <w:tc>
          <w:tcPr>
            <w:tcW w:w="93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D6B235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3C1F73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E = Σ(E_i × k_i)</w:t>
            </w:r>
          </w:p>
        </w:tc>
        <w:tc>
          <w:tcPr>
            <w:tcW w:w="396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AB2EFEA">
            <w:pPr>
              <w:spacing w:before="0" w:after="0" w:line="240" w:lineRule="auto"/>
              <w:ind w:left="0" w:leftChars="0" w:right="0" w:rightChars="0" w:firstLine="0" w:firstLineChars="0"/>
              <w:jc w:val="both"/>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月度指标。E 为综合能源消耗量；n 为消耗的能源种类数；E_i 为第 i 种能源实际消耗量；k_i 为第 i 种能源折标准煤系数</w:t>
            </w:r>
          </w:p>
        </w:tc>
      </w:tr>
      <w:tr w14:paraId="6DE77E55">
        <w:tblPrEx>
          <w:tblCellMar>
            <w:top w:w="0" w:type="dxa"/>
            <w:left w:w="108" w:type="dxa"/>
            <w:bottom w:w="0" w:type="dxa"/>
            <w:right w:w="108" w:type="dxa"/>
          </w:tblCellMar>
        </w:tblPrEx>
        <w:trPr>
          <w:jc w:val="center"/>
        </w:trPr>
        <w:tc>
          <w:tcPr>
            <w:tcW w:w="75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AA229B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18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C996B2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总碳排放量</w:t>
            </w:r>
          </w:p>
        </w:tc>
        <w:tc>
          <w:tcPr>
            <w:tcW w:w="93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702B69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tCO2</w:t>
            </w:r>
          </w:p>
        </w:tc>
        <w:tc>
          <w:tcPr>
            <w:tcW w:w="202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B3B7E1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C = C_燃烧 + C_购入电 + C_购入热</w:t>
            </w:r>
          </w:p>
        </w:tc>
        <w:tc>
          <w:tcPr>
            <w:tcW w:w="396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B3850DD">
            <w:pPr>
              <w:spacing w:before="0" w:after="0" w:line="240" w:lineRule="auto"/>
              <w:ind w:left="0" w:leftChars="0" w:right="0" w:rightChars="0" w:firstLine="0" w:firstLineChars="0"/>
              <w:jc w:val="both"/>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月度指标。C 为二氧化碳总排放量；C_燃烧 为化石燃料燃烧排放；C_购入电 为购入电力排放；C_购入热 为购入热力排放</w:t>
            </w:r>
          </w:p>
        </w:tc>
      </w:tr>
      <w:tr w14:paraId="3FB271AB">
        <w:tblPrEx>
          <w:tblCellMar>
            <w:top w:w="0" w:type="dxa"/>
            <w:left w:w="108" w:type="dxa"/>
            <w:bottom w:w="0" w:type="dxa"/>
            <w:right w:w="108" w:type="dxa"/>
          </w:tblCellMar>
        </w:tblPrEx>
        <w:trPr>
          <w:jc w:val="center"/>
        </w:trPr>
        <w:tc>
          <w:tcPr>
            <w:tcW w:w="75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46F06A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186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C5AE44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单位能耗碳排放</w:t>
            </w:r>
          </w:p>
        </w:tc>
        <w:tc>
          <w:tcPr>
            <w:tcW w:w="93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98ACDF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tCO2/tce</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6607E8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I = C / E</w:t>
            </w:r>
          </w:p>
        </w:tc>
        <w:tc>
          <w:tcPr>
            <w:tcW w:w="396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D119A45">
            <w:pPr>
              <w:spacing w:before="0" w:after="0" w:line="240" w:lineRule="auto"/>
              <w:ind w:left="0" w:leftChars="0" w:right="0" w:rightChars="0" w:firstLine="0" w:firstLineChars="0"/>
              <w:jc w:val="both"/>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月度指标。I 为单位能耗碳排放；C 为二氧化碳排放量；E 为综合能源消耗量</w:t>
            </w:r>
          </w:p>
        </w:tc>
      </w:tr>
      <w:tr w14:paraId="1CE70ABA">
        <w:tblPrEx>
          <w:tblCellMar>
            <w:top w:w="0" w:type="dxa"/>
            <w:left w:w="108" w:type="dxa"/>
            <w:bottom w:w="0" w:type="dxa"/>
            <w:right w:w="108" w:type="dxa"/>
          </w:tblCellMar>
        </w:tblPrEx>
        <w:trPr>
          <w:jc w:val="center"/>
        </w:trPr>
        <w:tc>
          <w:tcPr>
            <w:tcW w:w="75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C909DC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18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7B377C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非化石能源消费占比</w:t>
            </w:r>
          </w:p>
        </w:tc>
        <w:tc>
          <w:tcPr>
            <w:tcW w:w="93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F19A7A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202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B6B779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r = R / E × 100%</w:t>
            </w:r>
          </w:p>
        </w:tc>
        <w:tc>
          <w:tcPr>
            <w:tcW w:w="396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96DFE14">
            <w:pPr>
              <w:spacing w:before="0" w:after="0" w:line="240" w:lineRule="auto"/>
              <w:ind w:left="0" w:leftChars="0" w:right="0" w:rightChars="0" w:firstLine="0" w:firstLineChars="0"/>
              <w:jc w:val="both"/>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月度指标。R 为各类非化石能源消费量（不含原料用能）；E 为综合能源消费量（不含原料用能）</w:t>
            </w:r>
          </w:p>
        </w:tc>
      </w:tr>
      <w:tr w14:paraId="4F9A4EC7">
        <w:tblPrEx>
          <w:tblCellMar>
            <w:top w:w="0" w:type="dxa"/>
            <w:left w:w="108" w:type="dxa"/>
            <w:bottom w:w="0" w:type="dxa"/>
            <w:right w:w="108" w:type="dxa"/>
          </w:tblCellMar>
        </w:tblPrEx>
        <w:trPr>
          <w:jc w:val="center"/>
        </w:trPr>
        <w:tc>
          <w:tcPr>
            <w:tcW w:w="75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A4413D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186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D027B7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非化石能源电力消费物理认定量占比</w:t>
            </w:r>
          </w:p>
        </w:tc>
        <w:tc>
          <w:tcPr>
            <w:tcW w:w="93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1191E2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1CA13E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E_{ui} = E_z / Q × 100%</w:t>
            </w:r>
          </w:p>
        </w:tc>
        <w:tc>
          <w:tcPr>
            <w:tcW w:w="396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007068D">
            <w:pPr>
              <w:spacing w:before="0" w:after="0" w:line="240" w:lineRule="auto"/>
              <w:ind w:left="0" w:leftChars="0" w:right="0" w:rightChars="0" w:firstLine="0" w:firstLineChars="0"/>
              <w:jc w:val="both"/>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月度指标。E_z 为具备物理可溯源条件的非化石能源电力消费量；Q 为总用电量</w:t>
            </w:r>
          </w:p>
        </w:tc>
      </w:tr>
      <w:tr w14:paraId="0B0F0B45">
        <w:tblPrEx>
          <w:tblCellMar>
            <w:top w:w="0" w:type="dxa"/>
            <w:left w:w="108" w:type="dxa"/>
            <w:bottom w:w="0" w:type="dxa"/>
            <w:right w:w="108" w:type="dxa"/>
          </w:tblCellMar>
        </w:tblPrEx>
        <w:trPr>
          <w:jc w:val="center"/>
        </w:trPr>
        <w:tc>
          <w:tcPr>
            <w:tcW w:w="75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7CAA44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18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32E506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单位工业增加值能耗</w:t>
            </w:r>
          </w:p>
        </w:tc>
        <w:tc>
          <w:tcPr>
            <w:tcW w:w="93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27D5FC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tce/万元</w:t>
            </w:r>
          </w:p>
        </w:tc>
        <w:tc>
          <w:tcPr>
            <w:tcW w:w="202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9C042A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E_{nva} = E / G_{nva}</w:t>
            </w:r>
          </w:p>
        </w:tc>
        <w:tc>
          <w:tcPr>
            <w:tcW w:w="396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AEE3490">
            <w:pPr>
              <w:spacing w:before="0" w:after="0" w:line="240" w:lineRule="auto"/>
              <w:ind w:left="0" w:leftChars="0" w:right="0" w:rightChars="0" w:firstLine="0" w:firstLineChars="0"/>
              <w:jc w:val="both"/>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月度指标。G_nva 为工业增加值（万元）</w:t>
            </w:r>
          </w:p>
        </w:tc>
      </w:tr>
      <w:tr w14:paraId="58F7C604">
        <w:tblPrEx>
          <w:tblCellMar>
            <w:top w:w="0" w:type="dxa"/>
            <w:left w:w="108" w:type="dxa"/>
            <w:bottom w:w="0" w:type="dxa"/>
            <w:right w:w="108" w:type="dxa"/>
          </w:tblCellMar>
        </w:tblPrEx>
        <w:trPr>
          <w:jc w:val="center"/>
        </w:trPr>
        <w:tc>
          <w:tcPr>
            <w:tcW w:w="75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3AB815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186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F628C1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单位产值能耗</w:t>
            </w:r>
          </w:p>
        </w:tc>
        <w:tc>
          <w:tcPr>
            <w:tcW w:w="93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7541CA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tce/万元</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8DF004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g = E / G</w:t>
            </w:r>
          </w:p>
        </w:tc>
        <w:tc>
          <w:tcPr>
            <w:tcW w:w="396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67157C8">
            <w:pPr>
              <w:spacing w:before="0" w:after="0" w:line="240" w:lineRule="auto"/>
              <w:ind w:left="0" w:leftChars="0" w:right="0" w:rightChars="0" w:firstLine="0" w:firstLineChars="0"/>
              <w:jc w:val="both"/>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月度指标。G 为产品产值（万元）</w:t>
            </w:r>
          </w:p>
        </w:tc>
      </w:tr>
      <w:tr w14:paraId="7AD65D99">
        <w:tblPrEx>
          <w:tblCellMar>
            <w:top w:w="0" w:type="dxa"/>
            <w:left w:w="108" w:type="dxa"/>
            <w:bottom w:w="0" w:type="dxa"/>
            <w:right w:w="108" w:type="dxa"/>
          </w:tblCellMar>
        </w:tblPrEx>
        <w:trPr>
          <w:jc w:val="center"/>
        </w:trPr>
        <w:tc>
          <w:tcPr>
            <w:tcW w:w="75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ED43DE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18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975423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水资源消耗量</w:t>
            </w:r>
          </w:p>
        </w:tc>
        <w:tc>
          <w:tcPr>
            <w:tcW w:w="93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26693F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w:t>
            </w:r>
          </w:p>
        </w:tc>
        <w:tc>
          <w:tcPr>
            <w:tcW w:w="202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265E55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W = Σ W_i</w:t>
            </w:r>
          </w:p>
        </w:tc>
        <w:tc>
          <w:tcPr>
            <w:tcW w:w="396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8328253">
            <w:pPr>
              <w:spacing w:before="0" w:after="0" w:line="240" w:lineRule="auto"/>
              <w:ind w:left="0" w:leftChars="0" w:right="0" w:rightChars="0" w:firstLine="0" w:firstLineChars="0"/>
              <w:jc w:val="both"/>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月度指标。W_i 为各车间、工段及公辅设施水表计量用水量</w:t>
            </w:r>
          </w:p>
        </w:tc>
      </w:tr>
      <w:tr w14:paraId="55CCA650">
        <w:tblPrEx>
          <w:tblCellMar>
            <w:top w:w="0" w:type="dxa"/>
            <w:left w:w="108" w:type="dxa"/>
            <w:bottom w:w="0" w:type="dxa"/>
            <w:right w:w="108" w:type="dxa"/>
          </w:tblCellMar>
        </w:tblPrEx>
        <w:trPr>
          <w:jc w:val="center"/>
        </w:trPr>
        <w:tc>
          <w:tcPr>
            <w:tcW w:w="75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F606CD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186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3C6BBE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节能装备应用占比</w:t>
            </w:r>
          </w:p>
        </w:tc>
        <w:tc>
          <w:tcPr>
            <w:tcW w:w="93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D3C1BB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9740C7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S = R_{es} / E_{ts} × 100%</w:t>
            </w:r>
          </w:p>
        </w:tc>
        <w:tc>
          <w:tcPr>
            <w:tcW w:w="396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BB0ACCA">
            <w:pPr>
              <w:spacing w:before="0" w:after="0" w:line="240" w:lineRule="auto"/>
              <w:ind w:left="0" w:leftChars="0" w:right="0" w:rightChars="0" w:firstLine="0" w:firstLineChars="0"/>
              <w:jc w:val="both"/>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月度指标。R_es 为达到或优于能效国标 2 级水平装备累计额定总功率；E_ts 为纳入统计范围装备累计额定总功率</w:t>
            </w:r>
          </w:p>
        </w:tc>
      </w:tr>
      <w:tr w14:paraId="51AED9C8">
        <w:tblPrEx>
          <w:tblCellMar>
            <w:top w:w="0" w:type="dxa"/>
            <w:left w:w="108" w:type="dxa"/>
            <w:bottom w:w="0" w:type="dxa"/>
            <w:right w:w="108" w:type="dxa"/>
          </w:tblCellMar>
        </w:tblPrEx>
        <w:trPr>
          <w:jc w:val="center"/>
        </w:trPr>
        <w:tc>
          <w:tcPr>
            <w:tcW w:w="75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F365ED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18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D6C4FB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开展产品碳足迹分析占比</w:t>
            </w:r>
          </w:p>
        </w:tc>
        <w:tc>
          <w:tcPr>
            <w:tcW w:w="93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2083C7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202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C7DE2A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R_{cf} = N_{cf} / N × 100%</w:t>
            </w:r>
          </w:p>
        </w:tc>
        <w:tc>
          <w:tcPr>
            <w:tcW w:w="396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E6BAFF2">
            <w:pPr>
              <w:spacing w:before="0" w:after="0" w:line="240" w:lineRule="auto"/>
              <w:ind w:left="0" w:leftChars="0" w:right="0" w:rightChars="0" w:firstLine="0" w:firstLineChars="0"/>
              <w:jc w:val="both"/>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月度指标。N_cf 为已开展主要产品碳足迹分析的产品类别数量；N 为主要产品类别总数</w:t>
            </w:r>
          </w:p>
        </w:tc>
      </w:tr>
    </w:tbl>
    <w:p w14:paraId="3C4F1513">
      <w:pPr>
        <w:pStyle w:val="7"/>
        <w:numPr>
          <w:ilvl w:val="0"/>
          <w:numId w:val="32"/>
        </w:numPr>
        <w:ind w:left="0" w:leftChars="0" w:firstLine="0" w:firstLineChars="0"/>
        <w:outlineLvl w:val="3"/>
        <w:rPr>
          <w:rFonts w:eastAsia="黑体"/>
          <w:b w:val="0"/>
          <w:bCs/>
          <w:sz w:val="28"/>
          <w:szCs w:val="28"/>
        </w:rPr>
      </w:pPr>
      <w:r>
        <w:rPr>
          <w:rFonts w:ascii="Times New Roman" w:hAnsi="Times New Roman" w:eastAsia="黑体" w:cs="Times New Roman"/>
          <w:b w:val="0"/>
          <w:bCs/>
          <w:sz w:val="28"/>
          <w:szCs w:val="28"/>
        </w:rPr>
        <w:t>数据变化桑基图</w:t>
      </w:r>
    </w:p>
    <w:p w14:paraId="2D9A46E6">
      <w:pPr>
        <w:pStyle w:val="19"/>
        <w:widowControl/>
        <w:numPr>
          <w:ilvl w:val="0"/>
          <w:numId w:val="0"/>
        </w:numPr>
        <w:rPr>
          <w:rFonts w:eastAsia="宋体"/>
          <w:b/>
          <w:i w:val="0"/>
          <w:color w:val="0284C7"/>
          <w:sz w:val="24"/>
          <w:szCs w:val="24"/>
        </w:rPr>
      </w:pPr>
      <w:r>
        <w:drawing>
          <wp:inline distT="0" distB="0" distL="114300" distR="114300">
            <wp:extent cx="5905500" cy="2783205"/>
            <wp:effectExtent l="0" t="0" r="0" b="17145"/>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21"/>
                    <a:stretch>
                      <a:fillRect/>
                    </a:stretch>
                  </pic:blipFill>
                  <pic:spPr>
                    <a:xfrm>
                      <a:off x="0" y="0"/>
                      <a:ext cx="5905500" cy="2783205"/>
                    </a:xfrm>
                    <a:prstGeom prst="rect">
                      <a:avLst/>
                    </a:prstGeom>
                    <a:noFill/>
                    <a:ln>
                      <a:noFill/>
                    </a:ln>
                  </pic:spPr>
                </pic:pic>
              </a:graphicData>
            </a:graphic>
          </wp:inline>
        </w:drawing>
      </w:r>
    </w:p>
    <w:p w14:paraId="554F21A8">
      <w:pPr>
        <w:pStyle w:val="19"/>
        <w:widowControl/>
        <w:numPr>
          <w:ilvl w:val="0"/>
          <w:numId w:val="3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显示逻辑</w:t>
      </w:r>
      <w:r>
        <w:rPr>
          <w:rFonts w:ascii="Times New Roman" w:hAnsi="Times New Roman" w:eastAsia="宋体" w:cs="Times New Roman"/>
          <w:i w:val="0"/>
          <w:color w:val="1F2937"/>
          <w:sz w:val="24"/>
          <w:szCs w:val="24"/>
        </w:rPr>
        <w:t>：桑基图仅在选择 1 级节点时显示。</w:t>
      </w:r>
    </w:p>
    <w:p w14:paraId="2001C284">
      <w:pPr>
        <w:pStyle w:val="19"/>
        <w:widowControl/>
        <w:numPr>
          <w:ilvl w:val="0"/>
          <w:numId w:val="3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：对集团、单位、工厂之间维度的数据变化归因流展示，呈现指标变化量在各级经营单位 / 项目公司间的分布与贡献度。</w:t>
      </w:r>
    </w:p>
    <w:p w14:paraId="471B5008">
      <w:pPr>
        <w:pStyle w:val="19"/>
        <w:widowControl/>
        <w:numPr>
          <w:ilvl w:val="0"/>
          <w:numId w:val="3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交互规则</w:t>
      </w:r>
      <w:r>
        <w:rPr>
          <w:rFonts w:ascii="Times New Roman" w:hAnsi="Times New Roman" w:eastAsia="宋体" w:cs="Times New Roman"/>
          <w:i w:val="0"/>
          <w:color w:val="1F2937"/>
          <w:sz w:val="24"/>
          <w:szCs w:val="24"/>
        </w:rPr>
        <w:t>：点击 3.1 卡片中 10 项核心指标时，下方桑基图根据所选指标的不同进行展示。</w:t>
      </w:r>
    </w:p>
    <w:tbl>
      <w:tblPr>
        <w:tblStyle w:val="38"/>
        <w:tblW w:w="9784" w:type="dxa"/>
        <w:jc w:val="center"/>
        <w:tblLayout w:type="autofit"/>
        <w:tblCellMar>
          <w:top w:w="0" w:type="dxa"/>
          <w:left w:w="108" w:type="dxa"/>
          <w:bottom w:w="0" w:type="dxa"/>
          <w:right w:w="108" w:type="dxa"/>
        </w:tblCellMar>
      </w:tblPr>
      <w:tblGrid>
        <w:gridCol w:w="646"/>
        <w:gridCol w:w="1416"/>
        <w:gridCol w:w="5226"/>
        <w:gridCol w:w="2496"/>
      </w:tblGrid>
      <w:tr w14:paraId="44711D38">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1C471B1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top"/>
          </w:tcPr>
          <w:p w14:paraId="1746F53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节点/字段</w:t>
            </w:r>
          </w:p>
        </w:tc>
        <w:tc>
          <w:tcPr>
            <w:tcW w:w="522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46339FF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说明</w:t>
            </w:r>
          </w:p>
        </w:tc>
        <w:tc>
          <w:tcPr>
            <w:tcW w:w="249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D20C9F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数据来源</w:t>
            </w:r>
          </w:p>
        </w:tc>
      </w:tr>
      <w:tr w14:paraId="6F6EBB0E">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596287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0A2EEF9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源节点</w:t>
            </w:r>
          </w:p>
        </w:tc>
        <w:tc>
          <w:tcPr>
            <w:tcW w:w="522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F96DF1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指标变化发起节点</w:t>
            </w:r>
          </w:p>
        </w:tc>
        <w:tc>
          <w:tcPr>
            <w:tcW w:w="249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14F9AC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指标管控计算</w:t>
            </w:r>
          </w:p>
        </w:tc>
      </w:tr>
      <w:tr w14:paraId="0363DF46">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10A7AF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2200DD7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流量</w:t>
            </w:r>
          </w:p>
        </w:tc>
        <w:tc>
          <w:tcPr>
            <w:tcW w:w="522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CCDEAC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指标变化量</w:t>
            </w:r>
          </w:p>
        </w:tc>
        <w:tc>
          <w:tcPr>
            <w:tcW w:w="249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536677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环比 / 同比计算结果</w:t>
            </w:r>
          </w:p>
        </w:tc>
      </w:tr>
      <w:tr w14:paraId="135DE263">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D49AAF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2B8D7FB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目标节点</w:t>
            </w:r>
          </w:p>
        </w:tc>
        <w:tc>
          <w:tcPr>
            <w:tcW w:w="522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7AE743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变化归集到的经营单位 / 项目公司 / 时间粒度</w:t>
            </w:r>
          </w:p>
        </w:tc>
        <w:tc>
          <w:tcPr>
            <w:tcW w:w="249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BE4DDA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指标台账</w:t>
            </w:r>
          </w:p>
        </w:tc>
      </w:tr>
      <w:tr w14:paraId="7622E39E">
        <w:tblPrEx>
          <w:tblCellMar>
            <w:top w:w="0" w:type="dxa"/>
            <w:left w:w="108" w:type="dxa"/>
            <w:bottom w:w="0" w:type="dxa"/>
            <w:right w:w="108" w:type="dxa"/>
          </w:tblCellMar>
        </w:tblPrEx>
        <w:trPr>
          <w:jc w:val="center"/>
        </w:trPr>
        <w:tc>
          <w:tcPr>
            <w:tcW w:w="64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9D6DBA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14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2BFD500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悬浮交互</w:t>
            </w:r>
          </w:p>
        </w:tc>
        <w:tc>
          <w:tcPr>
            <w:tcW w:w="522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D4D8E7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显示流经值与占比</w:t>
            </w:r>
          </w:p>
        </w:tc>
        <w:tc>
          <w:tcPr>
            <w:tcW w:w="249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FD92A7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r>
    </w:tbl>
    <w:p w14:paraId="0B561913">
      <w:pPr>
        <w:spacing w:after="60"/>
        <w:rPr>
          <w:rFonts w:hint="eastAsia" w:ascii="宋体" w:hAnsi="宋体" w:eastAsia="宋体" w:cs="宋体"/>
          <w:i w:val="0"/>
          <w:iCs w:val="0"/>
          <w:sz w:val="24"/>
          <w:szCs w:val="24"/>
        </w:rPr>
      </w:pPr>
    </w:p>
    <w:p w14:paraId="2E501D11">
      <w:pPr>
        <w:pStyle w:val="7"/>
        <w:numPr>
          <w:ilvl w:val="0"/>
          <w:numId w:val="32"/>
        </w:numPr>
        <w:ind w:left="0" w:leftChars="0" w:firstLine="0" w:firstLineChars="0"/>
        <w:outlineLvl w:val="3"/>
        <w:rPr>
          <w:rFonts w:eastAsia="黑体"/>
          <w:b w:val="0"/>
          <w:bCs/>
          <w:sz w:val="28"/>
          <w:szCs w:val="28"/>
        </w:rPr>
      </w:pPr>
      <w:r>
        <w:rPr>
          <w:rFonts w:ascii="Times New Roman" w:hAnsi="Times New Roman" w:eastAsia="黑体" w:cs="Times New Roman"/>
          <w:b w:val="0"/>
          <w:bCs/>
          <w:sz w:val="28"/>
          <w:szCs w:val="28"/>
        </w:rPr>
        <w:t>产品管控指标</w:t>
      </w:r>
    </w:p>
    <w:p w14:paraId="39C6BBC2">
      <w:pPr>
        <w:pStyle w:val="19"/>
        <w:widowControl/>
        <w:numPr>
          <w:ilvl w:val="0"/>
          <w:numId w:val="0"/>
        </w:numPr>
        <w:rPr>
          <w:rFonts w:eastAsia="宋体"/>
          <w:b/>
          <w:i w:val="0"/>
          <w:color w:val="0284C7"/>
          <w:sz w:val="24"/>
          <w:szCs w:val="24"/>
        </w:rPr>
      </w:pPr>
      <w:r>
        <w:drawing>
          <wp:inline distT="0" distB="0" distL="114300" distR="114300">
            <wp:extent cx="5904865" cy="2269490"/>
            <wp:effectExtent l="0" t="0" r="635" b="16510"/>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22"/>
                    <a:stretch>
                      <a:fillRect/>
                    </a:stretch>
                  </pic:blipFill>
                  <pic:spPr>
                    <a:xfrm>
                      <a:off x="0" y="0"/>
                      <a:ext cx="5904865" cy="2269490"/>
                    </a:xfrm>
                    <a:prstGeom prst="rect">
                      <a:avLst/>
                    </a:prstGeom>
                    <a:noFill/>
                    <a:ln>
                      <a:noFill/>
                    </a:ln>
                  </pic:spPr>
                </pic:pic>
              </a:graphicData>
            </a:graphic>
          </wp:inline>
        </w:drawing>
      </w:r>
    </w:p>
    <w:p w14:paraId="19E635F4">
      <w:pPr>
        <w:pStyle w:val="19"/>
        <w:widowControl/>
        <w:numPr>
          <w:ilvl w:val="0"/>
          <w:numId w:val="3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变压器产业</w:t>
      </w:r>
      <w:r>
        <w:rPr>
          <w:rFonts w:ascii="Times New Roman" w:hAnsi="Times New Roman" w:eastAsia="宋体" w:cs="Times New Roman"/>
          <w:i w:val="0"/>
          <w:color w:val="1F2937"/>
          <w:sz w:val="24"/>
          <w:szCs w:val="24"/>
        </w:rPr>
        <w:t>：分母物理量统一为容量【万 kVA】（或千伏安 kVA），单位产品综合能耗单位为【tce/万 kVA】或【tce/kVA】。</w:t>
      </w:r>
    </w:p>
    <w:p w14:paraId="7C8C5836">
      <w:pPr>
        <w:pStyle w:val="19"/>
        <w:widowControl/>
        <w:numPr>
          <w:ilvl w:val="0"/>
          <w:numId w:val="3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线缆产业</w:t>
      </w:r>
      <w:r>
        <w:rPr>
          <w:rFonts w:ascii="Times New Roman" w:hAnsi="Times New Roman" w:eastAsia="宋体" w:cs="Times New Roman"/>
          <w:i w:val="0"/>
          <w:color w:val="1F2937"/>
          <w:sz w:val="24"/>
          <w:szCs w:val="24"/>
        </w:rPr>
        <w:t>：分母物理量统一为导体规格【万 km·mm²】（公里 × 毫米平方），单位产品综合能耗单位为【tce/万 km·mm²】。</w:t>
      </w:r>
    </w:p>
    <w:tbl>
      <w:tblPr>
        <w:tblStyle w:val="38"/>
        <w:tblW w:w="9784" w:type="dxa"/>
        <w:jc w:val="center"/>
        <w:tblLayout w:type="autofit"/>
        <w:tblCellMar>
          <w:top w:w="0" w:type="dxa"/>
          <w:left w:w="108" w:type="dxa"/>
          <w:bottom w:w="0" w:type="dxa"/>
          <w:right w:w="108" w:type="dxa"/>
        </w:tblCellMar>
      </w:tblPr>
      <w:tblGrid>
        <w:gridCol w:w="775"/>
        <w:gridCol w:w="2580"/>
        <w:gridCol w:w="2279"/>
        <w:gridCol w:w="2171"/>
        <w:gridCol w:w="1979"/>
      </w:tblGrid>
      <w:tr w14:paraId="32B5B9A2">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top"/>
          </w:tcPr>
          <w:p w14:paraId="6827072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top"/>
          </w:tcPr>
          <w:p w14:paraId="437AAE1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产品管控指标名称</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top"/>
          </w:tcPr>
          <w:p w14:paraId="3249046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变压器产业单位</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top"/>
          </w:tcPr>
          <w:p w14:paraId="405B8BE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线缆产业单位</w:t>
            </w:r>
          </w:p>
        </w:tc>
        <w:tc>
          <w:tcPr>
            <w:tcW w:w="197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top"/>
          </w:tcPr>
          <w:p w14:paraId="205BB4B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核算数学公式</w:t>
            </w:r>
          </w:p>
        </w:tc>
      </w:tr>
      <w:tr w14:paraId="74013B64">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1F08302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102A475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单位产品综合能耗</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3AB2307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tce/万kVA</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4109A7C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tce/万km·mm²</w:t>
            </w:r>
          </w:p>
        </w:tc>
        <w:tc>
          <w:tcPr>
            <w:tcW w:w="19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3B13570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e = E / M</w:t>
            </w:r>
          </w:p>
        </w:tc>
      </w:tr>
      <w:tr w14:paraId="2B59CCEE">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6F46FEA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02C7B3F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单位产品电耗</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778AAC4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kWh/kVA</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0B4F844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kWh/km·mm²</w:t>
            </w:r>
          </w:p>
        </w:tc>
        <w:tc>
          <w:tcPr>
            <w:tcW w:w="19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1D7559E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 = Q / M</w:t>
            </w:r>
          </w:p>
        </w:tc>
      </w:tr>
      <w:tr w14:paraId="710B62CB">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36B9D50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180A15E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单位产品蒸汽耗</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54CC3FB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GJ/kVA</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29F7713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GJ/km·mm²</w:t>
            </w:r>
          </w:p>
        </w:tc>
        <w:tc>
          <w:tcPr>
            <w:tcW w:w="19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2796D76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 = Q / M</w:t>
            </w:r>
          </w:p>
        </w:tc>
      </w:tr>
      <w:tr w14:paraId="03FC3B01">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2A4A1B4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4649D73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单位产品天然气耗</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0800554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m³/kVA</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1180814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m³/km·mm²</w:t>
            </w:r>
          </w:p>
        </w:tc>
        <w:tc>
          <w:tcPr>
            <w:tcW w:w="19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71CB45F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 = Q / M</w:t>
            </w:r>
          </w:p>
        </w:tc>
      </w:tr>
      <w:tr w14:paraId="65CFE05A">
        <w:tblPrEx>
          <w:tblCellMar>
            <w:top w:w="0" w:type="dxa"/>
            <w:left w:w="108" w:type="dxa"/>
            <w:bottom w:w="0" w:type="dxa"/>
            <w:right w:w="108" w:type="dxa"/>
          </w:tblCellMar>
        </w:tblPrEx>
        <w:trPr>
          <w:jc w:val="center"/>
        </w:trPr>
        <w:tc>
          <w:tcPr>
            <w:tcW w:w="77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5B966D0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25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395C068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单位产品水耗</w:t>
            </w:r>
          </w:p>
        </w:tc>
        <w:tc>
          <w:tcPr>
            <w:tcW w:w="22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6FB3502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t/kVA</w:t>
            </w:r>
          </w:p>
        </w:tc>
        <w:tc>
          <w:tcPr>
            <w:tcW w:w="217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6050184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t/km·mm²</w:t>
            </w:r>
          </w:p>
        </w:tc>
        <w:tc>
          <w:tcPr>
            <w:tcW w:w="19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193A998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 = Q / M</w:t>
            </w:r>
          </w:p>
        </w:tc>
      </w:tr>
    </w:tbl>
    <w:p w14:paraId="113F1CD1">
      <w:pPr>
        <w:spacing w:after="60"/>
        <w:rPr>
          <w:rFonts w:hint="eastAsia" w:ascii="宋体" w:hAnsi="宋体" w:eastAsia="宋体" w:cs="宋体"/>
          <w:i w:val="0"/>
          <w:iCs w:val="0"/>
          <w:sz w:val="24"/>
          <w:szCs w:val="24"/>
        </w:rPr>
      </w:pPr>
    </w:p>
    <w:p w14:paraId="271541F5">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展示与对比规则：</w:t>
      </w:r>
    </w:p>
    <w:p w14:paraId="328C36A9">
      <w:pPr>
        <w:pStyle w:val="19"/>
        <w:widowControl/>
        <w:numPr>
          <w:ilvl w:val="0"/>
          <w:numId w:val="3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指标粒度</w:t>
      </w:r>
      <w:r>
        <w:rPr>
          <w:rFonts w:ascii="Times New Roman" w:hAnsi="Times New Roman" w:eastAsia="宋体" w:cs="Times New Roman"/>
          <w:i w:val="0"/>
          <w:color w:val="1F2937"/>
          <w:sz w:val="24"/>
          <w:szCs w:val="24"/>
        </w:rPr>
        <w:t>：5 项单位产品指标均细化到产品大类。</w:t>
      </w:r>
    </w:p>
    <w:p w14:paraId="68D68267">
      <w:pPr>
        <w:pStyle w:val="19"/>
        <w:widowControl/>
        <w:numPr>
          <w:ilvl w:val="0"/>
          <w:numId w:val="3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环比范围</w:t>
      </w:r>
      <w:r>
        <w:rPr>
          <w:rFonts w:ascii="Times New Roman" w:hAnsi="Times New Roman" w:eastAsia="宋体" w:cs="Times New Roman"/>
          <w:i w:val="0"/>
          <w:color w:val="1F2937"/>
          <w:sz w:val="24"/>
          <w:szCs w:val="24"/>
        </w:rPr>
        <w:t>：环比变化选择范围固定为同型号产品；同比为同型号去年同期。</w:t>
      </w:r>
    </w:p>
    <w:p w14:paraId="4FABD700">
      <w:pPr>
        <w:pStyle w:val="19"/>
        <w:widowControl/>
        <w:numPr>
          <w:ilvl w:val="0"/>
          <w:numId w:val="3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分母隔离</w:t>
      </w:r>
      <w:r>
        <w:rPr>
          <w:rFonts w:ascii="Times New Roman" w:hAnsi="Times New Roman" w:eastAsia="宋体" w:cs="Times New Roman"/>
          <w:i w:val="0"/>
          <w:color w:val="1F2937"/>
          <w:sz w:val="24"/>
          <w:szCs w:val="24"/>
        </w:rPr>
        <w:t>：变压器产业分母为 kVA/万 kVA，线缆产业分母为 km·mm²/万 km·mm²，严禁跨产业混算。</w:t>
      </w:r>
    </w:p>
    <w:p w14:paraId="55EC8357">
      <w:pPr>
        <w:pStyle w:val="19"/>
        <w:widowControl/>
        <w:numPr>
          <w:ilvl w:val="0"/>
          <w:numId w:val="3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状态与对比</w:t>
      </w:r>
      <w:r>
        <w:rPr>
          <w:rFonts w:ascii="Times New Roman" w:hAnsi="Times New Roman" w:eastAsia="宋体" w:cs="Times New Roman"/>
          <w:i w:val="0"/>
          <w:color w:val="1F2937"/>
          <w:sz w:val="24"/>
          <w:szCs w:val="24"/>
        </w:rPr>
        <w:t>：按标杆值/基准值三色判定，点击指标进入二级详情。</w:t>
      </w:r>
    </w:p>
    <w:p w14:paraId="28ACB668">
      <w:pPr>
        <w:pStyle w:val="19"/>
        <w:widowControl/>
        <w:numPr>
          <w:ilvl w:val="0"/>
          <w:numId w:val="3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条件显示</w:t>
      </w:r>
      <w:r>
        <w:rPr>
          <w:rFonts w:ascii="Times New Roman" w:hAnsi="Times New Roman" w:eastAsia="宋体" w:cs="Times New Roman"/>
          <w:i w:val="0"/>
          <w:color w:val="1F2937"/>
          <w:sz w:val="24"/>
          <w:szCs w:val="24"/>
        </w:rPr>
        <w:t>：根据产品类型不同，页面显示的卡片信息会不同。</w:t>
      </w:r>
    </w:p>
    <w:p w14:paraId="532F927C">
      <w:pPr>
        <w:pStyle w:val="7"/>
        <w:numPr>
          <w:ilvl w:val="0"/>
          <w:numId w:val="32"/>
        </w:numPr>
        <w:ind w:left="0" w:leftChars="0" w:firstLine="0" w:firstLineChars="0"/>
        <w:outlineLvl w:val="3"/>
        <w:rPr>
          <w:rFonts w:eastAsia="黑体"/>
          <w:b w:val="0"/>
          <w:bCs/>
          <w:sz w:val="28"/>
          <w:szCs w:val="28"/>
        </w:rPr>
      </w:pPr>
      <w:r>
        <w:rPr>
          <w:rFonts w:ascii="Times New Roman" w:hAnsi="Times New Roman" w:eastAsia="黑体" w:cs="Times New Roman"/>
          <w:b w:val="0"/>
          <w:bCs/>
          <w:sz w:val="28"/>
          <w:szCs w:val="28"/>
        </w:rPr>
        <w:t>产线子分类管控指标</w:t>
      </w:r>
    </w:p>
    <w:p w14:paraId="7784473E">
      <w:pPr>
        <w:pStyle w:val="19"/>
        <w:widowControl/>
        <w:numPr>
          <w:ilvl w:val="0"/>
          <w:numId w:val="0"/>
        </w:numPr>
        <w:rPr>
          <w:rFonts w:eastAsia="宋体"/>
          <w:b/>
          <w:i w:val="0"/>
          <w:color w:val="0284C7"/>
          <w:sz w:val="24"/>
          <w:szCs w:val="24"/>
        </w:rPr>
      </w:pPr>
      <w:r>
        <w:drawing>
          <wp:inline distT="0" distB="0" distL="114300" distR="114300">
            <wp:extent cx="5913755" cy="1889125"/>
            <wp:effectExtent l="0" t="0" r="10795" b="15875"/>
            <wp:docPr id="2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4"/>
                    <pic:cNvPicPr>
                      <a:picLocks noChangeAspect="1"/>
                    </pic:cNvPicPr>
                  </pic:nvPicPr>
                  <pic:blipFill>
                    <a:blip r:embed="rId23"/>
                    <a:stretch>
                      <a:fillRect/>
                    </a:stretch>
                  </pic:blipFill>
                  <pic:spPr>
                    <a:xfrm>
                      <a:off x="0" y="0"/>
                      <a:ext cx="5913755" cy="1889125"/>
                    </a:xfrm>
                    <a:prstGeom prst="rect">
                      <a:avLst/>
                    </a:prstGeom>
                    <a:noFill/>
                    <a:ln>
                      <a:noFill/>
                    </a:ln>
                  </pic:spPr>
                </pic:pic>
              </a:graphicData>
            </a:graphic>
          </wp:inline>
        </w:drawing>
      </w:r>
    </w:p>
    <w:p w14:paraId="520EA7A0">
      <w:pPr>
        <w:pStyle w:val="19"/>
        <w:widowControl/>
        <w:numPr>
          <w:ilvl w:val="0"/>
          <w:numId w:val="3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框架说明</w:t>
      </w:r>
      <w:r>
        <w:rPr>
          <w:rFonts w:ascii="Times New Roman" w:hAnsi="Times New Roman" w:eastAsia="宋体" w:cs="Times New Roman"/>
          <w:i w:val="0"/>
          <w:color w:val="1F2937"/>
          <w:sz w:val="24"/>
          <w:szCs w:val="24"/>
        </w:rPr>
        <w:t>：按【产线子分类】归集单位产品能耗、工序能耗占比、单耗与基准偏差等指标。</w:t>
      </w:r>
    </w:p>
    <w:p w14:paraId="452D69AE">
      <w:pPr>
        <w:pStyle w:val="19"/>
        <w:widowControl/>
        <w:numPr>
          <w:ilvl w:val="0"/>
          <w:numId w:val="3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子分类</w:t>
      </w:r>
      <w:r>
        <w:rPr>
          <w:rFonts w:ascii="Times New Roman" w:hAnsi="Times New Roman" w:eastAsia="宋体" w:cs="Times New Roman"/>
          <w:i w:val="0"/>
          <w:color w:val="1F2937"/>
          <w:sz w:val="24"/>
          <w:szCs w:val="24"/>
        </w:rPr>
        <w:t>：变压器产业按【高压产线 / 中低压产线 / 干式产线】划分；线缆产业按【拉丝 / 交联 / 其他】划分（最终以项目组确认为准）。</w:t>
      </w:r>
    </w:p>
    <w:tbl>
      <w:tblPr>
        <w:tblStyle w:val="38"/>
        <w:tblW w:w="9784" w:type="dxa"/>
        <w:jc w:val="center"/>
        <w:tblLayout w:type="autofit"/>
        <w:tblCellMar>
          <w:top w:w="0" w:type="dxa"/>
          <w:left w:w="108" w:type="dxa"/>
          <w:bottom w:w="0" w:type="dxa"/>
          <w:right w:w="108" w:type="dxa"/>
        </w:tblCellMar>
      </w:tblPr>
      <w:tblGrid>
        <w:gridCol w:w="725"/>
        <w:gridCol w:w="1810"/>
        <w:gridCol w:w="1025"/>
        <w:gridCol w:w="1284"/>
        <w:gridCol w:w="4940"/>
      </w:tblGrid>
      <w:tr w14:paraId="61FB82B6">
        <w:tblPrEx>
          <w:tblCellMar>
            <w:top w:w="0" w:type="dxa"/>
            <w:left w:w="108" w:type="dxa"/>
            <w:bottom w:w="0" w:type="dxa"/>
            <w:right w:w="108" w:type="dxa"/>
          </w:tblCellMar>
        </w:tblPrEx>
        <w:trPr>
          <w:jc w:val="center"/>
        </w:trPr>
        <w:tc>
          <w:tcPr>
            <w:tcW w:w="72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5C9FDA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181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EA978D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工序指标</w:t>
            </w:r>
          </w:p>
        </w:tc>
        <w:tc>
          <w:tcPr>
            <w:tcW w:w="102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ECD637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单位</w:t>
            </w:r>
          </w:p>
        </w:tc>
        <w:tc>
          <w:tcPr>
            <w:tcW w:w="128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448D2B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计算公式</w:t>
            </w:r>
          </w:p>
        </w:tc>
        <w:tc>
          <w:tcPr>
            <w:tcW w:w="494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8E23D3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指标说明</w:t>
            </w:r>
          </w:p>
        </w:tc>
      </w:tr>
      <w:tr w14:paraId="5DD4D9A0">
        <w:tblPrEx>
          <w:tblCellMar>
            <w:top w:w="0" w:type="dxa"/>
            <w:left w:w="108" w:type="dxa"/>
            <w:bottom w:w="0" w:type="dxa"/>
            <w:right w:w="108" w:type="dxa"/>
          </w:tblCellMar>
        </w:tblPrEx>
        <w:trPr>
          <w:jc w:val="center"/>
        </w:trPr>
        <w:tc>
          <w:tcPr>
            <w:tcW w:w="72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833220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181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26BA1B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单位产品能耗（型号）</w:t>
            </w:r>
          </w:p>
        </w:tc>
        <w:tc>
          <w:tcPr>
            <w:tcW w:w="102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108157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tce/产品单位</w:t>
            </w:r>
          </w:p>
        </w:tc>
        <w:tc>
          <w:tcPr>
            <w:tcW w:w="12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61A79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e = E / M</w:t>
            </w:r>
          </w:p>
        </w:tc>
        <w:tc>
          <w:tcPr>
            <w:tcW w:w="494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BB30CA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月度指标。E 为综合能源消费量（tce）；M 为产品产量（万 kVA、万 km·mm² 等）</w:t>
            </w:r>
          </w:p>
        </w:tc>
      </w:tr>
      <w:tr w14:paraId="44B6E726">
        <w:tblPrEx>
          <w:tblCellMar>
            <w:top w:w="0" w:type="dxa"/>
            <w:left w:w="108" w:type="dxa"/>
            <w:bottom w:w="0" w:type="dxa"/>
            <w:right w:w="108" w:type="dxa"/>
          </w:tblCellMar>
        </w:tblPrEx>
        <w:trPr>
          <w:jc w:val="center"/>
        </w:trPr>
        <w:tc>
          <w:tcPr>
            <w:tcW w:w="72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C78493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181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9AB198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单位产品电耗</w:t>
            </w:r>
          </w:p>
        </w:tc>
        <w:tc>
          <w:tcPr>
            <w:tcW w:w="102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43BC72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kWh/产品单位</w:t>
            </w:r>
          </w:p>
        </w:tc>
        <w:tc>
          <w:tcPr>
            <w:tcW w:w="128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C6B93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q_电 = Q_电 / M</w:t>
            </w:r>
          </w:p>
        </w:tc>
        <w:tc>
          <w:tcPr>
            <w:tcW w:w="494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81FD7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月度指标。Q_电 为电能源消费量（kWh）</w:t>
            </w:r>
          </w:p>
        </w:tc>
      </w:tr>
      <w:tr w14:paraId="04A15BED">
        <w:tblPrEx>
          <w:tblCellMar>
            <w:top w:w="0" w:type="dxa"/>
            <w:left w:w="108" w:type="dxa"/>
            <w:bottom w:w="0" w:type="dxa"/>
            <w:right w:w="108" w:type="dxa"/>
          </w:tblCellMar>
        </w:tblPrEx>
        <w:trPr>
          <w:jc w:val="center"/>
        </w:trPr>
        <w:tc>
          <w:tcPr>
            <w:tcW w:w="72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10F8B5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181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2F71CA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单位产品蒸汽消耗</w:t>
            </w:r>
          </w:p>
        </w:tc>
        <w:tc>
          <w:tcPr>
            <w:tcW w:w="102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34991B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GJ/产品单位</w:t>
            </w:r>
          </w:p>
        </w:tc>
        <w:tc>
          <w:tcPr>
            <w:tcW w:w="12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8F93B5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q_汽 = Q_汽 / M</w:t>
            </w:r>
          </w:p>
        </w:tc>
        <w:tc>
          <w:tcPr>
            <w:tcW w:w="494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E3B944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月度指标。Q_汽 为蒸汽能源消费量（GJ）</w:t>
            </w:r>
          </w:p>
        </w:tc>
      </w:tr>
      <w:tr w14:paraId="61FA777A">
        <w:tblPrEx>
          <w:tblCellMar>
            <w:top w:w="0" w:type="dxa"/>
            <w:left w:w="108" w:type="dxa"/>
            <w:bottom w:w="0" w:type="dxa"/>
            <w:right w:w="108" w:type="dxa"/>
          </w:tblCellMar>
        </w:tblPrEx>
        <w:trPr>
          <w:jc w:val="center"/>
        </w:trPr>
        <w:tc>
          <w:tcPr>
            <w:tcW w:w="72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35D10D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181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EFF785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单位产品天然气消耗</w:t>
            </w:r>
          </w:p>
        </w:tc>
        <w:tc>
          <w:tcPr>
            <w:tcW w:w="102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4B5998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m³/产品单位</w:t>
            </w:r>
          </w:p>
        </w:tc>
        <w:tc>
          <w:tcPr>
            <w:tcW w:w="128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3994AF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q_气 = Q_气 / M</w:t>
            </w:r>
          </w:p>
        </w:tc>
        <w:tc>
          <w:tcPr>
            <w:tcW w:w="494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D6A704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月度指标。Q_气 为天然气能源消费量（m³）</w:t>
            </w:r>
          </w:p>
        </w:tc>
      </w:tr>
      <w:tr w14:paraId="5F795763">
        <w:tblPrEx>
          <w:tblCellMar>
            <w:top w:w="0" w:type="dxa"/>
            <w:left w:w="108" w:type="dxa"/>
            <w:bottom w:w="0" w:type="dxa"/>
            <w:right w:w="108" w:type="dxa"/>
          </w:tblCellMar>
        </w:tblPrEx>
        <w:trPr>
          <w:jc w:val="center"/>
        </w:trPr>
        <w:tc>
          <w:tcPr>
            <w:tcW w:w="72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299524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181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F90457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单位产品水耗</w:t>
            </w:r>
          </w:p>
        </w:tc>
        <w:tc>
          <w:tcPr>
            <w:tcW w:w="102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899C46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t/产品单位</w:t>
            </w:r>
          </w:p>
        </w:tc>
        <w:tc>
          <w:tcPr>
            <w:tcW w:w="12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BBAA5E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q_水 = Q_水 / M</w:t>
            </w:r>
          </w:p>
        </w:tc>
        <w:tc>
          <w:tcPr>
            <w:tcW w:w="494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4F20AF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月度指标。Q_水 为水能源消费量（t）</w:t>
            </w:r>
          </w:p>
        </w:tc>
      </w:tr>
    </w:tbl>
    <w:p w14:paraId="066B2960">
      <w:pPr>
        <w:pStyle w:val="7"/>
        <w:numPr>
          <w:ilvl w:val="0"/>
          <w:numId w:val="32"/>
        </w:numPr>
        <w:ind w:left="0" w:leftChars="0" w:firstLine="0" w:firstLineChars="0"/>
        <w:outlineLvl w:val="3"/>
        <w:rPr>
          <w:rFonts w:eastAsia="黑体"/>
          <w:b w:val="0"/>
          <w:bCs/>
          <w:sz w:val="28"/>
          <w:szCs w:val="28"/>
        </w:rPr>
      </w:pPr>
      <w:r>
        <w:rPr>
          <w:rFonts w:ascii="Times New Roman" w:hAnsi="Times New Roman" w:eastAsia="黑体" w:cs="Times New Roman"/>
          <w:b w:val="0"/>
          <w:bCs/>
          <w:sz w:val="28"/>
          <w:szCs w:val="28"/>
        </w:rPr>
        <w:t>关键制造工序能耗管控指标</w:t>
      </w:r>
    </w:p>
    <w:p w14:paraId="655D5A11">
      <w:r>
        <w:drawing>
          <wp:inline distT="0" distB="0" distL="114300" distR="114300">
            <wp:extent cx="5905500" cy="1648460"/>
            <wp:effectExtent l="0" t="0" r="0" b="8890"/>
            <wp:docPr id="1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4"/>
                    <pic:cNvPicPr>
                      <a:picLocks noChangeAspect="1"/>
                    </pic:cNvPicPr>
                  </pic:nvPicPr>
                  <pic:blipFill>
                    <a:blip r:embed="rId24"/>
                    <a:stretch>
                      <a:fillRect/>
                    </a:stretch>
                  </pic:blipFill>
                  <pic:spPr>
                    <a:xfrm>
                      <a:off x="0" y="0"/>
                      <a:ext cx="5905500" cy="1648460"/>
                    </a:xfrm>
                    <a:prstGeom prst="rect">
                      <a:avLst/>
                    </a:prstGeom>
                    <a:noFill/>
                    <a:ln>
                      <a:noFill/>
                    </a:ln>
                  </pic:spPr>
                </pic:pic>
              </a:graphicData>
            </a:graphic>
          </wp:inline>
        </w:drawing>
      </w:r>
    </w:p>
    <w:tbl>
      <w:tblPr>
        <w:tblStyle w:val="38"/>
        <w:tblW w:w="5000" w:type="pct"/>
        <w:jc w:val="center"/>
        <w:tblLayout w:type="autofit"/>
        <w:tblCellMar>
          <w:top w:w="0" w:type="dxa"/>
          <w:left w:w="108" w:type="dxa"/>
          <w:bottom w:w="0" w:type="dxa"/>
          <w:right w:w="108" w:type="dxa"/>
        </w:tblCellMar>
      </w:tblPr>
      <w:tblGrid>
        <w:gridCol w:w="9514"/>
      </w:tblGrid>
      <w:tr w14:paraId="620EB5EB">
        <w:tblPrEx>
          <w:tblCellMar>
            <w:top w:w="0" w:type="dxa"/>
            <w:left w:w="108" w:type="dxa"/>
            <w:bottom w:w="0" w:type="dxa"/>
            <w:right w:w="108" w:type="dxa"/>
          </w:tblCellMar>
        </w:tblPrEx>
        <w:trPr>
          <w:jc w:val="center"/>
        </w:trPr>
        <w:tc>
          <w:tcPr>
            <w:tcW w:w="5000" w:type="pct"/>
            <w:tcBorders>
              <w:top w:val="nil"/>
              <w:left w:val="single" w:color="2563EB" w:sz="24" w:space="0"/>
              <w:bottom w:val="nil"/>
              <w:right w:val="nil"/>
            </w:tcBorders>
            <w:shd w:val="clear" w:color="auto" w:fill="EFF6FF"/>
            <w:tcMar>
              <w:top w:w="70" w:type="dxa"/>
              <w:left w:w="100" w:type="dxa"/>
              <w:bottom w:w="70" w:type="dxa"/>
              <w:right w:w="100" w:type="dxa"/>
            </w:tcMar>
          </w:tcPr>
          <w:p w14:paraId="4D67F7E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【关键工序指标显示规则】参考《生产单位与涉及关键工序对应表》和《"双中心"项目能碳管控指标体系 V1.5》文件：</w:t>
            </w:r>
          </w:p>
          <w:p w14:paraId="20A303AE">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1. </w:t>
            </w:r>
            <w:r>
              <w:rPr>
                <w:rFonts w:hint="eastAsia" w:ascii="宋体" w:hAnsi="宋体" w:eastAsia="宋体" w:cs="宋体"/>
                <w:b/>
                <w:i w:val="0"/>
                <w:iCs w:val="0"/>
                <w:color w:val="1E3A8A"/>
                <w:sz w:val="24"/>
                <w:szCs w:val="24"/>
              </w:rPr>
              <w:t>实体制造单位</w:t>
            </w:r>
            <w:r>
              <w:rPr>
                <w:rFonts w:hint="eastAsia" w:ascii="宋体" w:hAnsi="宋体" w:eastAsia="宋体" w:cs="宋体"/>
                <w:i w:val="0"/>
                <w:iCs w:val="0"/>
                <w:color w:val="1F2937"/>
                <w:sz w:val="24"/>
                <w:szCs w:val="24"/>
              </w:rPr>
              <w:t>（沈变、衡变、新变、鲁缆、新缆、德缆等）：仅展示其业务真实涉及的制造工序（如变压器绕制、铁芯叠装、真空干燥固化；线缆拉丝、绝缘挤出、交联等）。</w:t>
            </w:r>
          </w:p>
          <w:p w14:paraId="2D5E5684">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2. </w:t>
            </w:r>
            <w:r>
              <w:rPr>
                <w:rFonts w:hint="eastAsia" w:ascii="宋体" w:hAnsi="宋体" w:eastAsia="宋体" w:cs="宋体"/>
                <w:b/>
                <w:i w:val="0"/>
                <w:iCs w:val="0"/>
                <w:color w:val="1E3A8A"/>
                <w:sz w:val="24"/>
                <w:szCs w:val="24"/>
              </w:rPr>
              <w:t>10 家无工序单位</w:t>
            </w:r>
            <w:r>
              <w:rPr>
                <w:rFonts w:hint="eastAsia" w:ascii="宋体" w:hAnsi="宋体" w:eastAsia="宋体" w:cs="宋体"/>
                <w:i w:val="0"/>
                <w:iCs w:val="0"/>
                <w:color w:val="1F2937"/>
                <w:sz w:val="24"/>
                <w:szCs w:val="24"/>
              </w:rPr>
              <w:t>（沈变智慧能源、衡变智慧能源、新变智慧能源、鲁缆智慧能源、天池能源管理、科技投资、新能源集控、特变电装总部、进出口贸易、工程建设）：切换至该类单位时，工序管控区域整行必须精准输出单行干练结论：【暂无相关工序！】；严禁出现空白占位卡片，严禁出现"由于白名单未配置因此无工序……"等主观解释说教文案；激活态仅由边框高亮呈现，严禁在卡片右上角增加"已联动过滤"等过程标签。</w:t>
            </w:r>
          </w:p>
        </w:tc>
      </w:tr>
    </w:tbl>
    <w:p w14:paraId="7A417FE2">
      <w:pPr>
        <w:spacing w:after="40"/>
        <w:rPr>
          <w:rFonts w:hint="eastAsia" w:ascii="宋体" w:hAnsi="宋体" w:eastAsia="宋体" w:cs="宋体"/>
          <w:i w:val="0"/>
          <w:iCs w:val="0"/>
          <w:sz w:val="24"/>
          <w:szCs w:val="24"/>
        </w:rPr>
      </w:pPr>
    </w:p>
    <w:p w14:paraId="22BDFC75">
      <w:pPr>
        <w:pStyle w:val="19"/>
        <w:widowControl/>
        <w:rPr>
          <w:rFonts w:ascii="Times New Roman" w:hAnsi="Times New Roman" w:eastAsia="宋体" w:cs="Times New Roman"/>
          <w:b/>
          <w:i w:val="0"/>
          <w:color w:val="1E3A8A"/>
          <w:sz w:val="24"/>
          <w:szCs w:val="24"/>
        </w:rPr>
      </w:pPr>
      <w:r>
        <w:rPr>
          <w:rFonts w:ascii="Times New Roman" w:hAnsi="Times New Roman" w:eastAsia="宋体" w:cs="Times New Roman"/>
          <w:b/>
          <w:i w:val="0"/>
          <w:color w:val="1E3A8A"/>
          <w:sz w:val="24"/>
          <w:szCs w:val="24"/>
        </w:rPr>
        <w:t>关键工序指标清单：</w:t>
      </w:r>
    </w:p>
    <w:tbl>
      <w:tblPr>
        <w:tblStyle w:val="38"/>
        <w:tblW w:w="9530" w:type="dxa"/>
        <w:jc w:val="center"/>
        <w:tblLayout w:type="fixed"/>
        <w:tblCellMar>
          <w:top w:w="0" w:type="dxa"/>
          <w:left w:w="108" w:type="dxa"/>
          <w:bottom w:w="0" w:type="dxa"/>
          <w:right w:w="108" w:type="dxa"/>
        </w:tblCellMar>
      </w:tblPr>
      <w:tblGrid>
        <w:gridCol w:w="768"/>
        <w:gridCol w:w="2985"/>
        <w:gridCol w:w="1155"/>
        <w:gridCol w:w="4622"/>
      </w:tblGrid>
      <w:tr w14:paraId="428CDB33">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048FD1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298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D76444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工序指标</w:t>
            </w:r>
          </w:p>
        </w:tc>
        <w:tc>
          <w:tcPr>
            <w:tcW w:w="115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6D65438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单位</w:t>
            </w:r>
          </w:p>
        </w:tc>
        <w:tc>
          <w:tcPr>
            <w:tcW w:w="462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285DF41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核算公式</w:t>
            </w:r>
          </w:p>
        </w:tc>
      </w:tr>
      <w:tr w14:paraId="29E3D4F7">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41386C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sz w:val="24"/>
                <w:szCs w:val="24"/>
              </w:rPr>
              <w:t>1</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F8FDFA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吨铜电耗（线缆-拉丝）</w:t>
            </w:r>
          </w:p>
        </w:tc>
        <w:tc>
          <w:tcPr>
            <w:tcW w:w="11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74C69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kWh/t</w:t>
            </w:r>
          </w:p>
        </w:tc>
        <w:tc>
          <w:tcPr>
            <w:tcW w:w="46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0DA9EC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q_Cu = Q_elec_Cu / M_Cu（拉丝工序用电量 ÷ 铜杆净重）</w:t>
            </w:r>
          </w:p>
        </w:tc>
      </w:tr>
      <w:tr w14:paraId="03463BE2">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5DFC72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sz w:val="24"/>
                <w:szCs w:val="24"/>
              </w:rPr>
              <w:t>2</w:t>
            </w:r>
          </w:p>
        </w:tc>
        <w:tc>
          <w:tcPr>
            <w:tcW w:w="29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2D1FC1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吨铝电耗（线缆-拉丝）</w:t>
            </w:r>
          </w:p>
        </w:tc>
        <w:tc>
          <w:tcPr>
            <w:tcW w:w="11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577B13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kWh/t</w:t>
            </w:r>
          </w:p>
        </w:tc>
        <w:tc>
          <w:tcPr>
            <w:tcW w:w="462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11F69A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q_Al = Q_elec_Al / M_Al（拉丝工序用电量 ÷ 铝杆净重）</w:t>
            </w:r>
          </w:p>
        </w:tc>
      </w:tr>
      <w:tr w14:paraId="16C2B62C">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AFAB40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sz w:val="24"/>
                <w:szCs w:val="24"/>
              </w:rPr>
              <w:t>3</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B5790F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交联电耗（干法）（线缆-中低压-交联）</w:t>
            </w:r>
          </w:p>
        </w:tc>
        <w:tc>
          <w:tcPr>
            <w:tcW w:w="11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53A3A6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kWh/km·mm²</w:t>
            </w:r>
          </w:p>
        </w:tc>
        <w:tc>
          <w:tcPr>
            <w:tcW w:w="46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1C42F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q_cross = Q_elec_cross / (L_cable × S)（交联工序用电量 ÷ 敷设长度×导体截面）</w:t>
            </w:r>
          </w:p>
        </w:tc>
      </w:tr>
      <w:tr w14:paraId="2504EFC4">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92B68E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sz w:val="24"/>
                <w:szCs w:val="24"/>
              </w:rPr>
              <w:t>4</w:t>
            </w:r>
          </w:p>
        </w:tc>
        <w:tc>
          <w:tcPr>
            <w:tcW w:w="29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8BDF02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交联电耗（干法）（线缆-高压-交联）</w:t>
            </w:r>
          </w:p>
        </w:tc>
        <w:tc>
          <w:tcPr>
            <w:tcW w:w="11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F4BF30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kWh/km·mm²</w:t>
            </w:r>
          </w:p>
        </w:tc>
        <w:tc>
          <w:tcPr>
            <w:tcW w:w="462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45FE28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q_cross = Q_elec_cross / (L_cable × S)（交联工序用电量 ÷ 敷设长度×导体截面）</w:t>
            </w:r>
          </w:p>
        </w:tc>
      </w:tr>
      <w:tr w14:paraId="7935CD11">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B11EF5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sz w:val="24"/>
                <w:szCs w:val="24"/>
              </w:rPr>
              <w:t>5</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E98556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单位产值能耗（变压器-高压-干燥）</w:t>
            </w:r>
          </w:p>
        </w:tc>
        <w:tc>
          <w:tcPr>
            <w:tcW w:w="11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67EFE5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tce/万元</w:t>
            </w:r>
          </w:p>
        </w:tc>
        <w:tc>
          <w:tcPr>
            <w:tcW w:w="46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56590C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e = E_tce / G（工序折标综合能耗 ÷ 当期产值万元）</w:t>
            </w:r>
          </w:p>
        </w:tc>
      </w:tr>
      <w:tr w14:paraId="4B53E4FC">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527321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sz w:val="24"/>
                <w:szCs w:val="24"/>
              </w:rPr>
              <w:t>6</w:t>
            </w:r>
          </w:p>
        </w:tc>
        <w:tc>
          <w:tcPr>
            <w:tcW w:w="29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0B171A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单位产值能耗（变压器-中低压-油变-干燥）</w:t>
            </w:r>
          </w:p>
        </w:tc>
        <w:tc>
          <w:tcPr>
            <w:tcW w:w="11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CB84E3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tce/万元</w:t>
            </w:r>
          </w:p>
        </w:tc>
        <w:tc>
          <w:tcPr>
            <w:tcW w:w="462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BBB969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e = E_tce / G（工序折标综合能耗 ÷ 当期产值万元）</w:t>
            </w:r>
          </w:p>
        </w:tc>
      </w:tr>
      <w:tr w14:paraId="4353EF60">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1A319E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sz w:val="24"/>
                <w:szCs w:val="24"/>
              </w:rPr>
              <w:t>7</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278B4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单位产值能耗（变压器-中低压-干变-固化）</w:t>
            </w:r>
          </w:p>
        </w:tc>
        <w:tc>
          <w:tcPr>
            <w:tcW w:w="11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C1DE68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tce/万元</w:t>
            </w:r>
          </w:p>
        </w:tc>
        <w:tc>
          <w:tcPr>
            <w:tcW w:w="46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B2A97E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e = E_tce / G（工序折标综合能耗 ÷ 当期产值万元）</w:t>
            </w:r>
          </w:p>
        </w:tc>
      </w:tr>
      <w:tr w14:paraId="5A9406A9">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15767F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sz w:val="24"/>
                <w:szCs w:val="24"/>
              </w:rPr>
              <w:t>8</w:t>
            </w:r>
          </w:p>
        </w:tc>
        <w:tc>
          <w:tcPr>
            <w:tcW w:w="29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63E8E7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单位产值电耗（变压器-高压-干燥）</w:t>
            </w:r>
          </w:p>
        </w:tc>
        <w:tc>
          <w:tcPr>
            <w:tcW w:w="11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70C831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kWh/万元</w:t>
            </w:r>
          </w:p>
        </w:tc>
        <w:tc>
          <w:tcPr>
            <w:tcW w:w="462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00BF58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q = Q_elec / G（工序用电量 ÷ 当期产值万元）</w:t>
            </w:r>
          </w:p>
        </w:tc>
      </w:tr>
      <w:tr w14:paraId="15EC171D">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D14F3E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sz w:val="24"/>
                <w:szCs w:val="24"/>
              </w:rPr>
              <w:t>9</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4D5833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单位产值电耗（变压器-中低压-油变-干燥）</w:t>
            </w:r>
          </w:p>
        </w:tc>
        <w:tc>
          <w:tcPr>
            <w:tcW w:w="11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0E6732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kWh/万元</w:t>
            </w:r>
          </w:p>
        </w:tc>
        <w:tc>
          <w:tcPr>
            <w:tcW w:w="46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F3360C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q = Q_elec / G（工序用电量 ÷ 当期产值万元）</w:t>
            </w:r>
          </w:p>
        </w:tc>
      </w:tr>
      <w:tr w14:paraId="2DBCDE83">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99FD33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sz w:val="24"/>
                <w:szCs w:val="24"/>
              </w:rPr>
              <w:t>10</w:t>
            </w:r>
          </w:p>
        </w:tc>
        <w:tc>
          <w:tcPr>
            <w:tcW w:w="29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316F05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单位产值电耗（变压器-中低压-干变-固化）</w:t>
            </w:r>
          </w:p>
        </w:tc>
        <w:tc>
          <w:tcPr>
            <w:tcW w:w="11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4586D2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kWh/万元</w:t>
            </w:r>
          </w:p>
        </w:tc>
        <w:tc>
          <w:tcPr>
            <w:tcW w:w="462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EE54C3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q = Q_elec / G（工序用电量 ÷ 当期产值万元）</w:t>
            </w:r>
          </w:p>
        </w:tc>
      </w:tr>
      <w:tr w14:paraId="28AA6C8D">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2EB130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sz w:val="24"/>
                <w:szCs w:val="24"/>
              </w:rPr>
              <w:t>11</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4ABE72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单位产值蒸汽消耗（变压器-高压-干燥）</w:t>
            </w:r>
          </w:p>
        </w:tc>
        <w:tc>
          <w:tcPr>
            <w:tcW w:w="11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66BC6D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t/万元</w:t>
            </w:r>
          </w:p>
        </w:tc>
        <w:tc>
          <w:tcPr>
            <w:tcW w:w="46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210CED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q = Q_steam / G（工序蒸汽消耗量 ÷ 当期产值万元）</w:t>
            </w:r>
          </w:p>
        </w:tc>
      </w:tr>
      <w:tr w14:paraId="6D0C33B4">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B98443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sz w:val="24"/>
                <w:szCs w:val="24"/>
              </w:rPr>
              <w:t>12</w:t>
            </w:r>
          </w:p>
        </w:tc>
        <w:tc>
          <w:tcPr>
            <w:tcW w:w="29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BA70A8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单位产量能耗（变压器-高压-干燥）</w:t>
            </w:r>
          </w:p>
        </w:tc>
        <w:tc>
          <w:tcPr>
            <w:tcW w:w="11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FC1719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tce/万kVA</w:t>
            </w:r>
          </w:p>
        </w:tc>
        <w:tc>
          <w:tcPr>
            <w:tcW w:w="462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026B05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e = E_tce / M_kVA（工序折标综合能耗 ÷ 当期合格产出容量万kVA）</w:t>
            </w:r>
          </w:p>
        </w:tc>
      </w:tr>
      <w:tr w14:paraId="3CE21DFF">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1FB70A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sz w:val="24"/>
                <w:szCs w:val="24"/>
              </w:rPr>
              <w:t>13</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018A35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单位产量能耗（变压器-中低压-油变-干燥）</w:t>
            </w:r>
          </w:p>
        </w:tc>
        <w:tc>
          <w:tcPr>
            <w:tcW w:w="11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120DA5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tce/万kVA</w:t>
            </w:r>
          </w:p>
        </w:tc>
        <w:tc>
          <w:tcPr>
            <w:tcW w:w="46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D3272C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e = E_tce / M_kVA（工序折标综合能耗 ÷ 当期合格产出容量万kVA）</w:t>
            </w:r>
          </w:p>
        </w:tc>
      </w:tr>
      <w:tr w14:paraId="45704BF1">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0CCDFC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sz w:val="24"/>
                <w:szCs w:val="24"/>
              </w:rPr>
              <w:t>14</w:t>
            </w:r>
          </w:p>
        </w:tc>
        <w:tc>
          <w:tcPr>
            <w:tcW w:w="29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D4F86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单位产量能耗（变压器-中低压-干变-固化）</w:t>
            </w:r>
          </w:p>
        </w:tc>
        <w:tc>
          <w:tcPr>
            <w:tcW w:w="11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8CDF10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tce/万kVA</w:t>
            </w:r>
          </w:p>
        </w:tc>
        <w:tc>
          <w:tcPr>
            <w:tcW w:w="462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B20E50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e = E_tce / M_kVA（工序折标综合能耗 ÷ 当期合格产出容量万kVA）</w:t>
            </w:r>
          </w:p>
        </w:tc>
      </w:tr>
      <w:tr w14:paraId="4D1D2EE3">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721A45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sz w:val="24"/>
                <w:szCs w:val="24"/>
              </w:rPr>
              <w:t>15</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54BDCE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单位产量电耗（变压器-高压-干燥）</w:t>
            </w:r>
          </w:p>
        </w:tc>
        <w:tc>
          <w:tcPr>
            <w:tcW w:w="11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5099C3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kWh/万kVA</w:t>
            </w:r>
          </w:p>
        </w:tc>
        <w:tc>
          <w:tcPr>
            <w:tcW w:w="46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C4B12D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q = Q_elec / M_kVA（工序用电量 ÷ 当期合格产出容量万kVA）</w:t>
            </w:r>
          </w:p>
        </w:tc>
      </w:tr>
      <w:tr w14:paraId="0C17C072">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DA0E7C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sz w:val="24"/>
                <w:szCs w:val="24"/>
              </w:rPr>
              <w:t>16</w:t>
            </w:r>
          </w:p>
        </w:tc>
        <w:tc>
          <w:tcPr>
            <w:tcW w:w="29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0B15D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单位产量电耗（变压器-中低压-油变-干燥）</w:t>
            </w:r>
          </w:p>
        </w:tc>
        <w:tc>
          <w:tcPr>
            <w:tcW w:w="11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A78CD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kWh/万kVA</w:t>
            </w:r>
          </w:p>
        </w:tc>
        <w:tc>
          <w:tcPr>
            <w:tcW w:w="462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3ACC0D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q = Q_elec / M_kVA（工序用电量 ÷ 当期合格产出容量万kVA）</w:t>
            </w:r>
          </w:p>
        </w:tc>
      </w:tr>
      <w:tr w14:paraId="4E3223E6">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3DA3A8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sz w:val="24"/>
                <w:szCs w:val="24"/>
              </w:rPr>
              <w:t>17</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FCDEFF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单位产量电耗（变压器-中低压-干变-固化）</w:t>
            </w:r>
          </w:p>
        </w:tc>
        <w:tc>
          <w:tcPr>
            <w:tcW w:w="11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235466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kWh/万kVA</w:t>
            </w:r>
          </w:p>
        </w:tc>
        <w:tc>
          <w:tcPr>
            <w:tcW w:w="46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550E7D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q = Q_elec / M_kVA（工序用电量 ÷ 当期合格产出容量万kVA）</w:t>
            </w:r>
          </w:p>
        </w:tc>
      </w:tr>
      <w:tr w14:paraId="693E3B99">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FF24F8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sz w:val="24"/>
                <w:szCs w:val="24"/>
              </w:rPr>
              <w:t>18</w:t>
            </w:r>
          </w:p>
        </w:tc>
        <w:tc>
          <w:tcPr>
            <w:tcW w:w="29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A0F8A4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单位产量蒸汽消耗（变压器-高压-干燥）</w:t>
            </w:r>
          </w:p>
        </w:tc>
        <w:tc>
          <w:tcPr>
            <w:tcW w:w="11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68979A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t/万kVA</w:t>
            </w:r>
          </w:p>
        </w:tc>
        <w:tc>
          <w:tcPr>
            <w:tcW w:w="462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8E83D2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q = Q_steam / M_kVA（工序蒸汽消耗量 ÷ 当期合格产出容量万kVA）</w:t>
            </w:r>
          </w:p>
        </w:tc>
      </w:tr>
      <w:tr w14:paraId="49598B98">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C3540E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sz w:val="24"/>
                <w:szCs w:val="24"/>
              </w:rPr>
              <w:t>19</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1B72FC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单位产值电耗（变压器-试验）</w:t>
            </w:r>
          </w:p>
        </w:tc>
        <w:tc>
          <w:tcPr>
            <w:tcW w:w="11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D5F0D8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kWh/万元</w:t>
            </w:r>
          </w:p>
        </w:tc>
        <w:tc>
          <w:tcPr>
            <w:tcW w:w="46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FB2FD5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q = Q_elec / G（工序用电量 ÷ 当期产值万元）</w:t>
            </w:r>
          </w:p>
        </w:tc>
      </w:tr>
      <w:tr w14:paraId="05B95D67">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72123F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sz w:val="24"/>
                <w:szCs w:val="24"/>
              </w:rPr>
              <w:t>20</w:t>
            </w:r>
          </w:p>
        </w:tc>
        <w:tc>
          <w:tcPr>
            <w:tcW w:w="29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46E08B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单位产量电耗（变压器-试验）</w:t>
            </w:r>
          </w:p>
        </w:tc>
        <w:tc>
          <w:tcPr>
            <w:tcW w:w="11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6EB5FE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kWh/万kVA</w:t>
            </w:r>
          </w:p>
        </w:tc>
        <w:tc>
          <w:tcPr>
            <w:tcW w:w="462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0EA041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q = Q_elec / M_kVA（工序用电量 ÷ 当期合格产出容量万kVA）</w:t>
            </w:r>
          </w:p>
        </w:tc>
      </w:tr>
      <w:tr w14:paraId="6AEE7747">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869630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sz w:val="24"/>
                <w:szCs w:val="24"/>
              </w:rPr>
              <w:t>21</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46CF87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单位产值电耗（中低压开关柜-钣金加工）</w:t>
            </w:r>
          </w:p>
        </w:tc>
        <w:tc>
          <w:tcPr>
            <w:tcW w:w="11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8F03DD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kWh/万元</w:t>
            </w:r>
          </w:p>
        </w:tc>
        <w:tc>
          <w:tcPr>
            <w:tcW w:w="46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198A1F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q = Q_elec / G（工序用电量 ÷ 当期产值万元）</w:t>
            </w:r>
          </w:p>
        </w:tc>
      </w:tr>
      <w:tr w14:paraId="6D75FBA9">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A346C2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sz w:val="24"/>
                <w:szCs w:val="24"/>
              </w:rPr>
              <w:t>22</w:t>
            </w:r>
          </w:p>
        </w:tc>
        <w:tc>
          <w:tcPr>
            <w:tcW w:w="29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896888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单位产值电耗（中低压开关柜-钣金喷涂）</w:t>
            </w:r>
          </w:p>
        </w:tc>
        <w:tc>
          <w:tcPr>
            <w:tcW w:w="11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B6535F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kWh/万元</w:t>
            </w:r>
          </w:p>
        </w:tc>
        <w:tc>
          <w:tcPr>
            <w:tcW w:w="462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138ED5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q = Q_elec / G（工序用电量 ÷ 当期产值万元）</w:t>
            </w:r>
          </w:p>
        </w:tc>
      </w:tr>
      <w:tr w14:paraId="29C0D6E7">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410B22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sz w:val="24"/>
                <w:szCs w:val="24"/>
              </w:rPr>
              <w:t>23</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365A83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单位产值电耗（套管-干燥）</w:t>
            </w:r>
          </w:p>
        </w:tc>
        <w:tc>
          <w:tcPr>
            <w:tcW w:w="11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72502F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kWh/万元</w:t>
            </w:r>
          </w:p>
        </w:tc>
        <w:tc>
          <w:tcPr>
            <w:tcW w:w="46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ECAEA5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q = Q_elec / G（工序用电量 ÷ 当期产值万元）</w:t>
            </w:r>
          </w:p>
        </w:tc>
      </w:tr>
      <w:tr w14:paraId="4AEBD784">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07E8B9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sz w:val="24"/>
                <w:szCs w:val="24"/>
              </w:rPr>
              <w:t>24</w:t>
            </w:r>
          </w:p>
        </w:tc>
        <w:tc>
          <w:tcPr>
            <w:tcW w:w="29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17935B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单位产值综合能耗（互感器-干燥）</w:t>
            </w:r>
          </w:p>
        </w:tc>
        <w:tc>
          <w:tcPr>
            <w:tcW w:w="11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84E4EF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kWh/万元</w:t>
            </w:r>
          </w:p>
        </w:tc>
        <w:tc>
          <w:tcPr>
            <w:tcW w:w="462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3C1774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e = E_tce / G（工序折标综合能耗 ÷ 当期产值万元）</w:t>
            </w:r>
          </w:p>
        </w:tc>
      </w:tr>
      <w:tr w14:paraId="0991DE5F">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5A671A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sz w:val="24"/>
                <w:szCs w:val="24"/>
              </w:rPr>
              <w:t>25</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189277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单位产值电耗（互感器-干燥）</w:t>
            </w:r>
          </w:p>
        </w:tc>
        <w:tc>
          <w:tcPr>
            <w:tcW w:w="11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FDF603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kWh/万元</w:t>
            </w:r>
          </w:p>
        </w:tc>
        <w:tc>
          <w:tcPr>
            <w:tcW w:w="46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A38AE7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q = Q_elec / G（工序用电量 ÷ 当期产值万元）</w:t>
            </w:r>
          </w:p>
        </w:tc>
      </w:tr>
      <w:tr w14:paraId="2639176E">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C61373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sz w:val="24"/>
                <w:szCs w:val="24"/>
              </w:rPr>
              <w:t>26</w:t>
            </w:r>
          </w:p>
        </w:tc>
        <w:tc>
          <w:tcPr>
            <w:tcW w:w="29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780D0D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单位产值蒸汽消耗（互感器-干燥）</w:t>
            </w:r>
          </w:p>
        </w:tc>
        <w:tc>
          <w:tcPr>
            <w:tcW w:w="11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75EE14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tce/万元</w:t>
            </w:r>
          </w:p>
        </w:tc>
        <w:tc>
          <w:tcPr>
            <w:tcW w:w="462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74D056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q = Q_steam / G（工序蒸汽消耗量 ÷ 当期产值万元）</w:t>
            </w:r>
          </w:p>
        </w:tc>
      </w:tr>
      <w:tr w14:paraId="4DEC85D6">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723BA2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sz w:val="24"/>
                <w:szCs w:val="24"/>
              </w:rPr>
              <w:t>27</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27815C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单位产值电耗（互感器-试验）</w:t>
            </w:r>
          </w:p>
        </w:tc>
        <w:tc>
          <w:tcPr>
            <w:tcW w:w="11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2D958F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kWh/万元</w:t>
            </w:r>
          </w:p>
        </w:tc>
        <w:tc>
          <w:tcPr>
            <w:tcW w:w="46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C411BE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q = Q_elec / G（工序用电量 ÷ 当期产值万元）</w:t>
            </w:r>
          </w:p>
        </w:tc>
      </w:tr>
      <w:tr w14:paraId="5A931C66">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207C4E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sz w:val="24"/>
                <w:szCs w:val="24"/>
              </w:rPr>
              <w:t>28</w:t>
            </w:r>
          </w:p>
        </w:tc>
        <w:tc>
          <w:tcPr>
            <w:tcW w:w="29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1B7C0B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单位产量电耗（电容器-芯子卷绕）</w:t>
            </w:r>
          </w:p>
        </w:tc>
        <w:tc>
          <w:tcPr>
            <w:tcW w:w="11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BAD932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t/万元</w:t>
            </w:r>
          </w:p>
        </w:tc>
        <w:tc>
          <w:tcPr>
            <w:tcW w:w="462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1A76C8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q = Q_elec / M_kVA（工序用电量 ÷ 当期合格产出容量万kVA）</w:t>
            </w:r>
          </w:p>
        </w:tc>
      </w:tr>
      <w:tr w14:paraId="567F3EAE">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76C411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sz w:val="24"/>
                <w:szCs w:val="24"/>
              </w:rPr>
              <w:t>29</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712D49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单位产量电耗（电容器-真空浸渍）</w:t>
            </w:r>
          </w:p>
        </w:tc>
        <w:tc>
          <w:tcPr>
            <w:tcW w:w="11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E38A08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kWh/万元</w:t>
            </w:r>
          </w:p>
        </w:tc>
        <w:tc>
          <w:tcPr>
            <w:tcW w:w="46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534250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q = Q_elec / M_kVA（工序用电量 ÷ 当期合格产出容量万kVA）</w:t>
            </w:r>
          </w:p>
        </w:tc>
      </w:tr>
      <w:tr w14:paraId="1327289B">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8094A7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sz w:val="24"/>
                <w:szCs w:val="24"/>
              </w:rPr>
              <w:t>30</w:t>
            </w:r>
          </w:p>
        </w:tc>
        <w:tc>
          <w:tcPr>
            <w:tcW w:w="29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D17983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单位产量电耗（电容器-喷漆）</w:t>
            </w:r>
          </w:p>
        </w:tc>
        <w:tc>
          <w:tcPr>
            <w:tcW w:w="11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9C5ABF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kWh/万元</w:t>
            </w:r>
          </w:p>
        </w:tc>
        <w:tc>
          <w:tcPr>
            <w:tcW w:w="462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8DA6BB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q = Q_elec / M_kVA（工序用电量 ÷ 当期合格产出容量万kVA）</w:t>
            </w:r>
          </w:p>
        </w:tc>
      </w:tr>
      <w:tr w14:paraId="558D3DED">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D5877A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sz w:val="24"/>
                <w:szCs w:val="24"/>
              </w:rPr>
              <w:t>31</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5C6DF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单位产量电耗（电容器-试验）</w:t>
            </w:r>
          </w:p>
        </w:tc>
        <w:tc>
          <w:tcPr>
            <w:tcW w:w="11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706033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kWh/万元</w:t>
            </w:r>
          </w:p>
        </w:tc>
        <w:tc>
          <w:tcPr>
            <w:tcW w:w="46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D58EFF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sz w:val="24"/>
                <w:szCs w:val="24"/>
              </w:rPr>
              <w:t>q = Q_elec / M_kVA（工序用电量 ÷ 当期合格产出容量万kVA）</w:t>
            </w:r>
          </w:p>
        </w:tc>
      </w:tr>
      <w:tr w14:paraId="31462A66">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077E275">
            <w:pPr>
              <w:spacing w:before="0" w:after="0" w:line="240" w:lineRule="auto"/>
              <w:ind w:left="0" w:leftChars="0" w:right="0" w:rightChars="0" w:firstLine="0" w:firstLineChars="0"/>
              <w:jc w:val="center"/>
              <w:rPr>
                <w:rFonts w:hint="eastAsia" w:ascii="宋体" w:hAnsi="宋体" w:eastAsia="宋体" w:cs="宋体"/>
                <w:i w:val="0"/>
                <w:iCs w:val="0"/>
                <w:color w:val="1F2937"/>
                <w:sz w:val="24"/>
                <w:szCs w:val="24"/>
              </w:rPr>
            </w:pPr>
            <w:r>
              <w:rPr>
                <w:rFonts w:hint="eastAsia" w:ascii="宋体" w:hAnsi="宋体" w:eastAsia="宋体" w:cs="宋体"/>
                <w:sz w:val="24"/>
                <w:szCs w:val="24"/>
              </w:rPr>
              <w:t>32</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67217D0">
            <w:pPr>
              <w:spacing w:before="0" w:after="0" w:line="240" w:lineRule="auto"/>
              <w:ind w:left="0" w:leftChars="0" w:right="0" w:rightChars="0" w:firstLine="0" w:firstLineChars="0"/>
              <w:jc w:val="left"/>
              <w:rPr>
                <w:rFonts w:hint="eastAsia" w:ascii="宋体" w:hAnsi="宋体" w:eastAsia="宋体" w:cs="宋体"/>
                <w:i w:val="0"/>
                <w:iCs w:val="0"/>
                <w:color w:val="1F2937"/>
                <w:sz w:val="24"/>
                <w:szCs w:val="24"/>
              </w:rPr>
            </w:pPr>
            <w:r>
              <w:rPr>
                <w:rFonts w:hint="eastAsia" w:ascii="宋体" w:hAnsi="宋体" w:eastAsia="宋体" w:cs="宋体"/>
                <w:sz w:val="24"/>
                <w:szCs w:val="24"/>
              </w:rPr>
              <w:t>单位产值电耗（干式电抗器-固化）</w:t>
            </w:r>
          </w:p>
        </w:tc>
        <w:tc>
          <w:tcPr>
            <w:tcW w:w="11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1C0476A">
            <w:pPr>
              <w:spacing w:before="0" w:after="0" w:line="240" w:lineRule="auto"/>
              <w:ind w:left="0" w:leftChars="0" w:right="0" w:rightChars="0" w:firstLine="0" w:firstLineChars="0"/>
              <w:jc w:val="left"/>
              <w:rPr>
                <w:rFonts w:hint="eastAsia" w:ascii="宋体" w:hAnsi="宋体" w:eastAsia="宋体" w:cs="宋体"/>
                <w:i w:val="0"/>
                <w:iCs w:val="0"/>
                <w:color w:val="1F2937"/>
                <w:sz w:val="24"/>
                <w:szCs w:val="24"/>
              </w:rPr>
            </w:pPr>
            <w:r>
              <w:rPr>
                <w:rFonts w:hint="eastAsia" w:ascii="宋体" w:hAnsi="宋体" w:eastAsia="宋体" w:cs="宋体"/>
                <w:sz w:val="24"/>
                <w:szCs w:val="24"/>
              </w:rPr>
              <w:t>kWh/万元</w:t>
            </w:r>
          </w:p>
        </w:tc>
        <w:tc>
          <w:tcPr>
            <w:tcW w:w="46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1B4ECC2">
            <w:pPr>
              <w:spacing w:before="0" w:after="0" w:line="240" w:lineRule="auto"/>
              <w:ind w:left="0" w:leftChars="0" w:right="0" w:rightChars="0" w:firstLine="0" w:firstLineChars="0"/>
              <w:jc w:val="left"/>
              <w:rPr>
                <w:rFonts w:hint="eastAsia" w:ascii="宋体" w:hAnsi="宋体" w:eastAsia="宋体" w:cs="宋体"/>
                <w:i w:val="0"/>
                <w:iCs w:val="0"/>
                <w:color w:val="15803D"/>
                <w:sz w:val="24"/>
                <w:szCs w:val="24"/>
              </w:rPr>
            </w:pPr>
            <w:r>
              <w:rPr>
                <w:rFonts w:hint="eastAsia" w:ascii="宋体" w:hAnsi="宋体" w:eastAsia="宋体" w:cs="宋体"/>
                <w:sz w:val="24"/>
                <w:szCs w:val="24"/>
              </w:rPr>
              <w:t>q = Q_elec / G（工序用电量 ÷ 当期产值万元）</w:t>
            </w:r>
          </w:p>
        </w:tc>
      </w:tr>
      <w:tr w14:paraId="241B050C">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D220EA3">
            <w:pPr>
              <w:spacing w:before="0" w:after="0" w:line="240" w:lineRule="auto"/>
              <w:ind w:left="0" w:leftChars="0" w:right="0" w:rightChars="0" w:firstLine="0" w:firstLineChars="0"/>
              <w:jc w:val="center"/>
              <w:rPr>
                <w:rFonts w:hint="eastAsia" w:ascii="宋体" w:hAnsi="宋体" w:eastAsia="宋体" w:cs="宋体"/>
                <w:i w:val="0"/>
                <w:iCs w:val="0"/>
                <w:color w:val="1F2937"/>
                <w:sz w:val="24"/>
                <w:szCs w:val="24"/>
              </w:rPr>
            </w:pPr>
            <w:r>
              <w:rPr>
                <w:rFonts w:hint="eastAsia" w:ascii="宋体" w:hAnsi="宋体" w:eastAsia="宋体" w:cs="宋体"/>
                <w:sz w:val="24"/>
                <w:szCs w:val="24"/>
              </w:rPr>
              <w:t>33</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79B4536">
            <w:pPr>
              <w:spacing w:before="0" w:after="0" w:line="240" w:lineRule="auto"/>
              <w:ind w:left="0" w:leftChars="0" w:right="0" w:rightChars="0" w:firstLine="0" w:firstLineChars="0"/>
              <w:jc w:val="left"/>
              <w:rPr>
                <w:rFonts w:hint="eastAsia" w:ascii="宋体" w:hAnsi="宋体" w:eastAsia="宋体" w:cs="宋体"/>
                <w:i w:val="0"/>
                <w:iCs w:val="0"/>
                <w:color w:val="1F2937"/>
                <w:sz w:val="24"/>
                <w:szCs w:val="24"/>
              </w:rPr>
            </w:pPr>
            <w:r>
              <w:rPr>
                <w:rFonts w:hint="eastAsia" w:ascii="宋体" w:hAnsi="宋体" w:eastAsia="宋体" w:cs="宋体"/>
                <w:sz w:val="24"/>
                <w:szCs w:val="24"/>
              </w:rPr>
              <w:t>单位产值电耗（干式电抗器-试验）</w:t>
            </w:r>
          </w:p>
        </w:tc>
        <w:tc>
          <w:tcPr>
            <w:tcW w:w="11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FD57191">
            <w:pPr>
              <w:spacing w:before="0" w:after="0" w:line="240" w:lineRule="auto"/>
              <w:ind w:left="0" w:leftChars="0" w:right="0" w:rightChars="0" w:firstLine="0" w:firstLineChars="0"/>
              <w:jc w:val="left"/>
              <w:rPr>
                <w:rFonts w:hint="eastAsia" w:ascii="宋体" w:hAnsi="宋体" w:eastAsia="宋体" w:cs="宋体"/>
                <w:i w:val="0"/>
                <w:iCs w:val="0"/>
                <w:color w:val="1F2937"/>
                <w:sz w:val="24"/>
                <w:szCs w:val="24"/>
              </w:rPr>
            </w:pPr>
            <w:r>
              <w:rPr>
                <w:rFonts w:hint="eastAsia" w:ascii="宋体" w:hAnsi="宋体" w:eastAsia="宋体" w:cs="宋体"/>
                <w:sz w:val="24"/>
                <w:szCs w:val="24"/>
              </w:rPr>
              <w:t>kWh/kvar</w:t>
            </w:r>
          </w:p>
        </w:tc>
        <w:tc>
          <w:tcPr>
            <w:tcW w:w="46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516ADB1">
            <w:pPr>
              <w:spacing w:before="0" w:after="0" w:line="240" w:lineRule="auto"/>
              <w:ind w:left="0" w:leftChars="0" w:right="0" w:rightChars="0" w:firstLine="0" w:firstLineChars="0"/>
              <w:jc w:val="left"/>
              <w:rPr>
                <w:rFonts w:hint="eastAsia" w:ascii="宋体" w:hAnsi="宋体" w:eastAsia="宋体" w:cs="宋体"/>
                <w:i w:val="0"/>
                <w:iCs w:val="0"/>
                <w:color w:val="15803D"/>
                <w:sz w:val="24"/>
                <w:szCs w:val="24"/>
              </w:rPr>
            </w:pPr>
            <w:r>
              <w:rPr>
                <w:rFonts w:hint="eastAsia" w:ascii="宋体" w:hAnsi="宋体" w:eastAsia="宋体" w:cs="宋体"/>
                <w:sz w:val="24"/>
                <w:szCs w:val="24"/>
              </w:rPr>
              <w:t>q = Q_elec / G（工序用电量 ÷ 当期产值万元）</w:t>
            </w:r>
          </w:p>
        </w:tc>
      </w:tr>
      <w:tr w14:paraId="5F28EC75">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6C6DB60">
            <w:pPr>
              <w:spacing w:before="0" w:after="0" w:line="240" w:lineRule="auto"/>
              <w:ind w:left="0" w:leftChars="0" w:right="0" w:rightChars="0" w:firstLine="0" w:firstLineChars="0"/>
              <w:jc w:val="center"/>
              <w:rPr>
                <w:rFonts w:hint="eastAsia" w:ascii="宋体" w:hAnsi="宋体" w:eastAsia="宋体" w:cs="宋体"/>
                <w:i w:val="0"/>
                <w:iCs w:val="0"/>
                <w:color w:val="1F2937"/>
                <w:sz w:val="24"/>
                <w:szCs w:val="24"/>
              </w:rPr>
            </w:pPr>
            <w:r>
              <w:rPr>
                <w:rFonts w:hint="eastAsia" w:ascii="宋体" w:hAnsi="宋体" w:eastAsia="宋体" w:cs="宋体"/>
                <w:sz w:val="24"/>
                <w:szCs w:val="24"/>
              </w:rPr>
              <w:t>34</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EEECC30">
            <w:pPr>
              <w:spacing w:before="0" w:after="0" w:line="240" w:lineRule="auto"/>
              <w:ind w:left="0" w:leftChars="0" w:right="0" w:rightChars="0" w:firstLine="0" w:firstLineChars="0"/>
              <w:jc w:val="left"/>
              <w:rPr>
                <w:rFonts w:hint="eastAsia" w:ascii="宋体" w:hAnsi="宋体" w:eastAsia="宋体" w:cs="宋体"/>
                <w:i w:val="0"/>
                <w:iCs w:val="0"/>
                <w:color w:val="1F2937"/>
                <w:sz w:val="24"/>
                <w:szCs w:val="24"/>
              </w:rPr>
            </w:pPr>
            <w:r>
              <w:rPr>
                <w:rFonts w:hint="eastAsia" w:ascii="宋体" w:hAnsi="宋体" w:eastAsia="宋体" w:cs="宋体"/>
                <w:sz w:val="24"/>
                <w:szCs w:val="24"/>
              </w:rPr>
              <w:t>单位产值电耗（GIL-螺旋焊管生产)</w:t>
            </w:r>
          </w:p>
        </w:tc>
        <w:tc>
          <w:tcPr>
            <w:tcW w:w="11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8A90F31">
            <w:pPr>
              <w:spacing w:before="0" w:after="0" w:line="240" w:lineRule="auto"/>
              <w:ind w:left="0" w:leftChars="0" w:right="0" w:rightChars="0" w:firstLine="0" w:firstLineChars="0"/>
              <w:jc w:val="left"/>
              <w:rPr>
                <w:rFonts w:hint="eastAsia" w:ascii="宋体" w:hAnsi="宋体" w:eastAsia="宋体" w:cs="宋体"/>
                <w:i w:val="0"/>
                <w:iCs w:val="0"/>
                <w:color w:val="1F2937"/>
                <w:sz w:val="24"/>
                <w:szCs w:val="24"/>
              </w:rPr>
            </w:pPr>
            <w:r>
              <w:rPr>
                <w:rFonts w:hint="eastAsia" w:ascii="宋体" w:hAnsi="宋体" w:eastAsia="宋体" w:cs="宋体"/>
                <w:sz w:val="24"/>
                <w:szCs w:val="24"/>
              </w:rPr>
              <w:t>kWh/kvar</w:t>
            </w:r>
          </w:p>
        </w:tc>
        <w:tc>
          <w:tcPr>
            <w:tcW w:w="46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6B25AAB">
            <w:pPr>
              <w:spacing w:before="0" w:after="0" w:line="240" w:lineRule="auto"/>
              <w:ind w:left="0" w:leftChars="0" w:right="0" w:rightChars="0" w:firstLine="0" w:firstLineChars="0"/>
              <w:jc w:val="left"/>
              <w:rPr>
                <w:rFonts w:hint="eastAsia" w:ascii="宋体" w:hAnsi="宋体" w:eastAsia="宋体" w:cs="宋体"/>
                <w:i w:val="0"/>
                <w:iCs w:val="0"/>
                <w:color w:val="15803D"/>
                <w:sz w:val="24"/>
                <w:szCs w:val="24"/>
              </w:rPr>
            </w:pPr>
            <w:r>
              <w:rPr>
                <w:rFonts w:hint="eastAsia" w:ascii="宋体" w:hAnsi="宋体" w:eastAsia="宋体" w:cs="宋体"/>
                <w:sz w:val="24"/>
                <w:szCs w:val="24"/>
              </w:rPr>
              <w:t>q = Q_elec / G（工序用电量 ÷ 当期产值万元）</w:t>
            </w:r>
          </w:p>
        </w:tc>
      </w:tr>
      <w:tr w14:paraId="15CCC7EC">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081D641">
            <w:pPr>
              <w:spacing w:before="0" w:after="0" w:line="240" w:lineRule="auto"/>
              <w:ind w:left="0" w:leftChars="0" w:right="0" w:rightChars="0" w:firstLine="0" w:firstLineChars="0"/>
              <w:jc w:val="center"/>
              <w:rPr>
                <w:rFonts w:hint="eastAsia" w:ascii="宋体" w:hAnsi="宋体" w:eastAsia="宋体" w:cs="宋体"/>
                <w:i w:val="0"/>
                <w:iCs w:val="0"/>
                <w:color w:val="1F2937"/>
                <w:sz w:val="24"/>
                <w:szCs w:val="24"/>
              </w:rPr>
            </w:pPr>
            <w:r>
              <w:rPr>
                <w:rFonts w:hint="eastAsia" w:ascii="宋体" w:hAnsi="宋体" w:eastAsia="宋体" w:cs="宋体"/>
                <w:sz w:val="24"/>
                <w:szCs w:val="24"/>
              </w:rPr>
              <w:t>35</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56C585A">
            <w:pPr>
              <w:spacing w:before="0" w:after="0" w:line="240" w:lineRule="auto"/>
              <w:ind w:left="0" w:leftChars="0" w:right="0" w:rightChars="0" w:firstLine="0" w:firstLineChars="0"/>
              <w:jc w:val="left"/>
              <w:rPr>
                <w:rFonts w:hint="eastAsia" w:ascii="宋体" w:hAnsi="宋体" w:eastAsia="宋体" w:cs="宋体"/>
                <w:i w:val="0"/>
                <w:iCs w:val="0"/>
                <w:color w:val="1F2937"/>
                <w:sz w:val="24"/>
                <w:szCs w:val="24"/>
              </w:rPr>
            </w:pPr>
            <w:r>
              <w:rPr>
                <w:rFonts w:hint="eastAsia" w:ascii="宋体" w:hAnsi="宋体" w:eastAsia="宋体" w:cs="宋体"/>
                <w:sz w:val="24"/>
                <w:szCs w:val="24"/>
              </w:rPr>
              <w:t>单位产值电耗（GIL-测试)</w:t>
            </w:r>
          </w:p>
        </w:tc>
        <w:tc>
          <w:tcPr>
            <w:tcW w:w="11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9EB7992">
            <w:pPr>
              <w:spacing w:before="0" w:after="0" w:line="240" w:lineRule="auto"/>
              <w:ind w:left="0" w:leftChars="0" w:right="0" w:rightChars="0" w:firstLine="0" w:firstLineChars="0"/>
              <w:jc w:val="left"/>
              <w:rPr>
                <w:rFonts w:hint="eastAsia" w:ascii="宋体" w:hAnsi="宋体" w:eastAsia="宋体" w:cs="宋体"/>
                <w:i w:val="0"/>
                <w:iCs w:val="0"/>
                <w:color w:val="1F2937"/>
                <w:sz w:val="24"/>
                <w:szCs w:val="24"/>
              </w:rPr>
            </w:pPr>
            <w:r>
              <w:rPr>
                <w:rFonts w:hint="eastAsia" w:ascii="宋体" w:hAnsi="宋体" w:eastAsia="宋体" w:cs="宋体"/>
                <w:sz w:val="24"/>
                <w:szCs w:val="24"/>
              </w:rPr>
              <w:t>kWh/kvar</w:t>
            </w:r>
          </w:p>
        </w:tc>
        <w:tc>
          <w:tcPr>
            <w:tcW w:w="46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192C275">
            <w:pPr>
              <w:spacing w:before="0" w:after="0" w:line="240" w:lineRule="auto"/>
              <w:ind w:left="0" w:leftChars="0" w:right="0" w:rightChars="0" w:firstLine="0" w:firstLineChars="0"/>
              <w:jc w:val="left"/>
              <w:rPr>
                <w:rFonts w:hint="eastAsia" w:ascii="宋体" w:hAnsi="宋体" w:eastAsia="宋体" w:cs="宋体"/>
                <w:i w:val="0"/>
                <w:iCs w:val="0"/>
                <w:color w:val="15803D"/>
                <w:sz w:val="24"/>
                <w:szCs w:val="24"/>
              </w:rPr>
            </w:pPr>
            <w:r>
              <w:rPr>
                <w:rFonts w:hint="eastAsia" w:ascii="宋体" w:hAnsi="宋体" w:eastAsia="宋体" w:cs="宋体"/>
                <w:sz w:val="24"/>
                <w:szCs w:val="24"/>
              </w:rPr>
              <w:t>q = Q_elec / G（工序用电量 ÷ 当期产值万元）</w:t>
            </w:r>
          </w:p>
        </w:tc>
      </w:tr>
      <w:tr w14:paraId="2ABDB791">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70EDBDF">
            <w:pPr>
              <w:spacing w:before="0" w:after="0" w:line="240" w:lineRule="auto"/>
              <w:ind w:left="0" w:leftChars="0" w:right="0" w:rightChars="0" w:firstLine="0" w:firstLineChars="0"/>
              <w:jc w:val="center"/>
              <w:rPr>
                <w:rFonts w:hint="eastAsia" w:ascii="宋体" w:hAnsi="宋体" w:eastAsia="宋体" w:cs="宋体"/>
                <w:i w:val="0"/>
                <w:iCs w:val="0"/>
                <w:color w:val="1F2937"/>
                <w:sz w:val="24"/>
                <w:szCs w:val="24"/>
              </w:rPr>
            </w:pPr>
            <w:r>
              <w:rPr>
                <w:rFonts w:hint="eastAsia" w:ascii="宋体" w:hAnsi="宋体" w:eastAsia="宋体" w:cs="宋体"/>
                <w:sz w:val="24"/>
                <w:szCs w:val="24"/>
              </w:rPr>
              <w:t>36</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34678C3">
            <w:pPr>
              <w:spacing w:before="0" w:after="0" w:line="240" w:lineRule="auto"/>
              <w:ind w:left="0" w:leftChars="0" w:right="0" w:rightChars="0" w:firstLine="0" w:firstLineChars="0"/>
              <w:jc w:val="left"/>
              <w:rPr>
                <w:rFonts w:hint="eastAsia" w:ascii="宋体" w:hAnsi="宋体" w:eastAsia="宋体" w:cs="宋体"/>
                <w:i w:val="0"/>
                <w:iCs w:val="0"/>
                <w:color w:val="1F2937"/>
                <w:sz w:val="24"/>
                <w:szCs w:val="24"/>
              </w:rPr>
            </w:pPr>
            <w:r>
              <w:rPr>
                <w:rFonts w:hint="eastAsia" w:ascii="宋体" w:hAnsi="宋体" w:eastAsia="宋体" w:cs="宋体"/>
                <w:sz w:val="24"/>
                <w:szCs w:val="24"/>
              </w:rPr>
              <w:t>单位产值电耗（GIL-绝缘子生产)</w:t>
            </w:r>
          </w:p>
        </w:tc>
        <w:tc>
          <w:tcPr>
            <w:tcW w:w="11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6D6DF36">
            <w:pPr>
              <w:spacing w:before="0" w:after="0" w:line="240" w:lineRule="auto"/>
              <w:ind w:left="0" w:leftChars="0" w:right="0" w:rightChars="0" w:firstLine="0" w:firstLineChars="0"/>
              <w:jc w:val="left"/>
              <w:rPr>
                <w:rFonts w:hint="eastAsia" w:ascii="宋体" w:hAnsi="宋体" w:eastAsia="宋体" w:cs="宋体"/>
                <w:i w:val="0"/>
                <w:iCs w:val="0"/>
                <w:color w:val="1F2937"/>
                <w:sz w:val="24"/>
                <w:szCs w:val="24"/>
              </w:rPr>
            </w:pPr>
            <w:r>
              <w:rPr>
                <w:rFonts w:hint="eastAsia" w:ascii="宋体" w:hAnsi="宋体" w:eastAsia="宋体" w:cs="宋体"/>
                <w:sz w:val="24"/>
                <w:szCs w:val="24"/>
              </w:rPr>
              <w:t>kWh/kvar</w:t>
            </w:r>
          </w:p>
        </w:tc>
        <w:tc>
          <w:tcPr>
            <w:tcW w:w="46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2ADE027">
            <w:pPr>
              <w:spacing w:before="0" w:after="0" w:line="240" w:lineRule="auto"/>
              <w:ind w:left="0" w:leftChars="0" w:right="0" w:rightChars="0" w:firstLine="0" w:firstLineChars="0"/>
              <w:jc w:val="left"/>
              <w:rPr>
                <w:rFonts w:hint="eastAsia" w:ascii="宋体" w:hAnsi="宋体" w:eastAsia="宋体" w:cs="宋体"/>
                <w:i w:val="0"/>
                <w:iCs w:val="0"/>
                <w:color w:val="15803D"/>
                <w:sz w:val="24"/>
                <w:szCs w:val="24"/>
              </w:rPr>
            </w:pPr>
            <w:r>
              <w:rPr>
                <w:rFonts w:hint="eastAsia" w:ascii="宋体" w:hAnsi="宋体" w:eastAsia="宋体" w:cs="宋体"/>
                <w:sz w:val="24"/>
                <w:szCs w:val="24"/>
              </w:rPr>
              <w:t>q = Q_elec / G（工序用电量 ÷ 当期产值万元）</w:t>
            </w:r>
          </w:p>
        </w:tc>
      </w:tr>
      <w:tr w14:paraId="7A94EC17">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EF32723">
            <w:pPr>
              <w:spacing w:before="0" w:after="0" w:line="240" w:lineRule="auto"/>
              <w:ind w:left="0" w:leftChars="0" w:right="0" w:rightChars="0" w:firstLine="0" w:firstLineChars="0"/>
              <w:jc w:val="center"/>
              <w:rPr>
                <w:rFonts w:hint="eastAsia" w:ascii="宋体" w:hAnsi="宋体" w:eastAsia="宋体" w:cs="宋体"/>
                <w:i w:val="0"/>
                <w:iCs w:val="0"/>
                <w:color w:val="1F2937"/>
                <w:sz w:val="24"/>
                <w:szCs w:val="24"/>
              </w:rPr>
            </w:pPr>
            <w:r>
              <w:rPr>
                <w:rFonts w:hint="eastAsia" w:ascii="宋体" w:hAnsi="宋体" w:eastAsia="宋体" w:cs="宋体"/>
                <w:sz w:val="24"/>
                <w:szCs w:val="24"/>
              </w:rPr>
              <w:t>37</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60FB439">
            <w:pPr>
              <w:spacing w:before="0" w:after="0" w:line="240" w:lineRule="auto"/>
              <w:ind w:left="0" w:leftChars="0" w:right="0" w:rightChars="0" w:firstLine="0" w:firstLineChars="0"/>
              <w:jc w:val="left"/>
              <w:rPr>
                <w:rFonts w:hint="eastAsia" w:ascii="宋体" w:hAnsi="宋体" w:eastAsia="宋体" w:cs="宋体"/>
                <w:i w:val="0"/>
                <w:iCs w:val="0"/>
                <w:color w:val="1F2937"/>
                <w:sz w:val="24"/>
                <w:szCs w:val="24"/>
              </w:rPr>
            </w:pPr>
            <w:r>
              <w:rPr>
                <w:rFonts w:hint="eastAsia" w:ascii="宋体" w:hAnsi="宋体" w:eastAsia="宋体" w:cs="宋体"/>
                <w:sz w:val="24"/>
                <w:szCs w:val="24"/>
              </w:rPr>
              <w:t>单位产值电耗（GIS-抽真空)</w:t>
            </w:r>
          </w:p>
        </w:tc>
        <w:tc>
          <w:tcPr>
            <w:tcW w:w="11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AB79BD9">
            <w:pPr>
              <w:spacing w:before="0" w:after="0" w:line="240" w:lineRule="auto"/>
              <w:ind w:left="0" w:leftChars="0" w:right="0" w:rightChars="0" w:firstLine="0" w:firstLineChars="0"/>
              <w:jc w:val="left"/>
              <w:rPr>
                <w:rFonts w:hint="eastAsia" w:ascii="宋体" w:hAnsi="宋体" w:eastAsia="宋体" w:cs="宋体"/>
                <w:i w:val="0"/>
                <w:iCs w:val="0"/>
                <w:color w:val="1F2937"/>
                <w:sz w:val="24"/>
                <w:szCs w:val="24"/>
              </w:rPr>
            </w:pPr>
            <w:r>
              <w:rPr>
                <w:rFonts w:hint="eastAsia" w:ascii="宋体" w:hAnsi="宋体" w:eastAsia="宋体" w:cs="宋体"/>
                <w:sz w:val="24"/>
                <w:szCs w:val="24"/>
              </w:rPr>
              <w:t>kWh/万元</w:t>
            </w:r>
          </w:p>
        </w:tc>
        <w:tc>
          <w:tcPr>
            <w:tcW w:w="46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CA8830B">
            <w:pPr>
              <w:spacing w:before="0" w:after="0" w:line="240" w:lineRule="auto"/>
              <w:ind w:left="0" w:leftChars="0" w:right="0" w:rightChars="0" w:firstLine="0" w:firstLineChars="0"/>
              <w:jc w:val="left"/>
              <w:rPr>
                <w:rFonts w:hint="eastAsia" w:ascii="宋体" w:hAnsi="宋体" w:eastAsia="宋体" w:cs="宋体"/>
                <w:i w:val="0"/>
                <w:iCs w:val="0"/>
                <w:color w:val="15803D"/>
                <w:sz w:val="24"/>
                <w:szCs w:val="24"/>
              </w:rPr>
            </w:pPr>
            <w:r>
              <w:rPr>
                <w:rFonts w:hint="eastAsia" w:ascii="宋体" w:hAnsi="宋体" w:eastAsia="宋体" w:cs="宋体"/>
                <w:sz w:val="24"/>
                <w:szCs w:val="24"/>
              </w:rPr>
              <w:t>q = Q_elec / G（工序用电量 ÷ 当期产值万元）</w:t>
            </w:r>
          </w:p>
        </w:tc>
      </w:tr>
      <w:tr w14:paraId="2ECAB7C4">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E85FB07">
            <w:pPr>
              <w:spacing w:before="0" w:after="0" w:line="240" w:lineRule="auto"/>
              <w:ind w:left="0" w:leftChars="0" w:right="0" w:rightChars="0" w:firstLine="0" w:firstLineChars="0"/>
              <w:jc w:val="center"/>
              <w:rPr>
                <w:rFonts w:hint="eastAsia" w:ascii="宋体" w:hAnsi="宋体" w:eastAsia="宋体" w:cs="宋体"/>
                <w:i w:val="0"/>
                <w:iCs w:val="0"/>
                <w:color w:val="1F2937"/>
                <w:sz w:val="24"/>
                <w:szCs w:val="24"/>
              </w:rPr>
            </w:pPr>
            <w:r>
              <w:rPr>
                <w:rFonts w:hint="eastAsia" w:ascii="宋体" w:hAnsi="宋体" w:eastAsia="宋体" w:cs="宋体"/>
                <w:sz w:val="24"/>
                <w:szCs w:val="24"/>
              </w:rPr>
              <w:t>38</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5013C00">
            <w:pPr>
              <w:spacing w:before="0" w:after="0" w:line="240" w:lineRule="auto"/>
              <w:ind w:left="0" w:leftChars="0" w:right="0" w:rightChars="0" w:firstLine="0" w:firstLineChars="0"/>
              <w:jc w:val="left"/>
              <w:rPr>
                <w:rFonts w:hint="eastAsia" w:ascii="宋体" w:hAnsi="宋体" w:eastAsia="宋体" w:cs="宋体"/>
                <w:i w:val="0"/>
                <w:iCs w:val="0"/>
                <w:color w:val="1F2937"/>
                <w:sz w:val="24"/>
                <w:szCs w:val="24"/>
              </w:rPr>
            </w:pPr>
            <w:r>
              <w:rPr>
                <w:rFonts w:hint="eastAsia" w:ascii="宋体" w:hAnsi="宋体" w:eastAsia="宋体" w:cs="宋体"/>
                <w:sz w:val="24"/>
                <w:szCs w:val="24"/>
              </w:rPr>
              <w:t>单位产值电耗（GIS-绝缘件干燥)</w:t>
            </w:r>
          </w:p>
        </w:tc>
        <w:tc>
          <w:tcPr>
            <w:tcW w:w="11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BD66945">
            <w:pPr>
              <w:spacing w:before="0" w:after="0" w:line="240" w:lineRule="auto"/>
              <w:ind w:left="0" w:leftChars="0" w:right="0" w:rightChars="0" w:firstLine="0" w:firstLineChars="0"/>
              <w:jc w:val="left"/>
              <w:rPr>
                <w:rFonts w:hint="eastAsia" w:ascii="宋体" w:hAnsi="宋体" w:eastAsia="宋体" w:cs="宋体"/>
                <w:i w:val="0"/>
                <w:iCs w:val="0"/>
                <w:color w:val="1F2937"/>
                <w:sz w:val="24"/>
                <w:szCs w:val="24"/>
              </w:rPr>
            </w:pPr>
            <w:r>
              <w:rPr>
                <w:rFonts w:hint="eastAsia" w:ascii="宋体" w:hAnsi="宋体" w:eastAsia="宋体" w:cs="宋体"/>
                <w:sz w:val="24"/>
                <w:szCs w:val="24"/>
              </w:rPr>
              <w:t>kWh/万元</w:t>
            </w:r>
          </w:p>
        </w:tc>
        <w:tc>
          <w:tcPr>
            <w:tcW w:w="46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9934D2C">
            <w:pPr>
              <w:spacing w:before="0" w:after="0" w:line="240" w:lineRule="auto"/>
              <w:ind w:left="0" w:leftChars="0" w:right="0" w:rightChars="0" w:firstLine="0" w:firstLineChars="0"/>
              <w:jc w:val="left"/>
              <w:rPr>
                <w:rFonts w:hint="eastAsia" w:ascii="宋体" w:hAnsi="宋体" w:eastAsia="宋体" w:cs="宋体"/>
                <w:i w:val="0"/>
                <w:iCs w:val="0"/>
                <w:color w:val="15803D"/>
                <w:sz w:val="24"/>
                <w:szCs w:val="24"/>
              </w:rPr>
            </w:pPr>
            <w:r>
              <w:rPr>
                <w:rFonts w:hint="eastAsia" w:ascii="宋体" w:hAnsi="宋体" w:eastAsia="宋体" w:cs="宋体"/>
                <w:sz w:val="24"/>
                <w:szCs w:val="24"/>
              </w:rPr>
              <w:t>q = Q_elec / G（工序用电量 ÷ 当期产值万元）</w:t>
            </w:r>
          </w:p>
        </w:tc>
      </w:tr>
      <w:tr w14:paraId="4E9E413D">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E95C4D6">
            <w:pPr>
              <w:spacing w:before="0" w:after="0" w:line="240" w:lineRule="auto"/>
              <w:ind w:left="0" w:leftChars="0" w:right="0" w:rightChars="0" w:firstLine="0" w:firstLineChars="0"/>
              <w:jc w:val="center"/>
              <w:rPr>
                <w:rFonts w:hint="eastAsia" w:ascii="宋体" w:hAnsi="宋体" w:eastAsia="宋体" w:cs="宋体"/>
                <w:i w:val="0"/>
                <w:iCs w:val="0"/>
                <w:color w:val="1F2937"/>
                <w:sz w:val="24"/>
                <w:szCs w:val="24"/>
              </w:rPr>
            </w:pPr>
            <w:r>
              <w:rPr>
                <w:rFonts w:hint="eastAsia" w:ascii="宋体" w:hAnsi="宋体" w:eastAsia="宋体" w:cs="宋体"/>
                <w:sz w:val="24"/>
                <w:szCs w:val="24"/>
              </w:rPr>
              <w:t>39</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4333B28">
            <w:pPr>
              <w:spacing w:before="0" w:after="0" w:line="240" w:lineRule="auto"/>
              <w:ind w:left="0" w:leftChars="0" w:right="0" w:rightChars="0" w:firstLine="0" w:firstLineChars="0"/>
              <w:jc w:val="left"/>
              <w:rPr>
                <w:rFonts w:hint="eastAsia" w:ascii="宋体" w:hAnsi="宋体" w:eastAsia="宋体" w:cs="宋体"/>
                <w:i w:val="0"/>
                <w:iCs w:val="0"/>
                <w:color w:val="1F2937"/>
                <w:sz w:val="24"/>
                <w:szCs w:val="24"/>
              </w:rPr>
            </w:pPr>
            <w:r>
              <w:rPr>
                <w:rFonts w:hint="eastAsia" w:ascii="宋体" w:hAnsi="宋体" w:eastAsia="宋体" w:cs="宋体"/>
                <w:sz w:val="24"/>
                <w:szCs w:val="24"/>
              </w:rPr>
              <w:t>单位产值电耗（GIS-工频耐压试验)</w:t>
            </w:r>
          </w:p>
        </w:tc>
        <w:tc>
          <w:tcPr>
            <w:tcW w:w="11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B3C6ACE">
            <w:pPr>
              <w:spacing w:before="0" w:after="0" w:line="240" w:lineRule="auto"/>
              <w:ind w:left="0" w:leftChars="0" w:right="0" w:rightChars="0" w:firstLine="0" w:firstLineChars="0"/>
              <w:jc w:val="left"/>
              <w:rPr>
                <w:rFonts w:hint="eastAsia" w:ascii="宋体" w:hAnsi="宋体" w:eastAsia="宋体" w:cs="宋体"/>
                <w:i w:val="0"/>
                <w:iCs w:val="0"/>
                <w:color w:val="1F2937"/>
                <w:sz w:val="24"/>
                <w:szCs w:val="24"/>
              </w:rPr>
            </w:pPr>
            <w:r>
              <w:rPr>
                <w:rFonts w:hint="eastAsia" w:ascii="宋体" w:hAnsi="宋体" w:eastAsia="宋体" w:cs="宋体"/>
                <w:sz w:val="24"/>
                <w:szCs w:val="24"/>
              </w:rPr>
              <w:t>kWh/万元</w:t>
            </w:r>
          </w:p>
        </w:tc>
        <w:tc>
          <w:tcPr>
            <w:tcW w:w="46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D4FF3C2">
            <w:pPr>
              <w:spacing w:before="0" w:after="0" w:line="240" w:lineRule="auto"/>
              <w:ind w:left="0" w:leftChars="0" w:right="0" w:rightChars="0" w:firstLine="0" w:firstLineChars="0"/>
              <w:jc w:val="left"/>
              <w:rPr>
                <w:rFonts w:hint="eastAsia" w:ascii="宋体" w:hAnsi="宋体" w:eastAsia="宋体" w:cs="宋体"/>
                <w:i w:val="0"/>
                <w:iCs w:val="0"/>
                <w:color w:val="15803D"/>
                <w:sz w:val="24"/>
                <w:szCs w:val="24"/>
              </w:rPr>
            </w:pPr>
            <w:r>
              <w:rPr>
                <w:rFonts w:hint="eastAsia" w:ascii="宋体" w:hAnsi="宋体" w:eastAsia="宋体" w:cs="宋体"/>
                <w:sz w:val="24"/>
                <w:szCs w:val="24"/>
              </w:rPr>
              <w:t>q = Q_elec / G（工序用电量 ÷ 当期产值万元）</w:t>
            </w:r>
          </w:p>
        </w:tc>
      </w:tr>
      <w:tr w14:paraId="10B8A1E3">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C10D61A">
            <w:pPr>
              <w:spacing w:before="0" w:after="0" w:line="240" w:lineRule="auto"/>
              <w:ind w:left="0" w:leftChars="0" w:right="0" w:rightChars="0" w:firstLine="0" w:firstLineChars="0"/>
              <w:jc w:val="center"/>
              <w:rPr>
                <w:rFonts w:hint="eastAsia" w:ascii="宋体" w:hAnsi="宋体" w:eastAsia="宋体" w:cs="宋体"/>
                <w:i w:val="0"/>
                <w:iCs w:val="0"/>
                <w:color w:val="1F2937"/>
                <w:sz w:val="24"/>
                <w:szCs w:val="24"/>
              </w:rPr>
            </w:pPr>
            <w:r>
              <w:rPr>
                <w:rFonts w:hint="eastAsia" w:ascii="宋体" w:hAnsi="宋体" w:eastAsia="宋体" w:cs="宋体"/>
                <w:sz w:val="24"/>
                <w:szCs w:val="24"/>
              </w:rPr>
              <w:t>40</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995552A">
            <w:pPr>
              <w:spacing w:before="0" w:after="0" w:line="240" w:lineRule="auto"/>
              <w:ind w:left="0" w:leftChars="0" w:right="0" w:rightChars="0" w:firstLine="0" w:firstLineChars="0"/>
              <w:jc w:val="left"/>
              <w:rPr>
                <w:rFonts w:hint="eastAsia" w:ascii="宋体" w:hAnsi="宋体" w:eastAsia="宋体" w:cs="宋体"/>
                <w:i w:val="0"/>
                <w:iCs w:val="0"/>
                <w:color w:val="1F2937"/>
                <w:sz w:val="24"/>
                <w:szCs w:val="24"/>
              </w:rPr>
            </w:pPr>
            <w:r>
              <w:rPr>
                <w:rFonts w:hint="eastAsia" w:ascii="宋体" w:hAnsi="宋体" w:eastAsia="宋体" w:cs="宋体"/>
                <w:sz w:val="24"/>
                <w:szCs w:val="24"/>
              </w:rPr>
              <w:t>单位产值电耗（GIS-空调恒温除湿)</w:t>
            </w:r>
          </w:p>
        </w:tc>
        <w:tc>
          <w:tcPr>
            <w:tcW w:w="11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E71BF79">
            <w:pPr>
              <w:spacing w:before="0" w:after="0" w:line="240" w:lineRule="auto"/>
              <w:ind w:left="0" w:leftChars="0" w:right="0" w:rightChars="0" w:firstLine="0" w:firstLineChars="0"/>
              <w:jc w:val="left"/>
              <w:rPr>
                <w:rFonts w:hint="eastAsia" w:ascii="宋体" w:hAnsi="宋体" w:eastAsia="宋体" w:cs="宋体"/>
                <w:i w:val="0"/>
                <w:iCs w:val="0"/>
                <w:color w:val="1F2937"/>
                <w:sz w:val="24"/>
                <w:szCs w:val="24"/>
              </w:rPr>
            </w:pPr>
            <w:r>
              <w:rPr>
                <w:rFonts w:hint="eastAsia" w:ascii="宋体" w:hAnsi="宋体" w:eastAsia="宋体" w:cs="宋体"/>
                <w:sz w:val="24"/>
                <w:szCs w:val="24"/>
              </w:rPr>
              <w:t>kWh/万元</w:t>
            </w:r>
          </w:p>
        </w:tc>
        <w:tc>
          <w:tcPr>
            <w:tcW w:w="46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7EC1232">
            <w:pPr>
              <w:spacing w:before="0" w:after="0" w:line="240" w:lineRule="auto"/>
              <w:ind w:left="0" w:leftChars="0" w:right="0" w:rightChars="0" w:firstLine="0" w:firstLineChars="0"/>
              <w:jc w:val="left"/>
              <w:rPr>
                <w:rFonts w:hint="eastAsia" w:ascii="宋体" w:hAnsi="宋体" w:eastAsia="宋体" w:cs="宋体"/>
                <w:i w:val="0"/>
                <w:iCs w:val="0"/>
                <w:color w:val="15803D"/>
                <w:sz w:val="24"/>
                <w:szCs w:val="24"/>
              </w:rPr>
            </w:pPr>
            <w:r>
              <w:rPr>
                <w:rFonts w:hint="eastAsia" w:ascii="宋体" w:hAnsi="宋体" w:eastAsia="宋体" w:cs="宋体"/>
                <w:sz w:val="24"/>
                <w:szCs w:val="24"/>
              </w:rPr>
              <w:t>q = Q_elec / G（工序用电量 ÷ 当期产值万元）</w:t>
            </w:r>
          </w:p>
        </w:tc>
      </w:tr>
      <w:tr w14:paraId="1DAC35C5">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B4FD22F">
            <w:pPr>
              <w:spacing w:before="0" w:after="0" w:line="240" w:lineRule="auto"/>
              <w:ind w:left="0" w:leftChars="0" w:right="0" w:rightChars="0" w:firstLine="0" w:firstLineChars="0"/>
              <w:jc w:val="center"/>
              <w:rPr>
                <w:rFonts w:hint="eastAsia" w:ascii="宋体" w:hAnsi="宋体" w:eastAsia="宋体" w:cs="宋体"/>
                <w:i w:val="0"/>
                <w:iCs w:val="0"/>
                <w:color w:val="1F2937"/>
                <w:sz w:val="24"/>
                <w:szCs w:val="24"/>
              </w:rPr>
            </w:pPr>
            <w:r>
              <w:rPr>
                <w:rFonts w:hint="eastAsia" w:ascii="宋体" w:hAnsi="宋体" w:eastAsia="宋体" w:cs="宋体"/>
                <w:sz w:val="24"/>
                <w:szCs w:val="24"/>
              </w:rPr>
              <w:t>41</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550E242">
            <w:pPr>
              <w:spacing w:before="0" w:after="0" w:line="240" w:lineRule="auto"/>
              <w:ind w:left="0" w:leftChars="0" w:right="0" w:rightChars="0" w:firstLine="0" w:firstLineChars="0"/>
              <w:jc w:val="left"/>
              <w:rPr>
                <w:rFonts w:hint="eastAsia" w:ascii="宋体" w:hAnsi="宋体" w:eastAsia="宋体" w:cs="宋体"/>
                <w:i w:val="0"/>
                <w:iCs w:val="0"/>
                <w:color w:val="1F2937"/>
                <w:sz w:val="24"/>
                <w:szCs w:val="24"/>
              </w:rPr>
            </w:pPr>
            <w:r>
              <w:rPr>
                <w:rFonts w:hint="eastAsia" w:ascii="宋体" w:hAnsi="宋体" w:eastAsia="宋体" w:cs="宋体"/>
                <w:sz w:val="24"/>
                <w:szCs w:val="24"/>
              </w:rPr>
              <w:t>单位产量电耗（非晶合金铁心-退火）</w:t>
            </w:r>
          </w:p>
        </w:tc>
        <w:tc>
          <w:tcPr>
            <w:tcW w:w="11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667E580">
            <w:pPr>
              <w:spacing w:before="0" w:after="0" w:line="240" w:lineRule="auto"/>
              <w:ind w:left="0" w:leftChars="0" w:right="0" w:rightChars="0" w:firstLine="0" w:firstLineChars="0"/>
              <w:jc w:val="left"/>
              <w:rPr>
                <w:rFonts w:hint="eastAsia" w:ascii="宋体" w:hAnsi="宋体" w:eastAsia="宋体" w:cs="宋体"/>
                <w:i w:val="0"/>
                <w:iCs w:val="0"/>
                <w:color w:val="1F2937"/>
                <w:sz w:val="24"/>
                <w:szCs w:val="24"/>
              </w:rPr>
            </w:pPr>
            <w:r>
              <w:rPr>
                <w:rFonts w:hint="eastAsia" w:ascii="宋体" w:hAnsi="宋体" w:eastAsia="宋体" w:cs="宋体"/>
                <w:sz w:val="24"/>
                <w:szCs w:val="24"/>
              </w:rPr>
              <w:t>kWh/万元</w:t>
            </w:r>
          </w:p>
        </w:tc>
        <w:tc>
          <w:tcPr>
            <w:tcW w:w="46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C40CB57">
            <w:pPr>
              <w:spacing w:before="0" w:after="0" w:line="240" w:lineRule="auto"/>
              <w:ind w:left="0" w:leftChars="0" w:right="0" w:rightChars="0" w:firstLine="0" w:firstLineChars="0"/>
              <w:jc w:val="left"/>
              <w:rPr>
                <w:rFonts w:hint="eastAsia" w:ascii="宋体" w:hAnsi="宋体" w:eastAsia="宋体" w:cs="宋体"/>
                <w:i w:val="0"/>
                <w:iCs w:val="0"/>
                <w:color w:val="15803D"/>
                <w:sz w:val="24"/>
                <w:szCs w:val="24"/>
              </w:rPr>
            </w:pPr>
            <w:r>
              <w:rPr>
                <w:rFonts w:hint="eastAsia" w:ascii="宋体" w:hAnsi="宋体" w:eastAsia="宋体" w:cs="宋体"/>
                <w:sz w:val="24"/>
                <w:szCs w:val="24"/>
              </w:rPr>
              <w:t>q = Q_elec / M_kVA（工序用电量 ÷ 当期合格产出容量万kVA）</w:t>
            </w:r>
          </w:p>
        </w:tc>
      </w:tr>
      <w:tr w14:paraId="709E25FF">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44148FD">
            <w:pPr>
              <w:spacing w:before="0" w:after="0" w:line="240" w:lineRule="auto"/>
              <w:ind w:left="0" w:leftChars="0" w:right="0" w:rightChars="0" w:firstLine="0" w:firstLineChars="0"/>
              <w:jc w:val="center"/>
              <w:rPr>
                <w:rFonts w:hint="eastAsia" w:ascii="宋体" w:hAnsi="宋体" w:eastAsia="宋体" w:cs="宋体"/>
                <w:i w:val="0"/>
                <w:iCs w:val="0"/>
                <w:color w:val="1F2937"/>
                <w:sz w:val="24"/>
                <w:szCs w:val="24"/>
              </w:rPr>
            </w:pPr>
            <w:r>
              <w:rPr>
                <w:rFonts w:hint="eastAsia" w:ascii="宋体" w:hAnsi="宋体" w:eastAsia="宋体" w:cs="宋体"/>
                <w:sz w:val="24"/>
                <w:szCs w:val="24"/>
              </w:rPr>
              <w:t>42</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CB2D2EB">
            <w:pPr>
              <w:spacing w:before="0" w:after="0" w:line="240" w:lineRule="auto"/>
              <w:ind w:left="0" w:leftChars="0" w:right="0" w:rightChars="0" w:firstLine="0" w:firstLineChars="0"/>
              <w:jc w:val="left"/>
              <w:rPr>
                <w:rFonts w:hint="eastAsia" w:ascii="宋体" w:hAnsi="宋体" w:eastAsia="宋体" w:cs="宋体"/>
                <w:i w:val="0"/>
                <w:iCs w:val="0"/>
                <w:color w:val="1F2937"/>
                <w:sz w:val="24"/>
                <w:szCs w:val="24"/>
              </w:rPr>
            </w:pPr>
            <w:r>
              <w:rPr>
                <w:rFonts w:hint="eastAsia" w:ascii="宋体" w:hAnsi="宋体" w:eastAsia="宋体" w:cs="宋体"/>
                <w:sz w:val="24"/>
                <w:szCs w:val="24"/>
              </w:rPr>
              <w:t>单位产量电耗（硅钢铁心-纵剪）</w:t>
            </w:r>
          </w:p>
        </w:tc>
        <w:tc>
          <w:tcPr>
            <w:tcW w:w="11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EA64170">
            <w:pPr>
              <w:spacing w:before="0" w:after="0" w:line="240" w:lineRule="auto"/>
              <w:ind w:left="0" w:leftChars="0" w:right="0" w:rightChars="0" w:firstLine="0" w:firstLineChars="0"/>
              <w:jc w:val="left"/>
              <w:rPr>
                <w:rFonts w:hint="eastAsia" w:ascii="宋体" w:hAnsi="宋体" w:eastAsia="宋体" w:cs="宋体"/>
                <w:i w:val="0"/>
                <w:iCs w:val="0"/>
                <w:color w:val="1F2937"/>
                <w:sz w:val="24"/>
                <w:szCs w:val="24"/>
              </w:rPr>
            </w:pPr>
            <w:r>
              <w:rPr>
                <w:rFonts w:hint="eastAsia" w:ascii="宋体" w:hAnsi="宋体" w:eastAsia="宋体" w:cs="宋体"/>
                <w:sz w:val="24"/>
                <w:szCs w:val="24"/>
              </w:rPr>
              <w:t>kWh/万元</w:t>
            </w:r>
          </w:p>
        </w:tc>
        <w:tc>
          <w:tcPr>
            <w:tcW w:w="46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3F0BD0D">
            <w:pPr>
              <w:spacing w:before="0" w:after="0" w:line="240" w:lineRule="auto"/>
              <w:ind w:left="0" w:leftChars="0" w:right="0" w:rightChars="0" w:firstLine="0" w:firstLineChars="0"/>
              <w:jc w:val="left"/>
              <w:rPr>
                <w:rFonts w:hint="eastAsia" w:ascii="宋体" w:hAnsi="宋体" w:eastAsia="宋体" w:cs="宋体"/>
                <w:i w:val="0"/>
                <w:iCs w:val="0"/>
                <w:color w:val="15803D"/>
                <w:sz w:val="24"/>
                <w:szCs w:val="24"/>
              </w:rPr>
            </w:pPr>
            <w:r>
              <w:rPr>
                <w:rFonts w:hint="eastAsia" w:ascii="宋体" w:hAnsi="宋体" w:eastAsia="宋体" w:cs="宋体"/>
                <w:sz w:val="24"/>
                <w:szCs w:val="24"/>
              </w:rPr>
              <w:t>q = Q_elec / M_kVA（工序用电量 ÷ 当期合格产出容量万kVA）</w:t>
            </w:r>
          </w:p>
        </w:tc>
      </w:tr>
      <w:tr w14:paraId="78AED143">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E110134">
            <w:pPr>
              <w:spacing w:before="0" w:after="0" w:line="240" w:lineRule="auto"/>
              <w:ind w:left="0" w:leftChars="0" w:right="0" w:rightChars="0" w:firstLine="0" w:firstLineChars="0"/>
              <w:jc w:val="center"/>
              <w:rPr>
                <w:rFonts w:hint="eastAsia" w:ascii="宋体" w:hAnsi="宋体" w:eastAsia="宋体" w:cs="宋体"/>
                <w:i w:val="0"/>
                <w:iCs w:val="0"/>
                <w:color w:val="1F2937"/>
                <w:sz w:val="24"/>
                <w:szCs w:val="24"/>
              </w:rPr>
            </w:pPr>
            <w:r>
              <w:rPr>
                <w:rFonts w:hint="eastAsia" w:ascii="宋体" w:hAnsi="宋体" w:eastAsia="宋体" w:cs="宋体"/>
                <w:sz w:val="24"/>
                <w:szCs w:val="24"/>
              </w:rPr>
              <w:t>43</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803B3AD">
            <w:pPr>
              <w:spacing w:before="0" w:after="0" w:line="240" w:lineRule="auto"/>
              <w:ind w:left="0" w:leftChars="0" w:right="0" w:rightChars="0" w:firstLine="0" w:firstLineChars="0"/>
              <w:jc w:val="left"/>
              <w:rPr>
                <w:rFonts w:hint="eastAsia" w:ascii="宋体" w:hAnsi="宋体" w:eastAsia="宋体" w:cs="宋体"/>
                <w:i w:val="0"/>
                <w:iCs w:val="0"/>
                <w:color w:val="1F2937"/>
                <w:sz w:val="24"/>
                <w:szCs w:val="24"/>
              </w:rPr>
            </w:pPr>
            <w:r>
              <w:rPr>
                <w:rFonts w:hint="eastAsia" w:ascii="宋体" w:hAnsi="宋体" w:eastAsia="宋体" w:cs="宋体"/>
                <w:sz w:val="24"/>
                <w:szCs w:val="24"/>
              </w:rPr>
              <w:t>单位产量电耗（硅钢铁心-中型叠装）</w:t>
            </w:r>
          </w:p>
        </w:tc>
        <w:tc>
          <w:tcPr>
            <w:tcW w:w="11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628B9CA">
            <w:pPr>
              <w:spacing w:before="0" w:after="0" w:line="240" w:lineRule="auto"/>
              <w:ind w:left="0" w:leftChars="0" w:right="0" w:rightChars="0" w:firstLine="0" w:firstLineChars="0"/>
              <w:jc w:val="left"/>
              <w:rPr>
                <w:rFonts w:hint="eastAsia" w:ascii="宋体" w:hAnsi="宋体" w:eastAsia="宋体" w:cs="宋体"/>
                <w:i w:val="0"/>
                <w:iCs w:val="0"/>
                <w:color w:val="1F2937"/>
                <w:sz w:val="24"/>
                <w:szCs w:val="24"/>
              </w:rPr>
            </w:pPr>
            <w:r>
              <w:rPr>
                <w:rFonts w:hint="eastAsia" w:ascii="宋体" w:hAnsi="宋体" w:eastAsia="宋体" w:cs="宋体"/>
                <w:sz w:val="24"/>
                <w:szCs w:val="24"/>
              </w:rPr>
              <w:t>kWh/万元</w:t>
            </w:r>
          </w:p>
        </w:tc>
        <w:tc>
          <w:tcPr>
            <w:tcW w:w="46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A14D197">
            <w:pPr>
              <w:spacing w:before="0" w:after="0" w:line="240" w:lineRule="auto"/>
              <w:ind w:left="0" w:leftChars="0" w:right="0" w:rightChars="0" w:firstLine="0" w:firstLineChars="0"/>
              <w:jc w:val="left"/>
              <w:rPr>
                <w:rFonts w:hint="eastAsia" w:ascii="宋体" w:hAnsi="宋体" w:eastAsia="宋体" w:cs="宋体"/>
                <w:i w:val="0"/>
                <w:iCs w:val="0"/>
                <w:color w:val="15803D"/>
                <w:sz w:val="24"/>
                <w:szCs w:val="24"/>
              </w:rPr>
            </w:pPr>
            <w:r>
              <w:rPr>
                <w:rFonts w:hint="eastAsia" w:ascii="宋体" w:hAnsi="宋体" w:eastAsia="宋体" w:cs="宋体"/>
                <w:sz w:val="24"/>
                <w:szCs w:val="24"/>
              </w:rPr>
              <w:t>q = Q_elec / M_kVA（工序用电量 ÷ 当期合格产出容量万kVA）</w:t>
            </w:r>
          </w:p>
        </w:tc>
      </w:tr>
      <w:tr w14:paraId="3B39B687">
        <w:tblPrEx>
          <w:tblCellMar>
            <w:top w:w="0" w:type="dxa"/>
            <w:left w:w="108" w:type="dxa"/>
            <w:bottom w:w="0" w:type="dxa"/>
            <w:right w:w="108" w:type="dxa"/>
          </w:tblCellMar>
        </w:tblPrEx>
        <w:trPr>
          <w:jc w:val="center"/>
        </w:trPr>
        <w:tc>
          <w:tcPr>
            <w:tcW w:w="7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EC58770">
            <w:pPr>
              <w:spacing w:before="0" w:after="0" w:line="240" w:lineRule="auto"/>
              <w:ind w:left="0" w:leftChars="0" w:right="0" w:rightChars="0" w:firstLine="0" w:firstLineChars="0"/>
              <w:jc w:val="center"/>
              <w:rPr>
                <w:rFonts w:hint="eastAsia" w:ascii="宋体" w:hAnsi="宋体" w:eastAsia="宋体" w:cs="宋体"/>
                <w:i w:val="0"/>
                <w:iCs w:val="0"/>
                <w:color w:val="1F2937"/>
                <w:sz w:val="24"/>
                <w:szCs w:val="24"/>
              </w:rPr>
            </w:pPr>
            <w:r>
              <w:rPr>
                <w:rFonts w:hint="eastAsia" w:ascii="宋体" w:hAnsi="宋体" w:eastAsia="宋体" w:cs="宋体"/>
                <w:sz w:val="24"/>
                <w:szCs w:val="24"/>
              </w:rPr>
              <w:t>44</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08E683D">
            <w:pPr>
              <w:spacing w:before="0" w:after="0" w:line="240" w:lineRule="auto"/>
              <w:ind w:left="0" w:leftChars="0" w:right="0" w:rightChars="0" w:firstLine="0" w:firstLineChars="0"/>
              <w:jc w:val="left"/>
              <w:rPr>
                <w:rFonts w:hint="eastAsia" w:ascii="宋体" w:hAnsi="宋体" w:eastAsia="宋体" w:cs="宋体"/>
                <w:i w:val="0"/>
                <w:iCs w:val="0"/>
                <w:color w:val="1F2937"/>
                <w:sz w:val="24"/>
                <w:szCs w:val="24"/>
              </w:rPr>
            </w:pPr>
            <w:r>
              <w:rPr>
                <w:rFonts w:hint="eastAsia" w:ascii="宋体" w:hAnsi="宋体" w:eastAsia="宋体" w:cs="宋体"/>
                <w:sz w:val="24"/>
                <w:szCs w:val="24"/>
              </w:rPr>
              <w:t>单位产量电耗（硅钢铁心-大型叠装）</w:t>
            </w:r>
          </w:p>
        </w:tc>
        <w:tc>
          <w:tcPr>
            <w:tcW w:w="11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24D68CB">
            <w:pPr>
              <w:spacing w:before="0" w:after="0" w:line="240" w:lineRule="auto"/>
              <w:ind w:left="0" w:leftChars="0" w:right="0" w:rightChars="0" w:firstLine="0" w:firstLineChars="0"/>
              <w:jc w:val="left"/>
              <w:rPr>
                <w:rFonts w:hint="eastAsia" w:ascii="宋体" w:hAnsi="宋体" w:eastAsia="宋体" w:cs="宋体"/>
                <w:i w:val="0"/>
                <w:iCs w:val="0"/>
                <w:color w:val="1F2937"/>
                <w:sz w:val="24"/>
                <w:szCs w:val="24"/>
              </w:rPr>
            </w:pPr>
            <w:r>
              <w:rPr>
                <w:rFonts w:hint="eastAsia" w:ascii="宋体" w:hAnsi="宋体" w:eastAsia="宋体" w:cs="宋体"/>
                <w:sz w:val="24"/>
                <w:szCs w:val="24"/>
              </w:rPr>
              <w:t>kWh/万元</w:t>
            </w:r>
          </w:p>
        </w:tc>
        <w:tc>
          <w:tcPr>
            <w:tcW w:w="46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4495A11">
            <w:pPr>
              <w:spacing w:before="0" w:after="0" w:line="240" w:lineRule="auto"/>
              <w:ind w:left="0" w:leftChars="0" w:right="0" w:rightChars="0" w:firstLine="0" w:firstLineChars="0"/>
              <w:jc w:val="left"/>
              <w:rPr>
                <w:rFonts w:hint="eastAsia" w:ascii="宋体" w:hAnsi="宋体" w:eastAsia="宋体" w:cs="宋体"/>
                <w:i w:val="0"/>
                <w:iCs w:val="0"/>
                <w:color w:val="15803D"/>
                <w:sz w:val="24"/>
                <w:szCs w:val="24"/>
              </w:rPr>
            </w:pPr>
            <w:r>
              <w:rPr>
                <w:rFonts w:hint="eastAsia" w:ascii="宋体" w:hAnsi="宋体" w:eastAsia="宋体" w:cs="宋体"/>
                <w:sz w:val="24"/>
                <w:szCs w:val="24"/>
              </w:rPr>
              <w:t>q = Q_elec / M_kVA（工序用电量 ÷ 当期合格产出容量万kVA）</w:t>
            </w:r>
          </w:p>
        </w:tc>
      </w:tr>
    </w:tbl>
    <w:p w14:paraId="78192EC2">
      <w:pPr>
        <w:spacing w:after="60"/>
        <w:rPr>
          <w:rFonts w:hint="eastAsia" w:ascii="宋体" w:hAnsi="宋体" w:eastAsia="宋体" w:cs="宋体"/>
          <w:i w:val="0"/>
          <w:iCs w:val="0"/>
          <w:sz w:val="24"/>
          <w:szCs w:val="24"/>
        </w:rPr>
      </w:pPr>
    </w:p>
    <w:p w14:paraId="3262A9F7">
      <w:pPr>
        <w:pStyle w:val="6"/>
        <w:numPr>
          <w:ilvl w:val="0"/>
          <w:numId w:val="2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41"/>
        <w:gridCol w:w="1900"/>
        <w:gridCol w:w="1323"/>
        <w:gridCol w:w="2193"/>
        <w:gridCol w:w="3527"/>
      </w:tblGrid>
      <w:tr w14:paraId="6369A714">
        <w:tblPrEx>
          <w:tblCellMar>
            <w:top w:w="0" w:type="dxa"/>
            <w:left w:w="108" w:type="dxa"/>
            <w:bottom w:w="0" w:type="dxa"/>
            <w:right w:w="108" w:type="dxa"/>
          </w:tblCellMar>
        </w:tblPrEx>
        <w:trPr>
          <w:jc w:val="center"/>
        </w:trPr>
        <w:tc>
          <w:tcPr>
            <w:tcW w:w="84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AB0326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DBAC6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32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97C661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F2F28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352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102B90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310CB27C">
        <w:tblPrEx>
          <w:tblCellMar>
            <w:top w:w="0" w:type="dxa"/>
            <w:left w:w="108" w:type="dxa"/>
            <w:bottom w:w="0" w:type="dxa"/>
            <w:right w:w="108" w:type="dxa"/>
          </w:tblCellMar>
        </w:tblPrEx>
        <w:trPr>
          <w:jc w:val="center"/>
        </w:trPr>
        <w:tc>
          <w:tcPr>
            <w:tcW w:w="84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46C428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91733B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指标唯一编码</w:t>
            </w:r>
          </w:p>
        </w:tc>
        <w:tc>
          <w:tcPr>
            <w:tcW w:w="13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1087BF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C33B56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52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B77343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全局唯一主键，命名规则 </w:t>
            </w:r>
            <w:r>
              <w:rPr>
                <w:rFonts w:hint="eastAsia" w:ascii="宋体" w:hAnsi="宋体" w:eastAsia="宋体" w:cs="宋体"/>
                <w:b w:val="0"/>
                <w:i w:val="0"/>
                <w:iCs w:val="0"/>
                <w:color w:val="0284C7"/>
                <w:sz w:val="24"/>
                <w:szCs w:val="24"/>
              </w:rPr>
              <w:t xml:space="preserve"> KPI-&lt;DOMAIN&gt;-&lt;SEQ&gt; </w:t>
            </w:r>
          </w:p>
        </w:tc>
      </w:tr>
      <w:tr w14:paraId="6E6B08A9">
        <w:tblPrEx>
          <w:tblCellMar>
            <w:top w:w="0" w:type="dxa"/>
            <w:left w:w="108" w:type="dxa"/>
            <w:bottom w:w="0" w:type="dxa"/>
            <w:right w:w="108" w:type="dxa"/>
          </w:tblCellMar>
        </w:tblPrEx>
        <w:trPr>
          <w:jc w:val="center"/>
        </w:trPr>
        <w:tc>
          <w:tcPr>
            <w:tcW w:w="84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3B9902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0C11DE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指标标准名称</w:t>
            </w:r>
          </w:p>
        </w:tc>
        <w:tc>
          <w:tcPr>
            <w:tcW w:w="13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516978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6902EC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52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2AC5BF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非空，最长 64 字符，须与指标字典一致</w:t>
            </w:r>
          </w:p>
        </w:tc>
      </w:tr>
      <w:tr w14:paraId="5D743D5E">
        <w:tblPrEx>
          <w:tblCellMar>
            <w:top w:w="0" w:type="dxa"/>
            <w:left w:w="108" w:type="dxa"/>
            <w:bottom w:w="0" w:type="dxa"/>
            <w:right w:w="108" w:type="dxa"/>
          </w:tblCellMar>
        </w:tblPrEx>
        <w:trPr>
          <w:jc w:val="center"/>
        </w:trPr>
        <w:tc>
          <w:tcPr>
            <w:tcW w:w="84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2421F3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E593F7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指标单位</w:t>
            </w:r>
          </w:p>
        </w:tc>
        <w:tc>
          <w:tcPr>
            <w:tcW w:w="13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FC7FF1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18689A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 / tCO2 / % 等</w:t>
            </w:r>
          </w:p>
        </w:tc>
        <w:tc>
          <w:tcPr>
            <w:tcW w:w="352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EA1956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必须落在受控单位枚举内</w:t>
            </w:r>
          </w:p>
        </w:tc>
      </w:tr>
      <w:tr w14:paraId="733E656F">
        <w:tblPrEx>
          <w:tblCellMar>
            <w:top w:w="0" w:type="dxa"/>
            <w:left w:w="108" w:type="dxa"/>
            <w:bottom w:w="0" w:type="dxa"/>
            <w:right w:w="108" w:type="dxa"/>
          </w:tblCellMar>
        </w:tblPrEx>
        <w:trPr>
          <w:jc w:val="center"/>
        </w:trPr>
        <w:tc>
          <w:tcPr>
            <w:tcW w:w="84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63365F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678438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统计周期标签</w:t>
            </w:r>
          </w:p>
        </w:tc>
        <w:tc>
          <w:tcPr>
            <w:tcW w:w="13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32549D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DFDF0A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 / 年</w:t>
            </w:r>
          </w:p>
        </w:tc>
        <w:tc>
          <w:tcPr>
            <w:tcW w:w="352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C4F37C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月度指标按自然月闭环，年度按自然年闭环</w:t>
            </w:r>
          </w:p>
        </w:tc>
      </w:tr>
      <w:tr w14:paraId="15E92AC8">
        <w:tblPrEx>
          <w:tblCellMar>
            <w:top w:w="0" w:type="dxa"/>
            <w:left w:w="108" w:type="dxa"/>
            <w:bottom w:w="0" w:type="dxa"/>
            <w:right w:w="108" w:type="dxa"/>
          </w:tblCellMar>
        </w:tblPrEx>
        <w:trPr>
          <w:jc w:val="center"/>
        </w:trPr>
        <w:tc>
          <w:tcPr>
            <w:tcW w:w="84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FAD8EE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9552C9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实测值</w:t>
            </w:r>
          </w:p>
        </w:tc>
        <w:tc>
          <w:tcPr>
            <w:tcW w:w="13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73CEB8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0E537D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见指标单位</w:t>
            </w:r>
          </w:p>
        </w:tc>
        <w:tc>
          <w:tcPr>
            <w:tcW w:w="352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7A9D37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0；空值显示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，不得显示 0 冒充真实值</w:t>
            </w:r>
          </w:p>
        </w:tc>
      </w:tr>
      <w:tr w14:paraId="57CCD4E4">
        <w:tblPrEx>
          <w:tblCellMar>
            <w:top w:w="0" w:type="dxa"/>
            <w:left w:w="108" w:type="dxa"/>
            <w:bottom w:w="0" w:type="dxa"/>
            <w:right w:w="108" w:type="dxa"/>
          </w:tblCellMar>
        </w:tblPrEx>
        <w:trPr>
          <w:jc w:val="center"/>
        </w:trPr>
        <w:tc>
          <w:tcPr>
            <w:tcW w:w="84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149F6D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204D9A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同比变动率</w:t>
            </w:r>
          </w:p>
        </w:tc>
        <w:tc>
          <w:tcPr>
            <w:tcW w:w="13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8AC816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8C0A68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52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4BD357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(本期 − 去年同期) / 去年同期 × 100%；去年同期为 0 时显示 </w:t>
            </w:r>
            <w:r>
              <w:rPr>
                <w:rFonts w:hint="eastAsia" w:ascii="宋体" w:hAnsi="宋体" w:eastAsia="宋体" w:cs="宋体"/>
                <w:b w:val="0"/>
                <w:i w:val="0"/>
                <w:iCs w:val="0"/>
                <w:color w:val="0284C7"/>
                <w:sz w:val="24"/>
                <w:szCs w:val="24"/>
              </w:rPr>
              <w:t xml:space="preserve"> -- </w:t>
            </w:r>
          </w:p>
        </w:tc>
      </w:tr>
      <w:tr w14:paraId="68B36518">
        <w:tblPrEx>
          <w:tblCellMar>
            <w:top w:w="0" w:type="dxa"/>
            <w:left w:w="108" w:type="dxa"/>
            <w:bottom w:w="0" w:type="dxa"/>
            <w:right w:w="108" w:type="dxa"/>
          </w:tblCellMar>
        </w:tblPrEx>
        <w:trPr>
          <w:jc w:val="center"/>
        </w:trPr>
        <w:tc>
          <w:tcPr>
            <w:tcW w:w="84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13BF30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B32DBF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标杆值 / 基准值</w:t>
            </w:r>
          </w:p>
        </w:tc>
        <w:tc>
          <w:tcPr>
            <w:tcW w:w="13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16697A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EC0F5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见指标单位</w:t>
            </w:r>
          </w:p>
        </w:tc>
        <w:tc>
          <w:tcPr>
            <w:tcW w:w="352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E50423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取自基准管理模块当前生效版本</w:t>
            </w:r>
          </w:p>
        </w:tc>
      </w:tr>
      <w:tr w14:paraId="1CCD9050">
        <w:tblPrEx>
          <w:tblCellMar>
            <w:top w:w="0" w:type="dxa"/>
            <w:left w:w="108" w:type="dxa"/>
            <w:bottom w:w="0" w:type="dxa"/>
            <w:right w:w="108" w:type="dxa"/>
          </w:tblCellMar>
        </w:tblPrEx>
        <w:trPr>
          <w:jc w:val="center"/>
        </w:trPr>
        <w:tc>
          <w:tcPr>
            <w:tcW w:w="84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CC8F5E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2E02B3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三色状态</w:t>
            </w:r>
          </w:p>
        </w:tc>
        <w:tc>
          <w:tcPr>
            <w:tcW w:w="13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A1C818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0305DB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52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640AD8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优秀（绿）/ 正常（黄）/ 异常（红），由达标系数判定</w:t>
            </w:r>
          </w:p>
        </w:tc>
      </w:tr>
      <w:tr w14:paraId="50EFB726">
        <w:tblPrEx>
          <w:tblCellMar>
            <w:top w:w="0" w:type="dxa"/>
            <w:left w:w="108" w:type="dxa"/>
            <w:bottom w:w="0" w:type="dxa"/>
            <w:right w:w="108" w:type="dxa"/>
          </w:tblCellMar>
        </w:tblPrEx>
        <w:trPr>
          <w:jc w:val="center"/>
        </w:trPr>
        <w:tc>
          <w:tcPr>
            <w:tcW w:w="84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BF7143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DB6B16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分子工程物理量</w:t>
            </w:r>
          </w:p>
        </w:tc>
        <w:tc>
          <w:tcPr>
            <w:tcW w:w="13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37E873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30653D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 / m³ / t 等</w:t>
            </w:r>
          </w:p>
        </w:tc>
        <w:tc>
          <w:tcPr>
            <w:tcW w:w="352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3DE13E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展示原始实物量，保留原始采集精度</w:t>
            </w:r>
          </w:p>
        </w:tc>
      </w:tr>
      <w:tr w14:paraId="0BFEA659">
        <w:tblPrEx>
          <w:tblCellMar>
            <w:top w:w="0" w:type="dxa"/>
            <w:left w:w="108" w:type="dxa"/>
            <w:bottom w:w="0" w:type="dxa"/>
            <w:right w:w="108" w:type="dxa"/>
          </w:tblCellMar>
        </w:tblPrEx>
        <w:trPr>
          <w:jc w:val="center"/>
        </w:trPr>
        <w:tc>
          <w:tcPr>
            <w:tcW w:w="84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003EC1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8C1986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分母工程物理量</w:t>
            </w:r>
          </w:p>
        </w:tc>
        <w:tc>
          <w:tcPr>
            <w:tcW w:w="13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BFE136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436600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kVA / km·mm² / 万元</w:t>
            </w:r>
          </w:p>
        </w:tc>
        <w:tc>
          <w:tcPr>
            <w:tcW w:w="352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8AD9EC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为 0 时单耗安全兜底显示 </w:t>
            </w:r>
            <w:r>
              <w:rPr>
                <w:rFonts w:hint="eastAsia" w:ascii="宋体" w:hAnsi="宋体" w:eastAsia="宋体" w:cs="宋体"/>
                <w:b w:val="0"/>
                <w:i w:val="0"/>
                <w:iCs w:val="0"/>
                <w:color w:val="0284C7"/>
                <w:sz w:val="24"/>
                <w:szCs w:val="24"/>
              </w:rPr>
              <w:t xml:space="preserve"> -- </w:t>
            </w:r>
          </w:p>
        </w:tc>
      </w:tr>
      <w:tr w14:paraId="693BFBDF">
        <w:tblPrEx>
          <w:tblCellMar>
            <w:top w:w="0" w:type="dxa"/>
            <w:left w:w="108" w:type="dxa"/>
            <w:bottom w:w="0" w:type="dxa"/>
            <w:right w:w="108" w:type="dxa"/>
          </w:tblCellMar>
        </w:tblPrEx>
        <w:trPr>
          <w:jc w:val="center"/>
        </w:trPr>
        <w:tc>
          <w:tcPr>
            <w:tcW w:w="84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3E78E9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5E806A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仪表点位路径</w:t>
            </w:r>
          </w:p>
        </w:tc>
        <w:tc>
          <w:tcPr>
            <w:tcW w:w="13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C2FEA0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ADEF68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52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239339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格式 </w:t>
            </w:r>
            <w:r>
              <w:rPr>
                <w:rFonts w:hint="eastAsia" w:ascii="宋体" w:hAnsi="宋体" w:eastAsia="宋体" w:cs="宋体"/>
                <w:b w:val="0"/>
                <w:i w:val="0"/>
                <w:iCs w:val="0"/>
                <w:color w:val="0284C7"/>
                <w:sz w:val="24"/>
                <w:szCs w:val="24"/>
              </w:rPr>
              <w:t xml:space="preserve"> 园区/车间/设备/点位 </w:t>
            </w:r>
            <w:r>
              <w:rPr>
                <w:rFonts w:hint="eastAsia" w:ascii="宋体" w:hAnsi="宋体" w:eastAsia="宋体" w:cs="宋体"/>
                <w:i w:val="0"/>
                <w:iCs w:val="0"/>
                <w:color w:val="1F2937"/>
                <w:sz w:val="24"/>
                <w:szCs w:val="24"/>
              </w:rPr>
              <w:t>，非空</w:t>
            </w:r>
          </w:p>
        </w:tc>
      </w:tr>
      <w:tr w14:paraId="3FE97B01">
        <w:tblPrEx>
          <w:tblCellMar>
            <w:top w:w="0" w:type="dxa"/>
            <w:left w:w="108" w:type="dxa"/>
            <w:bottom w:w="0" w:type="dxa"/>
            <w:right w:w="108" w:type="dxa"/>
          </w:tblCellMar>
        </w:tblPrEx>
        <w:trPr>
          <w:jc w:val="center"/>
        </w:trPr>
        <w:tc>
          <w:tcPr>
            <w:tcW w:w="84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6C1EB3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7CA9C3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折标系数版本号</w:t>
            </w:r>
          </w:p>
        </w:tc>
        <w:tc>
          <w:tcPr>
            <w:tcW w:w="13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162758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B44D43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52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974D36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记录本次核算所用折标系数版本，保证可追溯</w:t>
            </w:r>
          </w:p>
        </w:tc>
      </w:tr>
      <w:tr w14:paraId="5D0FB5C3">
        <w:tblPrEx>
          <w:tblCellMar>
            <w:top w:w="0" w:type="dxa"/>
            <w:left w:w="108" w:type="dxa"/>
            <w:bottom w:w="0" w:type="dxa"/>
            <w:right w:w="108" w:type="dxa"/>
          </w:tblCellMar>
        </w:tblPrEx>
        <w:trPr>
          <w:jc w:val="center"/>
        </w:trPr>
        <w:tc>
          <w:tcPr>
            <w:tcW w:w="84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40E2D2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972666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数据来源系统</w:t>
            </w:r>
          </w:p>
        </w:tc>
        <w:tc>
          <w:tcPr>
            <w:tcW w:w="13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7EF447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EE0CC3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52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0336E6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ERP / MES / IoT-SCADA / 手工填报</w:t>
            </w:r>
          </w:p>
        </w:tc>
      </w:tr>
      <w:tr w14:paraId="5740F4E7">
        <w:tblPrEx>
          <w:tblCellMar>
            <w:top w:w="0" w:type="dxa"/>
            <w:left w:w="108" w:type="dxa"/>
            <w:bottom w:w="0" w:type="dxa"/>
            <w:right w:w="108" w:type="dxa"/>
          </w:tblCellMar>
        </w:tblPrEx>
        <w:trPr>
          <w:jc w:val="center"/>
        </w:trPr>
        <w:tc>
          <w:tcPr>
            <w:tcW w:w="84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CD7075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14</w:t>
            </w:r>
          </w:p>
        </w:tc>
        <w:tc>
          <w:tcPr>
            <w:tcW w:w="190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060175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组织节点层级</w:t>
            </w:r>
          </w:p>
        </w:tc>
        <w:tc>
          <w:tcPr>
            <w:tcW w:w="13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C1A3D8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219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F252C2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一级 / 二级 / 三级 / 四级</w:t>
            </w:r>
          </w:p>
        </w:tc>
        <w:tc>
          <w:tcPr>
            <w:tcW w:w="352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A6651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决定聚合口径（汇总 or 占比重算）</w:t>
            </w:r>
          </w:p>
        </w:tc>
      </w:tr>
    </w:tbl>
    <w:p w14:paraId="0DAC0CDD">
      <w:pPr>
        <w:spacing w:after="60"/>
        <w:rPr>
          <w:rFonts w:hint="eastAsia" w:ascii="宋体" w:hAnsi="宋体" w:eastAsia="宋体" w:cs="宋体"/>
          <w:i w:val="0"/>
          <w:iCs w:val="0"/>
          <w:sz w:val="24"/>
          <w:szCs w:val="24"/>
        </w:rPr>
      </w:pPr>
    </w:p>
    <w:p w14:paraId="41055A08">
      <w:pPr>
        <w:pStyle w:val="6"/>
        <w:numPr>
          <w:ilvl w:val="0"/>
          <w:numId w:val="2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核心数学模型与算法公式</w:t>
      </w:r>
    </w:p>
    <w:tbl>
      <w:tblPr>
        <w:tblStyle w:val="38"/>
        <w:tblW w:w="5000" w:type="pct"/>
        <w:jc w:val="center"/>
        <w:tblLayout w:type="autofit"/>
        <w:tblCellMar>
          <w:top w:w="0" w:type="dxa"/>
          <w:left w:w="108" w:type="dxa"/>
          <w:bottom w:w="0" w:type="dxa"/>
          <w:right w:w="108" w:type="dxa"/>
        </w:tblCellMar>
      </w:tblPr>
      <w:tblGrid>
        <w:gridCol w:w="9514"/>
      </w:tblGrid>
      <w:tr w14:paraId="28790CAD">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57971E61">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 = Σ ( E_i × k_i )              综合能源消费量（GB/T 2589-2020 当量值）</w:t>
            </w:r>
          </w:p>
          <w:p w14:paraId="74B316B9">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C = C_burn + C_grid + C_heat       总碳排放量 = 燃烧 + 购入电 + 购入热</w:t>
            </w:r>
          </w:p>
          <w:p w14:paraId="0C574027">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C_grid = Q_grid × EF_grid         购入电力排放 = 外购电量 × 区域电网因子</w:t>
            </w:r>
          </w:p>
          <w:p w14:paraId="1C21CBD7">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I = C / E                          单位能耗碳排放</w:t>
            </w:r>
          </w:p>
          <w:p w14:paraId="494310CF">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e_unit = E / M                     单位产品综合能耗（分母按产业隔离）</w:t>
            </w:r>
          </w:p>
          <w:p w14:paraId="47E2F767">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R_media = R_j / Σ R_n × 100%     占比类指标：分子分母先加总后再计算占比</w:t>
            </w:r>
          </w:p>
          <w:p w14:paraId="35C6D5A0">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Ach = 越低越好 ? (Benchmark / Actual) : (Actual / Benchmark)   达标系数</w:t>
            </w:r>
          </w:p>
          <w:p w14:paraId="0B6D956B">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gapPct = 越低越好 ? ((Actual − Benchmark)/Benchmark×100%) : ((Benchmark − Actual)/Benchmark×100%)</w:t>
            </w:r>
          </w:p>
        </w:tc>
      </w:tr>
    </w:tbl>
    <w:p w14:paraId="63FE70A9">
      <w:pPr>
        <w:spacing w:after="40"/>
        <w:rPr>
          <w:rFonts w:hint="eastAsia" w:ascii="宋体" w:hAnsi="宋体" w:eastAsia="宋体" w:cs="宋体"/>
          <w:i w:val="0"/>
          <w:iCs w:val="0"/>
          <w:sz w:val="24"/>
          <w:szCs w:val="24"/>
        </w:rPr>
      </w:pPr>
    </w:p>
    <w:p w14:paraId="7F4E9872">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w:t>
      </w:r>
      <w:r>
        <w:rPr>
          <w:rFonts w:ascii="Times New Roman" w:hAnsi="Times New Roman" w:eastAsia="宋体" w:cs="Times New Roman"/>
          <w:b w:val="0"/>
          <w:i w:val="0"/>
          <w:color w:val="0284C7"/>
          <w:sz w:val="24"/>
          <w:szCs w:val="24"/>
        </w:rPr>
        <w:t xml:space="preserve"> k_i </w:t>
      </w:r>
      <w:r>
        <w:rPr>
          <w:rFonts w:ascii="Times New Roman" w:hAnsi="Times New Roman" w:eastAsia="宋体" w:cs="Times New Roman"/>
          <w:i w:val="0"/>
          <w:color w:val="1F2937"/>
          <w:sz w:val="24"/>
          <w:szCs w:val="24"/>
        </w:rPr>
        <w:t xml:space="preserve"> 为第 i 种能源折标准煤系数（tce/单位）；</w:t>
      </w:r>
      <w:r>
        <w:rPr>
          <w:rFonts w:ascii="Times New Roman" w:hAnsi="Times New Roman" w:eastAsia="宋体" w:cs="Times New Roman"/>
          <w:b w:val="0"/>
          <w:i w:val="0"/>
          <w:color w:val="0284C7"/>
          <w:sz w:val="24"/>
          <w:szCs w:val="24"/>
        </w:rPr>
        <w:t xml:space="preserve"> EF_grid </w:t>
      </w:r>
      <w:r>
        <w:rPr>
          <w:rFonts w:ascii="Times New Roman" w:hAnsi="Times New Roman" w:eastAsia="宋体" w:cs="Times New Roman"/>
          <w:i w:val="0"/>
          <w:color w:val="1F2937"/>
          <w:sz w:val="24"/>
          <w:szCs w:val="24"/>
        </w:rPr>
        <w:t xml:space="preserve"> 为园区所在地省级电网平均排放因子（tCO2/MWh）；</w:t>
      </w:r>
      <w:r>
        <w:rPr>
          <w:rFonts w:ascii="Times New Roman" w:hAnsi="Times New Roman" w:eastAsia="宋体" w:cs="Times New Roman"/>
          <w:b w:val="0"/>
          <w:i w:val="0"/>
          <w:color w:val="0284C7"/>
          <w:sz w:val="24"/>
          <w:szCs w:val="24"/>
        </w:rPr>
        <w:t xml:space="preserve"> Ach ≥ 1.00 </w:t>
      </w:r>
      <w:r>
        <w:rPr>
          <w:rFonts w:ascii="Times New Roman" w:hAnsi="Times New Roman" w:eastAsia="宋体" w:cs="Times New Roman"/>
          <w:i w:val="0"/>
          <w:color w:val="1F2937"/>
          <w:sz w:val="24"/>
          <w:szCs w:val="24"/>
        </w:rPr>
        <w:t xml:space="preserve"> 判定优秀，</w:t>
      </w:r>
      <w:r>
        <w:rPr>
          <w:rFonts w:ascii="Times New Roman" w:hAnsi="Times New Roman" w:eastAsia="宋体" w:cs="Times New Roman"/>
          <w:b w:val="0"/>
          <w:i w:val="0"/>
          <w:color w:val="0284C7"/>
          <w:sz w:val="24"/>
          <w:szCs w:val="24"/>
        </w:rPr>
        <w:t xml:space="preserve"> 0.85 ~ 1.00 </w:t>
      </w:r>
      <w:r>
        <w:rPr>
          <w:rFonts w:ascii="Times New Roman" w:hAnsi="Times New Roman" w:eastAsia="宋体" w:cs="Times New Roman"/>
          <w:i w:val="0"/>
          <w:color w:val="1F2937"/>
          <w:sz w:val="24"/>
          <w:szCs w:val="24"/>
        </w:rPr>
        <w:t xml:space="preserve"> 判定正常，</w:t>
      </w:r>
      <w:r>
        <w:rPr>
          <w:rFonts w:ascii="Times New Roman" w:hAnsi="Times New Roman" w:eastAsia="宋体" w:cs="Times New Roman"/>
          <w:b w:val="0"/>
          <w:i w:val="0"/>
          <w:color w:val="0284C7"/>
          <w:sz w:val="24"/>
          <w:szCs w:val="24"/>
        </w:rPr>
        <w:t xml:space="preserve"> &lt; 0.85 </w:t>
      </w:r>
      <w:r>
        <w:rPr>
          <w:rFonts w:ascii="Times New Roman" w:hAnsi="Times New Roman" w:eastAsia="宋体" w:cs="Times New Roman"/>
          <w:i w:val="0"/>
          <w:color w:val="1F2937"/>
          <w:sz w:val="24"/>
          <w:szCs w:val="24"/>
        </w:rPr>
        <w:t xml:space="preserve"> 判定异常。</w:t>
      </w:r>
    </w:p>
    <w:p w14:paraId="6C293846">
      <w:pPr>
        <w:pStyle w:val="6"/>
        <w:numPr>
          <w:ilvl w:val="0"/>
          <w:numId w:val="2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768FC2DA">
      <w:pPr>
        <w:pStyle w:val="19"/>
        <w:widowControl/>
        <w:numPr>
          <w:ilvl w:val="0"/>
          <w:numId w:val="3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聚合口径铁律</w:t>
      </w:r>
      <w:r>
        <w:rPr>
          <w:rFonts w:ascii="Times New Roman" w:hAnsi="Times New Roman" w:eastAsia="宋体" w:cs="Times New Roman"/>
          <w:i w:val="0"/>
          <w:color w:val="1F2937"/>
          <w:sz w:val="24"/>
          <w:szCs w:val="24"/>
        </w:rPr>
        <w:t>：</w:t>
      </w:r>
      <w:r>
        <w:rPr>
          <w:rFonts w:ascii="Times New Roman" w:hAnsi="Times New Roman" w:eastAsia="宋体" w:cs="Times New Roman"/>
          <w:b/>
          <w:i w:val="0"/>
          <w:color w:val="1E3A8A"/>
          <w:sz w:val="24"/>
          <w:szCs w:val="24"/>
        </w:rPr>
        <w:t>绝对量类指标</w:t>
      </w:r>
      <w:r>
        <w:rPr>
          <w:rFonts w:ascii="Times New Roman" w:hAnsi="Times New Roman" w:eastAsia="宋体" w:cs="Times New Roman"/>
          <w:i w:val="0"/>
          <w:color w:val="1F2937"/>
          <w:sz w:val="24"/>
          <w:szCs w:val="24"/>
        </w:rPr>
        <w:t>（能耗、碳排）按下级工厂数值直接汇总；</w:t>
      </w:r>
      <w:r>
        <w:rPr>
          <w:rFonts w:ascii="Times New Roman" w:hAnsi="Times New Roman" w:eastAsia="宋体" w:cs="Times New Roman"/>
          <w:b/>
          <w:i w:val="0"/>
          <w:color w:val="1E3A8A"/>
          <w:sz w:val="24"/>
          <w:szCs w:val="24"/>
        </w:rPr>
        <w:t>占比类/单耗类指标</w:t>
      </w:r>
      <w:r>
        <w:rPr>
          <w:rFonts w:ascii="Times New Roman" w:hAnsi="Times New Roman" w:eastAsia="宋体" w:cs="Times New Roman"/>
          <w:i w:val="0"/>
          <w:color w:val="1F2937"/>
          <w:sz w:val="24"/>
          <w:szCs w:val="24"/>
        </w:rPr>
        <w:t>必须先汇总分子分母再重新计算，严禁对各下级占比直接求平均。</w:t>
      </w:r>
    </w:p>
    <w:p w14:paraId="24A676AF">
      <w:pPr>
        <w:pStyle w:val="19"/>
        <w:widowControl/>
        <w:numPr>
          <w:ilvl w:val="0"/>
          <w:numId w:val="3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对比口径</w:t>
      </w:r>
      <w:r>
        <w:rPr>
          <w:rFonts w:ascii="Times New Roman" w:hAnsi="Times New Roman" w:eastAsia="宋体" w:cs="Times New Roman"/>
          <w:i w:val="0"/>
          <w:color w:val="1F2937"/>
          <w:sz w:val="24"/>
          <w:szCs w:val="24"/>
        </w:rPr>
        <w:t>：同比变化以箭头 + 三色表达（绿：下降 / 红：上涨 / 灰：持平）；单位产品指标环比固定为同型号对比。</w:t>
      </w:r>
    </w:p>
    <w:p w14:paraId="6ACE18F2">
      <w:pPr>
        <w:pStyle w:val="19"/>
        <w:widowControl/>
        <w:numPr>
          <w:ilvl w:val="0"/>
          <w:numId w:val="3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三色判定阈值</w:t>
      </w:r>
      <w:r>
        <w:rPr>
          <w:rFonts w:ascii="Times New Roman" w:hAnsi="Times New Roman" w:eastAsia="宋体" w:cs="Times New Roman"/>
          <w:i w:val="0"/>
          <w:color w:val="1F2937"/>
          <w:sz w:val="24"/>
          <w:szCs w:val="24"/>
        </w:rPr>
        <w:t>：达标系数 ≥1.00 优秀，0.85~1.00 正常，&lt;0.85 异常。</w:t>
      </w:r>
    </w:p>
    <w:p w14:paraId="36F305F2">
      <w:pPr>
        <w:pStyle w:val="19"/>
        <w:widowControl/>
        <w:numPr>
          <w:ilvl w:val="0"/>
          <w:numId w:val="3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空值口径</w:t>
      </w:r>
      <w:r>
        <w:rPr>
          <w:rFonts w:ascii="Times New Roman" w:hAnsi="Times New Roman" w:eastAsia="宋体" w:cs="Times New Roman"/>
          <w:i w:val="0"/>
          <w:color w:val="1F2937"/>
          <w:sz w:val="24"/>
          <w:szCs w:val="24"/>
        </w:rPr>
        <w:t xml:space="preserve">：任何无有效数据的指标位统一显示 </w:t>
      </w:r>
      <w:r>
        <w:rPr>
          <w:rFonts w:ascii="Times New Roman" w:hAnsi="Times New Roman" w:eastAsia="宋体" w:cs="Times New Roman"/>
          <w:b w:val="0"/>
          <w:i w:val="0"/>
          <w:color w:val="0284C7"/>
          <w:sz w:val="24"/>
          <w:szCs w:val="24"/>
        </w:rPr>
        <w:t xml:space="preserve"> -- </w:t>
      </w:r>
      <w:r>
        <w:rPr>
          <w:rFonts w:ascii="Times New Roman" w:hAnsi="Times New Roman" w:eastAsia="宋体" w:cs="Times New Roman"/>
          <w:i w:val="0"/>
          <w:color w:val="1F2937"/>
          <w:sz w:val="24"/>
          <w:szCs w:val="24"/>
        </w:rPr>
        <w:t>，并支持悬停查看"数据未上报"说明。</w:t>
      </w:r>
    </w:p>
    <w:p w14:paraId="73DF25F6">
      <w:pPr>
        <w:pStyle w:val="19"/>
        <w:widowControl/>
        <w:numPr>
          <w:ilvl w:val="0"/>
          <w:numId w:val="3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口径留痕</w:t>
      </w:r>
      <w:r>
        <w:rPr>
          <w:rFonts w:ascii="Times New Roman" w:hAnsi="Times New Roman" w:eastAsia="宋体" w:cs="Times New Roman"/>
          <w:i w:val="0"/>
          <w:color w:val="1F2937"/>
          <w:sz w:val="24"/>
          <w:szCs w:val="24"/>
        </w:rPr>
        <w:t>：每张卡片右下角可悬停查看本次核算所用的指标口径版本与折标系数版本。</w:t>
      </w:r>
    </w:p>
    <w:p w14:paraId="5C324A7A">
      <w:pPr>
        <w:pStyle w:val="6"/>
        <w:numPr>
          <w:ilvl w:val="0"/>
          <w:numId w:val="2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59EB9B96">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6163FC14">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t>
            </w:r>
            <w:r>
              <w:rPr>
                <w:rFonts w:hint="eastAsia" w:ascii="宋体" w:hAnsi="宋体" w:eastAsia="宋体" w:cs="宋体"/>
                <w:b/>
                <w:i w:val="0"/>
                <w:iCs w:val="0"/>
                <w:color w:val="1E3A8A"/>
                <w:sz w:val="24"/>
                <w:szCs w:val="24"/>
              </w:rPr>
              <w:t>除零安全兜底</w:t>
            </w:r>
            <w:r>
              <w:rPr>
                <w:rFonts w:hint="eastAsia" w:ascii="宋体" w:hAnsi="宋体" w:eastAsia="宋体" w:cs="宋体"/>
                <w:i w:val="0"/>
                <w:iCs w:val="0"/>
                <w:color w:val="1F2937"/>
                <w:sz w:val="24"/>
                <w:szCs w:val="24"/>
              </w:rPr>
              <w:t xml:space="preserve">：分母（产量、产值、增加值、总用电量）为 0 时，所有单耗类指标统一显示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 xml:space="preserve">，触发 </w:t>
            </w:r>
            <w:r>
              <w:rPr>
                <w:rFonts w:hint="eastAsia" w:ascii="宋体" w:hAnsi="宋体" w:eastAsia="宋体" w:cs="宋体"/>
                <w:b w:val="0"/>
                <w:i w:val="0"/>
                <w:iCs w:val="0"/>
                <w:color w:val="0284C7"/>
                <w:sz w:val="24"/>
                <w:szCs w:val="24"/>
              </w:rPr>
              <w:t xml:space="preserve"> E_CALC_UNIT_DIV_ZERO_SOFT </w:t>
            </w:r>
            <w:r>
              <w:rPr>
                <w:rFonts w:hint="eastAsia" w:ascii="宋体" w:hAnsi="宋体" w:eastAsia="宋体" w:cs="宋体"/>
                <w:i w:val="0"/>
                <w:iCs w:val="0"/>
                <w:color w:val="1F2937"/>
                <w:sz w:val="24"/>
                <w:szCs w:val="24"/>
              </w:rPr>
              <w:t xml:space="preserve">；严禁抛出 </w:t>
            </w:r>
            <w:r>
              <w:rPr>
                <w:rFonts w:hint="eastAsia" w:ascii="宋体" w:hAnsi="宋体" w:eastAsia="宋体" w:cs="宋体"/>
                <w:b w:val="0"/>
                <w:i w:val="0"/>
                <w:iCs w:val="0"/>
                <w:color w:val="0284C7"/>
                <w:sz w:val="24"/>
                <w:szCs w:val="24"/>
              </w:rPr>
              <w:t xml:space="preserve"> NaN </w:t>
            </w:r>
            <w:r>
              <w:rPr>
                <w:rFonts w:hint="eastAsia" w:ascii="宋体" w:hAnsi="宋体" w:eastAsia="宋体" w:cs="宋体"/>
                <w:i w:val="0"/>
                <w:iCs w:val="0"/>
                <w:color w:val="1F2937"/>
                <w:sz w:val="24"/>
                <w:szCs w:val="24"/>
              </w:rPr>
              <w:t>、</w:t>
            </w:r>
            <w:r>
              <w:rPr>
                <w:rFonts w:hint="eastAsia" w:ascii="宋体" w:hAnsi="宋体" w:eastAsia="宋体" w:cs="宋体"/>
                <w:b w:val="0"/>
                <w:i w:val="0"/>
                <w:iCs w:val="0"/>
                <w:color w:val="0284C7"/>
                <w:sz w:val="24"/>
                <w:szCs w:val="24"/>
              </w:rPr>
              <w:t xml:space="preserve"> Infinity </w:t>
            </w:r>
            <w:r>
              <w:rPr>
                <w:rFonts w:hint="eastAsia" w:ascii="宋体" w:hAnsi="宋体" w:eastAsia="宋体" w:cs="宋体"/>
                <w:i w:val="0"/>
                <w:iCs w:val="0"/>
                <w:color w:val="1F2937"/>
                <w:sz w:val="24"/>
                <w:szCs w:val="24"/>
              </w:rPr>
              <w:t xml:space="preserve"> 或白屏。</w:t>
            </w:r>
          </w:p>
          <w:p w14:paraId="46B99309">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t>
            </w:r>
            <w:r>
              <w:rPr>
                <w:rFonts w:hint="eastAsia" w:ascii="宋体" w:hAnsi="宋体" w:eastAsia="宋体" w:cs="宋体"/>
                <w:b/>
                <w:i w:val="0"/>
                <w:iCs w:val="0"/>
                <w:color w:val="1E3A8A"/>
                <w:sz w:val="24"/>
                <w:szCs w:val="24"/>
              </w:rPr>
              <w:t>产业分母隔离铁律</w:t>
            </w:r>
            <w:r>
              <w:rPr>
                <w:rFonts w:hint="eastAsia" w:ascii="宋体" w:hAnsi="宋体" w:eastAsia="宋体" w:cs="宋体"/>
                <w:i w:val="0"/>
                <w:iCs w:val="0"/>
                <w:color w:val="1F2937"/>
                <w:sz w:val="24"/>
                <w:szCs w:val="24"/>
              </w:rPr>
              <w:t>：变压器与线缆单耗在数据库结构、底层 API 响应、页面表格及导出文件中绝对禁止混编在同一统计列，禁止跨产业直接对比。</w:t>
            </w:r>
          </w:p>
          <w:p w14:paraId="683CA18F">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t>
            </w:r>
            <w:r>
              <w:rPr>
                <w:rFonts w:hint="eastAsia" w:ascii="宋体" w:hAnsi="宋体" w:eastAsia="宋体" w:cs="宋体"/>
                <w:b/>
                <w:i w:val="0"/>
                <w:iCs w:val="0"/>
                <w:color w:val="1E3A8A"/>
                <w:sz w:val="24"/>
                <w:szCs w:val="24"/>
              </w:rPr>
              <w:t>无工序单位判空</w:t>
            </w:r>
            <w:r>
              <w:rPr>
                <w:rFonts w:hint="eastAsia" w:ascii="宋体" w:hAnsi="宋体" w:eastAsia="宋体" w:cs="宋体"/>
                <w:i w:val="0"/>
                <w:iCs w:val="0"/>
                <w:color w:val="1F2937"/>
                <w:sz w:val="24"/>
                <w:szCs w:val="24"/>
              </w:rPr>
              <w:t xml:space="preserve">：选中 10 家无工序单位时，工序管控区域整行单行输出"暂无相关工序！"，触发 </w:t>
            </w:r>
            <w:r>
              <w:rPr>
                <w:rFonts w:hint="eastAsia" w:ascii="宋体" w:hAnsi="宋体" w:eastAsia="宋体" w:cs="宋体"/>
                <w:b w:val="0"/>
                <w:i w:val="0"/>
                <w:iCs w:val="0"/>
                <w:color w:val="0284C7"/>
                <w:sz w:val="24"/>
                <w:szCs w:val="24"/>
              </w:rPr>
              <w:t xml:space="preserve"> E_QM_WHITE_LIST_MISS </w:t>
            </w:r>
            <w:r>
              <w:rPr>
                <w:rFonts w:hint="eastAsia" w:ascii="宋体" w:hAnsi="宋体" w:eastAsia="宋体" w:cs="宋体"/>
                <w:i w:val="0"/>
                <w:iCs w:val="0"/>
                <w:color w:val="1F2937"/>
                <w:sz w:val="24"/>
                <w:szCs w:val="24"/>
              </w:rPr>
              <w:t>。</w:t>
            </w:r>
          </w:p>
          <w:p w14:paraId="1714DD62">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t>
            </w:r>
            <w:r>
              <w:rPr>
                <w:rFonts w:hint="eastAsia" w:ascii="宋体" w:hAnsi="宋体" w:eastAsia="宋体" w:cs="宋体"/>
                <w:b/>
                <w:i w:val="0"/>
                <w:iCs w:val="0"/>
                <w:color w:val="1E3A8A"/>
                <w:sz w:val="24"/>
                <w:szCs w:val="24"/>
              </w:rPr>
              <w:t>越权拦截</w:t>
            </w:r>
            <w:r>
              <w:rPr>
                <w:rFonts w:hint="eastAsia" w:ascii="宋体" w:hAnsi="宋体" w:eastAsia="宋体" w:cs="宋体"/>
                <w:i w:val="0"/>
                <w:iCs w:val="0"/>
                <w:color w:val="1F2937"/>
                <w:sz w:val="24"/>
                <w:szCs w:val="24"/>
              </w:rPr>
              <w:t xml:space="preserve">：P3 车间填报员访问集团级指标详情触发 </w:t>
            </w:r>
            <w:r>
              <w:rPr>
                <w:rFonts w:hint="eastAsia" w:ascii="宋体" w:hAnsi="宋体" w:eastAsia="宋体" w:cs="宋体"/>
                <w:b w:val="0"/>
                <w:i w:val="0"/>
                <w:iCs w:val="0"/>
                <w:color w:val="0284C7"/>
                <w:sz w:val="24"/>
                <w:szCs w:val="24"/>
              </w:rPr>
              <w:t xml:space="preserve"> E_AUTH_RBAC_FORBIDDEN </w:t>
            </w:r>
            <w:r>
              <w:rPr>
                <w:rFonts w:hint="eastAsia" w:ascii="宋体" w:hAnsi="宋体" w:eastAsia="宋体" w:cs="宋体"/>
                <w:i w:val="0"/>
                <w:iCs w:val="0"/>
                <w:color w:val="1F2937"/>
                <w:sz w:val="24"/>
                <w:szCs w:val="24"/>
              </w:rPr>
              <w:t>。</w:t>
            </w:r>
          </w:p>
          <w:p w14:paraId="6A36E544">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t>
            </w:r>
            <w:r>
              <w:rPr>
                <w:rFonts w:hint="eastAsia" w:ascii="宋体" w:hAnsi="宋体" w:eastAsia="宋体" w:cs="宋体"/>
                <w:b/>
                <w:i w:val="0"/>
                <w:iCs w:val="0"/>
                <w:color w:val="1E3A8A"/>
                <w:sz w:val="24"/>
                <w:szCs w:val="24"/>
              </w:rPr>
              <w:t>锁账拦截</w:t>
            </w:r>
            <w:r>
              <w:rPr>
                <w:rFonts w:hint="eastAsia" w:ascii="宋体" w:hAnsi="宋体" w:eastAsia="宋体" w:cs="宋体"/>
                <w:i w:val="0"/>
                <w:iCs w:val="0"/>
                <w:color w:val="1F2937"/>
                <w:sz w:val="24"/>
                <w:szCs w:val="24"/>
              </w:rPr>
              <w:t xml:space="preserve">：已关账月度指标详情页禁止触发任何重算动作，触发 </w:t>
            </w:r>
            <w:r>
              <w:rPr>
                <w:rFonts w:hint="eastAsia" w:ascii="宋体" w:hAnsi="宋体" w:eastAsia="宋体" w:cs="宋体"/>
                <w:b w:val="0"/>
                <w:i w:val="0"/>
                <w:iCs w:val="0"/>
                <w:color w:val="0284C7"/>
                <w:sz w:val="24"/>
                <w:szCs w:val="24"/>
              </w:rPr>
              <w:t xml:space="preserve"> E_SYS_ENTRY_ALREADY_LOCKED </w:t>
            </w:r>
            <w:r>
              <w:rPr>
                <w:rFonts w:hint="eastAsia" w:ascii="宋体" w:hAnsi="宋体" w:eastAsia="宋体" w:cs="宋体"/>
                <w:i w:val="0"/>
                <w:iCs w:val="0"/>
                <w:color w:val="1F2937"/>
                <w:sz w:val="24"/>
                <w:szCs w:val="24"/>
              </w:rPr>
              <w:t>。</w:t>
            </w:r>
          </w:p>
          <w:p w14:paraId="49F8F475">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t>
            </w:r>
            <w:r>
              <w:rPr>
                <w:rFonts w:hint="eastAsia" w:ascii="宋体" w:hAnsi="宋体" w:eastAsia="宋体" w:cs="宋体"/>
                <w:b/>
                <w:i w:val="0"/>
                <w:iCs w:val="0"/>
                <w:color w:val="1E3A8A"/>
                <w:sz w:val="24"/>
                <w:szCs w:val="24"/>
              </w:rPr>
              <w:t>因子过期</w:t>
            </w:r>
            <w:r>
              <w:rPr>
                <w:rFonts w:hint="eastAsia" w:ascii="宋体" w:hAnsi="宋体" w:eastAsia="宋体" w:cs="宋体"/>
                <w:i w:val="0"/>
                <w:iCs w:val="0"/>
                <w:color w:val="1F2937"/>
                <w:sz w:val="24"/>
                <w:szCs w:val="24"/>
              </w:rPr>
              <w:t xml:space="preserve">：指标核算所引用的折标系数或排放因子已过有效期时触发 </w:t>
            </w:r>
            <w:r>
              <w:rPr>
                <w:rFonts w:hint="eastAsia" w:ascii="宋体" w:hAnsi="宋体" w:eastAsia="宋体" w:cs="宋体"/>
                <w:b w:val="0"/>
                <w:i w:val="0"/>
                <w:iCs w:val="0"/>
                <w:color w:val="0284C7"/>
                <w:sz w:val="24"/>
                <w:szCs w:val="24"/>
              </w:rPr>
              <w:t xml:space="preserve"> E_VAL_FACTOR_EXPIRED </w:t>
            </w:r>
            <w:r>
              <w:rPr>
                <w:rFonts w:hint="eastAsia" w:ascii="宋体" w:hAnsi="宋体" w:eastAsia="宋体" w:cs="宋体"/>
                <w:i w:val="0"/>
                <w:iCs w:val="0"/>
                <w:color w:val="1F2937"/>
                <w:sz w:val="24"/>
                <w:szCs w:val="24"/>
              </w:rPr>
              <w:t>，卡片标注"因子待升级"。</w:t>
            </w:r>
          </w:p>
        </w:tc>
      </w:tr>
    </w:tbl>
    <w:p w14:paraId="58017EBA">
      <w:pPr>
        <w:spacing w:after="40"/>
        <w:rPr>
          <w:rFonts w:hint="eastAsia" w:ascii="宋体" w:hAnsi="宋体" w:eastAsia="宋体" w:cs="宋体"/>
          <w:i w:val="0"/>
          <w:iCs w:val="0"/>
          <w:sz w:val="24"/>
          <w:szCs w:val="24"/>
        </w:rPr>
      </w:pPr>
    </w:p>
    <w:p w14:paraId="770973B6">
      <w:pPr>
        <w:pStyle w:val="6"/>
        <w:numPr>
          <w:ilvl w:val="0"/>
          <w:numId w:val="28"/>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77774576">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407DC82F">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指标管控双模穿透与聚合口径</w:t>
            </w:r>
          </w:p>
          <w:p w14:paraId="79D7B849">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10 项核心指标聚合口径正确性</w:t>
            </w:r>
          </w:p>
          <w:p w14:paraId="5BE8981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一级节点下挂 5 家二级工厂且均已上报能耗与碳排数据</w:t>
            </w:r>
          </w:p>
          <w:p w14:paraId="1BDFAFA3">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P2 在一级节点查看"综合能源消费量"与"单位能耗碳排放"</w:t>
            </w:r>
          </w:p>
          <w:p w14:paraId="11D0FAF2">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综合能源消费量等于 5 家工厂数值直接汇总</w:t>
            </w:r>
          </w:p>
          <w:p w14:paraId="4A8F817F">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单位能耗碳排放等于汇总后的总碳排除以汇总后的总能耗</w:t>
            </w:r>
          </w:p>
          <w:p w14:paraId="7697B20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页面不对 5 家工厂的碳排放强度直接求算术平均</w:t>
            </w:r>
          </w:p>
          <w:p w14:paraId="5330A621">
            <w:pPr>
              <w:spacing w:before="0" w:after="20" w:line="264" w:lineRule="auto"/>
              <w:rPr>
                <w:rFonts w:hint="eastAsia" w:ascii="宋体" w:hAnsi="宋体" w:eastAsia="宋体" w:cs="宋体"/>
                <w:i w:val="0"/>
                <w:iCs w:val="0"/>
                <w:sz w:val="24"/>
                <w:szCs w:val="24"/>
              </w:rPr>
            </w:pPr>
          </w:p>
          <w:p w14:paraId="665CF800">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极限除零边界防御</w:t>
            </w:r>
          </w:p>
          <w:p w14:paraId="31714D6B">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某工厂当月产品产量 M 录入为 0</w:t>
            </w:r>
          </w:p>
          <w:p w14:paraId="63863388">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系统渲染该工厂"单位产品综合能耗"指标卡片</w:t>
            </w:r>
          </w:p>
          <w:p w14:paraId="415FE629">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指标值安全显示为 "--"</w:t>
            </w:r>
          </w:p>
          <w:p w14:paraId="4C001CDB">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页面不出现 NaN、Infinity 或白屏</w:t>
            </w:r>
          </w:p>
          <w:p w14:paraId="3266203A">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后台记录 E_CALC_UNIT_DIV_ZERO_SOFT</w:t>
            </w:r>
          </w:p>
          <w:p w14:paraId="739FC787">
            <w:pPr>
              <w:spacing w:before="0" w:after="20" w:line="264" w:lineRule="auto"/>
              <w:rPr>
                <w:rFonts w:hint="eastAsia" w:ascii="宋体" w:hAnsi="宋体" w:eastAsia="宋体" w:cs="宋体"/>
                <w:i w:val="0"/>
                <w:iCs w:val="0"/>
                <w:sz w:val="24"/>
                <w:szCs w:val="24"/>
              </w:rPr>
            </w:pPr>
          </w:p>
          <w:p w14:paraId="0C80F465">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无工序单位精准判空</w:t>
            </w:r>
          </w:p>
          <w:p w14:paraId="57FBFDE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组织树中已选中"沈变智慧能源"等 10 家无工序单位之一</w:t>
            </w:r>
          </w:p>
          <w:p w14:paraId="6F2F428B">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页面渲染关键制造工序能耗管控区域</w:t>
            </w:r>
          </w:p>
          <w:p w14:paraId="5A2133E4">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工序区域整行仅输出单行文本 "暂无相关工序！"</w:t>
            </w:r>
          </w:p>
          <w:p w14:paraId="5CAEA78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不出现空白占位卡片</w:t>
            </w:r>
          </w:p>
          <w:p w14:paraId="538AF07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不出现任何解释性说教文案</w:t>
            </w:r>
          </w:p>
          <w:p w14:paraId="5007CF6F">
            <w:pPr>
              <w:spacing w:before="0" w:after="20" w:line="264" w:lineRule="auto"/>
              <w:rPr>
                <w:rFonts w:hint="eastAsia" w:ascii="宋体" w:hAnsi="宋体" w:eastAsia="宋体" w:cs="宋体"/>
                <w:i w:val="0"/>
                <w:iCs w:val="0"/>
                <w:sz w:val="24"/>
                <w:szCs w:val="24"/>
              </w:rPr>
            </w:pPr>
          </w:p>
          <w:p w14:paraId="5B1D1DFA">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桑基图显示条件</w:t>
            </w:r>
          </w:p>
          <w:p w14:paraId="2A78A20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组织树当前选中节点为二级公司</w:t>
            </w:r>
          </w:p>
          <w:p w14:paraId="09540A3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页面上方渲染数据变化桑基图区域</w:t>
            </w:r>
          </w:p>
          <w:p w14:paraId="132C3F7C">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桑基图不显示</w:t>
            </w:r>
          </w:p>
          <w:p w14:paraId="39F0355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仅当选中一级节点时桑基图才按所选指标渲染</w:t>
            </w:r>
          </w:p>
          <w:p w14:paraId="39552325">
            <w:pPr>
              <w:spacing w:before="0" w:after="20" w:line="264" w:lineRule="auto"/>
              <w:rPr>
                <w:rFonts w:hint="eastAsia" w:ascii="宋体" w:hAnsi="宋体" w:eastAsia="宋体" w:cs="宋体"/>
                <w:i w:val="0"/>
                <w:iCs w:val="0"/>
                <w:sz w:val="24"/>
                <w:szCs w:val="24"/>
              </w:rPr>
            </w:pPr>
          </w:p>
          <w:p w14:paraId="21D15FA7">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产业分母隔离铁律</w:t>
            </w:r>
          </w:p>
          <w:p w14:paraId="103195CA">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报表数据同时包含变压器产业与线缆产业的单位产品能耗</w:t>
            </w:r>
          </w:p>
          <w:p w14:paraId="26A73C0B">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系统生成指标明细与 Excel 导出文件</w:t>
            </w:r>
          </w:p>
          <w:p w14:paraId="3369925C">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两类产业的单耗分别以 kVA 口径与 km·mm² 口径独立成列</w:t>
            </w:r>
          </w:p>
          <w:p w14:paraId="37500B4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不存在任何跨产业混算列或跨产业排名</w:t>
            </w:r>
          </w:p>
        </w:tc>
      </w:tr>
    </w:tbl>
    <w:p w14:paraId="25E5EC56">
      <w:pPr>
        <w:spacing w:after="40"/>
        <w:rPr>
          <w:rFonts w:hint="eastAsia" w:ascii="宋体" w:hAnsi="宋体" w:eastAsia="宋体" w:cs="宋体"/>
          <w:i w:val="0"/>
          <w:iCs w:val="0"/>
          <w:sz w:val="24"/>
          <w:szCs w:val="24"/>
        </w:rPr>
      </w:pPr>
    </w:p>
    <w:p w14:paraId="39ABCA67">
      <w:pPr>
        <w:pStyle w:val="5"/>
        <w:numPr>
          <w:ilvl w:val="0"/>
          <w:numId w:val="27"/>
        </w:numPr>
        <w:ind w:left="0" w:leftChars="0" w:firstLine="0" w:firstLineChars="0"/>
        <w:outlineLvl w:val="1"/>
        <w:rPr>
          <w:rFonts w:eastAsia="黑体"/>
          <w:b w:val="0"/>
          <w:bCs w:val="0"/>
          <w:sz w:val="30"/>
          <w:szCs w:val="24"/>
        </w:rPr>
      </w:pPr>
      <w:bookmarkStart w:id="16" w:name="_Toc12727"/>
      <w:r>
        <w:rPr>
          <w:rFonts w:ascii="Times New Roman" w:hAnsi="Times New Roman" w:eastAsia="黑体" w:cs="Times New Roman"/>
          <w:b w:val="0"/>
          <w:bCs w:val="0"/>
          <w:sz w:val="30"/>
          <w:szCs w:val="24"/>
        </w:rPr>
        <w:t>数据变化详情</w:t>
      </w:r>
      <w:bookmarkEnd w:id="16"/>
    </w:p>
    <w:p w14:paraId="18174114">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kern w:val="2"/>
          <w:sz w:val="28"/>
          <w:szCs w:val="28"/>
          <w:lang w:bidi="ar-SA"/>
        </w:rPr>
      </w:pPr>
      <w:r>
        <w:drawing>
          <wp:inline distT="0" distB="0" distL="114300" distR="114300">
            <wp:extent cx="5900420" cy="2925445"/>
            <wp:effectExtent l="0" t="0" r="5080" b="8255"/>
            <wp:docPr id="62"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17"/>
                    <pic:cNvPicPr>
                      <a:picLocks noChangeAspect="1"/>
                    </pic:cNvPicPr>
                  </pic:nvPicPr>
                  <pic:blipFill>
                    <a:blip r:embed="rId25"/>
                    <a:stretch>
                      <a:fillRect/>
                    </a:stretch>
                  </pic:blipFill>
                  <pic:spPr>
                    <a:xfrm>
                      <a:off x="0" y="0"/>
                      <a:ext cx="5900420" cy="2925445"/>
                    </a:xfrm>
                    <a:prstGeom prst="rect">
                      <a:avLst/>
                    </a:prstGeom>
                    <a:noFill/>
                    <a:ln>
                      <a:noFill/>
                    </a:ln>
                  </pic:spPr>
                </pic:pic>
              </a:graphicData>
            </a:graphic>
          </wp:inline>
        </w:drawing>
      </w:r>
    </w:p>
    <w:p w14:paraId="1095198B">
      <w:pPr>
        <w:pStyle w:val="6"/>
        <w:numPr>
          <w:ilvl w:val="0"/>
          <w:numId w:val="3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430D184E">
      <w:pPr>
        <w:pStyle w:val="19"/>
        <w:widowControl/>
        <w:numPr>
          <w:ilvl w:val="0"/>
          <w:numId w:val="3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：指标管控 Mode B 的落地载体，以侧滑抽屉形态承载单一指标的完整证据链，实现"从数值到台账"的无损穿透。</w:t>
      </w:r>
    </w:p>
    <w:p w14:paraId="4B1F2021">
      <w:pPr>
        <w:pStyle w:val="19"/>
        <w:widowControl/>
        <w:numPr>
          <w:ilvl w:val="0"/>
          <w:numId w:val="3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：P2 园区能碳专员；P6 外部审计机构（只读）。</w:t>
      </w:r>
    </w:p>
    <w:p w14:paraId="1547571A">
      <w:pPr>
        <w:pStyle w:val="19"/>
        <w:widowControl/>
        <w:numPr>
          <w:ilvl w:val="0"/>
          <w:numId w:val="3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/monitor/indicators/detail/:kpiCode </w:t>
      </w:r>
      <w:r>
        <w:rPr>
          <w:rFonts w:ascii="Times New Roman" w:hAnsi="Times New Roman" w:eastAsia="宋体" w:cs="Times New Roman"/>
          <w:i w:val="0"/>
          <w:color w:val="1F2937"/>
          <w:sz w:val="24"/>
          <w:szCs w:val="24"/>
        </w:rPr>
        <w:t>（亦可由 Mode A 卡片点击侧滑唤起）。</w:t>
      </w:r>
    </w:p>
    <w:p w14:paraId="35630F6E">
      <w:pPr>
        <w:pStyle w:val="19"/>
        <w:widowControl/>
        <w:numPr>
          <w:ilvl w:val="0"/>
          <w:numId w:val="3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：指标字典、折标系数版本库、数仓链路元数据、底层仪表遥测台账。</w:t>
      </w:r>
    </w:p>
    <w:p w14:paraId="5079B9B7">
      <w:pPr>
        <w:pStyle w:val="19"/>
        <w:widowControl/>
        <w:numPr>
          <w:ilvl w:val="0"/>
          <w:numId w:val="3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：Excel 明细导出文件；指标口径说明引用。</w:t>
      </w:r>
    </w:p>
    <w:p w14:paraId="4C26AF8F">
      <w:pPr>
        <w:pStyle w:val="6"/>
        <w:numPr>
          <w:ilvl w:val="0"/>
          <w:numId w:val="3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2402FD90">
      <w:pPr>
        <w:pStyle w:val="19"/>
        <w:widowControl/>
        <w:numPr>
          <w:ilvl w:val="0"/>
          <w:numId w:val="4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：能碳专员发现某园区单位产值能耗异常上涨后，需在 3 分钟内确认该数值由哪些表计、哪些凭证、哪些折标系数计算得出，并判定是统计口径问题还是真实能耗恶化。</w:t>
      </w:r>
    </w:p>
    <w:p w14:paraId="68E95F6D">
      <w:pPr>
        <w:pStyle w:val="19"/>
        <w:widowControl/>
        <w:numPr>
          <w:ilvl w:val="0"/>
          <w:numId w:val="4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66D823D7">
      <w:pPr>
        <w:pStyle w:val="19"/>
        <w:widowControl/>
        <w:numPr>
          <w:ilvl w:val="0"/>
          <w:numId w:val="40"/>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园区能碳专员 (Persona P2)</w:t>
      </w:r>
      <w:r>
        <w:rPr>
          <w:rFonts w:ascii="Times New Roman" w:hAnsi="Times New Roman" w:eastAsia="宋体" w:cs="Times New Roman"/>
          <w:i w:val="0"/>
          <w:color w:val="1F2937"/>
          <w:sz w:val="24"/>
          <w:szCs w:val="24"/>
        </w:rPr>
        <w:t>，</w:t>
      </w:r>
    </w:p>
    <w:p w14:paraId="77A03457">
      <w:pPr>
        <w:pStyle w:val="19"/>
        <w:widowControl/>
        <w:numPr>
          <w:ilvl w:val="0"/>
          <w:numId w:val="40"/>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在指标详情抽屉中查看数学核算模型、数仓链路与仪表点位、12 个月走势图与底层抄表台账，并一键导出明细</w:t>
      </w:r>
      <w:r>
        <w:rPr>
          <w:rFonts w:ascii="Times New Roman" w:hAnsi="Times New Roman" w:eastAsia="宋体" w:cs="Times New Roman"/>
          <w:i w:val="0"/>
          <w:color w:val="1F2937"/>
          <w:sz w:val="24"/>
          <w:szCs w:val="24"/>
        </w:rPr>
        <w:t>，</w:t>
      </w:r>
    </w:p>
    <w:p w14:paraId="40C3365F">
      <w:pPr>
        <w:pStyle w:val="19"/>
        <w:widowControl/>
        <w:numPr>
          <w:ilvl w:val="0"/>
          <w:numId w:val="40"/>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我能形成经得起审计追溯的能耗异常归因证据</w:t>
      </w:r>
      <w:r>
        <w:rPr>
          <w:rFonts w:ascii="Times New Roman" w:hAnsi="Times New Roman" w:eastAsia="宋体" w:cs="Times New Roman"/>
          <w:i w:val="0"/>
          <w:color w:val="1F2937"/>
          <w:sz w:val="24"/>
          <w:szCs w:val="24"/>
        </w:rPr>
        <w:t>。</w:t>
      </w:r>
    </w:p>
    <w:p w14:paraId="2AE4547B">
      <w:pPr>
        <w:pStyle w:val="6"/>
        <w:numPr>
          <w:ilvl w:val="0"/>
          <w:numId w:val="3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24DDB4D2">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抽屉六大功能区块：</w:t>
      </w:r>
    </w:p>
    <w:tbl>
      <w:tblPr>
        <w:tblStyle w:val="38"/>
        <w:tblW w:w="9784" w:type="dxa"/>
        <w:jc w:val="center"/>
        <w:tblLayout w:type="autofit"/>
        <w:tblCellMar>
          <w:top w:w="0" w:type="dxa"/>
          <w:left w:w="108" w:type="dxa"/>
          <w:bottom w:w="0" w:type="dxa"/>
          <w:right w:w="108" w:type="dxa"/>
        </w:tblCellMar>
      </w:tblPr>
      <w:tblGrid>
        <w:gridCol w:w="1896"/>
        <w:gridCol w:w="3729"/>
        <w:gridCol w:w="4159"/>
      </w:tblGrid>
      <w:tr w14:paraId="132FCD1C">
        <w:tblPrEx>
          <w:tblCellMar>
            <w:top w:w="0" w:type="dxa"/>
            <w:left w:w="108" w:type="dxa"/>
            <w:bottom w:w="0" w:type="dxa"/>
            <w:right w:w="108" w:type="dxa"/>
          </w:tblCellMar>
        </w:tblPrEx>
        <w:trPr>
          <w:tblHeade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BCC02D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区块</w:t>
            </w:r>
          </w:p>
        </w:tc>
        <w:tc>
          <w:tcPr>
            <w:tcW w:w="372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AE399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内容</w:t>
            </w:r>
          </w:p>
        </w:tc>
        <w:tc>
          <w:tcPr>
            <w:tcW w:w="415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4FE0EC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交互</w:t>
            </w:r>
          </w:p>
        </w:tc>
      </w:tr>
      <w:tr w14:paraId="46D59D7A">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07DF41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指标物理定义</w:t>
            </w:r>
          </w:p>
        </w:tc>
        <w:tc>
          <w:tcPr>
            <w:tcW w:w="372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092BBA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显示当前指标的标准物理定义与业务释义</w:t>
            </w:r>
          </w:p>
        </w:tc>
        <w:tc>
          <w:tcPr>
            <w:tcW w:w="415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4B75B2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只读，支持复制</w:t>
            </w:r>
          </w:p>
        </w:tc>
      </w:tr>
      <w:tr w14:paraId="77EAE421">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A787BF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数学核算模型</w:t>
            </w:r>
          </w:p>
        </w:tc>
        <w:tc>
          <w:tcPr>
            <w:tcW w:w="372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543DE0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分子、分母、折标系数公式与变量中文释义</w:t>
            </w:r>
          </w:p>
        </w:tc>
        <w:tc>
          <w:tcPr>
            <w:tcW w:w="415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00E864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公式卡片渲染，变量可悬停查看取值</w:t>
            </w:r>
          </w:p>
        </w:tc>
      </w:tr>
      <w:tr w14:paraId="2D31D4E2">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2DC74F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数仓链路与点位</w:t>
            </w:r>
          </w:p>
        </w:tc>
        <w:tc>
          <w:tcPr>
            <w:tcW w:w="372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9A5988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ERP 凭证、MES 报工、IoT SCADA 电表/流量计点位物理链路</w:t>
            </w:r>
          </w:p>
        </w:tc>
        <w:tc>
          <w:tcPr>
            <w:tcW w:w="415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138342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链路节点可点击跳转至原始台账</w:t>
            </w:r>
          </w:p>
        </w:tc>
      </w:tr>
      <w:tr w14:paraId="77D4EA75">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CCFFEF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时序走势图</w:t>
            </w:r>
          </w:p>
        </w:tc>
        <w:tc>
          <w:tcPr>
            <w:tcW w:w="372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6C236E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12 个月高对比度面积折线图，自动标注历史极值</w:t>
            </w:r>
          </w:p>
        </w:tc>
        <w:tc>
          <w:tcPr>
            <w:tcW w:w="415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2D2FA6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游标微透科技蓝；极值点自动挂标签</w:t>
            </w:r>
          </w:p>
        </w:tc>
      </w:tr>
      <w:tr w14:paraId="23BA3C42">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7A0BA2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因子说明</w:t>
            </w:r>
          </w:p>
        </w:tc>
        <w:tc>
          <w:tcPr>
            <w:tcW w:w="372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1AC5E0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显示公式所涉及因子的数值与版本</w:t>
            </w:r>
          </w:p>
        </w:tc>
        <w:tc>
          <w:tcPr>
            <w:tcW w:w="415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BCAECA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一级节点不显示具体因子数值；二级节点显示公司所在地排放因子参数</w:t>
            </w:r>
          </w:p>
        </w:tc>
      </w:tr>
      <w:tr w14:paraId="4E3F055A">
        <w:tblPrEx>
          <w:tblCellMar>
            <w:top w:w="0" w:type="dxa"/>
            <w:left w:w="108" w:type="dxa"/>
            <w:bottom w:w="0" w:type="dxa"/>
            <w:right w:w="108" w:type="dxa"/>
          </w:tblCellMar>
        </w:tblPrEx>
        <w:trPr>
          <w:jc w:val="center"/>
        </w:trPr>
        <w:tc>
          <w:tcPr>
            <w:tcW w:w="189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6F8F18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底层仪表抄表台账</w:t>
            </w:r>
          </w:p>
        </w:tc>
        <w:tc>
          <w:tcPr>
            <w:tcW w:w="372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DFD8FC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历史监测数据明细</w:t>
            </w:r>
          </w:p>
        </w:tc>
        <w:tc>
          <w:tcPr>
            <w:tcW w:w="415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F2717A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支持分页、按时间排序、导出 Excel</w:t>
            </w:r>
          </w:p>
        </w:tc>
      </w:tr>
    </w:tbl>
    <w:p w14:paraId="0BCF6153">
      <w:pPr>
        <w:spacing w:after="60"/>
        <w:rPr>
          <w:rFonts w:hint="eastAsia" w:ascii="宋体" w:hAnsi="宋体" w:eastAsia="宋体" w:cs="宋体"/>
          <w:i w:val="0"/>
          <w:iCs w:val="0"/>
          <w:sz w:val="24"/>
          <w:szCs w:val="24"/>
        </w:rPr>
      </w:pPr>
    </w:p>
    <w:p w14:paraId="403086A5">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关键交互规则：</w:t>
      </w:r>
    </w:p>
    <w:p w14:paraId="48AE3240">
      <w:pPr>
        <w:pStyle w:val="19"/>
        <w:widowControl/>
        <w:numPr>
          <w:ilvl w:val="0"/>
          <w:numId w:val="41"/>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抽屉从右侧滑入，宽度占屏 45%，Mode A 内容自动左移不遮挡。</w:t>
      </w:r>
    </w:p>
    <w:p w14:paraId="6C6C521F">
      <w:pPr>
        <w:pStyle w:val="19"/>
        <w:widowControl/>
        <w:numPr>
          <w:ilvl w:val="0"/>
          <w:numId w:val="41"/>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因子说明按组织层级差异化：</w:t>
      </w:r>
      <w:r>
        <w:rPr>
          <w:rFonts w:ascii="Times New Roman" w:hAnsi="Times New Roman" w:eastAsia="宋体" w:cs="Times New Roman"/>
          <w:b/>
          <w:i w:val="0"/>
          <w:color w:val="1E3A8A"/>
          <w:sz w:val="24"/>
          <w:szCs w:val="24"/>
        </w:rPr>
        <w:t>一级节点不显示单位因子具体数值</w:t>
      </w:r>
      <w:r>
        <w:rPr>
          <w:rFonts w:ascii="Times New Roman" w:hAnsi="Times New Roman" w:eastAsia="宋体" w:cs="Times New Roman"/>
          <w:i w:val="0"/>
          <w:color w:val="1F2937"/>
          <w:sz w:val="24"/>
          <w:szCs w:val="24"/>
        </w:rPr>
        <w:t>；</w:t>
      </w:r>
      <w:r>
        <w:rPr>
          <w:rFonts w:ascii="Times New Roman" w:hAnsi="Times New Roman" w:eastAsia="宋体" w:cs="Times New Roman"/>
          <w:b/>
          <w:i w:val="0"/>
          <w:color w:val="1E3A8A"/>
          <w:sz w:val="24"/>
          <w:szCs w:val="24"/>
        </w:rPr>
        <w:t>二级节点显示公司所在地排放因子参数</w:t>
      </w:r>
      <w:r>
        <w:rPr>
          <w:rFonts w:ascii="Times New Roman" w:hAnsi="Times New Roman" w:eastAsia="宋体" w:cs="Times New Roman"/>
          <w:i w:val="0"/>
          <w:color w:val="1F2937"/>
          <w:sz w:val="24"/>
          <w:szCs w:val="24"/>
        </w:rPr>
        <w:t>。</w:t>
      </w:r>
    </w:p>
    <w:p w14:paraId="49D20659">
      <w:pPr>
        <w:pStyle w:val="19"/>
        <w:widowControl/>
        <w:numPr>
          <w:ilvl w:val="0"/>
          <w:numId w:val="41"/>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趋势图默认展示近 12 个月，可切换至 24 / 36 个月；无数据月份保持断层不插值。</w:t>
      </w:r>
    </w:p>
    <w:p w14:paraId="32C41889">
      <w:pPr>
        <w:pStyle w:val="19"/>
        <w:widowControl/>
        <w:numPr>
          <w:ilvl w:val="0"/>
          <w:numId w:val="41"/>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数据明细展示计算公式中的分子、分母、计算指标、环比和同比数据；点击导出后可将明细数据导出为 Excel 文件；字段信息与数据来源见附录 F。</w:t>
      </w:r>
    </w:p>
    <w:p w14:paraId="22E25536">
      <w:pPr>
        <w:pStyle w:val="6"/>
        <w:numPr>
          <w:ilvl w:val="0"/>
          <w:numId w:val="3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74"/>
        <w:gridCol w:w="1900"/>
        <w:gridCol w:w="1356"/>
        <w:gridCol w:w="1672"/>
        <w:gridCol w:w="3982"/>
      </w:tblGrid>
      <w:tr w14:paraId="747334E8">
        <w:tblPrEx>
          <w:tblCellMar>
            <w:top w:w="0" w:type="dxa"/>
            <w:left w:w="108" w:type="dxa"/>
            <w:bottom w:w="0" w:type="dxa"/>
            <w:right w:w="108" w:type="dxa"/>
          </w:tblCellMar>
        </w:tblPrEx>
        <w:trPr>
          <w:tblHeader/>
          <w:jc w:val="center"/>
        </w:trPr>
        <w:tc>
          <w:tcPr>
            <w:tcW w:w="87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533C28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0B1FF0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35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9AC28A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167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DE5ABD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398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7D233E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485FFEA9">
        <w:tblPrEx>
          <w:tblCellMar>
            <w:top w:w="0" w:type="dxa"/>
            <w:left w:w="108" w:type="dxa"/>
            <w:bottom w:w="0" w:type="dxa"/>
            <w:right w:w="108" w:type="dxa"/>
          </w:tblCellMar>
        </w:tblPrEx>
        <w:trPr>
          <w:jc w:val="center"/>
        </w:trPr>
        <w:tc>
          <w:tcPr>
            <w:tcW w:w="8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FEDA52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D715D7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指标编码</w:t>
            </w:r>
          </w:p>
        </w:tc>
        <w:tc>
          <w:tcPr>
            <w:tcW w:w="13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7744D6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6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55B3CE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9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9BE487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与 Mode A 卡片一一对应，非空</w:t>
            </w:r>
          </w:p>
        </w:tc>
      </w:tr>
      <w:tr w14:paraId="1A53E5BC">
        <w:tblPrEx>
          <w:tblCellMar>
            <w:top w:w="0" w:type="dxa"/>
            <w:left w:w="108" w:type="dxa"/>
            <w:bottom w:w="0" w:type="dxa"/>
            <w:right w:w="108" w:type="dxa"/>
          </w:tblCellMar>
        </w:tblPrEx>
        <w:trPr>
          <w:jc w:val="center"/>
        </w:trPr>
        <w:tc>
          <w:tcPr>
            <w:tcW w:w="87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A8C4CB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81B67E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指标物理定义</w:t>
            </w:r>
          </w:p>
        </w:tc>
        <w:tc>
          <w:tcPr>
            <w:tcW w:w="13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7A9D5C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Text</w:t>
            </w:r>
          </w:p>
        </w:tc>
        <w:tc>
          <w:tcPr>
            <w:tcW w:w="16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66E764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9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0954A6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非空，引用指标字典标准释义</w:t>
            </w:r>
          </w:p>
        </w:tc>
      </w:tr>
      <w:tr w14:paraId="27515DD6">
        <w:tblPrEx>
          <w:tblCellMar>
            <w:top w:w="0" w:type="dxa"/>
            <w:left w:w="108" w:type="dxa"/>
            <w:bottom w:w="0" w:type="dxa"/>
            <w:right w:w="108" w:type="dxa"/>
          </w:tblCellMar>
        </w:tblPrEx>
        <w:trPr>
          <w:jc w:val="center"/>
        </w:trPr>
        <w:tc>
          <w:tcPr>
            <w:tcW w:w="8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AE602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6FCC3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核算公式表达式</w:t>
            </w:r>
          </w:p>
        </w:tc>
        <w:tc>
          <w:tcPr>
            <w:tcW w:w="13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780212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6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AC0F0F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9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9CA077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引用《"双中心"项目能碳管控指标体系 V1.5》标准公式</w:t>
            </w:r>
          </w:p>
        </w:tc>
      </w:tr>
      <w:tr w14:paraId="25A94539">
        <w:tblPrEx>
          <w:tblCellMar>
            <w:top w:w="0" w:type="dxa"/>
            <w:left w:w="108" w:type="dxa"/>
            <w:bottom w:w="0" w:type="dxa"/>
            <w:right w:w="108" w:type="dxa"/>
          </w:tblCellMar>
        </w:tblPrEx>
        <w:trPr>
          <w:jc w:val="center"/>
        </w:trPr>
        <w:tc>
          <w:tcPr>
            <w:tcW w:w="87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9199AF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8A6883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公式变量释义</w:t>
            </w:r>
          </w:p>
        </w:tc>
        <w:tc>
          <w:tcPr>
            <w:tcW w:w="13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E4D555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Text</w:t>
            </w:r>
          </w:p>
        </w:tc>
        <w:tc>
          <w:tcPr>
            <w:tcW w:w="16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7B4B7A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9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365E40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描述信息中显示公式中计算指标参数含义</w:t>
            </w:r>
          </w:p>
        </w:tc>
      </w:tr>
      <w:tr w14:paraId="7E858D73">
        <w:tblPrEx>
          <w:tblCellMar>
            <w:top w:w="0" w:type="dxa"/>
            <w:left w:w="108" w:type="dxa"/>
            <w:bottom w:w="0" w:type="dxa"/>
            <w:right w:w="108" w:type="dxa"/>
          </w:tblCellMar>
        </w:tblPrEx>
        <w:trPr>
          <w:jc w:val="center"/>
        </w:trPr>
        <w:tc>
          <w:tcPr>
            <w:tcW w:w="8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959567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5A52B6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分子数值</w:t>
            </w:r>
          </w:p>
        </w:tc>
        <w:tc>
          <w:tcPr>
            <w:tcW w:w="13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033891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6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6E4088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实物单位</w:t>
            </w:r>
          </w:p>
        </w:tc>
        <w:tc>
          <w:tcPr>
            <w:tcW w:w="39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974119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保留原始采集精度，不得四舍五入后展示</w:t>
            </w:r>
          </w:p>
        </w:tc>
      </w:tr>
      <w:tr w14:paraId="103FA026">
        <w:tblPrEx>
          <w:tblCellMar>
            <w:top w:w="0" w:type="dxa"/>
            <w:left w:w="108" w:type="dxa"/>
            <w:bottom w:w="0" w:type="dxa"/>
            <w:right w:w="108" w:type="dxa"/>
          </w:tblCellMar>
        </w:tblPrEx>
        <w:trPr>
          <w:jc w:val="center"/>
        </w:trPr>
        <w:tc>
          <w:tcPr>
            <w:tcW w:w="87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9810F9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BE461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分母数值</w:t>
            </w:r>
          </w:p>
        </w:tc>
        <w:tc>
          <w:tcPr>
            <w:tcW w:w="13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230D15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6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9008D0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实物单位</w:t>
            </w:r>
          </w:p>
        </w:tc>
        <w:tc>
          <w:tcPr>
            <w:tcW w:w="39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3990EA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为 0 时整个单耗显示 </w:t>
            </w:r>
            <w:r>
              <w:rPr>
                <w:rFonts w:hint="eastAsia" w:ascii="宋体" w:hAnsi="宋体" w:eastAsia="宋体" w:cs="宋体"/>
                <w:b w:val="0"/>
                <w:i w:val="0"/>
                <w:iCs w:val="0"/>
                <w:color w:val="0284C7"/>
                <w:sz w:val="24"/>
                <w:szCs w:val="24"/>
              </w:rPr>
              <w:t xml:space="preserve"> -- </w:t>
            </w:r>
          </w:p>
        </w:tc>
      </w:tr>
      <w:tr w14:paraId="448CC2FF">
        <w:tblPrEx>
          <w:tblCellMar>
            <w:top w:w="0" w:type="dxa"/>
            <w:left w:w="108" w:type="dxa"/>
            <w:bottom w:w="0" w:type="dxa"/>
            <w:right w:w="108" w:type="dxa"/>
          </w:tblCellMar>
        </w:tblPrEx>
        <w:trPr>
          <w:jc w:val="center"/>
        </w:trPr>
        <w:tc>
          <w:tcPr>
            <w:tcW w:w="8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E0E950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376962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本期值</w:t>
            </w:r>
          </w:p>
        </w:tc>
        <w:tc>
          <w:tcPr>
            <w:tcW w:w="13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8A01E8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6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565832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见指标单位</w:t>
            </w:r>
          </w:p>
        </w:tc>
        <w:tc>
          <w:tcPr>
            <w:tcW w:w="39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B8F2E4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0，空值 </w:t>
            </w:r>
            <w:r>
              <w:rPr>
                <w:rFonts w:hint="eastAsia" w:ascii="宋体" w:hAnsi="宋体" w:eastAsia="宋体" w:cs="宋体"/>
                <w:b w:val="0"/>
                <w:i w:val="0"/>
                <w:iCs w:val="0"/>
                <w:color w:val="0284C7"/>
                <w:sz w:val="24"/>
                <w:szCs w:val="24"/>
              </w:rPr>
              <w:t xml:space="preserve"> -- </w:t>
            </w:r>
          </w:p>
        </w:tc>
      </w:tr>
      <w:tr w14:paraId="2385DA97">
        <w:tblPrEx>
          <w:tblCellMar>
            <w:top w:w="0" w:type="dxa"/>
            <w:left w:w="108" w:type="dxa"/>
            <w:bottom w:w="0" w:type="dxa"/>
            <w:right w:w="108" w:type="dxa"/>
          </w:tblCellMar>
        </w:tblPrEx>
        <w:trPr>
          <w:jc w:val="center"/>
        </w:trPr>
        <w:tc>
          <w:tcPr>
            <w:tcW w:w="87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BD6D95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E70C2A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环比变动率</w:t>
            </w:r>
          </w:p>
        </w:tc>
        <w:tc>
          <w:tcPr>
            <w:tcW w:w="13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5086CA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6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A168BA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9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9B90DD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(本期 − 上期) / 上期 × 100%</w:t>
            </w:r>
          </w:p>
        </w:tc>
      </w:tr>
      <w:tr w14:paraId="1A38C43F">
        <w:tblPrEx>
          <w:tblCellMar>
            <w:top w:w="0" w:type="dxa"/>
            <w:left w:w="108" w:type="dxa"/>
            <w:bottom w:w="0" w:type="dxa"/>
            <w:right w:w="108" w:type="dxa"/>
          </w:tblCellMar>
        </w:tblPrEx>
        <w:trPr>
          <w:jc w:val="center"/>
        </w:trPr>
        <w:tc>
          <w:tcPr>
            <w:tcW w:w="8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784F12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1C94C9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同比变动率</w:t>
            </w:r>
          </w:p>
        </w:tc>
        <w:tc>
          <w:tcPr>
            <w:tcW w:w="13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D4559E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6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2CA461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9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947C3B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(本期 − 去年同期) / 去年同期 × 100%</w:t>
            </w:r>
          </w:p>
        </w:tc>
      </w:tr>
      <w:tr w14:paraId="64765E59">
        <w:tblPrEx>
          <w:tblCellMar>
            <w:top w:w="0" w:type="dxa"/>
            <w:left w:w="108" w:type="dxa"/>
            <w:bottom w:w="0" w:type="dxa"/>
            <w:right w:w="108" w:type="dxa"/>
          </w:tblCellMar>
        </w:tblPrEx>
        <w:trPr>
          <w:jc w:val="center"/>
        </w:trPr>
        <w:tc>
          <w:tcPr>
            <w:tcW w:w="87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6B80D3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9C274A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折标系数值</w:t>
            </w:r>
          </w:p>
        </w:tc>
        <w:tc>
          <w:tcPr>
            <w:tcW w:w="13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6BBC07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6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5E0E8D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tce/单位</w:t>
            </w:r>
          </w:p>
        </w:tc>
        <w:tc>
          <w:tcPr>
            <w:tcW w:w="39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B5A7D1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注明版本号与依据标准</w:t>
            </w:r>
          </w:p>
        </w:tc>
      </w:tr>
      <w:tr w14:paraId="1B5E1EC0">
        <w:tblPrEx>
          <w:tblCellMar>
            <w:top w:w="0" w:type="dxa"/>
            <w:left w:w="108" w:type="dxa"/>
            <w:bottom w:w="0" w:type="dxa"/>
            <w:right w:w="108" w:type="dxa"/>
          </w:tblCellMar>
        </w:tblPrEx>
        <w:trPr>
          <w:jc w:val="center"/>
        </w:trPr>
        <w:tc>
          <w:tcPr>
            <w:tcW w:w="8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4F474C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EB2839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排放因子值</w:t>
            </w:r>
          </w:p>
        </w:tc>
        <w:tc>
          <w:tcPr>
            <w:tcW w:w="13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D27C61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6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0118FA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tCO2/MWh</w:t>
            </w:r>
          </w:p>
        </w:tc>
        <w:tc>
          <w:tcPr>
            <w:tcW w:w="39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E0102D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一级节点隐藏、二级节点显示所在地取值</w:t>
            </w:r>
          </w:p>
        </w:tc>
      </w:tr>
      <w:tr w14:paraId="6C33CC44">
        <w:tblPrEx>
          <w:tblCellMar>
            <w:top w:w="0" w:type="dxa"/>
            <w:left w:w="108" w:type="dxa"/>
            <w:bottom w:w="0" w:type="dxa"/>
            <w:right w:w="108" w:type="dxa"/>
          </w:tblCellMar>
        </w:tblPrEx>
        <w:trPr>
          <w:jc w:val="center"/>
        </w:trPr>
        <w:tc>
          <w:tcPr>
            <w:tcW w:w="87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2CC7BF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527356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点位物理链路</w:t>
            </w:r>
          </w:p>
        </w:tc>
        <w:tc>
          <w:tcPr>
            <w:tcW w:w="13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ECF637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6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A3A307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9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6A0F0E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格式 </w:t>
            </w:r>
            <w:r>
              <w:rPr>
                <w:rFonts w:hint="eastAsia" w:ascii="宋体" w:hAnsi="宋体" w:eastAsia="宋体" w:cs="宋体"/>
                <w:b w:val="0"/>
                <w:i w:val="0"/>
                <w:iCs w:val="0"/>
                <w:color w:val="0284C7"/>
                <w:sz w:val="24"/>
                <w:szCs w:val="24"/>
              </w:rPr>
              <w:t xml:space="preserve"> &lt;系统&gt;/&lt;单据号&gt;/&lt;表计编码&gt;/&lt;寄存器&gt; </w:t>
            </w:r>
          </w:p>
        </w:tc>
      </w:tr>
      <w:tr w14:paraId="64BAC45D">
        <w:tblPrEx>
          <w:tblCellMar>
            <w:top w:w="0" w:type="dxa"/>
            <w:left w:w="108" w:type="dxa"/>
            <w:bottom w:w="0" w:type="dxa"/>
            <w:right w:w="108" w:type="dxa"/>
          </w:tblCellMar>
        </w:tblPrEx>
        <w:trPr>
          <w:jc w:val="center"/>
        </w:trPr>
        <w:tc>
          <w:tcPr>
            <w:tcW w:w="8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FB8664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A0FD62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台账采集时间戳</w:t>
            </w:r>
          </w:p>
        </w:tc>
        <w:tc>
          <w:tcPr>
            <w:tcW w:w="13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2F94A4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DateTime</w:t>
            </w:r>
          </w:p>
        </w:tc>
        <w:tc>
          <w:tcPr>
            <w:tcW w:w="16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7A8559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YYYY-MM-DD HH:mm</w:t>
            </w:r>
          </w:p>
        </w:tc>
        <w:tc>
          <w:tcPr>
            <w:tcW w:w="39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EA1F91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非空，不得晚于当前服务器时间</w:t>
            </w:r>
          </w:p>
        </w:tc>
      </w:tr>
      <w:tr w14:paraId="63CF479F">
        <w:tblPrEx>
          <w:tblCellMar>
            <w:top w:w="0" w:type="dxa"/>
            <w:left w:w="108" w:type="dxa"/>
            <w:bottom w:w="0" w:type="dxa"/>
            <w:right w:w="108" w:type="dxa"/>
          </w:tblCellMar>
        </w:tblPrEx>
        <w:trPr>
          <w:jc w:val="center"/>
        </w:trPr>
        <w:tc>
          <w:tcPr>
            <w:tcW w:w="87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CC52BB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14</w:t>
            </w:r>
          </w:p>
        </w:tc>
        <w:tc>
          <w:tcPr>
            <w:tcW w:w="190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B1920A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历史极值标记</w:t>
            </w:r>
          </w:p>
        </w:tc>
        <w:tc>
          <w:tcPr>
            <w:tcW w:w="13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F304D3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6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A87E29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9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035D6B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最大值 / 最小值 / 无，由系统自动标注</w:t>
            </w:r>
          </w:p>
        </w:tc>
      </w:tr>
    </w:tbl>
    <w:p w14:paraId="2083010B">
      <w:pPr>
        <w:spacing w:after="60"/>
        <w:rPr>
          <w:rFonts w:hint="eastAsia" w:ascii="宋体" w:hAnsi="宋体" w:eastAsia="宋体" w:cs="宋体"/>
          <w:i w:val="0"/>
          <w:iCs w:val="0"/>
          <w:sz w:val="24"/>
          <w:szCs w:val="24"/>
        </w:rPr>
      </w:pPr>
    </w:p>
    <w:p w14:paraId="5D69EEAB">
      <w:pPr>
        <w:pStyle w:val="6"/>
        <w:numPr>
          <w:ilvl w:val="0"/>
          <w:numId w:val="3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471A60F9">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76CC6388">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Value_kpi = Numerator / Denominator               指标值 = 分子 / 分母</w:t>
            </w:r>
          </w:p>
          <w:p w14:paraId="30A255F9">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MoM = ( V_t - V_{t-1} ) / V_{t-1} × 100%         环比变动率</w:t>
            </w:r>
          </w:p>
          <w:p w14:paraId="22CA3407">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YoY = ( V_t - V_{t-12} ) / V_{t-12} × 100%       同比变动率</w:t>
            </w:r>
          </w:p>
          <w:p w14:paraId="4F8264CC">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Max_flag = ( V_t == MAX( V_{t-11..t} ) )          历史极值自动标注</w:t>
            </w:r>
          </w:p>
        </w:tc>
      </w:tr>
    </w:tbl>
    <w:p w14:paraId="41D72771">
      <w:pPr>
        <w:spacing w:after="40"/>
        <w:rPr>
          <w:rFonts w:hint="eastAsia" w:ascii="宋体" w:hAnsi="宋体" w:eastAsia="宋体" w:cs="宋体"/>
          <w:i w:val="0"/>
          <w:iCs w:val="0"/>
          <w:sz w:val="24"/>
          <w:szCs w:val="24"/>
        </w:rPr>
      </w:pPr>
    </w:p>
    <w:p w14:paraId="536EF13E">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w:t>
      </w:r>
      <w:r>
        <w:rPr>
          <w:rFonts w:ascii="Times New Roman" w:hAnsi="Times New Roman" w:eastAsia="宋体" w:cs="Times New Roman"/>
          <w:b w:val="0"/>
          <w:i w:val="0"/>
          <w:color w:val="0284C7"/>
          <w:sz w:val="24"/>
          <w:szCs w:val="24"/>
        </w:rPr>
        <w:t xml:space="preserve"> Numerator </w:t>
      </w:r>
      <w:r>
        <w:rPr>
          <w:rFonts w:ascii="Times New Roman" w:hAnsi="Times New Roman" w:eastAsia="宋体" w:cs="Times New Roman"/>
          <w:i w:val="0"/>
          <w:color w:val="1F2937"/>
          <w:sz w:val="24"/>
          <w:szCs w:val="24"/>
        </w:rPr>
        <w:t xml:space="preserve"> 与 </w:t>
      </w:r>
      <w:r>
        <w:rPr>
          <w:rFonts w:ascii="Times New Roman" w:hAnsi="Times New Roman" w:eastAsia="宋体" w:cs="Times New Roman"/>
          <w:b w:val="0"/>
          <w:i w:val="0"/>
          <w:color w:val="0284C7"/>
          <w:sz w:val="24"/>
          <w:szCs w:val="24"/>
        </w:rPr>
        <w:t xml:space="preserve"> Denominator </w:t>
      </w:r>
      <w:r>
        <w:rPr>
          <w:rFonts w:ascii="Times New Roman" w:hAnsi="Times New Roman" w:eastAsia="宋体" w:cs="Times New Roman"/>
          <w:i w:val="0"/>
          <w:color w:val="1F2937"/>
          <w:sz w:val="24"/>
          <w:szCs w:val="24"/>
        </w:rPr>
        <w:t xml:space="preserve"> 分别对应指标的分子与分母工程物理量；</w:t>
      </w:r>
      <w:r>
        <w:rPr>
          <w:rFonts w:ascii="Times New Roman" w:hAnsi="Times New Roman" w:eastAsia="宋体" w:cs="Times New Roman"/>
          <w:b w:val="0"/>
          <w:i w:val="0"/>
          <w:color w:val="0284C7"/>
          <w:sz w:val="24"/>
          <w:szCs w:val="24"/>
        </w:rPr>
        <w:t xml:space="preserve"> V_{t-1} </w:t>
      </w:r>
      <w:r>
        <w:rPr>
          <w:rFonts w:ascii="Times New Roman" w:hAnsi="Times New Roman" w:eastAsia="宋体" w:cs="Times New Roman"/>
          <w:i w:val="0"/>
          <w:color w:val="1F2937"/>
          <w:sz w:val="24"/>
          <w:szCs w:val="24"/>
        </w:rPr>
        <w:t xml:space="preserve"> 为上月同期值，</w:t>
      </w:r>
      <w:r>
        <w:rPr>
          <w:rFonts w:ascii="Times New Roman" w:hAnsi="Times New Roman" w:eastAsia="宋体" w:cs="Times New Roman"/>
          <w:b w:val="0"/>
          <w:i w:val="0"/>
          <w:color w:val="0284C7"/>
          <w:sz w:val="24"/>
          <w:szCs w:val="24"/>
        </w:rPr>
        <w:t xml:space="preserve"> V_{t-12} </w:t>
      </w:r>
      <w:r>
        <w:rPr>
          <w:rFonts w:ascii="Times New Roman" w:hAnsi="Times New Roman" w:eastAsia="宋体" w:cs="Times New Roman"/>
          <w:i w:val="0"/>
          <w:color w:val="1F2937"/>
          <w:sz w:val="24"/>
          <w:szCs w:val="24"/>
        </w:rPr>
        <w:t xml:space="preserve"> 为去年同月值；任一基准值为 0 时对应变动率显示 </w:t>
      </w:r>
      <w:r>
        <w:rPr>
          <w:rFonts w:ascii="Times New Roman" w:hAnsi="Times New Roman" w:eastAsia="宋体" w:cs="Times New Roman"/>
          <w:b w:val="0"/>
          <w:i w:val="0"/>
          <w:color w:val="0284C7"/>
          <w:sz w:val="24"/>
          <w:szCs w:val="24"/>
        </w:rPr>
        <w:t xml:space="preserve"> -- </w:t>
      </w:r>
      <w:r>
        <w:rPr>
          <w:rFonts w:ascii="Times New Roman" w:hAnsi="Times New Roman" w:eastAsia="宋体" w:cs="Times New Roman"/>
          <w:i w:val="0"/>
          <w:color w:val="1F2937"/>
          <w:sz w:val="24"/>
          <w:szCs w:val="24"/>
        </w:rPr>
        <w:t>。</w:t>
      </w:r>
    </w:p>
    <w:p w14:paraId="51AFB0CB">
      <w:pPr>
        <w:pStyle w:val="6"/>
        <w:numPr>
          <w:ilvl w:val="0"/>
          <w:numId w:val="3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7A70BD28">
      <w:pPr>
        <w:pStyle w:val="19"/>
        <w:widowControl/>
        <w:numPr>
          <w:ilvl w:val="0"/>
          <w:numId w:val="42"/>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趋势图数值轴起点固定为 0，禁止截断纵轴放大波动。</w:t>
      </w:r>
    </w:p>
    <w:p w14:paraId="0E999AB7">
      <w:pPr>
        <w:pStyle w:val="19"/>
        <w:widowControl/>
        <w:numPr>
          <w:ilvl w:val="0"/>
          <w:numId w:val="42"/>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明细表支持按组织（集团/产业/二级公司/车间）与时间维度自由切换，切换后榜单与趋势同步刷新。</w:t>
      </w:r>
    </w:p>
    <w:p w14:paraId="09F21085">
      <w:pPr>
        <w:pStyle w:val="19"/>
        <w:widowControl/>
        <w:numPr>
          <w:ilvl w:val="0"/>
          <w:numId w:val="42"/>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导出字段顺序固定为：组织、统计周期、分子、分母、指标值、环比、同比、数据来源、采集时间戳。</w:t>
      </w:r>
    </w:p>
    <w:p w14:paraId="2E8F94D2">
      <w:pPr>
        <w:pStyle w:val="6"/>
        <w:numPr>
          <w:ilvl w:val="0"/>
          <w:numId w:val="3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1383B54C">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3581EEA1">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无历史数据月份趋势图保持真实断层，严禁用插值或 0 值填补。</w:t>
            </w:r>
          </w:p>
          <w:p w14:paraId="007061B7">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折标系数版本缺失时触发 </w:t>
            </w:r>
            <w:r>
              <w:rPr>
                <w:rFonts w:hint="eastAsia" w:ascii="宋体" w:hAnsi="宋体" w:eastAsia="宋体" w:cs="宋体"/>
                <w:b w:val="0"/>
                <w:i w:val="0"/>
                <w:iCs w:val="0"/>
                <w:color w:val="0284C7"/>
                <w:sz w:val="24"/>
                <w:szCs w:val="24"/>
              </w:rPr>
              <w:t xml:space="preserve"> E_VAL_FACTOR_EXPIRED </w:t>
            </w:r>
            <w:r>
              <w:rPr>
                <w:rFonts w:hint="eastAsia" w:ascii="宋体" w:hAnsi="宋体" w:eastAsia="宋体" w:cs="宋体"/>
                <w:i w:val="0"/>
                <w:iCs w:val="0"/>
                <w:color w:val="1F2937"/>
                <w:sz w:val="24"/>
                <w:szCs w:val="24"/>
              </w:rPr>
              <w:t>，明细行标注"系数待升级"并禁止导出该行。</w:t>
            </w:r>
          </w:p>
          <w:p w14:paraId="4048E95F">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P6 外部审计机构仅可查看与其认证报告关联的指标明细，访问其他指标触发 </w:t>
            </w:r>
            <w:r>
              <w:rPr>
                <w:rFonts w:hint="eastAsia" w:ascii="宋体" w:hAnsi="宋体" w:eastAsia="宋体" w:cs="宋体"/>
                <w:b w:val="0"/>
                <w:i w:val="0"/>
                <w:iCs w:val="0"/>
                <w:color w:val="0284C7"/>
                <w:sz w:val="24"/>
                <w:szCs w:val="24"/>
              </w:rPr>
              <w:t xml:space="preserve"> E_AUTH_RBAC_FORBIDDEN </w:t>
            </w:r>
            <w:r>
              <w:rPr>
                <w:rFonts w:hint="eastAsia" w:ascii="宋体" w:hAnsi="宋体" w:eastAsia="宋体" w:cs="宋体"/>
                <w:i w:val="0"/>
                <w:iCs w:val="0"/>
                <w:color w:val="1F2937"/>
                <w:sz w:val="24"/>
                <w:szCs w:val="24"/>
              </w:rPr>
              <w:t>。</w:t>
            </w:r>
          </w:p>
          <w:p w14:paraId="4B079A7B">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明细导出强制注入防伪动态水印（员工号、姓名、时间戳、哈希校验码）。</w:t>
            </w:r>
          </w:p>
        </w:tc>
      </w:tr>
    </w:tbl>
    <w:p w14:paraId="5C1FAC84">
      <w:pPr>
        <w:spacing w:after="40"/>
        <w:rPr>
          <w:rFonts w:hint="eastAsia" w:ascii="宋体" w:hAnsi="宋体" w:eastAsia="宋体" w:cs="宋体"/>
          <w:i w:val="0"/>
          <w:iCs w:val="0"/>
          <w:sz w:val="24"/>
          <w:szCs w:val="24"/>
        </w:rPr>
      </w:pPr>
    </w:p>
    <w:p w14:paraId="423E3F69">
      <w:pPr>
        <w:pStyle w:val="6"/>
        <w:numPr>
          <w:ilvl w:val="0"/>
          <w:numId w:val="38"/>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5FB99B9B">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23457A6F">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指标详情抽屉与证据链穿透</w:t>
            </w:r>
          </w:p>
          <w:p w14:paraId="038CF41B">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抽屉完整体现六大区块</w:t>
            </w:r>
          </w:p>
          <w:p w14:paraId="43FE969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P2 已在指标管控 Mode A 视图中</w:t>
            </w:r>
          </w:p>
          <w:p w14:paraId="51E2B3C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点击任意一张指标卡片</w:t>
            </w:r>
          </w:p>
          <w:p w14:paraId="70DE7C7B">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右侧滑出详情抽屉且宽度占屏 45%</w:t>
            </w:r>
          </w:p>
          <w:p w14:paraId="01A5DC4F">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抽屉内依次呈现指标物理定义、数学核算模型、数仓链路与点位、时序走势图、因子说明、底层仪表抄表台账</w:t>
            </w:r>
          </w:p>
          <w:p w14:paraId="35B0A02A">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Mode A 内容左移且不被抽屉遮挡</w:t>
            </w:r>
          </w:p>
          <w:p w14:paraId="4333B9C2">
            <w:pPr>
              <w:spacing w:before="0" w:after="20" w:line="264" w:lineRule="auto"/>
              <w:rPr>
                <w:rFonts w:hint="eastAsia" w:ascii="宋体" w:hAnsi="宋体" w:eastAsia="宋体" w:cs="宋体"/>
                <w:i w:val="0"/>
                <w:iCs w:val="0"/>
                <w:sz w:val="24"/>
                <w:szCs w:val="24"/>
              </w:rPr>
            </w:pPr>
          </w:p>
          <w:p w14:paraId="0C3F64BD">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因子说明按层级差异化展示</w:t>
            </w:r>
          </w:p>
          <w:p w14:paraId="0750D8A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当前组织树选中节点分别为一级节点与二级节点</w:t>
            </w:r>
          </w:p>
          <w:p w14:paraId="260C35CA">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分别打开同一指标的详情抽屉</w:t>
            </w:r>
          </w:p>
          <w:p w14:paraId="498C4AE4">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一级节点不显示单位因子具体数值</w:t>
            </w:r>
          </w:p>
          <w:p w14:paraId="4B00EBC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二级节点显示公司所在地排放因子参数</w:t>
            </w:r>
          </w:p>
          <w:p w14:paraId="76577FD4">
            <w:pPr>
              <w:spacing w:before="0" w:after="20" w:line="264" w:lineRule="auto"/>
              <w:rPr>
                <w:rFonts w:hint="eastAsia" w:ascii="宋体" w:hAnsi="宋体" w:eastAsia="宋体" w:cs="宋体"/>
                <w:i w:val="0"/>
                <w:iCs w:val="0"/>
                <w:sz w:val="24"/>
                <w:szCs w:val="24"/>
              </w:rPr>
            </w:pPr>
          </w:p>
          <w:p w14:paraId="5C550FF8">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趋势图断层不插值</w:t>
            </w:r>
          </w:p>
          <w:p w14:paraId="1C49D4D0">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某指标在近 12 个月中有 2 个月无上报数据</w:t>
            </w:r>
          </w:p>
          <w:p w14:paraId="12969BFB">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渲染时序走势图</w:t>
            </w:r>
          </w:p>
          <w:p w14:paraId="491270C4">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缺失月份保持真实断层</w:t>
            </w:r>
          </w:p>
          <w:p w14:paraId="2098163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不出现插值填充或 0 值替代</w:t>
            </w:r>
          </w:p>
        </w:tc>
      </w:tr>
    </w:tbl>
    <w:p w14:paraId="0BCD488F">
      <w:pPr>
        <w:spacing w:after="40"/>
        <w:rPr>
          <w:rFonts w:hint="eastAsia" w:ascii="宋体" w:hAnsi="宋体" w:eastAsia="宋体" w:cs="宋体"/>
          <w:i w:val="0"/>
          <w:iCs w:val="0"/>
          <w:sz w:val="24"/>
          <w:szCs w:val="24"/>
        </w:rPr>
      </w:pPr>
    </w:p>
    <w:p w14:paraId="00877BD5">
      <w:pPr>
        <w:pStyle w:val="5"/>
        <w:numPr>
          <w:ilvl w:val="0"/>
          <w:numId w:val="27"/>
        </w:numPr>
        <w:ind w:left="0" w:leftChars="0" w:firstLine="0" w:firstLineChars="0"/>
        <w:outlineLvl w:val="1"/>
        <w:rPr>
          <w:rFonts w:eastAsia="黑体"/>
          <w:b w:val="0"/>
          <w:bCs w:val="0"/>
          <w:sz w:val="30"/>
          <w:szCs w:val="24"/>
        </w:rPr>
      </w:pPr>
      <w:bookmarkStart w:id="17" w:name="_Toc20975"/>
      <w:r>
        <w:rPr>
          <w:rFonts w:ascii="Times New Roman" w:hAnsi="Times New Roman" w:eastAsia="黑体" w:cs="Times New Roman"/>
          <w:b w:val="0"/>
          <w:bCs w:val="0"/>
          <w:sz w:val="30"/>
          <w:szCs w:val="24"/>
        </w:rPr>
        <w:t>用能监测</w:t>
      </w:r>
      <w:bookmarkEnd w:id="17"/>
    </w:p>
    <w:p w14:paraId="633F4BE0">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drawing>
          <wp:inline distT="0" distB="0" distL="114300" distR="114300">
            <wp:extent cx="5900420" cy="2925445"/>
            <wp:effectExtent l="0" t="0" r="5080" b="8255"/>
            <wp:docPr id="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pic:cNvPicPr>
                      <a:picLocks noChangeAspect="1"/>
                    </pic:cNvPicPr>
                  </pic:nvPicPr>
                  <pic:blipFill>
                    <a:blip r:embed="rId26"/>
                    <a:stretch>
                      <a:fillRect/>
                    </a:stretch>
                  </pic:blipFill>
                  <pic:spPr>
                    <a:xfrm>
                      <a:off x="0" y="0"/>
                      <a:ext cx="5900420" cy="2925445"/>
                    </a:xfrm>
                    <a:prstGeom prst="rect">
                      <a:avLst/>
                    </a:prstGeom>
                    <a:noFill/>
                    <a:ln>
                      <a:noFill/>
                    </a:ln>
                  </pic:spPr>
                </pic:pic>
              </a:graphicData>
            </a:graphic>
          </wp:inline>
        </w:drawing>
      </w:r>
    </w:p>
    <w:p w14:paraId="2DFAB928">
      <w:pPr>
        <w:pStyle w:val="6"/>
        <w:numPr>
          <w:ilvl w:val="0"/>
          <w:numId w:val="4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7AB4B7A2">
      <w:pPr>
        <w:pStyle w:val="19"/>
        <w:widowControl/>
        <w:numPr>
          <w:ilvl w:val="0"/>
          <w:numId w:val="4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：全集团 8 大能源介质的实时用量、逐时负荷曲线与分时峰平谷结构监测底座，是指标管控、能耗能效分析与统计报表的原始数据源头。</w:t>
      </w:r>
    </w:p>
    <w:p w14:paraId="68C2F176">
      <w:pPr>
        <w:pStyle w:val="19"/>
        <w:widowControl/>
        <w:numPr>
          <w:ilvl w:val="0"/>
          <w:numId w:val="4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：P2 园区能碳专员（主视角）、P3 车间填报员（数据核对视角）。</w:t>
      </w:r>
    </w:p>
    <w:p w14:paraId="480D265A">
      <w:pPr>
        <w:pStyle w:val="19"/>
        <w:widowControl/>
        <w:numPr>
          <w:ilvl w:val="0"/>
          <w:numId w:val="4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/monitor/energy/online </w:t>
      </w:r>
      <w:r>
        <w:rPr>
          <w:rFonts w:ascii="Times New Roman" w:hAnsi="Times New Roman" w:eastAsia="宋体" w:cs="Times New Roman"/>
          <w:i w:val="0"/>
          <w:color w:val="1F2937"/>
          <w:sz w:val="24"/>
          <w:szCs w:val="24"/>
        </w:rPr>
        <w:t xml:space="preserve">；子 TAB 路由 </w:t>
      </w:r>
      <w:r>
        <w:rPr>
          <w:rFonts w:ascii="Times New Roman" w:hAnsi="Times New Roman" w:eastAsia="宋体" w:cs="Times New Roman"/>
          <w:b w:val="0"/>
          <w:i w:val="0"/>
          <w:color w:val="0284C7"/>
          <w:sz w:val="24"/>
          <w:szCs w:val="24"/>
        </w:rPr>
        <w:t xml:space="preserve"> /monitor/energy/online/:media </w:t>
      </w:r>
      <w:r>
        <w:rPr>
          <w:rFonts w:ascii="Times New Roman" w:hAnsi="Times New Roman" w:eastAsia="宋体" w:cs="Times New Roman"/>
          <w:i w:val="0"/>
          <w:color w:val="1F2937"/>
          <w:sz w:val="24"/>
          <w:szCs w:val="24"/>
        </w:rPr>
        <w:t>。</w:t>
      </w:r>
    </w:p>
    <w:p w14:paraId="5F831FCC">
      <w:pPr>
        <w:pStyle w:val="19"/>
        <w:widowControl/>
        <w:numPr>
          <w:ilvl w:val="0"/>
          <w:numId w:val="4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：IoT 采集网关、TOU 时段电表寄存器、介质配置字典、计量资产档案台账。</w:t>
      </w:r>
    </w:p>
    <w:p w14:paraId="75FC1665">
      <w:pPr>
        <w:pStyle w:val="19"/>
        <w:widowControl/>
        <w:numPr>
          <w:ilvl w:val="0"/>
          <w:numId w:val="4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：指标管控实测值、碳排监测排放源数据、能效分析的介质结构数据。</w:t>
      </w:r>
    </w:p>
    <w:p w14:paraId="2699BC4C">
      <w:pPr>
        <w:pStyle w:val="6"/>
        <w:numPr>
          <w:ilvl w:val="0"/>
          <w:numId w:val="4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03F0C990">
      <w:pPr>
        <w:pStyle w:val="19"/>
        <w:widowControl/>
        <w:numPr>
          <w:ilvl w:val="0"/>
          <w:numId w:val="4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：实时监测全集团 15 大园区及生产工厂在 8 大能源介质（总电、市电、绿电、水、气、汽、油、氮）上的实时用量、逐时负荷曲线及分时峰平谷结构。</w:t>
      </w:r>
    </w:p>
    <w:p w14:paraId="4F46345D">
      <w:pPr>
        <w:pStyle w:val="19"/>
        <w:widowControl/>
        <w:numPr>
          <w:ilvl w:val="0"/>
          <w:numId w:val="4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6C7C3E63">
      <w:pPr>
        <w:pStyle w:val="19"/>
        <w:widowControl/>
        <w:numPr>
          <w:ilvl w:val="0"/>
          <w:numId w:val="45"/>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园区能碳专员 (Persona P2)</w:t>
      </w:r>
      <w:r>
        <w:rPr>
          <w:rFonts w:ascii="Times New Roman" w:hAnsi="Times New Roman" w:eastAsia="宋体" w:cs="Times New Roman"/>
          <w:i w:val="0"/>
          <w:color w:val="1F2937"/>
          <w:sz w:val="24"/>
          <w:szCs w:val="24"/>
        </w:rPr>
        <w:t>，</w:t>
      </w:r>
    </w:p>
    <w:p w14:paraId="1C6A5EC2">
      <w:pPr>
        <w:pStyle w:val="19"/>
        <w:widowControl/>
        <w:numPr>
          <w:ilvl w:val="0"/>
          <w:numId w:val="45"/>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按能源介质切换查看当日/当月总体峰平谷构成、逐时连续采样走势与额定工艺基准对比，并支持跨月区间查询</w:t>
      </w:r>
      <w:r>
        <w:rPr>
          <w:rFonts w:ascii="Times New Roman" w:hAnsi="Times New Roman" w:eastAsia="宋体" w:cs="Times New Roman"/>
          <w:i w:val="0"/>
          <w:color w:val="1F2937"/>
          <w:sz w:val="24"/>
          <w:szCs w:val="24"/>
        </w:rPr>
        <w:t>，</w:t>
      </w:r>
    </w:p>
    <w:p w14:paraId="61263772">
      <w:pPr>
        <w:pStyle w:val="19"/>
        <w:widowControl/>
        <w:numPr>
          <w:ilvl w:val="0"/>
          <w:numId w:val="45"/>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我能及时发现某介质的用能异常攀升并定位到具体工序或车间</w:t>
      </w:r>
      <w:r>
        <w:rPr>
          <w:rFonts w:ascii="Times New Roman" w:hAnsi="Times New Roman" w:eastAsia="宋体" w:cs="Times New Roman"/>
          <w:i w:val="0"/>
          <w:color w:val="1F2937"/>
          <w:sz w:val="24"/>
          <w:szCs w:val="24"/>
        </w:rPr>
        <w:t>。</w:t>
      </w:r>
    </w:p>
    <w:p w14:paraId="17028CB4">
      <w:pPr>
        <w:pStyle w:val="6"/>
        <w:numPr>
          <w:ilvl w:val="0"/>
          <w:numId w:val="4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42B2DCEC">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页面结构与联动规则：</w:t>
      </w:r>
    </w:p>
    <w:p w14:paraId="728AE0D4">
      <w:pPr>
        <w:pStyle w:val="19"/>
        <w:widowControl/>
        <w:numPr>
          <w:ilvl w:val="0"/>
          <w:numId w:val="4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拓扑树规范</w:t>
      </w:r>
      <w:r>
        <w:rPr>
          <w:rFonts w:ascii="Times New Roman" w:hAnsi="Times New Roman" w:eastAsia="宋体" w:cs="Times New Roman"/>
          <w:i w:val="0"/>
          <w:color w:val="1F2937"/>
          <w:sz w:val="24"/>
          <w:szCs w:val="24"/>
        </w:rPr>
        <w:t>：左侧固定采用【园区 和 企业】两种拓扑树，未接入单位纯字体置灰禁用。</w:t>
      </w:r>
    </w:p>
    <w:p w14:paraId="292D88BF">
      <w:pPr>
        <w:pStyle w:val="19"/>
        <w:widowControl/>
        <w:numPr>
          <w:ilvl w:val="0"/>
          <w:numId w:val="4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顶部全局控制</w:t>
      </w:r>
      <w:r>
        <w:rPr>
          <w:rFonts w:ascii="Times New Roman" w:hAnsi="Times New Roman" w:eastAsia="宋体" w:cs="Times New Roman"/>
          <w:i w:val="0"/>
          <w:color w:val="1F2937"/>
          <w:sz w:val="24"/>
          <w:szCs w:val="24"/>
        </w:rPr>
        <w:t>：支持"日监测"与"跨月区间选择器"（如 2026 年 01 月 至 2026 年 08 月），下方折线图 X 轴随之联动为各月份。</w:t>
      </w:r>
    </w:p>
    <w:p w14:paraId="37706361">
      <w:pPr>
        <w:pStyle w:val="19"/>
        <w:numPr>
          <w:ilvl w:val="0"/>
          <w:numId w:val="46"/>
        </w:numPr>
        <w:bidi w:val="0"/>
        <w:rPr>
          <w:rFonts w:eastAsia="宋体"/>
          <w:b/>
          <w:i w:val="0"/>
          <w:color w:val="0284C7"/>
          <w:sz w:val="24"/>
          <w:szCs w:val="24"/>
        </w:rPr>
      </w:pPr>
      <w:r>
        <w:rPr>
          <w:rFonts w:ascii="Times New Roman" w:hAnsi="Times New Roman" w:eastAsia="宋体" w:cs="Times New Roman"/>
          <w:b/>
          <w:i w:val="0"/>
          <w:color w:val="1E3A8A"/>
          <w:sz w:val="24"/>
          <w:szCs w:val="24"/>
        </w:rPr>
        <w:t>能源介质智能自适应与联动替换</w:t>
      </w:r>
      <w:r>
        <w:rPr>
          <w:rFonts w:ascii="Times New Roman" w:hAnsi="Times New Roman" w:eastAsia="宋体" w:cs="Times New Roman"/>
          <w:i w:val="0"/>
          <w:color w:val="1F2937"/>
          <w:sz w:val="24"/>
          <w:szCs w:val="24"/>
        </w:rPr>
        <w:t>：</w:t>
      </w:r>
    </w:p>
    <w:p w14:paraId="399F2D40">
      <w:pPr>
        <w:pStyle w:val="19"/>
        <w:widowControl/>
        <w:numPr>
          <w:ilvl w:val="0"/>
          <w:numId w:val="46"/>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选中</w:t>
      </w:r>
      <w:r>
        <w:rPr>
          <w:rFonts w:ascii="Times New Roman" w:hAnsi="Times New Roman" w:eastAsia="宋体" w:cs="Times New Roman"/>
          <w:b/>
          <w:i w:val="0"/>
          <w:color w:val="1E3A8A"/>
          <w:sz w:val="24"/>
          <w:szCs w:val="24"/>
        </w:rPr>
        <w:t>电力介质</w:t>
      </w:r>
      <w:r>
        <w:rPr>
          <w:rFonts w:ascii="Times New Roman" w:hAnsi="Times New Roman" w:eastAsia="宋体" w:cs="Times New Roman"/>
          <w:i w:val="0"/>
          <w:color w:val="1F2937"/>
          <w:sz w:val="24"/>
          <w:szCs w:val="24"/>
        </w:rPr>
        <w:t>（总用电量、市电量、直供绿电）：展示【当日/当月总体峰平谷构成】（尖/峰/平/谷 2×2 微卡片 + 逐时/逐日连续堆叠柱状图）。</w:t>
      </w:r>
    </w:p>
    <w:p w14:paraId="64203740">
      <w:pPr>
        <w:pStyle w:val="19"/>
        <w:widowControl/>
        <w:numPr>
          <w:ilvl w:val="0"/>
          <w:numId w:val="46"/>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选中</w:t>
      </w:r>
      <w:r>
        <w:rPr>
          <w:rFonts w:ascii="Times New Roman" w:hAnsi="Times New Roman" w:eastAsia="宋体" w:cs="Times New Roman"/>
          <w:b/>
          <w:i w:val="0"/>
          <w:color w:val="1E3A8A"/>
          <w:sz w:val="24"/>
          <w:szCs w:val="24"/>
        </w:rPr>
        <w:t>非电介质</w:t>
      </w:r>
      <w:r>
        <w:rPr>
          <w:rFonts w:ascii="Times New Roman" w:hAnsi="Times New Roman" w:eastAsia="宋体" w:cs="Times New Roman"/>
          <w:i w:val="0"/>
          <w:color w:val="1F2937"/>
          <w:sz w:val="24"/>
          <w:szCs w:val="24"/>
        </w:rPr>
        <w:t>（水资源、天然气、外购蒸汽、柴油、液氮）：彻底移除峰平谷字样与图表，100% 动态联动替换为【该介质重点工序/车间消耗结构与时段负荷分布】（左侧圆环图，右侧连续采样走势与额定基准对比）。</w:t>
      </w:r>
    </w:p>
    <w:p w14:paraId="576FDC46">
      <w:pPr>
        <w:pStyle w:val="19"/>
        <w:widowControl/>
        <w:numPr>
          <w:ilvl w:val="0"/>
          <w:numId w:val="0"/>
        </w:numPr>
        <w:rPr>
          <w:rFonts w:eastAsia="宋体"/>
          <w:b/>
          <w:i w:val="0"/>
          <w:color w:val="0284C7"/>
          <w:sz w:val="24"/>
          <w:szCs w:val="24"/>
        </w:rPr>
      </w:pPr>
      <w:r>
        <w:drawing>
          <wp:inline distT="0" distB="0" distL="114300" distR="114300">
            <wp:extent cx="5913755" cy="3187700"/>
            <wp:effectExtent l="0" t="0" r="10795" b="12700"/>
            <wp:docPr id="98"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52"/>
                    <pic:cNvPicPr>
                      <a:picLocks noChangeAspect="1"/>
                    </pic:cNvPicPr>
                  </pic:nvPicPr>
                  <pic:blipFill>
                    <a:blip r:embed="rId27"/>
                    <a:stretch>
                      <a:fillRect/>
                    </a:stretch>
                  </pic:blipFill>
                  <pic:spPr>
                    <a:xfrm>
                      <a:off x="0" y="0"/>
                      <a:ext cx="5913755" cy="3187700"/>
                    </a:xfrm>
                    <a:prstGeom prst="rect">
                      <a:avLst/>
                    </a:prstGeom>
                    <a:noFill/>
                    <a:ln>
                      <a:noFill/>
                    </a:ln>
                  </pic:spPr>
                </pic:pic>
              </a:graphicData>
            </a:graphic>
          </wp:inline>
        </w:drawing>
      </w:r>
    </w:p>
    <w:p w14:paraId="13A9187D">
      <w:pPr>
        <w:pStyle w:val="19"/>
        <w:bidi w:val="0"/>
        <w:ind w:left="0" w:leftChars="0" w:firstLine="0" w:firstLineChars="0"/>
      </w:pPr>
      <w:r>
        <w:t>8 大能源介质卡片组：</w:t>
      </w:r>
    </w:p>
    <w:tbl>
      <w:tblPr>
        <w:tblStyle w:val="38"/>
        <w:tblW w:w="9784" w:type="dxa"/>
        <w:jc w:val="center"/>
        <w:tblLayout w:type="autofit"/>
        <w:tblCellMar>
          <w:top w:w="0" w:type="dxa"/>
          <w:left w:w="108" w:type="dxa"/>
          <w:bottom w:w="0" w:type="dxa"/>
          <w:right w:w="108" w:type="dxa"/>
        </w:tblCellMar>
      </w:tblPr>
      <w:tblGrid>
        <w:gridCol w:w="1636"/>
        <w:gridCol w:w="1398"/>
        <w:gridCol w:w="6750"/>
      </w:tblGrid>
      <w:tr w14:paraId="174AF9F9">
        <w:tblPrEx>
          <w:tblCellMar>
            <w:top w:w="0" w:type="dxa"/>
            <w:left w:w="108" w:type="dxa"/>
            <w:bottom w:w="0" w:type="dxa"/>
            <w:right w:w="108" w:type="dxa"/>
          </w:tblCellMar>
        </w:tblPrEx>
        <w:trPr>
          <w:tblHeader/>
          <w:jc w:val="center"/>
        </w:trPr>
        <w:tc>
          <w:tcPr>
            <w:tcW w:w="163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B382A9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介质卡片</w:t>
            </w:r>
          </w:p>
        </w:tc>
        <w:tc>
          <w:tcPr>
            <w:tcW w:w="139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8EFDAF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介质类型</w:t>
            </w:r>
          </w:p>
        </w:tc>
        <w:tc>
          <w:tcPr>
            <w:tcW w:w="67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236C2A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联动图表形态</w:t>
            </w:r>
          </w:p>
        </w:tc>
      </w:tr>
      <w:tr w14:paraId="3E281DBE">
        <w:tblPrEx>
          <w:tblCellMar>
            <w:top w:w="0" w:type="dxa"/>
            <w:left w:w="108" w:type="dxa"/>
            <w:bottom w:w="0" w:type="dxa"/>
            <w:right w:w="108" w:type="dxa"/>
          </w:tblCellMar>
        </w:tblPrEx>
        <w:trPr>
          <w:jc w:val="center"/>
        </w:trPr>
        <w:tc>
          <w:tcPr>
            <w:tcW w:w="16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ED7A89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总用电量</w:t>
            </w:r>
          </w:p>
        </w:tc>
        <w:tc>
          <w:tcPr>
            <w:tcW w:w="13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9167D4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电力</w:t>
            </w:r>
          </w:p>
        </w:tc>
        <w:tc>
          <w:tcPr>
            <w:tcW w:w="67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45F031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TOU 尖/峰/平/谷分时电量圆环图 + 2×2 微卡片 + 逐时/逐日堆叠柱状图</w:t>
            </w:r>
          </w:p>
        </w:tc>
      </w:tr>
      <w:tr w14:paraId="3BA62411">
        <w:tblPrEx>
          <w:tblCellMar>
            <w:top w:w="0" w:type="dxa"/>
            <w:left w:w="108" w:type="dxa"/>
            <w:bottom w:w="0" w:type="dxa"/>
            <w:right w:w="108" w:type="dxa"/>
          </w:tblCellMar>
        </w:tblPrEx>
        <w:trPr>
          <w:jc w:val="center"/>
        </w:trPr>
        <w:tc>
          <w:tcPr>
            <w:tcW w:w="16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40ABE6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市电量</w:t>
            </w:r>
          </w:p>
        </w:tc>
        <w:tc>
          <w:tcPr>
            <w:tcW w:w="139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9E8FA0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电力</w:t>
            </w:r>
          </w:p>
        </w:tc>
        <w:tc>
          <w:tcPr>
            <w:tcW w:w="67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E665FE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同上</w:t>
            </w:r>
          </w:p>
        </w:tc>
      </w:tr>
      <w:tr w14:paraId="3C9A5DA9">
        <w:tblPrEx>
          <w:tblCellMar>
            <w:top w:w="0" w:type="dxa"/>
            <w:left w:w="108" w:type="dxa"/>
            <w:bottom w:w="0" w:type="dxa"/>
            <w:right w:w="108" w:type="dxa"/>
          </w:tblCellMar>
        </w:tblPrEx>
        <w:trPr>
          <w:jc w:val="center"/>
        </w:trPr>
        <w:tc>
          <w:tcPr>
            <w:tcW w:w="16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95F2E7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直供绿电量</w:t>
            </w:r>
          </w:p>
        </w:tc>
        <w:tc>
          <w:tcPr>
            <w:tcW w:w="13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3F45D7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电力</w:t>
            </w:r>
          </w:p>
        </w:tc>
        <w:tc>
          <w:tcPr>
            <w:tcW w:w="67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A30099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同上，附加绿电占比标注</w:t>
            </w:r>
          </w:p>
        </w:tc>
      </w:tr>
      <w:tr w14:paraId="549C29E1">
        <w:tblPrEx>
          <w:tblCellMar>
            <w:top w:w="0" w:type="dxa"/>
            <w:left w:w="108" w:type="dxa"/>
            <w:bottom w:w="0" w:type="dxa"/>
            <w:right w:w="108" w:type="dxa"/>
          </w:tblCellMar>
        </w:tblPrEx>
        <w:trPr>
          <w:jc w:val="center"/>
        </w:trPr>
        <w:tc>
          <w:tcPr>
            <w:tcW w:w="16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7A9382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水资源</w:t>
            </w:r>
          </w:p>
        </w:tc>
        <w:tc>
          <w:tcPr>
            <w:tcW w:w="139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B136C0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非电</w:t>
            </w:r>
          </w:p>
        </w:tc>
        <w:tc>
          <w:tcPr>
            <w:tcW w:w="67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F6F876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工序用量占比环形图 + 逐时采样负荷走势与额定工艺基准线对比</w:t>
            </w:r>
          </w:p>
        </w:tc>
      </w:tr>
      <w:tr w14:paraId="4C1B54A7">
        <w:tblPrEx>
          <w:tblCellMar>
            <w:top w:w="0" w:type="dxa"/>
            <w:left w:w="108" w:type="dxa"/>
            <w:bottom w:w="0" w:type="dxa"/>
            <w:right w:w="108" w:type="dxa"/>
          </w:tblCellMar>
        </w:tblPrEx>
        <w:trPr>
          <w:jc w:val="center"/>
        </w:trPr>
        <w:tc>
          <w:tcPr>
            <w:tcW w:w="16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D3318A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天然气</w:t>
            </w:r>
          </w:p>
        </w:tc>
        <w:tc>
          <w:tcPr>
            <w:tcW w:w="13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07FE90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非电</w:t>
            </w:r>
          </w:p>
        </w:tc>
        <w:tc>
          <w:tcPr>
            <w:tcW w:w="67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CCCE0C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同上</w:t>
            </w:r>
          </w:p>
        </w:tc>
      </w:tr>
      <w:tr w14:paraId="62127DEE">
        <w:tblPrEx>
          <w:tblCellMar>
            <w:top w:w="0" w:type="dxa"/>
            <w:left w:w="108" w:type="dxa"/>
            <w:bottom w:w="0" w:type="dxa"/>
            <w:right w:w="108" w:type="dxa"/>
          </w:tblCellMar>
        </w:tblPrEx>
        <w:trPr>
          <w:jc w:val="center"/>
        </w:trPr>
        <w:tc>
          <w:tcPr>
            <w:tcW w:w="16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8E58D5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外购蒸汽</w:t>
            </w:r>
          </w:p>
        </w:tc>
        <w:tc>
          <w:tcPr>
            <w:tcW w:w="139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233943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非电</w:t>
            </w:r>
          </w:p>
        </w:tc>
        <w:tc>
          <w:tcPr>
            <w:tcW w:w="67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09042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同上（如展示高压干燥工序、互感器干燥工序占比）</w:t>
            </w:r>
          </w:p>
        </w:tc>
      </w:tr>
      <w:tr w14:paraId="363C4020">
        <w:tblPrEx>
          <w:tblCellMar>
            <w:top w:w="0" w:type="dxa"/>
            <w:left w:w="108" w:type="dxa"/>
            <w:bottom w:w="0" w:type="dxa"/>
            <w:right w:w="108" w:type="dxa"/>
          </w:tblCellMar>
        </w:tblPrEx>
        <w:trPr>
          <w:jc w:val="center"/>
        </w:trPr>
        <w:tc>
          <w:tcPr>
            <w:tcW w:w="16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1A04D1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油消耗</w:t>
            </w:r>
          </w:p>
        </w:tc>
        <w:tc>
          <w:tcPr>
            <w:tcW w:w="13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19C47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非电</w:t>
            </w:r>
          </w:p>
        </w:tc>
        <w:tc>
          <w:tcPr>
            <w:tcW w:w="67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27A8FF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同上</w:t>
            </w:r>
          </w:p>
        </w:tc>
      </w:tr>
      <w:tr w14:paraId="767D7A64">
        <w:tblPrEx>
          <w:tblCellMar>
            <w:top w:w="0" w:type="dxa"/>
            <w:left w:w="108" w:type="dxa"/>
            <w:bottom w:w="0" w:type="dxa"/>
            <w:right w:w="108" w:type="dxa"/>
          </w:tblCellMar>
        </w:tblPrEx>
        <w:trPr>
          <w:jc w:val="center"/>
        </w:trPr>
        <w:tc>
          <w:tcPr>
            <w:tcW w:w="16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176D68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液氮</w:t>
            </w:r>
          </w:p>
        </w:tc>
        <w:tc>
          <w:tcPr>
            <w:tcW w:w="139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CA3C23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非电</w:t>
            </w:r>
          </w:p>
        </w:tc>
        <w:tc>
          <w:tcPr>
            <w:tcW w:w="67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0E6582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同上</w:t>
            </w:r>
          </w:p>
        </w:tc>
      </w:tr>
    </w:tbl>
    <w:p w14:paraId="07AA418C">
      <w:pPr>
        <w:spacing w:after="60"/>
        <w:rPr>
          <w:rFonts w:hint="eastAsia" w:ascii="宋体" w:hAnsi="宋体" w:eastAsia="宋体" w:cs="宋体"/>
          <w:i w:val="0"/>
          <w:iCs w:val="0"/>
          <w:sz w:val="24"/>
          <w:szCs w:val="24"/>
        </w:rPr>
      </w:pPr>
    </w:p>
    <w:p w14:paraId="5EB1F94D">
      <w:pPr>
        <w:pStyle w:val="19"/>
        <w:bidi w:val="0"/>
      </w:pPr>
      <w:r>
        <w:t>页面 TAB 结构与交互规则：</w:t>
      </w:r>
    </w:p>
    <w:p w14:paraId="1A5A7589">
      <w:pPr>
        <w:pStyle w:val="19"/>
        <w:widowControl/>
        <w:numPr>
          <w:ilvl w:val="0"/>
          <w:numId w:val="4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顶部 TAB</w:t>
      </w:r>
      <w:r>
        <w:rPr>
          <w:rFonts w:ascii="Times New Roman" w:hAnsi="Times New Roman" w:eastAsia="宋体" w:cs="Times New Roman"/>
          <w:i w:val="0"/>
          <w:color w:val="1F2937"/>
          <w:sz w:val="24"/>
          <w:szCs w:val="24"/>
        </w:rPr>
        <w:t>：工序能耗监测 / 新能源资产监测；偏下点提供时间维度（日 / 月 / 年）、时间范围与采样频率（15 / 30 / 60 min）选择。</w:t>
      </w:r>
    </w:p>
    <w:p w14:paraId="6AB15593">
      <w:pPr>
        <w:pStyle w:val="19"/>
        <w:widowControl/>
        <w:numPr>
          <w:ilvl w:val="0"/>
          <w:numId w:val="4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工序能耗监测 · 介质 TAB</w:t>
      </w:r>
      <w:r>
        <w:rPr>
          <w:rFonts w:ascii="Times New Roman" w:hAnsi="Times New Roman" w:eastAsia="宋体" w:cs="Times New Roman"/>
          <w:i w:val="0"/>
          <w:color w:val="1F2937"/>
          <w:sz w:val="24"/>
          <w:szCs w:val="24"/>
        </w:rPr>
        <w:t>：电 / 水 / 天然气。</w:t>
      </w:r>
    </w:p>
    <w:p w14:paraId="3B4F973D">
      <w:pPr>
        <w:pStyle w:val="19"/>
        <w:widowControl/>
        <w:numPr>
          <w:ilvl w:val="0"/>
          <w:numId w:val="4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工序能耗监测 · 电 TAB 内三个子 TAB</w:t>
      </w:r>
      <w:r>
        <w:rPr>
          <w:rFonts w:ascii="Times New Roman" w:hAnsi="Times New Roman" w:eastAsia="宋体" w:cs="Times New Roman"/>
          <w:i w:val="0"/>
          <w:color w:val="1F2937"/>
          <w:sz w:val="24"/>
          <w:szCs w:val="24"/>
        </w:rPr>
        <w:t>：</w:t>
      </w:r>
    </w:p>
    <w:p w14:paraId="6B2E6EC4">
      <w:pPr>
        <w:pStyle w:val="19"/>
        <w:widowControl/>
        <w:numPr>
          <w:ilvl w:val="0"/>
          <w:numId w:val="47"/>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① </w:t>
      </w:r>
      <w:r>
        <w:rPr>
          <w:rFonts w:ascii="Times New Roman" w:hAnsi="Times New Roman" w:eastAsia="宋体" w:cs="Times New Roman"/>
          <w:b/>
          <w:i w:val="0"/>
          <w:color w:val="1E3A8A"/>
          <w:sz w:val="24"/>
          <w:szCs w:val="24"/>
        </w:rPr>
        <w:t>电量分析</w:t>
      </w:r>
      <w:r>
        <w:rPr>
          <w:rFonts w:ascii="Times New Roman" w:hAnsi="Times New Roman" w:eastAsia="宋体" w:cs="Times New Roman"/>
          <w:i w:val="0"/>
          <w:color w:val="1F2937"/>
          <w:sz w:val="24"/>
          <w:szCs w:val="24"/>
        </w:rPr>
        <w:t>：展示项目公司用电量曲线与负荷曲线。</w:t>
      </w:r>
    </w:p>
    <w:p w14:paraId="4967D27A">
      <w:pPr>
        <w:pStyle w:val="19"/>
        <w:widowControl/>
        <w:numPr>
          <w:ilvl w:val="0"/>
          <w:numId w:val="47"/>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② </w:t>
      </w:r>
      <w:r>
        <w:rPr>
          <w:rFonts w:ascii="Times New Roman" w:hAnsi="Times New Roman" w:eastAsia="宋体" w:cs="Times New Roman"/>
          <w:b/>
          <w:i w:val="0"/>
          <w:color w:val="1E3A8A"/>
          <w:sz w:val="24"/>
          <w:szCs w:val="24"/>
        </w:rPr>
        <w:t>峰谷分析</w:t>
      </w:r>
      <w:r>
        <w:rPr>
          <w:rFonts w:ascii="Times New Roman" w:hAnsi="Times New Roman" w:eastAsia="宋体" w:cs="Times New Roman"/>
          <w:i w:val="0"/>
          <w:color w:val="1F2937"/>
          <w:sz w:val="24"/>
          <w:szCs w:val="24"/>
        </w:rPr>
        <w:t>：上半区左侧环形图展示尖峰平谷占比（图右侧给出尖峰平谷用电量具体数值），上半区右侧柱状图描述每小时/天/月尖峰平谷占比，下半区展示每日小时/天/月的具体数值。</w:t>
      </w:r>
    </w:p>
    <w:p w14:paraId="5702E1C6">
      <w:pPr>
        <w:pStyle w:val="19"/>
        <w:widowControl/>
        <w:numPr>
          <w:ilvl w:val="0"/>
          <w:numId w:val="47"/>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③ </w:t>
      </w:r>
      <w:r>
        <w:rPr>
          <w:rFonts w:ascii="Times New Roman" w:hAnsi="Times New Roman" w:eastAsia="宋体" w:cs="Times New Roman"/>
          <w:b/>
          <w:i w:val="0"/>
          <w:color w:val="1E3A8A"/>
          <w:sz w:val="24"/>
          <w:szCs w:val="24"/>
        </w:rPr>
        <w:t>实时数据</w:t>
      </w:r>
      <w:r>
        <w:rPr>
          <w:rFonts w:ascii="Times New Roman" w:hAnsi="Times New Roman" w:eastAsia="宋体" w:cs="Times New Roman"/>
          <w:i w:val="0"/>
          <w:color w:val="1F2937"/>
          <w:sz w:val="24"/>
          <w:szCs w:val="24"/>
        </w:rPr>
        <w:t>：上半区展示经营单位上传的所有点位实时数据（电压、电流、总有功功率、功率因数、正向有功电能、反向有功电能、正向无功电能、反向无功电能），下半区展示正向有功电能曲线。</w:t>
      </w:r>
    </w:p>
    <w:p w14:paraId="4D2AA2DD">
      <w:pPr>
        <w:pStyle w:val="19"/>
        <w:widowControl/>
        <w:numPr>
          <w:ilvl w:val="0"/>
          <w:numId w:val="4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工序能耗监测 · 水 TAB</w:t>
      </w:r>
      <w:r>
        <w:rPr>
          <w:rFonts w:ascii="Times New Roman" w:hAnsi="Times New Roman" w:eastAsia="宋体" w:cs="Times New Roman"/>
          <w:i w:val="0"/>
          <w:color w:val="1F2937"/>
          <w:sz w:val="24"/>
          <w:szCs w:val="24"/>
        </w:rPr>
        <w:t>：仅展示实时数据，包括水压、累计流量、瞬时流量。</w:t>
      </w:r>
    </w:p>
    <w:p w14:paraId="7F1F8021">
      <w:pPr>
        <w:pStyle w:val="19"/>
        <w:widowControl/>
        <w:numPr>
          <w:ilvl w:val="0"/>
          <w:numId w:val="4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工序能耗监测 · 天然气 TAB</w:t>
      </w:r>
      <w:r>
        <w:rPr>
          <w:rFonts w:ascii="Times New Roman" w:hAnsi="Times New Roman" w:eastAsia="宋体" w:cs="Times New Roman"/>
          <w:i w:val="0"/>
          <w:color w:val="1F2937"/>
          <w:sz w:val="24"/>
          <w:szCs w:val="24"/>
        </w:rPr>
        <w:t>：仅展示实时数据，包括累计流量。</w:t>
      </w:r>
    </w:p>
    <w:p w14:paraId="4E07B042">
      <w:pPr>
        <w:pStyle w:val="19"/>
        <w:widowControl/>
        <w:numPr>
          <w:ilvl w:val="0"/>
          <w:numId w:val="4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新能源资产监测</w:t>
      </w:r>
      <w:r>
        <w:rPr>
          <w:rFonts w:ascii="Times New Roman" w:hAnsi="Times New Roman" w:eastAsia="宋体" w:cs="Times New Roman"/>
          <w:i w:val="0"/>
          <w:color w:val="1F2937"/>
          <w:sz w:val="24"/>
          <w:szCs w:val="24"/>
        </w:rPr>
        <w:t>：指标参数展示在页面上方，勾选指标展示曲线；指标包括光伏发电功率、逆变器效率、光伏消纳率、储能充放电功率、储能 SOC 值、储能 SOH 值、储能直流电压、储能直流电流、市电负荷；默认展示光伏发电功率与储能充放电功率。</w:t>
      </w:r>
    </w:p>
    <w:p w14:paraId="4A70BD43">
      <w:pPr>
        <w:pStyle w:val="19"/>
        <w:widowControl/>
        <w:numPr>
          <w:ilvl w:val="0"/>
          <w:numId w:val="0"/>
        </w:numPr>
      </w:pPr>
      <w:r>
        <w:drawing>
          <wp:inline distT="0" distB="0" distL="114300" distR="114300">
            <wp:extent cx="5905500" cy="2032635"/>
            <wp:effectExtent l="0" t="0" r="0" b="5715"/>
            <wp:docPr id="99"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53"/>
                    <pic:cNvPicPr>
                      <a:picLocks noChangeAspect="1"/>
                    </pic:cNvPicPr>
                  </pic:nvPicPr>
                  <pic:blipFill>
                    <a:blip r:embed="rId28"/>
                    <a:stretch>
                      <a:fillRect/>
                    </a:stretch>
                  </pic:blipFill>
                  <pic:spPr>
                    <a:xfrm>
                      <a:off x="0" y="0"/>
                      <a:ext cx="5905500" cy="2032635"/>
                    </a:xfrm>
                    <a:prstGeom prst="rect">
                      <a:avLst/>
                    </a:prstGeom>
                    <a:noFill/>
                    <a:ln>
                      <a:noFill/>
                    </a:ln>
                  </pic:spPr>
                </pic:pic>
              </a:graphicData>
            </a:graphic>
          </wp:inline>
        </w:drawing>
      </w:r>
    </w:p>
    <w:p w14:paraId="30FFC747">
      <w:pPr>
        <w:pStyle w:val="19"/>
        <w:widowControl/>
        <w:numPr>
          <w:ilvl w:val="0"/>
          <w:numId w:val="0"/>
        </w:numPr>
        <w:rPr>
          <w:rFonts w:hint="eastAsia"/>
          <w:lang w:val="en-US" w:eastAsia="zh-CN"/>
        </w:rPr>
      </w:pPr>
      <w:r>
        <w:rPr>
          <w:rFonts w:hint="eastAsia"/>
          <w:lang w:val="en-US" w:eastAsia="zh-CN"/>
        </w:rPr>
        <w:t>市电峰平谷用电分析：</w:t>
      </w:r>
    </w:p>
    <w:p w14:paraId="579F3301">
      <w:pPr>
        <w:pStyle w:val="19"/>
        <w:widowControl/>
        <w:numPr>
          <w:ilvl w:val="0"/>
          <w:numId w:val="0"/>
        </w:numPr>
        <w:rPr>
          <w:rFonts w:hint="default"/>
          <w:lang w:val="en-US" w:eastAsia="zh-CN"/>
        </w:rPr>
      </w:pPr>
    </w:p>
    <w:p w14:paraId="739E685E">
      <w:pPr>
        <w:pStyle w:val="6"/>
        <w:numPr>
          <w:ilvl w:val="0"/>
          <w:numId w:val="4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923" w:type="dxa"/>
        <w:jc w:val="center"/>
        <w:tblLayout w:type="autofit"/>
        <w:tblCellMar>
          <w:top w:w="0" w:type="dxa"/>
          <w:left w:w="108" w:type="dxa"/>
          <w:bottom w:w="0" w:type="dxa"/>
          <w:right w:w="108" w:type="dxa"/>
        </w:tblCellMar>
      </w:tblPr>
      <w:tblGrid>
        <w:gridCol w:w="817"/>
        <w:gridCol w:w="1722"/>
        <w:gridCol w:w="1776"/>
        <w:gridCol w:w="2539"/>
        <w:gridCol w:w="3069"/>
      </w:tblGrid>
      <w:tr w14:paraId="28B8528C">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8C4D5D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15795B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77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866CE0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CE6522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采集来源</w:t>
            </w:r>
          </w:p>
        </w:tc>
        <w:tc>
          <w:tcPr>
            <w:tcW w:w="306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D7407E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校验与防错规则</w:t>
            </w:r>
          </w:p>
        </w:tc>
      </w:tr>
      <w:tr w14:paraId="2613AA02">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3FC38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B133E2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数据采集时间戳</w:t>
            </w:r>
          </w:p>
        </w:tc>
        <w:tc>
          <w:tcPr>
            <w:tcW w:w="17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35987F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YYYY-MM-DD HH:mm</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BBF790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IoT 采集网关时序同步</w:t>
            </w:r>
          </w:p>
        </w:tc>
        <w:tc>
          <w:tcPr>
            <w:tcW w:w="306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949C4C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非空，不得晚于当前服务器时间</w:t>
            </w:r>
          </w:p>
        </w:tc>
      </w:tr>
      <w:tr w14:paraId="49D612E9">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7F4518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9B16C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能源计量表计编码</w:t>
            </w:r>
          </w:p>
        </w:tc>
        <w:tc>
          <w:tcPr>
            <w:tcW w:w="177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E4155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923A58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计量资产档案台账</w:t>
            </w:r>
          </w:p>
        </w:tc>
        <w:tc>
          <w:tcPr>
            <w:tcW w:w="30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B5D152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字母数字下划线，唯一主键</w:t>
            </w:r>
          </w:p>
        </w:tc>
      </w:tr>
      <w:tr w14:paraId="731E8C8D">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168196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1B0058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能源介质类型</w:t>
            </w:r>
          </w:p>
        </w:tc>
        <w:tc>
          <w:tcPr>
            <w:tcW w:w="17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E582D1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电/水/气/汽/油/氮</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98BEA4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介质配置字典</w:t>
            </w:r>
          </w:p>
        </w:tc>
        <w:tc>
          <w:tcPr>
            <w:tcW w:w="306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21838E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必须在 6 类受控介质枚举内</w:t>
            </w:r>
          </w:p>
        </w:tc>
      </w:tr>
      <w:tr w14:paraId="5BEC2791">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9A9259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20DC12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尖峰时段用电量</w:t>
            </w:r>
          </w:p>
        </w:tc>
        <w:tc>
          <w:tcPr>
            <w:tcW w:w="177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1AB460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C27275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TOU 时段电表寄存器</w:t>
            </w:r>
          </w:p>
        </w:tc>
        <w:tc>
          <w:tcPr>
            <w:tcW w:w="30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914039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0.00（非电介质时置空）</w:t>
            </w:r>
          </w:p>
        </w:tc>
      </w:tr>
      <w:tr w14:paraId="67791D43">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6CFB7E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384CF9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高峰时段用电量</w:t>
            </w:r>
          </w:p>
        </w:tc>
        <w:tc>
          <w:tcPr>
            <w:tcW w:w="17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8541D1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CB2A72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TOU 时段电表寄存器</w:t>
            </w:r>
          </w:p>
        </w:tc>
        <w:tc>
          <w:tcPr>
            <w:tcW w:w="306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480C1E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0.00（非电介质时置空）</w:t>
            </w:r>
          </w:p>
        </w:tc>
      </w:tr>
      <w:tr w14:paraId="4392F5DF">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13C199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9A3F64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平时段用电量</w:t>
            </w:r>
          </w:p>
        </w:tc>
        <w:tc>
          <w:tcPr>
            <w:tcW w:w="177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34C478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841483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TOU 时段电表寄存器</w:t>
            </w:r>
          </w:p>
        </w:tc>
        <w:tc>
          <w:tcPr>
            <w:tcW w:w="30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BA9AA9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0.00（非电介质时置空）</w:t>
            </w:r>
          </w:p>
        </w:tc>
      </w:tr>
      <w:tr w14:paraId="136A0878">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FD3987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FB9CE1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低谷时段用电量</w:t>
            </w:r>
          </w:p>
        </w:tc>
        <w:tc>
          <w:tcPr>
            <w:tcW w:w="17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C9DF36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6A2756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TOU 时段电表寄存器</w:t>
            </w:r>
          </w:p>
        </w:tc>
        <w:tc>
          <w:tcPr>
            <w:tcW w:w="306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CED412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0.00（非电介质时置空）</w:t>
            </w:r>
          </w:p>
        </w:tc>
      </w:tr>
      <w:tr w14:paraId="605CE6F3">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4D8641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A497C1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实物消耗量</w:t>
            </w:r>
          </w:p>
        </w:tc>
        <w:tc>
          <w:tcPr>
            <w:tcW w:w="177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668F17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 / m³ / t</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5B60C2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止码 − 起码 × 倍率</w:t>
            </w:r>
          </w:p>
        </w:tc>
        <w:tc>
          <w:tcPr>
            <w:tcW w:w="30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6341EC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0.00，突增超 200% 触发告警</w:t>
            </w:r>
          </w:p>
        </w:tc>
      </w:tr>
      <w:tr w14:paraId="5853178B">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30D384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B49330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折标准煤能源量</w:t>
            </w:r>
          </w:p>
        </w:tc>
        <w:tc>
          <w:tcPr>
            <w:tcW w:w="17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8CABC6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DFD227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实物量 × GB/T 2589 系数</w:t>
            </w:r>
          </w:p>
        </w:tc>
        <w:tc>
          <w:tcPr>
            <w:tcW w:w="306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53B2CA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0.0000</w:t>
            </w:r>
          </w:p>
        </w:tc>
      </w:tr>
      <w:tr w14:paraId="2DB2B70C">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C0F83E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172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F0FDC5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采样频率</w:t>
            </w:r>
          </w:p>
        </w:tc>
        <w:tc>
          <w:tcPr>
            <w:tcW w:w="177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2FD609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min</w:t>
            </w:r>
          </w:p>
        </w:tc>
        <w:tc>
          <w:tcPr>
            <w:tcW w:w="25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24AE46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页面配置项</w:t>
            </w:r>
          </w:p>
        </w:tc>
        <w:tc>
          <w:tcPr>
            <w:tcW w:w="30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7D7647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仅允许 15 / 30 / 60 三档</w:t>
            </w:r>
          </w:p>
        </w:tc>
      </w:tr>
    </w:tbl>
    <w:p w14:paraId="4ECFF835">
      <w:pPr>
        <w:spacing w:after="60"/>
        <w:rPr>
          <w:rFonts w:hint="eastAsia" w:ascii="宋体" w:hAnsi="宋体" w:eastAsia="宋体" w:cs="宋体"/>
          <w:i w:val="0"/>
          <w:iCs w:val="0"/>
          <w:sz w:val="24"/>
          <w:szCs w:val="24"/>
        </w:rPr>
      </w:pPr>
    </w:p>
    <w:p w14:paraId="39622317">
      <w:pPr>
        <w:pStyle w:val="6"/>
        <w:numPr>
          <w:ilvl w:val="0"/>
          <w:numId w:val="4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3A14FF11">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4423D5AB">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Q_actual = ( Meter_end - Meter_start ) × Ratio        实物消耗量 =（止码 − 起码）× 倍率</w:t>
            </w:r>
          </w:p>
          <w:p w14:paraId="62E54023">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E_tce = Q_actual × k_media                            折标煤量 = 实物量 × 介质折标系数</w:t>
            </w:r>
          </w:p>
          <w:p w14:paraId="79F0E084">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Q_peak_ratio = Q_peak / ( Q_tip + Q_peak + Q_flat + Q_valley ) × 100%</w:t>
            </w:r>
          </w:p>
          <w:p w14:paraId="68759BB6">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Rate_load = P_actual / P_rated × 100%                 负荷率</w:t>
            </w:r>
          </w:p>
          <w:p w14:paraId="036D8812">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Alert_200 = ( Q_t - Q_{t-1} ) / Q_{t-1} &gt; 200%        突增告警判定</w:t>
            </w:r>
          </w:p>
        </w:tc>
      </w:tr>
    </w:tbl>
    <w:p w14:paraId="65E62F6F">
      <w:pPr>
        <w:spacing w:after="40"/>
        <w:rPr>
          <w:rFonts w:hint="eastAsia" w:ascii="宋体" w:hAnsi="宋体" w:eastAsia="宋体" w:cs="宋体"/>
          <w:i w:val="0"/>
          <w:iCs w:val="0"/>
          <w:sz w:val="24"/>
          <w:szCs w:val="24"/>
        </w:rPr>
      </w:pPr>
    </w:p>
    <w:p w14:paraId="504BAE4C">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w:t>
      </w:r>
      <w:r>
        <w:rPr>
          <w:rFonts w:ascii="Times New Roman" w:hAnsi="Times New Roman" w:eastAsia="宋体" w:cs="Times New Roman"/>
          <w:b w:val="0"/>
          <w:i w:val="0"/>
          <w:color w:val="0284C7"/>
          <w:sz w:val="24"/>
          <w:szCs w:val="24"/>
        </w:rPr>
        <w:t xml:space="preserve"> Meter_start / Meter_end </w:t>
      </w:r>
      <w:r>
        <w:rPr>
          <w:rFonts w:ascii="Times New Roman" w:hAnsi="Times New Roman" w:eastAsia="宋体" w:cs="Times New Roman"/>
          <w:i w:val="0"/>
          <w:color w:val="1F2937"/>
          <w:sz w:val="24"/>
          <w:szCs w:val="24"/>
        </w:rPr>
        <w:t xml:space="preserve"> 为周期起止表底数；</w:t>
      </w:r>
      <w:r>
        <w:rPr>
          <w:rFonts w:ascii="Times New Roman" w:hAnsi="Times New Roman" w:eastAsia="宋体" w:cs="Times New Roman"/>
          <w:b w:val="0"/>
          <w:i w:val="0"/>
          <w:color w:val="0284C7"/>
          <w:sz w:val="24"/>
          <w:szCs w:val="24"/>
        </w:rPr>
        <w:t xml:space="preserve"> Ratio </w:t>
      </w:r>
      <w:r>
        <w:rPr>
          <w:rFonts w:ascii="Times New Roman" w:hAnsi="Times New Roman" w:eastAsia="宋体" w:cs="Times New Roman"/>
          <w:i w:val="0"/>
          <w:color w:val="1F2937"/>
          <w:sz w:val="24"/>
          <w:szCs w:val="24"/>
        </w:rPr>
        <w:t xml:space="preserve"> 为互感器变比倍率；</w:t>
      </w:r>
      <w:r>
        <w:rPr>
          <w:rFonts w:ascii="Times New Roman" w:hAnsi="Times New Roman" w:eastAsia="宋体" w:cs="Times New Roman"/>
          <w:b w:val="0"/>
          <w:i w:val="0"/>
          <w:color w:val="0284C7"/>
          <w:sz w:val="24"/>
          <w:szCs w:val="24"/>
        </w:rPr>
        <w:t xml:space="preserve"> k_media </w:t>
      </w:r>
      <w:r>
        <w:rPr>
          <w:rFonts w:ascii="Times New Roman" w:hAnsi="Times New Roman" w:eastAsia="宋体" w:cs="Times New Roman"/>
          <w:i w:val="0"/>
          <w:color w:val="1F2937"/>
          <w:sz w:val="24"/>
          <w:szCs w:val="24"/>
        </w:rPr>
        <w:t xml:space="preserve"> 为该介质折标准煤系数；</w:t>
      </w:r>
      <w:r>
        <w:rPr>
          <w:rFonts w:ascii="Times New Roman" w:hAnsi="Times New Roman" w:eastAsia="宋体" w:cs="Times New Roman"/>
          <w:b w:val="0"/>
          <w:i w:val="0"/>
          <w:color w:val="0284C7"/>
          <w:sz w:val="24"/>
          <w:szCs w:val="24"/>
        </w:rPr>
        <w:t xml:space="preserve"> P_rated </w:t>
      </w:r>
      <w:r>
        <w:rPr>
          <w:rFonts w:ascii="Times New Roman" w:hAnsi="Times New Roman" w:eastAsia="宋体" w:cs="Times New Roman"/>
          <w:i w:val="0"/>
          <w:color w:val="1F2937"/>
          <w:sz w:val="24"/>
          <w:szCs w:val="24"/>
        </w:rPr>
        <w:t xml:space="preserve"> 为设备额定功率；突增告警阈值 200% 为固定业务铁律。</w:t>
      </w:r>
    </w:p>
    <w:p w14:paraId="6AA3B280">
      <w:pPr>
        <w:pStyle w:val="6"/>
        <w:numPr>
          <w:ilvl w:val="0"/>
          <w:numId w:val="4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4ECCF3D3">
      <w:pPr>
        <w:pStyle w:val="19"/>
        <w:widowControl/>
        <w:numPr>
          <w:ilvl w:val="0"/>
          <w:numId w:val="4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介质自适应铁律</w:t>
      </w:r>
      <w:r>
        <w:rPr>
          <w:rFonts w:ascii="Times New Roman" w:hAnsi="Times New Roman" w:eastAsia="宋体" w:cs="Times New Roman"/>
          <w:i w:val="0"/>
          <w:color w:val="1F2937"/>
          <w:sz w:val="24"/>
          <w:szCs w:val="24"/>
        </w:rPr>
        <w:t>：非电介质页面严禁出现任何峰平谷相关字样或图表元素。</w:t>
      </w:r>
    </w:p>
    <w:p w14:paraId="33242C89">
      <w:pPr>
        <w:pStyle w:val="19"/>
        <w:widowControl/>
        <w:numPr>
          <w:ilvl w:val="0"/>
          <w:numId w:val="4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对比口径</w:t>
      </w:r>
      <w:r>
        <w:rPr>
          <w:rFonts w:ascii="Times New Roman" w:hAnsi="Times New Roman" w:eastAsia="宋体" w:cs="Times New Roman"/>
          <w:i w:val="0"/>
          <w:color w:val="1F2937"/>
          <w:sz w:val="24"/>
          <w:szCs w:val="24"/>
        </w:rPr>
        <w:t>：非电介质右侧走势图必须叠加额定工艺基准线，以偏差量呈现而非主观评语。</w:t>
      </w:r>
    </w:p>
    <w:p w14:paraId="7959E7AB">
      <w:pPr>
        <w:pStyle w:val="19"/>
        <w:widowControl/>
        <w:numPr>
          <w:ilvl w:val="0"/>
          <w:numId w:val="4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单位口径</w:t>
      </w:r>
      <w:r>
        <w:rPr>
          <w:rFonts w:ascii="Times New Roman" w:hAnsi="Times New Roman" w:eastAsia="宋体" w:cs="Times New Roman"/>
          <w:i w:val="0"/>
          <w:color w:val="1F2937"/>
          <w:sz w:val="24"/>
          <w:szCs w:val="24"/>
        </w:rPr>
        <w:t>：电力以 kWh、水以 m³、蒸汽以 t、天然气以 m³、油以 L、液氮以 m³ 为统一实物单位，折标统一为 tce。</w:t>
      </w:r>
    </w:p>
    <w:p w14:paraId="08EDD6BB">
      <w:pPr>
        <w:pStyle w:val="19"/>
        <w:widowControl/>
        <w:numPr>
          <w:ilvl w:val="0"/>
          <w:numId w:val="4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采样口径</w:t>
      </w:r>
      <w:r>
        <w:rPr>
          <w:rFonts w:ascii="Times New Roman" w:hAnsi="Times New Roman" w:eastAsia="宋体" w:cs="Times New Roman"/>
          <w:i w:val="0"/>
          <w:color w:val="1F2937"/>
          <w:sz w:val="24"/>
          <w:szCs w:val="24"/>
        </w:rPr>
        <w:t>：15 分钟为默认采样频率；历史区间查询走日结库，实时曲线走时序库。</w:t>
      </w:r>
    </w:p>
    <w:p w14:paraId="1EF5F03B">
      <w:pPr>
        <w:pStyle w:val="6"/>
        <w:numPr>
          <w:ilvl w:val="0"/>
          <w:numId w:val="4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28308BF4">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4136A552">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遥测心跳超 5 秒未响应：触发 </w:t>
            </w:r>
            <w:r>
              <w:rPr>
                <w:rFonts w:hint="eastAsia" w:ascii="宋体" w:hAnsi="宋体" w:eastAsia="宋体" w:cs="宋体"/>
                <w:b w:val="0"/>
                <w:i w:val="0"/>
                <w:iCs w:val="0"/>
                <w:color w:val="0284C7"/>
                <w:sz w:val="24"/>
                <w:szCs w:val="24"/>
              </w:rPr>
              <w:t xml:space="preserve"> E_IO_MQTT_TIMEOUT </w:t>
            </w:r>
            <w:r>
              <w:rPr>
                <w:rFonts w:hint="eastAsia" w:ascii="宋体" w:hAnsi="宋体" w:eastAsia="宋体" w:cs="宋体"/>
                <w:i w:val="0"/>
                <w:iCs w:val="0"/>
                <w:color w:val="1F2937"/>
                <w:sz w:val="24"/>
                <w:szCs w:val="24"/>
              </w:rPr>
              <w:t>，图表展示最近一次缓存读数并打"数据延迟"微标签。</w:t>
            </w:r>
          </w:p>
          <w:p w14:paraId="0F11853F">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边缘一体机断网：触发 </w:t>
            </w:r>
            <w:r>
              <w:rPr>
                <w:rFonts w:hint="eastAsia" w:ascii="宋体" w:hAnsi="宋体" w:eastAsia="宋体" w:cs="宋体"/>
                <w:b w:val="0"/>
                <w:i w:val="0"/>
                <w:iCs w:val="0"/>
                <w:color w:val="0284C7"/>
                <w:sz w:val="24"/>
                <w:szCs w:val="24"/>
              </w:rPr>
              <w:t xml:space="preserve"> E_IO_GATEWAY_OFFLINE </w:t>
            </w:r>
            <w:r>
              <w:rPr>
                <w:rFonts w:hint="eastAsia" w:ascii="宋体" w:hAnsi="宋体" w:eastAsia="宋体" w:cs="宋体"/>
                <w:i w:val="0"/>
                <w:iCs w:val="0"/>
                <w:color w:val="1F2937"/>
                <w:sz w:val="24"/>
                <w:szCs w:val="24"/>
              </w:rPr>
              <w:t>，启动本地断点续传，恢复后自动补传，补传数据标注为"补传"。</w:t>
            </w:r>
          </w:p>
          <w:p w14:paraId="642E720E">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实物消耗量突增超 200%：触发告警中心事件并在卡片红框高亮，但</w:t>
            </w:r>
            <w:r>
              <w:rPr>
                <w:rFonts w:hint="eastAsia" w:ascii="宋体" w:hAnsi="宋体" w:eastAsia="宋体" w:cs="宋体"/>
                <w:b/>
                <w:i w:val="0"/>
                <w:iCs w:val="0"/>
                <w:color w:val="1E3A8A"/>
                <w:sz w:val="24"/>
                <w:szCs w:val="24"/>
              </w:rPr>
              <w:t>不得阻断数据入库</w:t>
            </w:r>
            <w:r>
              <w:rPr>
                <w:rFonts w:hint="eastAsia" w:ascii="宋体" w:hAnsi="宋体" w:eastAsia="宋体" w:cs="宋体"/>
                <w:i w:val="0"/>
                <w:iCs w:val="0"/>
                <w:color w:val="1F2937"/>
                <w:sz w:val="24"/>
                <w:szCs w:val="24"/>
              </w:rPr>
              <w:t>。</w:t>
            </w:r>
          </w:p>
          <w:p w14:paraId="3C23CE27">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未接入单位：路径置灰禁用，点击无响应且不弹出任何解释文案。</w:t>
            </w:r>
          </w:p>
          <w:p w14:paraId="7ED04DB5">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除零兜底：占比类图表分母为 0 时显示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，严禁 NaN。</w:t>
            </w:r>
          </w:p>
        </w:tc>
      </w:tr>
    </w:tbl>
    <w:p w14:paraId="35E61FAB">
      <w:pPr>
        <w:spacing w:after="40"/>
        <w:rPr>
          <w:rFonts w:hint="eastAsia" w:ascii="宋体" w:hAnsi="宋体" w:eastAsia="宋体" w:cs="宋体"/>
          <w:i w:val="0"/>
          <w:iCs w:val="0"/>
          <w:sz w:val="24"/>
          <w:szCs w:val="24"/>
        </w:rPr>
      </w:pPr>
    </w:p>
    <w:p w14:paraId="1B63CB1C">
      <w:pPr>
        <w:pStyle w:val="6"/>
        <w:numPr>
          <w:ilvl w:val="0"/>
          <w:numId w:val="43"/>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395E5FAD">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29D12521">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用能在线监测介质自适应联动</w:t>
            </w:r>
          </w:p>
          <w:p w14:paraId="16D99D83">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非电介质的图表100%替换</w:t>
            </w:r>
          </w:p>
          <w:p w14:paraId="69CBD45B">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用户在顶部介质卡片组中选中"外购蒸汽"</w:t>
            </w:r>
          </w:p>
          <w:p w14:paraId="257707A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页面完成一次联动刷新</w:t>
            </w:r>
          </w:p>
          <w:p w14:paraId="5C950018">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中部容器不再出现任何尖峰平谷字样与图表元素</w:t>
            </w:r>
          </w:p>
          <w:p w14:paraId="42DA87B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左侧呈现蒸汽介质工序用量占比环形图</w:t>
            </w:r>
          </w:p>
          <w:p w14:paraId="3FED95B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右侧呈现逐时采样负荷走势与额定工艺基准线对比</w:t>
            </w:r>
          </w:p>
          <w:p w14:paraId="4BBB5020">
            <w:pPr>
              <w:spacing w:before="0" w:after="20" w:line="264" w:lineRule="auto"/>
              <w:rPr>
                <w:rFonts w:hint="eastAsia" w:ascii="宋体" w:hAnsi="宋体" w:eastAsia="宋体" w:cs="宋体"/>
                <w:i w:val="0"/>
                <w:iCs w:val="0"/>
                <w:sz w:val="24"/>
                <w:szCs w:val="24"/>
              </w:rPr>
            </w:pPr>
          </w:p>
          <w:p w14:paraId="2F1642C8">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采集突增告警不阻断入库</w:t>
            </w:r>
          </w:p>
          <w:p w14:paraId="3BB55E1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某水表上一周期实物消耗量为 100 m³</w:t>
            </w:r>
          </w:p>
          <w:p w14:paraId="0A4AAD6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本周期上报实物消耗量为 350 m³（增幅 250%）</w:t>
            </w:r>
          </w:p>
          <w:p w14:paraId="6CC81774">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系统触发突增 200% 告警并在卡片红框高亮</w:t>
            </w:r>
          </w:p>
          <w:p w14:paraId="526D612F">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该条数据正常写入时序库，未被阻断</w:t>
            </w:r>
          </w:p>
          <w:p w14:paraId="5AAB3C02">
            <w:pPr>
              <w:spacing w:before="0" w:after="20" w:line="264" w:lineRule="auto"/>
              <w:rPr>
                <w:rFonts w:hint="eastAsia" w:ascii="宋体" w:hAnsi="宋体" w:eastAsia="宋体" w:cs="宋体"/>
                <w:i w:val="0"/>
                <w:iCs w:val="0"/>
                <w:sz w:val="24"/>
                <w:szCs w:val="24"/>
              </w:rPr>
            </w:pPr>
          </w:p>
          <w:p w14:paraId="016C92A5">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未接入单位置灰禁用</w:t>
            </w:r>
          </w:p>
          <w:p w14:paraId="706E996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组织树中存在尚未接入平台的园区单位</w:t>
            </w:r>
          </w:p>
          <w:p w14:paraId="720AB81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用户尝试点击该单位节点</w:t>
            </w:r>
          </w:p>
          <w:p w14:paraId="530570E1">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节点保持置灰状态且点击无响应</w:t>
            </w:r>
          </w:p>
          <w:p w14:paraId="2357182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页面不弹出任何解释性或说教性文案</w:t>
            </w:r>
          </w:p>
        </w:tc>
      </w:tr>
    </w:tbl>
    <w:p w14:paraId="59FA2EC6">
      <w:pPr>
        <w:spacing w:after="40"/>
        <w:rPr>
          <w:rFonts w:hint="eastAsia" w:ascii="宋体" w:hAnsi="宋体" w:eastAsia="宋体" w:cs="宋体"/>
          <w:i w:val="0"/>
          <w:iCs w:val="0"/>
          <w:sz w:val="24"/>
          <w:szCs w:val="24"/>
        </w:rPr>
      </w:pPr>
    </w:p>
    <w:p w14:paraId="5F9EC696">
      <w:pPr>
        <w:pStyle w:val="5"/>
        <w:numPr>
          <w:ilvl w:val="0"/>
          <w:numId w:val="27"/>
        </w:numPr>
        <w:ind w:left="0" w:leftChars="0" w:firstLine="0" w:firstLineChars="0"/>
        <w:outlineLvl w:val="1"/>
        <w:rPr>
          <w:rFonts w:eastAsia="黑体"/>
          <w:b w:val="0"/>
          <w:bCs w:val="0"/>
          <w:sz w:val="30"/>
          <w:szCs w:val="24"/>
        </w:rPr>
      </w:pPr>
      <w:bookmarkStart w:id="18" w:name="_Toc5921"/>
      <w:r>
        <w:rPr>
          <w:rFonts w:ascii="Times New Roman" w:hAnsi="Times New Roman" w:eastAsia="黑体" w:cs="Times New Roman"/>
          <w:b w:val="0"/>
          <w:bCs w:val="0"/>
          <w:sz w:val="30"/>
          <w:szCs w:val="24"/>
        </w:rPr>
        <w:t>重点</w:t>
      </w:r>
      <w:r>
        <w:rPr>
          <w:rFonts w:hint="eastAsia" w:cs="Times New Roman"/>
          <w:b w:val="0"/>
          <w:bCs w:val="0"/>
          <w:sz w:val="30"/>
          <w:szCs w:val="24"/>
          <w:lang w:val="en-US" w:eastAsia="zh-CN"/>
        </w:rPr>
        <w:t>用能设备</w:t>
      </w:r>
      <w:bookmarkEnd w:id="18"/>
    </w:p>
    <w:p w14:paraId="6F910E0C">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kern w:val="2"/>
          <w:sz w:val="28"/>
          <w:szCs w:val="28"/>
          <w:lang w:bidi="ar-SA"/>
        </w:rPr>
      </w:pPr>
      <w:r>
        <w:drawing>
          <wp:inline distT="0" distB="0" distL="114300" distR="114300">
            <wp:extent cx="5900420" cy="2925445"/>
            <wp:effectExtent l="0" t="0" r="5080" b="8255"/>
            <wp:docPr id="1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
                    <pic:cNvPicPr>
                      <a:picLocks noChangeAspect="1"/>
                    </pic:cNvPicPr>
                  </pic:nvPicPr>
                  <pic:blipFill>
                    <a:blip r:embed="rId29"/>
                    <a:stretch>
                      <a:fillRect/>
                    </a:stretch>
                  </pic:blipFill>
                  <pic:spPr>
                    <a:xfrm>
                      <a:off x="0" y="0"/>
                      <a:ext cx="5900420" cy="2925445"/>
                    </a:xfrm>
                    <a:prstGeom prst="rect">
                      <a:avLst/>
                    </a:prstGeom>
                    <a:noFill/>
                    <a:ln>
                      <a:noFill/>
                    </a:ln>
                  </pic:spPr>
                </pic:pic>
              </a:graphicData>
            </a:graphic>
          </wp:inline>
        </w:drawing>
      </w:r>
    </w:p>
    <w:p w14:paraId="06F2D5DE">
      <w:pPr>
        <w:pStyle w:val="6"/>
        <w:numPr>
          <w:ilvl w:val="0"/>
          <w:numId w:val="4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3ECE4B94">
      <w:pPr>
        <w:pStyle w:val="19"/>
        <w:widowControl/>
        <w:numPr>
          <w:ilvl w:val="0"/>
          <w:numId w:val="5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：对高耗能特种工艺设备的高频工况监控看板，按电力驱动与热力驱动两类介质自适应呈现核心指标，实现设备级能效最优。</w:t>
      </w:r>
    </w:p>
    <w:p w14:paraId="30F461F9">
      <w:pPr>
        <w:pStyle w:val="19"/>
        <w:widowControl/>
        <w:numPr>
          <w:ilvl w:val="0"/>
          <w:numId w:val="5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：设备保全工程师、P2 园区能碳专员。</w:t>
      </w:r>
    </w:p>
    <w:p w14:paraId="13098942">
      <w:pPr>
        <w:pStyle w:val="19"/>
        <w:widowControl/>
        <w:numPr>
          <w:ilvl w:val="0"/>
          <w:numId w:val="5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/monitor/energy/devices </w:t>
      </w:r>
      <w:r>
        <w:rPr>
          <w:rFonts w:ascii="Times New Roman" w:hAnsi="Times New Roman" w:eastAsia="宋体" w:cs="Times New Roman"/>
          <w:i w:val="0"/>
          <w:color w:val="1F2937"/>
          <w:sz w:val="24"/>
          <w:szCs w:val="24"/>
        </w:rPr>
        <w:t>。</w:t>
      </w:r>
    </w:p>
    <w:p w14:paraId="0ACDBCE3">
      <w:pPr>
        <w:pStyle w:val="19"/>
        <w:widowControl/>
        <w:numPr>
          <w:ilvl w:val="0"/>
          <w:numId w:val="5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：设备台账主数据、IoT 设备级遥测、工序白名单。</w:t>
      </w:r>
    </w:p>
    <w:p w14:paraId="291AB2E4">
      <w:pPr>
        <w:pStyle w:val="19"/>
        <w:widowControl/>
        <w:numPr>
          <w:ilvl w:val="0"/>
          <w:numId w:val="5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：设备越限告警事件、设备负荷率环比数据。</w:t>
      </w:r>
    </w:p>
    <w:p w14:paraId="2C44A468">
      <w:pPr>
        <w:pStyle w:val="6"/>
        <w:numPr>
          <w:ilvl w:val="0"/>
          <w:numId w:val="4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67079E51">
      <w:pPr>
        <w:pStyle w:val="19"/>
        <w:widowControl/>
        <w:numPr>
          <w:ilvl w:val="0"/>
          <w:numId w:val="5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：全集团首批纳管的 32 台特高压变压器气相干燥罐、耐压试验台、立塔交联挤出机组等高耗能特种工艺设备的高频工况监控。</w:t>
      </w:r>
    </w:p>
    <w:p w14:paraId="21DBB9A3">
      <w:pPr>
        <w:pStyle w:val="19"/>
        <w:widowControl/>
        <w:numPr>
          <w:ilvl w:val="0"/>
          <w:numId w:val="5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76673D1C">
      <w:pPr>
        <w:pStyle w:val="19"/>
        <w:widowControl/>
        <w:numPr>
          <w:ilvl w:val="0"/>
          <w:numId w:val="51"/>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设备保全工程师</w:t>
      </w:r>
      <w:r>
        <w:rPr>
          <w:rFonts w:ascii="Times New Roman" w:hAnsi="Times New Roman" w:eastAsia="宋体" w:cs="Times New Roman"/>
          <w:i w:val="0"/>
          <w:color w:val="1F2937"/>
          <w:sz w:val="24"/>
          <w:szCs w:val="24"/>
        </w:rPr>
        <w:t>，</w:t>
      </w:r>
    </w:p>
    <w:p w14:paraId="0D189A98">
      <w:pPr>
        <w:pStyle w:val="19"/>
        <w:widowControl/>
        <w:numPr>
          <w:ilvl w:val="0"/>
          <w:numId w:val="51"/>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在设备监控看板中按电力驱动或热力驱动分类查看 32 台重点设备的运行负荷、功率因数或蒸汽流量</w:t>
      </w:r>
      <w:r>
        <w:rPr>
          <w:rFonts w:ascii="Times New Roman" w:hAnsi="Times New Roman" w:eastAsia="宋体" w:cs="Times New Roman"/>
          <w:i w:val="0"/>
          <w:color w:val="1F2937"/>
          <w:sz w:val="24"/>
          <w:szCs w:val="24"/>
        </w:rPr>
        <w:t>，</w:t>
      </w:r>
    </w:p>
    <w:p w14:paraId="7950EACF">
      <w:pPr>
        <w:pStyle w:val="19"/>
        <w:widowControl/>
        <w:numPr>
          <w:ilvl w:val="0"/>
          <w:numId w:val="51"/>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我能预防高耗能设备待机空载浪费，实现设备级能效最优</w:t>
      </w:r>
      <w:r>
        <w:rPr>
          <w:rFonts w:ascii="Times New Roman" w:hAnsi="Times New Roman" w:eastAsia="宋体" w:cs="Times New Roman"/>
          <w:i w:val="0"/>
          <w:color w:val="1F2937"/>
          <w:sz w:val="24"/>
          <w:szCs w:val="24"/>
        </w:rPr>
        <w:t>。</w:t>
      </w:r>
    </w:p>
    <w:p w14:paraId="4E95394B">
      <w:pPr>
        <w:pStyle w:val="6"/>
        <w:numPr>
          <w:ilvl w:val="0"/>
          <w:numId w:val="4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254A370D">
      <w:pPr>
        <w:pStyle w:val="19"/>
        <w:widowControl/>
        <w:numPr>
          <w:ilvl w:val="0"/>
          <w:numId w:val="5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左侧设备拓扑导航树</w:t>
      </w:r>
      <w:r>
        <w:rPr>
          <w:rFonts w:ascii="Times New Roman" w:hAnsi="Times New Roman" w:eastAsia="宋体" w:cs="Times New Roman"/>
          <w:i w:val="0"/>
          <w:color w:val="1F2937"/>
          <w:sz w:val="24"/>
          <w:szCs w:val="24"/>
        </w:rPr>
        <w:t xml:space="preserve">：集成 4 级组织树；9 家未联网单位置灰禁用，设备数标注为 </w:t>
      </w:r>
      <w:r>
        <w:rPr>
          <w:rFonts w:ascii="Times New Roman" w:hAnsi="Times New Roman" w:eastAsia="宋体" w:cs="Times New Roman"/>
          <w:b w:val="0"/>
          <w:i w:val="0"/>
          <w:color w:val="0284C7"/>
          <w:sz w:val="24"/>
          <w:szCs w:val="24"/>
        </w:rPr>
        <w:t xml:space="preserve"> (0) </w:t>
      </w:r>
      <w:r>
        <w:rPr>
          <w:rFonts w:ascii="Times New Roman" w:hAnsi="Times New Roman" w:eastAsia="宋体" w:cs="Times New Roman"/>
          <w:i w:val="0"/>
          <w:color w:val="1F2937"/>
          <w:sz w:val="24"/>
          <w:szCs w:val="24"/>
        </w:rPr>
        <w:t>；节点前置介质语义图标（电力设备前置闪电、热力设备前置火焰），剥离文字胶囊。</w:t>
      </w:r>
    </w:p>
    <w:p w14:paraId="68A634B4">
      <w:pPr>
        <w:pStyle w:val="19"/>
        <w:widowControl/>
        <w:numPr>
          <w:ilvl w:val="0"/>
          <w:numId w:val="5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顶部设置</w:t>
      </w:r>
      <w:r>
        <w:rPr>
          <w:rFonts w:ascii="Times New Roman" w:hAnsi="Times New Roman" w:eastAsia="宋体" w:cs="Times New Roman"/>
          <w:i w:val="0"/>
          <w:color w:val="1F2937"/>
          <w:sz w:val="24"/>
          <w:szCs w:val="24"/>
        </w:rPr>
        <w:t>：设备类型切片 Tab（全部 / 电力 23 台 / 热力 9 台）与搜索框。</w:t>
      </w:r>
    </w:p>
    <w:p w14:paraId="01C5202B">
      <w:pPr>
        <w:pStyle w:val="19"/>
        <w:widowControl/>
        <w:numPr>
          <w:ilvl w:val="0"/>
          <w:numId w:val="5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右侧工况看板（100% 智能自适应）</w:t>
      </w:r>
      <w:r>
        <w:rPr>
          <w:rFonts w:ascii="Times New Roman" w:hAnsi="Times New Roman" w:eastAsia="宋体" w:cs="Times New Roman"/>
          <w:i w:val="0"/>
          <w:color w:val="1F2937"/>
          <w:sz w:val="24"/>
          <w:szCs w:val="24"/>
        </w:rPr>
        <w:t>：</w:t>
      </w:r>
    </w:p>
    <w:p w14:paraId="372F03CA">
      <w:pPr>
        <w:pStyle w:val="19"/>
        <w:widowControl/>
        <w:numPr>
          <w:ilvl w:val="0"/>
          <w:numId w:val="52"/>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主卡片标题纯粹去噪：仅保留前置图标与设备标准名称（如 </w:t>
      </w:r>
      <w:r>
        <w:rPr>
          <w:rFonts w:ascii="Times New Roman" w:hAnsi="Times New Roman" w:eastAsia="宋体" w:cs="Times New Roman"/>
          <w:b w:val="0"/>
          <w:i w:val="0"/>
          <w:color w:val="0284C7"/>
          <w:sz w:val="24"/>
          <w:szCs w:val="24"/>
        </w:rPr>
        <w:t xml:space="preserve"> 1# 1000kV 级气相真空干燥罐组 </w:t>
      </w:r>
      <w:r>
        <w:rPr>
          <w:rFonts w:ascii="Times New Roman" w:hAnsi="Times New Roman" w:eastAsia="宋体" w:cs="Times New Roman"/>
          <w:i w:val="0"/>
          <w:color w:val="1F2937"/>
          <w:sz w:val="24"/>
          <w:szCs w:val="24"/>
        </w:rPr>
        <w:t>），剥离编码与冗余路径。</w:t>
      </w:r>
    </w:p>
    <w:p w14:paraId="10161E68">
      <w:pPr>
        <w:pStyle w:val="19"/>
        <w:widowControl/>
        <w:numPr>
          <w:ilvl w:val="0"/>
          <w:numId w:val="5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电力设备自适应呈现</w:t>
      </w:r>
      <w:r>
        <w:rPr>
          <w:rFonts w:ascii="Times New Roman" w:hAnsi="Times New Roman" w:eastAsia="宋体" w:cs="Times New Roman"/>
          <w:i w:val="0"/>
          <w:color w:val="1F2937"/>
          <w:sz w:val="24"/>
          <w:szCs w:val="24"/>
        </w:rPr>
        <w:t>：核心指标为实时有功功率 (kW)、当月用电量 (kWh)、当日用电量 (kWh)、负荷率 (%)、功率因数；图表为 15 分钟连续负荷曲线与峰平谷占比环形图。</w:t>
      </w:r>
    </w:p>
    <w:p w14:paraId="62852FE2">
      <w:pPr>
        <w:pStyle w:val="19"/>
        <w:widowControl/>
        <w:numPr>
          <w:ilvl w:val="0"/>
          <w:numId w:val="5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热力设备自适应呈现</w:t>
      </w:r>
      <w:r>
        <w:rPr>
          <w:rFonts w:ascii="Times New Roman" w:hAnsi="Times New Roman" w:eastAsia="宋体" w:cs="Times New Roman"/>
          <w:i w:val="0"/>
          <w:color w:val="1F2937"/>
          <w:sz w:val="24"/>
          <w:szCs w:val="24"/>
        </w:rPr>
        <w:t>：核心指标为瞬时蒸汽流量 (t/h)、当月蒸汽消耗量 (t)、当日蒸汽消耗量 (t)、供汽管道压力 (MPa)、温度 (°C)；图表为瞬时流量走势与逐时蒸汽消耗柱状图。</w:t>
      </w:r>
    </w:p>
    <w:p w14:paraId="47417FB4">
      <w:pPr>
        <w:pStyle w:val="19"/>
        <w:widowControl/>
        <w:rPr>
          <w:rFonts w:ascii="Times New Roman" w:hAnsi="Times New Roman" w:eastAsia="宋体" w:cs="Times New Roman"/>
          <w:i w:val="0"/>
          <w:color w:val="1F2937"/>
          <w:sz w:val="24"/>
          <w:szCs w:val="24"/>
        </w:rPr>
      </w:pPr>
      <w:r>
        <w:rPr>
          <w:rFonts w:ascii="Times New Roman" w:hAnsi="Times New Roman" w:eastAsia="宋体" w:cs="Times New Roman"/>
          <w:b/>
          <w:i w:val="0"/>
          <w:color w:val="1E3A8A"/>
          <w:sz w:val="24"/>
          <w:szCs w:val="24"/>
        </w:rPr>
        <w:t>树结构规范</w:t>
      </w:r>
      <w:r>
        <w:rPr>
          <w:rFonts w:ascii="Times New Roman" w:hAnsi="Times New Roman" w:eastAsia="宋体" w:cs="Times New Roman"/>
          <w:i w:val="0"/>
          <w:color w:val="1F2937"/>
          <w:sz w:val="24"/>
          <w:szCs w:val="24"/>
        </w:rPr>
        <w:t>：设备监测左侧结构树按【企业 → 设备】两级展开（用能监测左侧结构树按【园区 → 企业】两级展开），设备节点前置语义图标，未接入单位字体置灰禁用。</w:t>
      </w:r>
    </w:p>
    <w:p w14:paraId="3C87FBEE">
      <w:pPr>
        <w:pStyle w:val="19"/>
        <w:widowControl/>
        <w:ind w:left="0" w:leftChars="0" w:firstLine="0" w:firstLineChars="0"/>
      </w:pPr>
      <w:r>
        <w:drawing>
          <wp:inline distT="0" distB="0" distL="114300" distR="114300">
            <wp:extent cx="5913755" cy="1678940"/>
            <wp:effectExtent l="0" t="0" r="10795" b="16510"/>
            <wp:docPr id="100"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54"/>
                    <pic:cNvPicPr>
                      <a:picLocks noChangeAspect="1"/>
                    </pic:cNvPicPr>
                  </pic:nvPicPr>
                  <pic:blipFill>
                    <a:blip r:embed="rId30"/>
                    <a:stretch>
                      <a:fillRect/>
                    </a:stretch>
                  </pic:blipFill>
                  <pic:spPr>
                    <a:xfrm>
                      <a:off x="0" y="0"/>
                      <a:ext cx="5913755" cy="1678940"/>
                    </a:xfrm>
                    <a:prstGeom prst="rect">
                      <a:avLst/>
                    </a:prstGeom>
                    <a:noFill/>
                    <a:ln>
                      <a:noFill/>
                    </a:ln>
                  </pic:spPr>
                </pic:pic>
              </a:graphicData>
            </a:graphic>
          </wp:inline>
        </w:drawing>
      </w:r>
    </w:p>
    <w:p w14:paraId="6C246EC5">
      <w:pPr>
        <w:pStyle w:val="19"/>
        <w:widowControl/>
        <w:ind w:left="0" w:leftChars="0" w:firstLine="0" w:firstLineChars="0"/>
        <w:rPr>
          <w:rFonts w:hint="eastAsia"/>
          <w:lang w:val="en-US" w:eastAsia="zh-CN"/>
        </w:rPr>
      </w:pPr>
      <w:r>
        <w:rPr>
          <w:rFonts w:hint="eastAsia"/>
          <w:lang w:val="en-US" w:eastAsia="zh-CN"/>
        </w:rPr>
        <w:t>监测设备：</w:t>
      </w:r>
    </w:p>
    <w:p w14:paraId="21387C61">
      <w:pPr>
        <w:pStyle w:val="19"/>
        <w:widowControl/>
        <w:ind w:left="0" w:leftChars="0" w:firstLine="0" w:firstLineChars="0"/>
        <w:rPr>
          <w:rFonts w:hint="eastAsia"/>
          <w:lang w:val="en-US" w:eastAsia="zh-CN"/>
        </w:rPr>
      </w:pPr>
    </w:p>
    <w:p w14:paraId="2097ECE5">
      <w:pPr>
        <w:pStyle w:val="19"/>
        <w:widowControl/>
        <w:ind w:left="0" w:leftChars="0" w:firstLine="0" w:firstLineChars="0"/>
      </w:pPr>
      <w:r>
        <w:drawing>
          <wp:inline distT="0" distB="0" distL="114300" distR="114300">
            <wp:extent cx="5913755" cy="1893570"/>
            <wp:effectExtent l="0" t="0" r="10795" b="11430"/>
            <wp:docPr id="101"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55"/>
                    <pic:cNvPicPr>
                      <a:picLocks noChangeAspect="1"/>
                    </pic:cNvPicPr>
                  </pic:nvPicPr>
                  <pic:blipFill>
                    <a:blip r:embed="rId31"/>
                    <a:stretch>
                      <a:fillRect/>
                    </a:stretch>
                  </pic:blipFill>
                  <pic:spPr>
                    <a:xfrm>
                      <a:off x="0" y="0"/>
                      <a:ext cx="5913755" cy="1893570"/>
                    </a:xfrm>
                    <a:prstGeom prst="rect">
                      <a:avLst/>
                    </a:prstGeom>
                    <a:noFill/>
                    <a:ln>
                      <a:noFill/>
                    </a:ln>
                  </pic:spPr>
                </pic:pic>
              </a:graphicData>
            </a:graphic>
          </wp:inline>
        </w:drawing>
      </w:r>
    </w:p>
    <w:p w14:paraId="57C8090A">
      <w:pPr>
        <w:pStyle w:val="19"/>
        <w:widowControl/>
        <w:ind w:left="0" w:leftChars="0" w:firstLine="0" w:firstLineChars="0"/>
        <w:rPr>
          <w:rFonts w:hint="eastAsia"/>
          <w:lang w:val="en-US" w:eastAsia="zh-CN"/>
        </w:rPr>
      </w:pPr>
      <w:r>
        <w:rPr>
          <w:rFonts w:hint="eastAsia"/>
          <w:lang w:val="en-US" w:eastAsia="zh-CN"/>
        </w:rPr>
        <w:t>数据图标：</w:t>
      </w:r>
    </w:p>
    <w:p w14:paraId="4AD1BD0B">
      <w:pPr>
        <w:pStyle w:val="19"/>
        <w:widowControl/>
        <w:ind w:left="0" w:leftChars="0" w:firstLine="0" w:firstLineChars="0"/>
        <w:rPr>
          <w:rFonts w:hint="eastAsia"/>
          <w:lang w:val="en-US" w:eastAsia="zh-CN"/>
        </w:rPr>
      </w:pPr>
    </w:p>
    <w:p w14:paraId="2709253A">
      <w:pPr>
        <w:pStyle w:val="19"/>
        <w:widowControl/>
        <w:ind w:left="0" w:leftChars="0" w:firstLine="0" w:firstLineChars="0"/>
      </w:pPr>
      <w:r>
        <w:drawing>
          <wp:inline distT="0" distB="0" distL="114300" distR="114300">
            <wp:extent cx="5913755" cy="1499870"/>
            <wp:effectExtent l="0" t="0" r="10795" b="5080"/>
            <wp:docPr id="102"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56"/>
                    <pic:cNvPicPr>
                      <a:picLocks noChangeAspect="1"/>
                    </pic:cNvPicPr>
                  </pic:nvPicPr>
                  <pic:blipFill>
                    <a:blip r:embed="rId32"/>
                    <a:stretch>
                      <a:fillRect/>
                    </a:stretch>
                  </pic:blipFill>
                  <pic:spPr>
                    <a:xfrm>
                      <a:off x="0" y="0"/>
                      <a:ext cx="5913755" cy="1499870"/>
                    </a:xfrm>
                    <a:prstGeom prst="rect">
                      <a:avLst/>
                    </a:prstGeom>
                    <a:noFill/>
                    <a:ln>
                      <a:noFill/>
                    </a:ln>
                  </pic:spPr>
                </pic:pic>
              </a:graphicData>
            </a:graphic>
          </wp:inline>
        </w:drawing>
      </w:r>
    </w:p>
    <w:p w14:paraId="363F5110">
      <w:pPr>
        <w:pStyle w:val="19"/>
        <w:widowControl/>
        <w:ind w:left="0" w:leftChars="0" w:firstLine="0" w:firstLineChars="0"/>
        <w:rPr>
          <w:rFonts w:hint="eastAsia"/>
          <w:lang w:val="en-US" w:eastAsia="zh-CN"/>
        </w:rPr>
      </w:pPr>
      <w:r>
        <w:rPr>
          <w:rFonts w:hint="eastAsia"/>
          <w:lang w:val="en-US" w:eastAsia="zh-CN"/>
        </w:rPr>
        <w:t>设备峰平谷分析：</w:t>
      </w:r>
    </w:p>
    <w:p w14:paraId="05CE69E2">
      <w:pPr>
        <w:pStyle w:val="19"/>
        <w:widowControl/>
        <w:ind w:left="0" w:leftChars="0" w:firstLine="0" w:firstLineChars="0"/>
        <w:rPr>
          <w:rFonts w:hint="default"/>
          <w:lang w:val="en-US" w:eastAsia="zh-CN"/>
        </w:rPr>
      </w:pPr>
    </w:p>
    <w:p w14:paraId="6B8782D5">
      <w:pPr>
        <w:pStyle w:val="6"/>
        <w:numPr>
          <w:ilvl w:val="0"/>
          <w:numId w:val="4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10193" w:type="dxa"/>
        <w:jc w:val="center"/>
        <w:tblLayout w:type="autofit"/>
        <w:tblCellMar>
          <w:top w:w="0" w:type="dxa"/>
          <w:left w:w="108" w:type="dxa"/>
          <w:bottom w:w="0" w:type="dxa"/>
          <w:right w:w="108" w:type="dxa"/>
        </w:tblCellMar>
      </w:tblPr>
      <w:tblGrid>
        <w:gridCol w:w="817"/>
        <w:gridCol w:w="1781"/>
        <w:gridCol w:w="1299"/>
        <w:gridCol w:w="1299"/>
        <w:gridCol w:w="1781"/>
        <w:gridCol w:w="3216"/>
      </w:tblGrid>
      <w:tr w14:paraId="5076016A">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1C98AC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178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2C1573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29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E3C1D6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129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914356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178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BF017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适用设备类型</w:t>
            </w:r>
          </w:p>
        </w:tc>
        <w:tc>
          <w:tcPr>
            <w:tcW w:w="321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8C203B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说明</w:t>
            </w:r>
          </w:p>
        </w:tc>
      </w:tr>
      <w:tr w14:paraId="7383307A">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F050C4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17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5A3BC2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设备唯一编码</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656FF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1F802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17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1706C8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电力/热力</w:t>
            </w:r>
          </w:p>
        </w:tc>
        <w:tc>
          <w:tcPr>
            <w:tcW w:w="32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B4C3C2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唯一主键，设备台账下发</w:t>
            </w:r>
          </w:p>
        </w:tc>
      </w:tr>
      <w:tr w14:paraId="243A1E37">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1C6100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17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E8EDDE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设备标准名称</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F5D356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186112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17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1FB534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电力/热力</w:t>
            </w:r>
          </w:p>
        </w:tc>
        <w:tc>
          <w:tcPr>
            <w:tcW w:w="32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82B5EE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非空，仅展示标准名称不含冗余路径</w:t>
            </w:r>
          </w:p>
        </w:tc>
      </w:tr>
      <w:tr w14:paraId="14BB3EF6">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C920BF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17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4E6908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电压</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EC4776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0BF79F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V</w:t>
            </w:r>
          </w:p>
        </w:tc>
        <w:tc>
          <w:tcPr>
            <w:tcW w:w="17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57DB4F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电力</w:t>
            </w:r>
          </w:p>
        </w:tc>
        <w:tc>
          <w:tcPr>
            <w:tcW w:w="32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473114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三相电压（实时点位）</w:t>
            </w:r>
          </w:p>
        </w:tc>
      </w:tr>
      <w:tr w14:paraId="0DE17CC6">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5528D0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17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BE3CF0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电流</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72B4DA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FCED2D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w:t>
            </w:r>
          </w:p>
        </w:tc>
        <w:tc>
          <w:tcPr>
            <w:tcW w:w="17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232555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电力</w:t>
            </w:r>
          </w:p>
        </w:tc>
        <w:tc>
          <w:tcPr>
            <w:tcW w:w="32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235FD5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三相电流</w:t>
            </w:r>
          </w:p>
        </w:tc>
      </w:tr>
      <w:tr w14:paraId="011417FD">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36784E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17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2AC8C9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总有功功率</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DDDA12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5B467B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w:t>
            </w:r>
          </w:p>
        </w:tc>
        <w:tc>
          <w:tcPr>
            <w:tcW w:w="17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CD47E5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电力</w:t>
            </w:r>
          </w:p>
        </w:tc>
        <w:tc>
          <w:tcPr>
            <w:tcW w:w="32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83B6AC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实时有功功率</w:t>
            </w:r>
          </w:p>
        </w:tc>
      </w:tr>
      <w:tr w14:paraId="50C32043">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B3463D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17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EAD19D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功率因数</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97941F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ED10E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cosφ</w:t>
            </w:r>
          </w:p>
        </w:tc>
        <w:tc>
          <w:tcPr>
            <w:tcW w:w="17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EC6CC2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电力</w:t>
            </w:r>
          </w:p>
        </w:tc>
        <w:tc>
          <w:tcPr>
            <w:tcW w:w="32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1333B7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越限阈值 0.90，低于即告警</w:t>
            </w:r>
          </w:p>
        </w:tc>
      </w:tr>
      <w:tr w14:paraId="64F10A86">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3C2E7B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17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CC3D2E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正向有功电能</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0490C8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467F52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w:t>
            </w:r>
          </w:p>
        </w:tc>
        <w:tc>
          <w:tcPr>
            <w:tcW w:w="17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0B819D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电力</w:t>
            </w:r>
          </w:p>
        </w:tc>
        <w:tc>
          <w:tcPr>
            <w:tcW w:w="32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8CD4D5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累计电能</w:t>
            </w:r>
          </w:p>
        </w:tc>
      </w:tr>
      <w:tr w14:paraId="059F8A08">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CD6BE6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17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B64B26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反向有功电能</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689B5B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3D6025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w:t>
            </w:r>
          </w:p>
        </w:tc>
        <w:tc>
          <w:tcPr>
            <w:tcW w:w="17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D8835B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电力</w:t>
            </w:r>
          </w:p>
        </w:tc>
        <w:tc>
          <w:tcPr>
            <w:tcW w:w="32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DACE2B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反向累计</w:t>
            </w:r>
          </w:p>
        </w:tc>
      </w:tr>
      <w:tr w14:paraId="70B88BD6">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60F162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17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4EE27B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正向无功电能</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133823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75CD9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kvarh</w:t>
            </w:r>
          </w:p>
        </w:tc>
        <w:tc>
          <w:tcPr>
            <w:tcW w:w="17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3ACB17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电力</w:t>
            </w:r>
          </w:p>
        </w:tc>
        <w:tc>
          <w:tcPr>
            <w:tcW w:w="32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6A6EE7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累计无功</w:t>
            </w:r>
          </w:p>
        </w:tc>
      </w:tr>
      <w:tr w14:paraId="7DD1D1B5">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CC9D3C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17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E6E310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反向无功电能</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7F575E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662FE5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kvarh</w:t>
            </w:r>
          </w:p>
        </w:tc>
        <w:tc>
          <w:tcPr>
            <w:tcW w:w="17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F98943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电力</w:t>
            </w:r>
          </w:p>
        </w:tc>
        <w:tc>
          <w:tcPr>
            <w:tcW w:w="32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8A757E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反向累计</w:t>
            </w:r>
          </w:p>
        </w:tc>
      </w:tr>
      <w:tr w14:paraId="568593D4">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76E5E9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11</w:t>
            </w:r>
          </w:p>
        </w:tc>
        <w:tc>
          <w:tcPr>
            <w:tcW w:w="17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437564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水压</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5854E7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7A8753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MPa</w:t>
            </w:r>
          </w:p>
        </w:tc>
        <w:tc>
          <w:tcPr>
            <w:tcW w:w="17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9CBD4F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水务</w:t>
            </w:r>
          </w:p>
        </w:tc>
        <w:tc>
          <w:tcPr>
            <w:tcW w:w="32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A1CDE6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供水压力</w:t>
            </w:r>
          </w:p>
        </w:tc>
      </w:tr>
      <w:tr w14:paraId="66431E85">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993E9E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12</w:t>
            </w:r>
          </w:p>
        </w:tc>
        <w:tc>
          <w:tcPr>
            <w:tcW w:w="17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CD4E58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累计流量</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BB741E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449083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m³</w:t>
            </w:r>
          </w:p>
        </w:tc>
        <w:tc>
          <w:tcPr>
            <w:tcW w:w="17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E719CB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水/天然气</w:t>
            </w:r>
          </w:p>
        </w:tc>
        <w:tc>
          <w:tcPr>
            <w:tcW w:w="32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A04070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累计水量或标况累计流量</w:t>
            </w:r>
          </w:p>
        </w:tc>
      </w:tr>
      <w:tr w14:paraId="4212A6AC">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60B1AC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13</w:t>
            </w:r>
          </w:p>
        </w:tc>
        <w:tc>
          <w:tcPr>
            <w:tcW w:w="17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A2AD4A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瞬时流量</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8B06A2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B611DF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m³/h</w:t>
            </w:r>
          </w:p>
        </w:tc>
        <w:tc>
          <w:tcPr>
            <w:tcW w:w="17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D9200C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水</w:t>
            </w:r>
          </w:p>
        </w:tc>
        <w:tc>
          <w:tcPr>
            <w:tcW w:w="32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2B4464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瞬时流量</w:t>
            </w:r>
          </w:p>
        </w:tc>
      </w:tr>
      <w:tr w14:paraId="05651A8D">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B48FA2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14</w:t>
            </w:r>
          </w:p>
        </w:tc>
        <w:tc>
          <w:tcPr>
            <w:tcW w:w="17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C260A4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瞬时蒸汽流量</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9ECC9B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E26B18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t/h</w:t>
            </w:r>
          </w:p>
        </w:tc>
        <w:tc>
          <w:tcPr>
            <w:tcW w:w="17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4C2EAA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热力</w:t>
            </w:r>
          </w:p>
        </w:tc>
        <w:tc>
          <w:tcPr>
            <w:tcW w:w="32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335F0F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涡街/孔板流量计温压补偿积算</w:t>
            </w:r>
          </w:p>
        </w:tc>
      </w:tr>
      <w:tr w14:paraId="33132696">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0FB2B8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15</w:t>
            </w:r>
          </w:p>
        </w:tc>
        <w:tc>
          <w:tcPr>
            <w:tcW w:w="17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137715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蒸汽消耗量</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870E00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A387EB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w:t>
            </w:r>
          </w:p>
        </w:tc>
        <w:tc>
          <w:tcPr>
            <w:tcW w:w="17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D11A11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热力</w:t>
            </w:r>
          </w:p>
        </w:tc>
        <w:tc>
          <w:tcPr>
            <w:tcW w:w="32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5CBB36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瞬时流量时间积分累加量</w:t>
            </w:r>
          </w:p>
        </w:tc>
      </w:tr>
      <w:tr w14:paraId="1DCE16BB">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66D1ED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16</w:t>
            </w:r>
          </w:p>
        </w:tc>
        <w:tc>
          <w:tcPr>
            <w:tcW w:w="17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024F07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供汽管道工作压力</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616F73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845F6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MPa</w:t>
            </w:r>
          </w:p>
        </w:tc>
        <w:tc>
          <w:tcPr>
            <w:tcW w:w="17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1DA98C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热力</w:t>
            </w:r>
          </w:p>
        </w:tc>
        <w:tc>
          <w:tcPr>
            <w:tcW w:w="32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4CAB99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压力变送器 4-20mA 实时遥测</w:t>
            </w:r>
          </w:p>
        </w:tc>
      </w:tr>
    </w:tbl>
    <w:p w14:paraId="55E09C78">
      <w:pPr>
        <w:spacing w:after="60"/>
        <w:rPr>
          <w:rFonts w:hint="eastAsia" w:ascii="宋体" w:hAnsi="宋体" w:eastAsia="宋体" w:cs="宋体"/>
          <w:i w:val="0"/>
          <w:iCs w:val="0"/>
          <w:sz w:val="24"/>
          <w:szCs w:val="24"/>
        </w:rPr>
      </w:pPr>
    </w:p>
    <w:p w14:paraId="2B745ED3">
      <w:pPr>
        <w:pStyle w:val="6"/>
        <w:numPr>
          <w:ilvl w:val="0"/>
          <w:numId w:val="4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48E44FF2">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799319CE">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P_active = √3 × U × I × cosφ / 1s采样        实时有功功率</w:t>
            </w:r>
          </w:p>
          <w:p w14:paraId="3056EF55">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 xml:space="preserve">cosφ = P / S                                     </w:t>
            </w:r>
            <w:r>
              <w:rPr>
                <w:rFonts w:hint="eastAsia" w:ascii="宋体" w:hAnsi="宋体" w:eastAsia="宋体" w:cs="宋体"/>
                <w:b/>
                <w:i w:val="0"/>
                <w:iCs w:val="0"/>
                <w:color w:val="1E3A8A"/>
                <w:sz w:val="24"/>
                <w:szCs w:val="24"/>
                <w:lang w:val="en-US" w:eastAsia="zh-CN"/>
              </w:rPr>
              <w:t xml:space="preserve"> </w:t>
            </w:r>
            <w:r>
              <w:rPr>
                <w:rFonts w:hint="eastAsia" w:ascii="宋体" w:hAnsi="宋体" w:eastAsia="宋体" w:cs="宋体"/>
                <w:b/>
                <w:i w:val="0"/>
                <w:iCs w:val="0"/>
                <w:color w:val="1E3A8A"/>
                <w:sz w:val="24"/>
                <w:szCs w:val="24"/>
              </w:rPr>
              <w:t>功率因数 = 有功 / 视在功率</w:t>
            </w:r>
          </w:p>
          <w:p w14:paraId="765F6BBE">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Load = ( P_actual / P_rated ) × 100%              设备负荷率</w:t>
            </w:r>
          </w:p>
          <w:p w14:paraId="552C5F82">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Load_MoM = ( Load_t - Load_{t-1} ) / Load_{t-1}    负荷率环比变动</w:t>
            </w:r>
          </w:p>
          <w:p w14:paraId="283E321E">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 xml:space="preserve">Q_steam = ∫ F_instant dt                         </w:t>
            </w:r>
            <w:r>
              <w:rPr>
                <w:rFonts w:hint="eastAsia" w:ascii="宋体" w:hAnsi="宋体" w:eastAsia="宋体" w:cs="宋体"/>
                <w:b/>
                <w:i w:val="0"/>
                <w:iCs w:val="0"/>
                <w:color w:val="1E3A8A"/>
                <w:sz w:val="24"/>
                <w:szCs w:val="24"/>
                <w:lang w:val="en-US" w:eastAsia="zh-CN"/>
              </w:rPr>
              <w:t xml:space="preserve"> </w:t>
            </w:r>
            <w:r>
              <w:rPr>
                <w:rFonts w:hint="eastAsia" w:ascii="宋体" w:hAnsi="宋体" w:eastAsia="宋体" w:cs="宋体"/>
                <w:b/>
                <w:i w:val="0"/>
                <w:iCs w:val="0"/>
                <w:color w:val="1E3A8A"/>
                <w:sz w:val="24"/>
                <w:szCs w:val="24"/>
              </w:rPr>
              <w:t>蒸汽消耗量 = 瞬时流量时间积分</w:t>
            </w:r>
          </w:p>
        </w:tc>
      </w:tr>
    </w:tbl>
    <w:p w14:paraId="582441A7">
      <w:pPr>
        <w:spacing w:after="40"/>
        <w:rPr>
          <w:rFonts w:hint="eastAsia" w:ascii="宋体" w:hAnsi="宋体" w:eastAsia="宋体" w:cs="宋体"/>
          <w:i w:val="0"/>
          <w:iCs w:val="0"/>
          <w:sz w:val="24"/>
          <w:szCs w:val="24"/>
        </w:rPr>
      </w:pPr>
    </w:p>
    <w:p w14:paraId="4F2BD0D7">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w:t>
      </w:r>
      <w:r>
        <w:rPr>
          <w:rFonts w:ascii="Times New Roman" w:hAnsi="Times New Roman" w:eastAsia="宋体" w:cs="Times New Roman"/>
          <w:b w:val="0"/>
          <w:i w:val="0"/>
          <w:color w:val="0284C7"/>
          <w:sz w:val="24"/>
          <w:szCs w:val="24"/>
        </w:rPr>
        <w:t xml:space="preserve"> P_rated </w:t>
      </w:r>
      <w:r>
        <w:rPr>
          <w:rFonts w:ascii="Times New Roman" w:hAnsi="Times New Roman" w:eastAsia="宋体" w:cs="Times New Roman"/>
          <w:i w:val="0"/>
          <w:color w:val="1F2937"/>
          <w:sz w:val="24"/>
          <w:szCs w:val="24"/>
        </w:rPr>
        <w:t xml:space="preserve"> 为设备铭牌额定功率；</w:t>
      </w:r>
      <w:r>
        <w:rPr>
          <w:rFonts w:ascii="Times New Roman" w:hAnsi="Times New Roman" w:eastAsia="宋体" w:cs="Times New Roman"/>
          <w:b w:val="0"/>
          <w:i w:val="0"/>
          <w:color w:val="0284C7"/>
          <w:sz w:val="24"/>
          <w:szCs w:val="24"/>
        </w:rPr>
        <w:t xml:space="preserve"> F_instant </w:t>
      </w:r>
      <w:r>
        <w:rPr>
          <w:rFonts w:ascii="Times New Roman" w:hAnsi="Times New Roman" w:eastAsia="宋体" w:cs="Times New Roman"/>
          <w:i w:val="0"/>
          <w:color w:val="1F2937"/>
          <w:sz w:val="24"/>
          <w:szCs w:val="24"/>
        </w:rPr>
        <w:t xml:space="preserve"> 为瞬时蒸汽流量；告警阈值：负荷率超 120%、功率因数低于 0.90 触发越限。</w:t>
      </w:r>
    </w:p>
    <w:p w14:paraId="31F15CC0">
      <w:pPr>
        <w:pStyle w:val="6"/>
        <w:numPr>
          <w:ilvl w:val="0"/>
          <w:numId w:val="4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56E2173D">
      <w:pPr>
        <w:pStyle w:val="19"/>
        <w:widowControl/>
        <w:numPr>
          <w:ilvl w:val="0"/>
          <w:numId w:val="5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客观中立准则</w:t>
      </w:r>
      <w:r>
        <w:rPr>
          <w:rFonts w:ascii="Times New Roman" w:hAnsi="Times New Roman" w:eastAsia="宋体" w:cs="Times New Roman"/>
          <w:i w:val="0"/>
          <w:color w:val="1F2937"/>
          <w:sz w:val="24"/>
          <w:szCs w:val="24"/>
        </w:rPr>
        <w:t xml:space="preserve">：工况对比统一使用时序"环比"（如 </w:t>
      </w:r>
      <w:r>
        <w:rPr>
          <w:rFonts w:ascii="Times New Roman" w:hAnsi="Times New Roman" w:eastAsia="宋体" w:cs="Times New Roman"/>
          <w:b w:val="0"/>
          <w:i w:val="0"/>
          <w:color w:val="0284C7"/>
          <w:sz w:val="24"/>
          <w:szCs w:val="24"/>
        </w:rPr>
        <w:t xml:space="preserve"> 负荷率环比 +1.8% </w:t>
      </w:r>
      <w:r>
        <w:rPr>
          <w:rFonts w:ascii="Times New Roman" w:hAnsi="Times New Roman" w:eastAsia="宋体" w:cs="Times New Roman"/>
          <w:i w:val="0"/>
          <w:color w:val="1F2937"/>
          <w:sz w:val="24"/>
          <w:szCs w:val="24"/>
        </w:rPr>
        <w:t>），严禁出现主观评价文字（如"电能品质优良"等）。原"管道工作压力"统一标准化更名为【蒸汽消耗量】。</w:t>
      </w:r>
    </w:p>
    <w:p w14:paraId="4AF9E597">
      <w:pPr>
        <w:pStyle w:val="19"/>
        <w:widowControl/>
        <w:numPr>
          <w:ilvl w:val="0"/>
          <w:numId w:val="5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设备类型口径</w:t>
      </w:r>
      <w:r>
        <w:rPr>
          <w:rFonts w:ascii="Times New Roman" w:hAnsi="Times New Roman" w:eastAsia="宋体" w:cs="Times New Roman"/>
          <w:i w:val="0"/>
          <w:color w:val="1F2937"/>
          <w:sz w:val="24"/>
          <w:szCs w:val="24"/>
        </w:rPr>
        <w:t>：电力驱动 23 台、热力用能 9 台，合计 32 台，为固定纳管范围，未纳管设备不参与统计。</w:t>
      </w:r>
    </w:p>
    <w:p w14:paraId="7DA3BE4C">
      <w:pPr>
        <w:pStyle w:val="19"/>
        <w:widowControl/>
        <w:numPr>
          <w:ilvl w:val="0"/>
          <w:numId w:val="5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负荷率三色判定</w:t>
      </w:r>
      <w:r>
        <w:rPr>
          <w:rFonts w:ascii="Times New Roman" w:hAnsi="Times New Roman" w:eastAsia="宋体" w:cs="Times New Roman"/>
          <w:i w:val="0"/>
          <w:color w:val="1F2937"/>
          <w:sz w:val="24"/>
          <w:szCs w:val="24"/>
        </w:rPr>
        <w:t>：≤100% 正常，100%~120% 关注，&gt;120% 越限告警。</w:t>
      </w:r>
    </w:p>
    <w:p w14:paraId="0668E0CC">
      <w:pPr>
        <w:pStyle w:val="6"/>
        <w:numPr>
          <w:ilvl w:val="0"/>
          <w:numId w:val="4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3C4B3B24">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04F3FDF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越限（负荷率超 120%、功率因数低于 0.90 等）触发告警中心事件并红框高亮对应设备卡片。</w:t>
            </w:r>
          </w:p>
          <w:p w14:paraId="372F1E9E">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- 9 家未联网单位设备数标注为 </w:t>
            </w:r>
            <w:r>
              <w:rPr>
                <w:rFonts w:hint="eastAsia" w:ascii="宋体" w:hAnsi="宋体" w:eastAsia="宋体" w:cs="宋体"/>
                <w:b w:val="0"/>
                <w:i w:val="0"/>
                <w:iCs w:val="0"/>
                <w:color w:val="0284C7"/>
                <w:sz w:val="24"/>
                <w:szCs w:val="24"/>
              </w:rPr>
              <w:t xml:space="preserve"> (0) </w:t>
            </w:r>
            <w:r>
              <w:rPr>
                <w:rFonts w:hint="eastAsia" w:ascii="宋体" w:hAnsi="宋体" w:eastAsia="宋体" w:cs="宋体"/>
                <w:i w:val="0"/>
                <w:iCs w:val="0"/>
                <w:color w:val="1F2937"/>
                <w:sz w:val="24"/>
                <w:szCs w:val="24"/>
              </w:rPr>
              <w:t>，节点置灰禁用。</w:t>
            </w:r>
          </w:p>
          <w:p w14:paraId="60CA7B3A">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实时刷新：实时点位按 1s~5s 轮询刷新【待确认】，历史区间查询走日结库。</w:t>
            </w:r>
          </w:p>
          <w:p w14:paraId="5C924A1B">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设备离线：卡片显示"设备离线"状态徽章并保留最后一次有效读数，不阻断页面其余设备渲染。</w:t>
            </w:r>
          </w:p>
        </w:tc>
      </w:tr>
    </w:tbl>
    <w:p w14:paraId="578AB922">
      <w:pPr>
        <w:spacing w:after="40"/>
        <w:rPr>
          <w:rFonts w:hint="eastAsia" w:ascii="宋体" w:hAnsi="宋体" w:eastAsia="宋体" w:cs="宋体"/>
          <w:i w:val="0"/>
          <w:iCs w:val="0"/>
          <w:sz w:val="24"/>
          <w:szCs w:val="24"/>
        </w:rPr>
      </w:pPr>
    </w:p>
    <w:p w14:paraId="593ED9EF">
      <w:pPr>
        <w:pStyle w:val="6"/>
        <w:numPr>
          <w:ilvl w:val="0"/>
          <w:numId w:val="49"/>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3E96CF68">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5BB77C74">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重点设备在线监测介质自适应</w:t>
            </w:r>
          </w:p>
          <w:p w14:paraId="46FEAE07">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电力与热力设备指标自适应</w:t>
            </w:r>
          </w:p>
          <w:p w14:paraId="4594113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设备树中同时存在电力驱动设备与热力用能设备</w:t>
            </w:r>
          </w:p>
          <w:p w14:paraId="5CC71D0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用户选中一台电力驱动设备</w:t>
            </w:r>
          </w:p>
          <w:p w14:paraId="48285758">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核心指标区展示实时有功功率、当月用电量、当日用电量、负荷率与功率因数</w:t>
            </w:r>
          </w:p>
          <w:p w14:paraId="42516C19">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图表区展示 15 分钟连续负荷曲线与峰平谷占比环形图</w:t>
            </w:r>
          </w:p>
          <w:p w14:paraId="57294439">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用户改选一台热力用能设备</w:t>
            </w:r>
          </w:p>
          <w:p w14:paraId="70A76DD6">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核心指标区改为展示瞬时蒸汽流量、当月蒸汽消耗量、当日蒸汽消耗量、供汽管道压力与温度</w:t>
            </w:r>
          </w:p>
          <w:p w14:paraId="44FA4D2C">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不再出现峰平谷相关字样</w:t>
            </w:r>
          </w:p>
          <w:p w14:paraId="114E3524">
            <w:pPr>
              <w:spacing w:before="0" w:after="20" w:line="264" w:lineRule="auto"/>
              <w:rPr>
                <w:rFonts w:hint="eastAsia" w:ascii="宋体" w:hAnsi="宋体" w:eastAsia="宋体" w:cs="宋体"/>
                <w:i w:val="0"/>
                <w:iCs w:val="0"/>
                <w:sz w:val="24"/>
                <w:szCs w:val="24"/>
              </w:rPr>
            </w:pPr>
          </w:p>
          <w:p w14:paraId="0AF8EC42">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设备越限告警联动</w:t>
            </w:r>
          </w:p>
          <w:p w14:paraId="5109624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某电力设备实时负荷率为 128%</w:t>
            </w:r>
          </w:p>
          <w:p w14:paraId="1A0BB05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系统完成一次 5 秒轮询刷新</w:t>
            </w:r>
          </w:p>
          <w:p w14:paraId="4C466D24">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该设备卡片红框高亮</w:t>
            </w:r>
          </w:p>
          <w:p w14:paraId="591FEC38">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告警中心新增一条设备越限事件</w:t>
            </w:r>
          </w:p>
          <w:p w14:paraId="22F4DB5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页面文案使用"负荷率环比 +X%"表达，不含主观评语</w:t>
            </w:r>
          </w:p>
        </w:tc>
      </w:tr>
    </w:tbl>
    <w:p w14:paraId="7C114C0E">
      <w:pPr>
        <w:spacing w:after="40"/>
        <w:rPr>
          <w:rFonts w:hint="eastAsia" w:ascii="宋体" w:hAnsi="宋体" w:eastAsia="宋体" w:cs="宋体"/>
          <w:i w:val="0"/>
          <w:iCs w:val="0"/>
          <w:sz w:val="24"/>
          <w:szCs w:val="24"/>
        </w:rPr>
      </w:pPr>
    </w:p>
    <w:p w14:paraId="7BEA52AE">
      <w:pPr>
        <w:pStyle w:val="5"/>
        <w:numPr>
          <w:ilvl w:val="0"/>
          <w:numId w:val="27"/>
        </w:numPr>
        <w:ind w:left="0" w:leftChars="0" w:firstLine="0" w:firstLineChars="0"/>
        <w:outlineLvl w:val="1"/>
        <w:rPr>
          <w:rFonts w:eastAsia="黑体"/>
          <w:b w:val="0"/>
          <w:bCs w:val="0"/>
          <w:sz w:val="30"/>
          <w:szCs w:val="24"/>
        </w:rPr>
      </w:pPr>
      <w:bookmarkStart w:id="19" w:name="_Toc13224"/>
      <w:r>
        <w:rPr>
          <w:rFonts w:ascii="Times New Roman" w:hAnsi="Times New Roman" w:eastAsia="黑体" w:cs="Times New Roman"/>
          <w:b w:val="0"/>
          <w:bCs w:val="0"/>
          <w:sz w:val="30"/>
          <w:szCs w:val="24"/>
        </w:rPr>
        <w:t>工业微电网监测</w:t>
      </w:r>
      <w:bookmarkEnd w:id="19"/>
    </w:p>
    <w:p w14:paraId="21959495">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kern w:val="2"/>
          <w:sz w:val="28"/>
          <w:szCs w:val="28"/>
          <w:lang w:bidi="ar-SA"/>
        </w:rPr>
      </w:pPr>
      <w:r>
        <w:drawing>
          <wp:inline distT="0" distB="0" distL="114300" distR="114300">
            <wp:extent cx="5900420" cy="2925445"/>
            <wp:effectExtent l="0" t="0" r="5080" b="8255"/>
            <wp:docPr id="1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4"/>
                    <pic:cNvPicPr>
                      <a:picLocks noChangeAspect="1"/>
                    </pic:cNvPicPr>
                  </pic:nvPicPr>
                  <pic:blipFill>
                    <a:blip r:embed="rId33"/>
                    <a:stretch>
                      <a:fillRect/>
                    </a:stretch>
                  </pic:blipFill>
                  <pic:spPr>
                    <a:xfrm>
                      <a:off x="0" y="0"/>
                      <a:ext cx="5900420" cy="2925445"/>
                    </a:xfrm>
                    <a:prstGeom prst="rect">
                      <a:avLst/>
                    </a:prstGeom>
                    <a:noFill/>
                    <a:ln>
                      <a:noFill/>
                    </a:ln>
                  </pic:spPr>
                </pic:pic>
              </a:graphicData>
            </a:graphic>
          </wp:inline>
        </w:drawing>
      </w:r>
    </w:p>
    <w:p w14:paraId="551D72A1">
      <w:pPr>
        <w:pStyle w:val="6"/>
        <w:numPr>
          <w:ilvl w:val="0"/>
          <w:numId w:val="54"/>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7E9C7003">
      <w:pPr>
        <w:pStyle w:val="19"/>
        <w:widowControl/>
        <w:numPr>
          <w:ilvl w:val="0"/>
          <w:numId w:val="5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：园区级源网荷储一体化运行的实时监测与工况分析模块，支撑微电网削峰填谷与绿电消纳优化。</w:t>
      </w:r>
    </w:p>
    <w:p w14:paraId="4F2434E9">
      <w:pPr>
        <w:pStyle w:val="19"/>
        <w:widowControl/>
        <w:numPr>
          <w:ilvl w:val="0"/>
          <w:numId w:val="5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：P2 园区能碳专员（微电网调度视角）、设备保全工程师。</w:t>
      </w:r>
    </w:p>
    <w:p w14:paraId="0718511F">
      <w:pPr>
        <w:pStyle w:val="19"/>
        <w:widowControl/>
        <w:numPr>
          <w:ilvl w:val="0"/>
          <w:numId w:val="5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/monitor/energy/microgrid </w:t>
      </w:r>
      <w:r>
        <w:rPr>
          <w:rFonts w:ascii="Times New Roman" w:hAnsi="Times New Roman" w:eastAsia="宋体" w:cs="Times New Roman"/>
          <w:i w:val="0"/>
          <w:color w:val="1F2937"/>
          <w:sz w:val="24"/>
          <w:szCs w:val="24"/>
        </w:rPr>
        <w:t xml:space="preserve">；子页 </w:t>
      </w:r>
      <w:r>
        <w:rPr>
          <w:rFonts w:ascii="Times New Roman" w:hAnsi="Times New Roman" w:eastAsia="宋体" w:cs="Times New Roman"/>
          <w:b w:val="0"/>
          <w:i w:val="0"/>
          <w:color w:val="0284C7"/>
          <w:sz w:val="24"/>
          <w:szCs w:val="24"/>
        </w:rPr>
        <w:t xml:space="preserve"> /power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/electricity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/green </w:t>
      </w:r>
      <w:r>
        <w:rPr>
          <w:rFonts w:ascii="Times New Roman" w:hAnsi="Times New Roman" w:eastAsia="宋体" w:cs="Times New Roman"/>
          <w:i w:val="0"/>
          <w:color w:val="1F2937"/>
          <w:sz w:val="24"/>
          <w:szCs w:val="24"/>
        </w:rPr>
        <w:t>。</w:t>
      </w:r>
    </w:p>
    <w:p w14:paraId="766CFFA5">
      <w:pPr>
        <w:pStyle w:val="19"/>
        <w:widowControl/>
        <w:numPr>
          <w:ilvl w:val="0"/>
          <w:numId w:val="5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：工业微电网监测设备遥测、储能 BMS、光伏逆变器、能源价格管理分时电价。</w:t>
      </w:r>
    </w:p>
    <w:p w14:paraId="42A60FE8">
      <w:pPr>
        <w:pStyle w:val="19"/>
        <w:widowControl/>
        <w:numPr>
          <w:ilvl w:val="0"/>
          <w:numId w:val="5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：移峰填谷调度依据、绿电消纳统计、碳排监测绿电抵扣数据。</w:t>
      </w:r>
    </w:p>
    <w:p w14:paraId="6F9C0D9B">
      <w:pPr>
        <w:pStyle w:val="6"/>
        <w:numPr>
          <w:ilvl w:val="0"/>
          <w:numId w:val="54"/>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538ABF38">
      <w:pPr>
        <w:pStyle w:val="19"/>
        <w:widowControl/>
        <w:numPr>
          <w:ilvl w:val="0"/>
          <w:numId w:val="5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：园区微电网运行工况的连续监视，覆盖光伏发电、储能充放、市电负荷与热力设备蒸汽消耗，支撑谷充峰放执行与绿电消纳率提升。</w:t>
      </w:r>
    </w:p>
    <w:p w14:paraId="6C614E77">
      <w:pPr>
        <w:pStyle w:val="19"/>
        <w:widowControl/>
        <w:numPr>
          <w:ilvl w:val="0"/>
          <w:numId w:val="5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140663D5">
      <w:pPr>
        <w:pStyle w:val="19"/>
        <w:widowControl/>
        <w:numPr>
          <w:ilvl w:val="0"/>
          <w:numId w:val="56"/>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园区能碳专员 (Persona P2)</w:t>
      </w:r>
      <w:r>
        <w:rPr>
          <w:rFonts w:ascii="Times New Roman" w:hAnsi="Times New Roman" w:eastAsia="宋体" w:cs="Times New Roman"/>
          <w:i w:val="0"/>
          <w:color w:val="1F2937"/>
          <w:sz w:val="24"/>
          <w:szCs w:val="24"/>
        </w:rPr>
        <w:t>，</w:t>
      </w:r>
    </w:p>
    <w:p w14:paraId="5400D713">
      <w:pPr>
        <w:pStyle w:val="19"/>
        <w:widowControl/>
        <w:numPr>
          <w:ilvl w:val="0"/>
          <w:numId w:val="56"/>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在微电网监测页按企业展开设备树，查看光伏发电功率、储能 SOC 与充放功率、市电负荷及热力设备蒸汽消耗的实时工况与环比</w:t>
      </w:r>
      <w:r>
        <w:rPr>
          <w:rFonts w:ascii="Times New Roman" w:hAnsi="Times New Roman" w:eastAsia="宋体" w:cs="Times New Roman"/>
          <w:i w:val="0"/>
          <w:color w:val="1F2937"/>
          <w:sz w:val="24"/>
          <w:szCs w:val="24"/>
        </w:rPr>
        <w:t>，</w:t>
      </w:r>
    </w:p>
    <w:p w14:paraId="780B5870">
      <w:pPr>
        <w:pStyle w:val="19"/>
        <w:widowControl/>
        <w:numPr>
          <w:ilvl w:val="0"/>
          <w:numId w:val="56"/>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我能优化储能充放策略，提升绿电消纳率并降低尖峰电费</w:t>
      </w:r>
      <w:r>
        <w:rPr>
          <w:rFonts w:ascii="Times New Roman" w:hAnsi="Times New Roman" w:eastAsia="宋体" w:cs="Times New Roman"/>
          <w:i w:val="0"/>
          <w:color w:val="1F2937"/>
          <w:sz w:val="24"/>
          <w:szCs w:val="24"/>
        </w:rPr>
        <w:t>。</w:t>
      </w:r>
    </w:p>
    <w:p w14:paraId="1B2A2A59">
      <w:pPr>
        <w:pStyle w:val="6"/>
        <w:numPr>
          <w:ilvl w:val="0"/>
          <w:numId w:val="54"/>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6055400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功能交互规则：</w:t>
      </w:r>
    </w:p>
    <w:p w14:paraId="67995E59">
      <w:pPr>
        <w:pStyle w:val="19"/>
        <w:widowControl/>
        <w:numPr>
          <w:ilvl w:val="0"/>
          <w:numId w:val="5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拓扑树规范</w:t>
      </w:r>
      <w:r>
        <w:rPr>
          <w:rFonts w:ascii="Times New Roman" w:hAnsi="Times New Roman" w:eastAsia="宋体" w:cs="Times New Roman"/>
          <w:i w:val="0"/>
          <w:color w:val="1F2937"/>
          <w:sz w:val="24"/>
          <w:szCs w:val="24"/>
        </w:rPr>
        <w:t>：左侧展示【企业 ➔ 设备】（全量纳入 23 台电力驱动设备与 9 台热力用能设备），设备节点前置语义图标，彻底剥离末尾冗余胶囊徽章；未接入单位字体置灰禁用。</w:t>
      </w:r>
    </w:p>
    <w:p w14:paraId="144AF3AE">
      <w:pPr>
        <w:pStyle w:val="19"/>
        <w:widowControl/>
        <w:numPr>
          <w:ilvl w:val="0"/>
          <w:numId w:val="5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核心自适应机制</w:t>
      </w:r>
      <w:r>
        <w:rPr>
          <w:rFonts w:ascii="Times New Roman" w:hAnsi="Times New Roman" w:eastAsia="宋体" w:cs="Times New Roman"/>
          <w:i w:val="0"/>
          <w:color w:val="1F2937"/>
          <w:sz w:val="24"/>
          <w:szCs w:val="24"/>
        </w:rPr>
        <w:t>：选中电力设备自动呈现有功功率、累计电量、功率因数与负荷率（环比维度）；选中热力设备自动呈现瞬时蒸汽流量、蒸汽消耗量、供汽压力与供汽温度。</w:t>
      </w:r>
    </w:p>
    <w:p w14:paraId="2965723E">
      <w:pPr>
        <w:pStyle w:val="19"/>
        <w:widowControl/>
        <w:numPr>
          <w:ilvl w:val="0"/>
          <w:numId w:val="5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客观中立准则</w:t>
      </w:r>
      <w:r>
        <w:rPr>
          <w:rFonts w:ascii="Times New Roman" w:hAnsi="Times New Roman" w:eastAsia="宋体" w:cs="Times New Roman"/>
          <w:i w:val="0"/>
          <w:color w:val="1F2937"/>
          <w:sz w:val="24"/>
          <w:szCs w:val="24"/>
        </w:rPr>
        <w:t>：工况对比统一使用时序"环比"（如负荷率环比 +1.8%），严禁出现主观评价文字（如"电能品质优良"等）。原"管道工作压力"统一标准化更名为【蒸汽消耗量】。</w:t>
      </w:r>
    </w:p>
    <w:p w14:paraId="3E3B6B32">
      <w:pPr>
        <w:pStyle w:val="19"/>
        <w:widowControl/>
        <w:numPr>
          <w:ilvl w:val="0"/>
          <w:numId w:val="5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子模块划分</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4.1 功率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4.2 电量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4.3 绿电 </w:t>
      </w:r>
      <w:r>
        <w:rPr>
          <w:rFonts w:ascii="Times New Roman" w:hAnsi="Times New Roman" w:eastAsia="宋体" w:cs="Times New Roman"/>
          <w:i w:val="0"/>
          <w:color w:val="1F2937"/>
          <w:sz w:val="24"/>
          <w:szCs w:val="24"/>
        </w:rPr>
        <w:t xml:space="preserve"> 三个子页分别承载功率流、电量结算与绿电消纳专题视图。</w:t>
      </w:r>
    </w:p>
    <w:p w14:paraId="1DFDFAFD">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补充交互规则：</w:t>
      </w:r>
    </w:p>
    <w:p w14:paraId="450EA83C">
      <w:pPr>
        <w:pStyle w:val="19"/>
        <w:widowControl/>
        <w:numPr>
          <w:ilvl w:val="0"/>
          <w:numId w:val="5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设备树</w:t>
      </w:r>
      <w:r>
        <w:rPr>
          <w:rFonts w:ascii="Times New Roman" w:hAnsi="Times New Roman" w:eastAsia="宋体" w:cs="Times New Roman"/>
          <w:i w:val="0"/>
          <w:color w:val="1F2937"/>
          <w:sz w:val="24"/>
          <w:szCs w:val="24"/>
        </w:rPr>
        <w:t>：支持按企业展开/收起、关键词搜索；设备节点前缀语义图标（电力设备 / 热力设备）。</w:t>
      </w:r>
    </w:p>
    <w:p w14:paraId="5A5005AB">
      <w:pPr>
        <w:pStyle w:val="19"/>
        <w:widowControl/>
        <w:numPr>
          <w:ilvl w:val="0"/>
          <w:numId w:val="5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实时刷新</w:t>
      </w:r>
      <w:r>
        <w:rPr>
          <w:rFonts w:ascii="Times New Roman" w:hAnsi="Times New Roman" w:eastAsia="宋体" w:cs="Times New Roman"/>
          <w:i w:val="0"/>
          <w:color w:val="1F2937"/>
          <w:sz w:val="24"/>
          <w:szCs w:val="24"/>
        </w:rPr>
        <w:t>：边端一体机对水、电、汽、压力等核心点位保持 1s~5s 高频采集与本地滑动窗口计算，用于瞬时越限告警判定；云端常规表计统一采用 15 分钟等间隔打点汇聚上报。</w:t>
      </w:r>
    </w:p>
    <w:p w14:paraId="4F91D2DF">
      <w:pPr>
        <w:pStyle w:val="19"/>
        <w:widowControl/>
        <w:ind w:left="0" w:leftChars="0" w:firstLine="0" w:firstLineChars="0"/>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高频透传模式：仅对 32 台特种工艺设备（气相真空干燥罐、耐压试验台等），在其运行试验期间由系统动态开启 1s~5s 级高频透传；试验结束后自动恢复 15 分钟等间隔汇聚，透传时长与点数写入带宽占用流水。</w:t>
      </w:r>
    </w:p>
    <w:p w14:paraId="1F4229C4">
      <w:pPr>
        <w:pStyle w:val="19"/>
        <w:widowControl/>
        <w:numPr>
          <w:ilvl w:val="0"/>
          <w:numId w:val="5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告警联动</w:t>
      </w:r>
      <w:r>
        <w:rPr>
          <w:rFonts w:ascii="Times New Roman" w:hAnsi="Times New Roman" w:eastAsia="宋体" w:cs="Times New Roman"/>
          <w:i w:val="0"/>
          <w:color w:val="1F2937"/>
          <w:sz w:val="24"/>
          <w:szCs w:val="24"/>
        </w:rPr>
        <w:t>：越限（负荷率超 120%、功率因数低于 0.90 等）触发告警中心事件并红框高亮对应设备卡片。</w:t>
      </w:r>
    </w:p>
    <w:p w14:paraId="62D2677F">
      <w:pPr>
        <w:pStyle w:val="19"/>
        <w:widowControl/>
        <w:numPr>
          <w:ilvl w:val="0"/>
          <w:numId w:val="5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环比表达</w:t>
      </w:r>
      <w:r>
        <w:rPr>
          <w:rFonts w:ascii="Times New Roman" w:hAnsi="Times New Roman" w:eastAsia="宋体" w:cs="Times New Roman"/>
          <w:i w:val="0"/>
          <w:color w:val="1F2937"/>
          <w:sz w:val="24"/>
          <w:szCs w:val="24"/>
        </w:rPr>
        <w:t>：工况对比统一使用时序"环比"，严禁主观评价文字（客观中立原则）。</w:t>
      </w:r>
    </w:p>
    <w:p w14:paraId="4C597215">
      <w:pPr>
        <w:pStyle w:val="19"/>
        <w:widowControl/>
        <w:numPr>
          <w:ilvl w:val="0"/>
          <w:numId w:val="0"/>
        </w:numPr>
        <w:rPr>
          <w:rFonts w:hint="default" w:eastAsia="宋体"/>
          <w:b/>
          <w:i w:val="0"/>
          <w:color w:val="0284C7"/>
          <w:sz w:val="24"/>
          <w:szCs w:val="24"/>
          <w:lang w:val="en-US" w:eastAsia="zh-CN"/>
        </w:rPr>
      </w:pPr>
      <w:r>
        <w:rPr>
          <w:rFonts w:hint="eastAsia" w:cs="Times New Roman"/>
          <w:i w:val="0"/>
          <w:color w:val="1F2937"/>
          <w:sz w:val="24"/>
          <w:szCs w:val="24"/>
          <w:lang w:val="en-US" w:eastAsia="zh-CN"/>
        </w:rPr>
        <w:t>功率数据：</w:t>
      </w:r>
    </w:p>
    <w:p w14:paraId="2D932D9F">
      <w:pPr>
        <w:pStyle w:val="19"/>
        <w:widowControl/>
        <w:numPr>
          <w:ilvl w:val="0"/>
          <w:numId w:val="0"/>
        </w:numPr>
      </w:pPr>
      <w:r>
        <w:drawing>
          <wp:inline distT="0" distB="0" distL="114300" distR="114300">
            <wp:extent cx="5909310" cy="2963545"/>
            <wp:effectExtent l="0" t="0" r="15240" b="8255"/>
            <wp:docPr id="103"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57"/>
                    <pic:cNvPicPr>
                      <a:picLocks noChangeAspect="1"/>
                    </pic:cNvPicPr>
                  </pic:nvPicPr>
                  <pic:blipFill>
                    <a:blip r:embed="rId34"/>
                    <a:stretch>
                      <a:fillRect/>
                    </a:stretch>
                  </pic:blipFill>
                  <pic:spPr>
                    <a:xfrm>
                      <a:off x="0" y="0"/>
                      <a:ext cx="5909310" cy="2963545"/>
                    </a:xfrm>
                    <a:prstGeom prst="rect">
                      <a:avLst/>
                    </a:prstGeom>
                    <a:noFill/>
                    <a:ln>
                      <a:noFill/>
                    </a:ln>
                  </pic:spPr>
                </pic:pic>
              </a:graphicData>
            </a:graphic>
          </wp:inline>
        </w:drawing>
      </w:r>
    </w:p>
    <w:p w14:paraId="448545E1">
      <w:pPr>
        <w:pStyle w:val="19"/>
        <w:widowControl/>
        <w:numPr>
          <w:ilvl w:val="0"/>
          <w:numId w:val="0"/>
        </w:numPr>
      </w:pPr>
    </w:p>
    <w:p w14:paraId="02E7F840">
      <w:pPr>
        <w:pStyle w:val="19"/>
        <w:widowControl/>
        <w:numPr>
          <w:ilvl w:val="0"/>
          <w:numId w:val="0"/>
        </w:numPr>
      </w:pPr>
      <w:r>
        <w:rPr>
          <w:rFonts w:hint="eastAsia"/>
          <w:lang w:val="en-US" w:eastAsia="zh-CN"/>
        </w:rPr>
        <w:t>电量数据：</w:t>
      </w:r>
      <w:r>
        <w:rPr>
          <w:rFonts w:hint="eastAsia"/>
          <w:lang w:val="en-US" w:eastAsia="zh-CN"/>
        </w:rPr>
        <w:br w:type="textWrapping"/>
      </w:r>
      <w:r>
        <w:drawing>
          <wp:inline distT="0" distB="0" distL="114300" distR="114300">
            <wp:extent cx="5905500" cy="3547110"/>
            <wp:effectExtent l="0" t="0" r="0" b="15240"/>
            <wp:docPr id="105"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59"/>
                    <pic:cNvPicPr>
                      <a:picLocks noChangeAspect="1"/>
                    </pic:cNvPicPr>
                  </pic:nvPicPr>
                  <pic:blipFill>
                    <a:blip r:embed="rId35"/>
                    <a:stretch>
                      <a:fillRect/>
                    </a:stretch>
                  </pic:blipFill>
                  <pic:spPr>
                    <a:xfrm>
                      <a:off x="0" y="0"/>
                      <a:ext cx="5905500" cy="3547110"/>
                    </a:xfrm>
                    <a:prstGeom prst="rect">
                      <a:avLst/>
                    </a:prstGeom>
                    <a:noFill/>
                    <a:ln>
                      <a:noFill/>
                    </a:ln>
                  </pic:spPr>
                </pic:pic>
              </a:graphicData>
            </a:graphic>
          </wp:inline>
        </w:drawing>
      </w:r>
    </w:p>
    <w:p w14:paraId="2226C238">
      <w:pPr>
        <w:pStyle w:val="19"/>
        <w:widowControl/>
        <w:numPr>
          <w:ilvl w:val="0"/>
          <w:numId w:val="0"/>
        </w:numPr>
      </w:pPr>
    </w:p>
    <w:p w14:paraId="1E320698">
      <w:pPr>
        <w:pStyle w:val="19"/>
        <w:widowControl/>
        <w:numPr>
          <w:ilvl w:val="0"/>
          <w:numId w:val="0"/>
        </w:numPr>
        <w:rPr>
          <w:rFonts w:hint="default" w:eastAsia="宋体"/>
          <w:lang w:val="en-US" w:eastAsia="zh-CN"/>
        </w:rPr>
      </w:pPr>
      <w:r>
        <w:rPr>
          <w:rFonts w:hint="eastAsia"/>
          <w:lang w:val="en-US" w:eastAsia="zh-CN"/>
        </w:rPr>
        <w:t>绿电数据：</w:t>
      </w:r>
    </w:p>
    <w:p w14:paraId="251F5E60">
      <w:pPr>
        <w:pStyle w:val="19"/>
        <w:widowControl/>
        <w:numPr>
          <w:ilvl w:val="0"/>
          <w:numId w:val="0"/>
        </w:numPr>
      </w:pPr>
      <w:r>
        <w:drawing>
          <wp:inline distT="0" distB="0" distL="114300" distR="114300">
            <wp:extent cx="5901690" cy="3753485"/>
            <wp:effectExtent l="0" t="0" r="3810" b="18415"/>
            <wp:docPr id="106"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60"/>
                    <pic:cNvPicPr>
                      <a:picLocks noChangeAspect="1"/>
                    </pic:cNvPicPr>
                  </pic:nvPicPr>
                  <pic:blipFill>
                    <a:blip r:embed="rId36"/>
                    <a:stretch>
                      <a:fillRect/>
                    </a:stretch>
                  </pic:blipFill>
                  <pic:spPr>
                    <a:xfrm>
                      <a:off x="0" y="0"/>
                      <a:ext cx="5901690" cy="3753485"/>
                    </a:xfrm>
                    <a:prstGeom prst="rect">
                      <a:avLst/>
                    </a:prstGeom>
                    <a:noFill/>
                    <a:ln>
                      <a:noFill/>
                    </a:ln>
                  </pic:spPr>
                </pic:pic>
              </a:graphicData>
            </a:graphic>
          </wp:inline>
        </w:drawing>
      </w:r>
    </w:p>
    <w:p w14:paraId="49DDB670">
      <w:pPr>
        <w:pStyle w:val="19"/>
        <w:widowControl/>
        <w:numPr>
          <w:ilvl w:val="0"/>
          <w:numId w:val="0"/>
        </w:numPr>
        <w:rPr>
          <w:rFonts w:hint="default"/>
          <w:lang w:val="en-US" w:eastAsia="zh-CN"/>
        </w:rPr>
      </w:pPr>
    </w:p>
    <w:p w14:paraId="0CDEFEC2">
      <w:pPr>
        <w:pStyle w:val="6"/>
        <w:numPr>
          <w:ilvl w:val="0"/>
          <w:numId w:val="54"/>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849" w:type="dxa"/>
        <w:jc w:val="center"/>
        <w:tblLayout w:type="autofit"/>
        <w:tblCellMar>
          <w:top w:w="0" w:type="dxa"/>
          <w:left w:w="108" w:type="dxa"/>
          <w:bottom w:w="0" w:type="dxa"/>
          <w:right w:w="108" w:type="dxa"/>
        </w:tblCellMar>
      </w:tblPr>
      <w:tblGrid>
        <w:gridCol w:w="817"/>
        <w:gridCol w:w="1896"/>
        <w:gridCol w:w="1299"/>
        <w:gridCol w:w="1299"/>
        <w:gridCol w:w="1322"/>
        <w:gridCol w:w="3216"/>
      </w:tblGrid>
      <w:tr w14:paraId="7E10F324">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2845C4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B11FC2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29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335194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129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8F7F22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395014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适用设备类型</w:t>
            </w:r>
          </w:p>
        </w:tc>
        <w:tc>
          <w:tcPr>
            <w:tcW w:w="321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E4774E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计算模型/来源</w:t>
            </w:r>
          </w:p>
        </w:tc>
      </w:tr>
      <w:tr w14:paraId="0402E3FA">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0EB21F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FDF6DB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实时有功功率</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2DB056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C7AC11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645F5A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电力设备</w:t>
            </w:r>
          </w:p>
        </w:tc>
        <w:tc>
          <w:tcPr>
            <w:tcW w:w="32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BAA2D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P = √3 × U × I × cosφ</w:t>
            </w:r>
            <w:r>
              <w:rPr>
                <w:rFonts w:hint="eastAsia" w:ascii="宋体" w:hAnsi="宋体" w:eastAsia="宋体" w:cs="宋体"/>
                <w:i w:val="0"/>
                <w:iCs w:val="0"/>
                <w:color w:val="1F2937"/>
                <w:sz w:val="24"/>
                <w:szCs w:val="24"/>
              </w:rPr>
              <w:t>，1s 采集</w:t>
            </w:r>
          </w:p>
        </w:tc>
      </w:tr>
      <w:tr w14:paraId="22C6D43F">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A51487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D4790F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累计用电量</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F9BCE8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A8DD79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EDFE1E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电力设备</w:t>
            </w:r>
          </w:p>
        </w:tc>
        <w:tc>
          <w:tcPr>
            <w:tcW w:w="32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6BE561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电能表底数累加，每日 0 点清零日累计</w:t>
            </w:r>
          </w:p>
        </w:tc>
      </w:tr>
      <w:tr w14:paraId="4377B425">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1E969A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701C3A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运行功率因数</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AB7F9C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55202E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cosφ</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D9D118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电力设备</w:t>
            </w:r>
          </w:p>
        </w:tc>
        <w:tc>
          <w:tcPr>
            <w:tcW w:w="32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A97421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cosφ = P / S</w:t>
            </w:r>
            <w:r>
              <w:rPr>
                <w:rFonts w:hint="eastAsia" w:ascii="宋体" w:hAnsi="宋体" w:eastAsia="宋体" w:cs="宋体"/>
                <w:i w:val="0"/>
                <w:iCs w:val="0"/>
                <w:color w:val="1F2937"/>
                <w:sz w:val="24"/>
                <w:szCs w:val="24"/>
              </w:rPr>
              <w:t>（有功功率 / 视在功率）</w:t>
            </w:r>
          </w:p>
        </w:tc>
      </w:tr>
      <w:tr w14:paraId="3C2955A9">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ED1285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17F7A9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设备负荷率</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5D76A9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DE7CAA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9EDD3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电力/热力</w:t>
            </w:r>
          </w:p>
        </w:tc>
        <w:tc>
          <w:tcPr>
            <w:tcW w:w="32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75B0C3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Load = (P_{actual} / P_{rated}) × 100%</w:t>
            </w:r>
          </w:p>
        </w:tc>
      </w:tr>
      <w:tr w14:paraId="231B36AD">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88398D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DEDD52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负荷率环比变动</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B1D672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A497B5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2CEAE5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电力/热力</w:t>
            </w:r>
          </w:p>
        </w:tc>
        <w:tc>
          <w:tcPr>
            <w:tcW w:w="32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499F39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MoM = (Load_t - Load_{t-1}) / Load_{t-1}</w:t>
            </w:r>
          </w:p>
        </w:tc>
      </w:tr>
      <w:tr w14:paraId="0BBDC408">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3524A5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B4CDCC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瞬时蒸汽流量</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7AD5EC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9BEDB5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t/h</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6E6E47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热力设备</w:t>
            </w:r>
          </w:p>
        </w:tc>
        <w:tc>
          <w:tcPr>
            <w:tcW w:w="32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FB67A5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涡街/孔板流量计温度压力补偿积算</w:t>
            </w:r>
          </w:p>
        </w:tc>
      </w:tr>
      <w:tr w14:paraId="5008C7A8">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2EA01C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82712F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蒸汽消耗量</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55226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396266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4B1494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热力设备</w:t>
            </w:r>
          </w:p>
        </w:tc>
        <w:tc>
          <w:tcPr>
            <w:tcW w:w="32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5D261C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瞬时流量时间积分累加量</w:t>
            </w:r>
          </w:p>
        </w:tc>
      </w:tr>
      <w:tr w14:paraId="3577DB37">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A40E29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2FE719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供汽管道工作压力</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A1029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CC3CA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MPa</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91831C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热力设备</w:t>
            </w:r>
          </w:p>
        </w:tc>
        <w:tc>
          <w:tcPr>
            <w:tcW w:w="32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BBC5B9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压力变送器 4-20mA 实时遥测</w:t>
            </w:r>
          </w:p>
        </w:tc>
      </w:tr>
      <w:tr w14:paraId="221A5650">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A0CE1C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EAA72E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光伏发电功率</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C217C1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7505F4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084C42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光伏</w:t>
            </w:r>
          </w:p>
        </w:tc>
        <w:tc>
          <w:tcPr>
            <w:tcW w:w="32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D06690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逆变器直流侧/交流侧遥测</w:t>
            </w:r>
          </w:p>
        </w:tc>
      </w:tr>
      <w:tr w14:paraId="3C5D600F">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B990EF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14E12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储能 SOC 值</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DE0145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8BBD0D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F5D4B7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储能</w:t>
            </w:r>
          </w:p>
        </w:tc>
        <w:tc>
          <w:tcPr>
            <w:tcW w:w="32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34FCB5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BMS 上送，取值 0~100</w:t>
            </w:r>
          </w:p>
        </w:tc>
      </w:tr>
      <w:tr w14:paraId="6B4D929E">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D5439D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CBF30F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储能充放电功率</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793218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68CB13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E600DB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储能</w:t>
            </w:r>
          </w:p>
        </w:tc>
        <w:tc>
          <w:tcPr>
            <w:tcW w:w="32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290343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正值充电 / 负值放电</w:t>
            </w:r>
          </w:p>
        </w:tc>
      </w:tr>
      <w:tr w14:paraId="2B4989F0">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480493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12</w:t>
            </w:r>
          </w:p>
        </w:tc>
        <w:tc>
          <w:tcPr>
            <w:tcW w:w="189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3256CB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绿电消纳率</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1C9744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635EA7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132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B8F07F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光伏</w:t>
            </w:r>
          </w:p>
        </w:tc>
        <w:tc>
          <w:tcPr>
            <w:tcW w:w="32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A609E9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自发自用量 / 光伏发电量 × 100%</w:t>
            </w:r>
          </w:p>
        </w:tc>
      </w:tr>
    </w:tbl>
    <w:p w14:paraId="171A8FB6">
      <w:pPr>
        <w:spacing w:after="60"/>
        <w:rPr>
          <w:rFonts w:hint="eastAsia" w:ascii="宋体" w:hAnsi="宋体" w:eastAsia="宋体" w:cs="宋体"/>
          <w:i w:val="0"/>
          <w:iCs w:val="0"/>
          <w:sz w:val="24"/>
          <w:szCs w:val="24"/>
        </w:rPr>
      </w:pPr>
    </w:p>
    <w:p w14:paraId="746E3419">
      <w:pPr>
        <w:pStyle w:val="6"/>
        <w:numPr>
          <w:ilvl w:val="0"/>
          <w:numId w:val="54"/>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642FDAF8">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17DA1CEE">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 xml:space="preserve">P_active = √3 × U × I × cosφ / 1s采集          </w:t>
            </w:r>
            <w:r>
              <w:rPr>
                <w:rFonts w:hint="eastAsia" w:ascii="宋体" w:hAnsi="宋体" w:eastAsia="宋体" w:cs="宋体"/>
                <w:b/>
                <w:i w:val="0"/>
                <w:iCs w:val="0"/>
                <w:color w:val="1E3A8A"/>
                <w:sz w:val="24"/>
                <w:szCs w:val="24"/>
                <w:lang w:val="en-US" w:eastAsia="zh-CN"/>
              </w:rPr>
              <w:t xml:space="preserve">  </w:t>
            </w:r>
            <w:r>
              <w:rPr>
                <w:rFonts w:hint="eastAsia" w:ascii="宋体" w:hAnsi="宋体" w:eastAsia="宋体" w:cs="宋体"/>
                <w:b/>
                <w:i w:val="0"/>
                <w:iCs w:val="0"/>
                <w:color w:val="1E3A8A"/>
                <w:sz w:val="24"/>
                <w:szCs w:val="24"/>
              </w:rPr>
              <w:t xml:space="preserve"> 实时有功功率</w:t>
            </w:r>
          </w:p>
          <w:p w14:paraId="6A4E2639">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 xml:space="preserve">Load = ( P_actual / P_rated ) × 100%                </w:t>
            </w:r>
            <w:r>
              <w:rPr>
                <w:rFonts w:hint="eastAsia" w:ascii="宋体" w:hAnsi="宋体" w:eastAsia="宋体" w:cs="宋体"/>
                <w:b/>
                <w:i w:val="0"/>
                <w:iCs w:val="0"/>
                <w:color w:val="1E3A8A"/>
                <w:sz w:val="24"/>
                <w:szCs w:val="24"/>
                <w:lang w:val="en-US" w:eastAsia="zh-CN"/>
              </w:rPr>
              <w:t xml:space="preserve">   </w:t>
            </w:r>
            <w:r>
              <w:rPr>
                <w:rFonts w:hint="eastAsia" w:ascii="宋体" w:hAnsi="宋体" w:eastAsia="宋体" w:cs="宋体"/>
                <w:b/>
                <w:i w:val="0"/>
                <w:iCs w:val="0"/>
                <w:color w:val="1E3A8A"/>
                <w:sz w:val="24"/>
                <w:szCs w:val="24"/>
              </w:rPr>
              <w:t>设备负荷率</w:t>
            </w:r>
          </w:p>
          <w:p w14:paraId="6D559125">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 xml:space="preserve">Load_MoM = ( Load_t - Load_{t-1} ) / Load_{t-1}      </w:t>
            </w:r>
            <w:r>
              <w:rPr>
                <w:rFonts w:hint="eastAsia" w:ascii="宋体" w:hAnsi="宋体" w:eastAsia="宋体" w:cs="宋体"/>
                <w:b/>
                <w:i w:val="0"/>
                <w:iCs w:val="0"/>
                <w:color w:val="1E3A8A"/>
                <w:sz w:val="24"/>
                <w:szCs w:val="24"/>
                <w:lang w:val="en-US" w:eastAsia="zh-CN"/>
              </w:rPr>
              <w:t xml:space="preserve">   </w:t>
            </w:r>
            <w:r>
              <w:rPr>
                <w:rFonts w:hint="eastAsia" w:ascii="宋体" w:hAnsi="宋体" w:eastAsia="宋体" w:cs="宋体"/>
                <w:b/>
                <w:i w:val="0"/>
                <w:iCs w:val="0"/>
                <w:color w:val="1E3A8A"/>
                <w:sz w:val="24"/>
                <w:szCs w:val="24"/>
              </w:rPr>
              <w:t>负荷率环比变动</w:t>
            </w:r>
          </w:p>
          <w:p w14:paraId="0A9FEA19">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 xml:space="preserve">R_green = E_self_use / E_pv_gen × 100%              </w:t>
            </w:r>
            <w:r>
              <w:rPr>
                <w:rFonts w:hint="eastAsia" w:ascii="宋体" w:hAnsi="宋体" w:eastAsia="宋体" w:cs="宋体"/>
                <w:b/>
                <w:i w:val="0"/>
                <w:iCs w:val="0"/>
                <w:color w:val="1E3A8A"/>
                <w:sz w:val="24"/>
                <w:szCs w:val="24"/>
                <w:lang w:val="en-US" w:eastAsia="zh-CN"/>
              </w:rPr>
              <w:t xml:space="preserve">   </w:t>
            </w:r>
            <w:r>
              <w:rPr>
                <w:rFonts w:hint="eastAsia" w:ascii="宋体" w:hAnsi="宋体" w:eastAsia="宋体" w:cs="宋体"/>
                <w:b/>
                <w:i w:val="0"/>
                <w:iCs w:val="0"/>
                <w:color w:val="1E3A8A"/>
                <w:sz w:val="24"/>
                <w:szCs w:val="24"/>
              </w:rPr>
              <w:t>绿电消纳率</w:t>
            </w:r>
          </w:p>
          <w:p w14:paraId="08C0165C">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 xml:space="preserve">Q_steam = Σ ( F_instant × Δt )                     </w:t>
            </w:r>
            <w:r>
              <w:rPr>
                <w:rFonts w:hint="eastAsia" w:ascii="宋体" w:hAnsi="宋体" w:eastAsia="宋体" w:cs="宋体"/>
                <w:b/>
                <w:i w:val="0"/>
                <w:iCs w:val="0"/>
                <w:color w:val="1E3A8A"/>
                <w:sz w:val="24"/>
                <w:szCs w:val="24"/>
                <w:lang w:val="en-US" w:eastAsia="zh-CN"/>
              </w:rPr>
              <w:t xml:space="preserve">  </w:t>
            </w:r>
            <w:r>
              <w:rPr>
                <w:rFonts w:hint="eastAsia" w:ascii="宋体" w:hAnsi="宋体" w:eastAsia="宋体" w:cs="宋体"/>
                <w:b/>
                <w:i w:val="0"/>
                <w:iCs w:val="0"/>
                <w:color w:val="1E3A8A"/>
                <w:sz w:val="24"/>
                <w:szCs w:val="24"/>
              </w:rPr>
              <w:t>蒸汽消耗量时间积分</w:t>
            </w:r>
          </w:p>
          <w:p w14:paraId="67D598D1">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SOC_t = SOC_0 + ∫ ( P_charge × η_c ) dt / Cap_rated  荷电状态积分模型</w:t>
            </w:r>
          </w:p>
        </w:tc>
      </w:tr>
    </w:tbl>
    <w:p w14:paraId="27A46782">
      <w:pPr>
        <w:spacing w:after="40"/>
        <w:rPr>
          <w:rFonts w:hint="eastAsia" w:ascii="宋体" w:hAnsi="宋体" w:eastAsia="宋体" w:cs="宋体"/>
          <w:i w:val="0"/>
          <w:iCs w:val="0"/>
          <w:sz w:val="24"/>
          <w:szCs w:val="24"/>
        </w:rPr>
      </w:pPr>
    </w:p>
    <w:p w14:paraId="229EB7FC">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w:t>
      </w:r>
      <w:r>
        <w:rPr>
          <w:rFonts w:ascii="Times New Roman" w:hAnsi="Times New Roman" w:eastAsia="宋体" w:cs="Times New Roman"/>
          <w:b w:val="0"/>
          <w:i w:val="0"/>
          <w:color w:val="0284C7"/>
          <w:sz w:val="24"/>
          <w:szCs w:val="24"/>
        </w:rPr>
        <w:t xml:space="preserve"> E_self_use </w:t>
      </w:r>
      <w:r>
        <w:rPr>
          <w:rFonts w:ascii="Times New Roman" w:hAnsi="Times New Roman" w:eastAsia="宋体" w:cs="Times New Roman"/>
          <w:i w:val="0"/>
          <w:color w:val="1F2937"/>
          <w:sz w:val="24"/>
          <w:szCs w:val="24"/>
        </w:rPr>
        <w:t xml:space="preserve"> 为光伏自发自用电量；</w:t>
      </w:r>
      <w:r>
        <w:rPr>
          <w:rFonts w:ascii="Times New Roman" w:hAnsi="Times New Roman" w:eastAsia="宋体" w:cs="Times New Roman"/>
          <w:b w:val="0"/>
          <w:i w:val="0"/>
          <w:color w:val="0284C7"/>
          <w:sz w:val="24"/>
          <w:szCs w:val="24"/>
        </w:rPr>
        <w:t xml:space="preserve"> E_pv_gen </w:t>
      </w:r>
      <w:r>
        <w:rPr>
          <w:rFonts w:ascii="Times New Roman" w:hAnsi="Times New Roman" w:eastAsia="宋体" w:cs="Times New Roman"/>
          <w:i w:val="0"/>
          <w:color w:val="1F2937"/>
          <w:sz w:val="24"/>
          <w:szCs w:val="24"/>
        </w:rPr>
        <w:t xml:space="preserve"> 为光伏总发电量；</w:t>
      </w:r>
      <w:r>
        <w:rPr>
          <w:rFonts w:ascii="Times New Roman" w:hAnsi="Times New Roman" w:eastAsia="宋体" w:cs="Times New Roman"/>
          <w:b w:val="0"/>
          <w:i w:val="0"/>
          <w:color w:val="0284C7"/>
          <w:sz w:val="24"/>
          <w:szCs w:val="24"/>
        </w:rPr>
        <w:t xml:space="preserve"> η_c </w:t>
      </w:r>
      <w:r>
        <w:rPr>
          <w:rFonts w:ascii="Times New Roman" w:hAnsi="Times New Roman" w:eastAsia="宋体" w:cs="Times New Roman"/>
          <w:i w:val="0"/>
          <w:color w:val="1F2937"/>
          <w:sz w:val="24"/>
          <w:szCs w:val="24"/>
        </w:rPr>
        <w:t xml:space="preserve"> 为充电效率；</w:t>
      </w:r>
      <w:r>
        <w:rPr>
          <w:rFonts w:ascii="Times New Roman" w:hAnsi="Times New Roman" w:eastAsia="宋体" w:cs="Times New Roman"/>
          <w:b w:val="0"/>
          <w:i w:val="0"/>
          <w:color w:val="0284C7"/>
          <w:sz w:val="24"/>
          <w:szCs w:val="24"/>
        </w:rPr>
        <w:t xml:space="preserve"> Cap_rated </w:t>
      </w:r>
      <w:r>
        <w:rPr>
          <w:rFonts w:ascii="Times New Roman" w:hAnsi="Times New Roman" w:eastAsia="宋体" w:cs="Times New Roman"/>
          <w:i w:val="0"/>
          <w:color w:val="1F2937"/>
          <w:sz w:val="24"/>
          <w:szCs w:val="24"/>
        </w:rPr>
        <w:t xml:space="preserve"> 为储能额定容量。</w:t>
      </w:r>
    </w:p>
    <w:p w14:paraId="27B01361">
      <w:pPr>
        <w:pStyle w:val="6"/>
        <w:numPr>
          <w:ilvl w:val="0"/>
          <w:numId w:val="54"/>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12D5494F">
      <w:pPr>
        <w:pStyle w:val="19"/>
        <w:widowControl/>
        <w:numPr>
          <w:ilvl w:val="0"/>
          <w:numId w:val="5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对比口径</w:t>
      </w:r>
      <w:r>
        <w:rPr>
          <w:rFonts w:ascii="Times New Roman" w:hAnsi="Times New Roman" w:eastAsia="宋体" w:cs="Times New Roman"/>
          <w:i w:val="0"/>
          <w:color w:val="1F2937"/>
          <w:sz w:val="24"/>
          <w:szCs w:val="24"/>
        </w:rPr>
        <w:t>：统一使用环比（MoM），不使用同比，避免季节性光照差异干扰判断。</w:t>
      </w:r>
    </w:p>
    <w:p w14:paraId="07A8708D">
      <w:pPr>
        <w:pStyle w:val="19"/>
        <w:widowControl/>
        <w:numPr>
          <w:ilvl w:val="0"/>
          <w:numId w:val="5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绿电消纳口径</w:t>
      </w:r>
      <w:r>
        <w:rPr>
          <w:rFonts w:ascii="Times New Roman" w:hAnsi="Times New Roman" w:eastAsia="宋体" w:cs="Times New Roman"/>
          <w:i w:val="0"/>
          <w:color w:val="1F2937"/>
          <w:sz w:val="24"/>
          <w:szCs w:val="24"/>
        </w:rPr>
        <w:t>：绿电消纳率仅统计物理可溯源的自发自用量，不含绿证核销的等效量。</w:t>
      </w:r>
    </w:p>
    <w:p w14:paraId="460D1B4A">
      <w:pPr>
        <w:pStyle w:val="19"/>
        <w:widowControl/>
        <w:numPr>
          <w:ilvl w:val="0"/>
          <w:numId w:val="5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时段口径</w:t>
      </w:r>
      <w:r>
        <w:rPr>
          <w:rFonts w:ascii="Times New Roman" w:hAnsi="Times New Roman" w:eastAsia="宋体" w:cs="Times New Roman"/>
          <w:i w:val="0"/>
          <w:color w:val="1F2937"/>
          <w:sz w:val="24"/>
          <w:szCs w:val="24"/>
        </w:rPr>
        <w:t>：谷充峰放执行时段严格对齐能源价格管理模块最新生效的分时电价版本。</w:t>
      </w:r>
    </w:p>
    <w:p w14:paraId="1FC19D80">
      <w:pPr>
        <w:pStyle w:val="6"/>
        <w:numPr>
          <w:ilvl w:val="0"/>
          <w:numId w:val="54"/>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4DBD8745">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3E0B018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储能 SOC 越界（&lt;5% 或 &gt;95%）触发告警并在卡片标注，不做自动干预控制。</w:t>
            </w:r>
          </w:p>
          <w:p w14:paraId="69787C5B">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光伏夜间无出力：曲线自然归零，不显示"设备异常"等误判文案。</w:t>
            </w:r>
          </w:p>
          <w:p w14:paraId="54B30E97">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实时点位超时：触发 </w:t>
            </w:r>
            <w:r>
              <w:rPr>
                <w:rFonts w:hint="eastAsia" w:ascii="宋体" w:hAnsi="宋体" w:eastAsia="宋体" w:cs="宋体"/>
                <w:b w:val="0"/>
                <w:i w:val="0"/>
                <w:iCs w:val="0"/>
                <w:color w:val="0284C7"/>
                <w:sz w:val="24"/>
                <w:szCs w:val="24"/>
              </w:rPr>
              <w:t xml:space="preserve"> E_IO_MQTT_TIMEOUT </w:t>
            </w:r>
            <w:r>
              <w:rPr>
                <w:rFonts w:hint="eastAsia" w:ascii="宋体" w:hAnsi="宋体" w:eastAsia="宋体" w:cs="宋体"/>
                <w:i w:val="0"/>
                <w:iCs w:val="0"/>
                <w:color w:val="1F2937"/>
                <w:sz w:val="24"/>
                <w:szCs w:val="24"/>
              </w:rPr>
              <w:t>，展示缓存读数并打"数据延迟"微标签。</w:t>
            </w:r>
          </w:p>
          <w:p w14:paraId="5B057C57">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设备未接入：节点置灰禁用，无解释性文案。</w:t>
            </w:r>
          </w:p>
        </w:tc>
      </w:tr>
    </w:tbl>
    <w:p w14:paraId="28D700BA">
      <w:pPr>
        <w:spacing w:after="40"/>
        <w:rPr>
          <w:rFonts w:hint="eastAsia" w:ascii="宋体" w:hAnsi="宋体" w:eastAsia="宋体" w:cs="宋体"/>
          <w:i w:val="0"/>
          <w:iCs w:val="0"/>
          <w:sz w:val="24"/>
          <w:szCs w:val="24"/>
        </w:rPr>
      </w:pPr>
    </w:p>
    <w:p w14:paraId="47E00139">
      <w:pPr>
        <w:pStyle w:val="6"/>
        <w:numPr>
          <w:ilvl w:val="0"/>
          <w:numId w:val="54"/>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648683F2">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0D48654E">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工业微电网监测自适应工况</w:t>
            </w:r>
          </w:p>
          <w:p w14:paraId="5CDBBAF0">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电力与热力设备自适应呈现</w:t>
            </w:r>
          </w:p>
          <w:p w14:paraId="2595069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微电网设备树已纳入 23 台电力驱动设备与 9 台热力用能设备</w:t>
            </w:r>
          </w:p>
          <w:p w14:paraId="7B8D0D6C">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用户选中一台电力驱动设备</w:t>
            </w:r>
          </w:p>
          <w:p w14:paraId="7EA4352E">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呈现有功功率、累计电量、功率因数与负荷率（环比维度）</w:t>
            </w:r>
          </w:p>
          <w:p w14:paraId="0192369F">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用户选中一台热力用能设备</w:t>
            </w:r>
          </w:p>
          <w:p w14:paraId="68630209">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呈现瞬时蒸汽流量、蒸汽消耗量、供汽压力与供汽温度</w:t>
            </w:r>
          </w:p>
          <w:p w14:paraId="2EE9CB59">
            <w:pPr>
              <w:spacing w:before="0" w:after="20" w:line="264" w:lineRule="auto"/>
              <w:rPr>
                <w:rFonts w:hint="eastAsia" w:ascii="宋体" w:hAnsi="宋体" w:eastAsia="宋体" w:cs="宋体"/>
                <w:i w:val="0"/>
                <w:iCs w:val="0"/>
                <w:sz w:val="24"/>
                <w:szCs w:val="24"/>
              </w:rPr>
            </w:pPr>
          </w:p>
          <w:p w14:paraId="3D9CBCA0">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客观中立文案纯洁度</w:t>
            </w:r>
          </w:p>
          <w:p w14:paraId="099E82A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页面已完成一次设备工况刷新</w:t>
            </w:r>
          </w:p>
          <w:p w14:paraId="5EEB6013">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对页面全部文案执行主观定性词正则扫描</w:t>
            </w:r>
          </w:p>
          <w:p w14:paraId="20BEECD4">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不出现"电能品质优良""运行欠佳""表现优异"等定性词汇</w:t>
            </w:r>
          </w:p>
          <w:p w14:paraId="53BAB588">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工况对比统一以"环比 +X%"形式表达</w:t>
            </w:r>
          </w:p>
        </w:tc>
      </w:tr>
    </w:tbl>
    <w:p w14:paraId="636ED84F">
      <w:pPr>
        <w:pStyle w:val="5"/>
        <w:numPr>
          <w:ilvl w:val="0"/>
          <w:numId w:val="27"/>
        </w:numPr>
        <w:ind w:left="0" w:leftChars="0" w:firstLine="0" w:firstLineChars="0"/>
        <w:outlineLvl w:val="1"/>
        <w:rPr>
          <w:rFonts w:eastAsia="黑体"/>
          <w:b w:val="0"/>
          <w:bCs w:val="0"/>
          <w:sz w:val="30"/>
          <w:szCs w:val="24"/>
        </w:rPr>
      </w:pPr>
      <w:bookmarkStart w:id="20" w:name="_Toc16557"/>
      <w:r>
        <w:rPr>
          <w:rFonts w:ascii="Times New Roman" w:hAnsi="Times New Roman" w:eastAsia="黑体" w:cs="Times New Roman"/>
          <w:b w:val="0"/>
          <w:bCs w:val="0"/>
          <w:sz w:val="30"/>
          <w:szCs w:val="24"/>
        </w:rPr>
        <w:t>能源碳排放监测</w:t>
      </w:r>
      <w:bookmarkEnd w:id="20"/>
    </w:p>
    <w:p w14:paraId="2AA65307">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drawing>
          <wp:inline distT="0" distB="0" distL="114300" distR="114300">
            <wp:extent cx="5900420" cy="2925445"/>
            <wp:effectExtent l="0" t="0" r="5080" b="8255"/>
            <wp:docPr id="1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5"/>
                    <pic:cNvPicPr>
                      <a:picLocks noChangeAspect="1"/>
                    </pic:cNvPicPr>
                  </pic:nvPicPr>
                  <pic:blipFill>
                    <a:blip r:embed="rId37"/>
                    <a:stretch>
                      <a:fillRect/>
                    </a:stretch>
                  </pic:blipFill>
                  <pic:spPr>
                    <a:xfrm>
                      <a:off x="0" y="0"/>
                      <a:ext cx="5900420" cy="2925445"/>
                    </a:xfrm>
                    <a:prstGeom prst="rect">
                      <a:avLst/>
                    </a:prstGeom>
                    <a:noFill/>
                    <a:ln>
                      <a:noFill/>
                    </a:ln>
                  </pic:spPr>
                </pic:pic>
              </a:graphicData>
            </a:graphic>
          </wp:inline>
        </w:drawing>
      </w:r>
    </w:p>
    <w:p w14:paraId="27DA98D9">
      <w:pPr>
        <w:pStyle w:val="6"/>
        <w:numPr>
          <w:ilvl w:val="0"/>
          <w:numId w:val="5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53817FA7">
      <w:pPr>
        <w:pStyle w:val="19"/>
        <w:widowControl/>
        <w:numPr>
          <w:ilvl w:val="0"/>
          <w:numId w:val="6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：依据温室气体核算体系标准，按日/按月核算全厂化石能源直接燃烧与外购电力热力的二氧化碳排放量与强度走势，是碳排报表与 CBAM 申报的底数来源。</w:t>
      </w:r>
    </w:p>
    <w:p w14:paraId="10E3A966">
      <w:pPr>
        <w:pStyle w:val="19"/>
        <w:widowControl/>
        <w:numPr>
          <w:ilvl w:val="0"/>
          <w:numId w:val="6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：园区碳资产核算员 (P4)、P2 园区能碳专员。</w:t>
      </w:r>
    </w:p>
    <w:p w14:paraId="070B4A13">
      <w:pPr>
        <w:pStyle w:val="19"/>
        <w:widowControl/>
        <w:numPr>
          <w:ilvl w:val="0"/>
          <w:numId w:val="6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/monitor/carbon/emission </w:t>
      </w:r>
      <w:r>
        <w:rPr>
          <w:rFonts w:ascii="Times New Roman" w:hAnsi="Times New Roman" w:eastAsia="宋体" w:cs="Times New Roman"/>
          <w:i w:val="0"/>
          <w:color w:val="1F2937"/>
          <w:sz w:val="24"/>
          <w:szCs w:val="24"/>
        </w:rPr>
        <w:t>。</w:t>
      </w:r>
    </w:p>
    <w:p w14:paraId="2EB3620E">
      <w:pPr>
        <w:pStyle w:val="19"/>
        <w:widowControl/>
        <w:numPr>
          <w:ilvl w:val="0"/>
          <w:numId w:val="6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：用能在线监测介质消耗量、碳排放因子库（电网因子、燃料因子）、绿电交易凭证。</w:t>
      </w:r>
    </w:p>
    <w:p w14:paraId="460E8E9C">
      <w:pPr>
        <w:pStyle w:val="19"/>
        <w:widowControl/>
        <w:numPr>
          <w:ilvl w:val="0"/>
          <w:numId w:val="6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：碳排报表、CBAM 申报底数、零碳工厂自评估温室气体维度数据。</w:t>
      </w:r>
    </w:p>
    <w:p w14:paraId="76043CE3">
      <w:pPr>
        <w:pStyle w:val="6"/>
        <w:numPr>
          <w:ilvl w:val="0"/>
          <w:numId w:val="5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51E3671F">
      <w:pPr>
        <w:pStyle w:val="19"/>
        <w:widowControl/>
        <w:numPr>
          <w:ilvl w:val="0"/>
          <w:numId w:val="6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：依据温室气体核算体系标准，按日/按月核算全厂化石能源直接燃烧与外购电力热力的二氧化碳排放量与强度走势。</w:t>
      </w:r>
    </w:p>
    <w:p w14:paraId="12A2A051">
      <w:pPr>
        <w:pStyle w:val="19"/>
        <w:widowControl/>
        <w:numPr>
          <w:ilvl w:val="0"/>
          <w:numId w:val="6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36816BF9">
      <w:pPr>
        <w:pStyle w:val="19"/>
        <w:widowControl/>
        <w:numPr>
          <w:ilvl w:val="0"/>
          <w:numId w:val="61"/>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园区碳资产核算员 (Persona P4)</w:t>
      </w:r>
      <w:r>
        <w:rPr>
          <w:rFonts w:ascii="Times New Roman" w:hAnsi="Times New Roman" w:eastAsia="宋体" w:cs="Times New Roman"/>
          <w:i w:val="0"/>
          <w:color w:val="1F2937"/>
          <w:sz w:val="24"/>
          <w:szCs w:val="24"/>
        </w:rPr>
        <w:t>，</w:t>
      </w:r>
    </w:p>
    <w:p w14:paraId="0C27063C">
      <w:pPr>
        <w:pStyle w:val="19"/>
        <w:widowControl/>
        <w:numPr>
          <w:ilvl w:val="0"/>
          <w:numId w:val="61"/>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实时掌握企业范围一与范围二碳排放量、万元产值碳排强度</w:t>
      </w:r>
      <w:r>
        <w:rPr>
          <w:rFonts w:ascii="Times New Roman" w:hAnsi="Times New Roman" w:eastAsia="宋体" w:cs="Times New Roman"/>
          <w:i w:val="0"/>
          <w:color w:val="1F2937"/>
          <w:sz w:val="24"/>
          <w:szCs w:val="24"/>
        </w:rPr>
        <w:t>，</w:t>
      </w:r>
    </w:p>
    <w:p w14:paraId="015230EE">
      <w:pPr>
        <w:pStyle w:val="19"/>
        <w:widowControl/>
        <w:numPr>
          <w:ilvl w:val="0"/>
          <w:numId w:val="61"/>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我能为集团减排规划与应对地方发改委碳履约提供合规依据</w:t>
      </w:r>
      <w:r>
        <w:rPr>
          <w:rFonts w:ascii="Times New Roman" w:hAnsi="Times New Roman" w:eastAsia="宋体" w:cs="Times New Roman"/>
          <w:i w:val="0"/>
          <w:color w:val="1F2937"/>
          <w:sz w:val="24"/>
          <w:szCs w:val="24"/>
        </w:rPr>
        <w:t>。</w:t>
      </w:r>
    </w:p>
    <w:p w14:paraId="0762454D">
      <w:pPr>
        <w:pStyle w:val="6"/>
        <w:numPr>
          <w:ilvl w:val="0"/>
          <w:numId w:val="5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37B3494B">
      <w:pPr>
        <w:pStyle w:val="19"/>
        <w:widowControl/>
        <w:numPr>
          <w:ilvl w:val="0"/>
          <w:numId w:val="6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范围一与范围二双轴堆叠面积图</w:t>
      </w:r>
      <w:r>
        <w:rPr>
          <w:rFonts w:ascii="Times New Roman" w:hAnsi="Times New Roman" w:eastAsia="宋体" w:cs="Times New Roman"/>
          <w:i w:val="0"/>
          <w:color w:val="1F2937"/>
          <w:sz w:val="24"/>
          <w:szCs w:val="24"/>
        </w:rPr>
        <w:t>：Scope 1（直接排放：天然气、柴油、汽油燃烧）；Scope 2（间接排放：网购电力、外购蒸汽）。两范围以堆叠面积呈现，游标同步读取两层数值。</w:t>
      </w:r>
    </w:p>
    <w:p w14:paraId="469CBE10">
      <w:pPr>
        <w:pStyle w:val="19"/>
        <w:widowControl/>
        <w:numPr>
          <w:ilvl w:val="0"/>
          <w:numId w:val="6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碳排放强度 KPI 卡片</w:t>
      </w:r>
      <w:r>
        <w:rPr>
          <w:rFonts w:ascii="Times New Roman" w:hAnsi="Times New Roman" w:eastAsia="宋体" w:cs="Times New Roman"/>
          <w:i w:val="0"/>
          <w:color w:val="1F2937"/>
          <w:sz w:val="24"/>
          <w:szCs w:val="24"/>
        </w:rPr>
        <w:t>：万元产值碳排放强度 (tCO2/万元)、单位产品碳排放强度 (tCO2/单位产品)。</w:t>
      </w:r>
    </w:p>
    <w:p w14:paraId="59618508">
      <w:pPr>
        <w:pStyle w:val="19"/>
        <w:widowControl/>
        <w:numPr>
          <w:ilvl w:val="0"/>
          <w:numId w:val="6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绿电抵扣对比区</w:t>
      </w:r>
      <w:r>
        <w:rPr>
          <w:rFonts w:ascii="Times New Roman" w:hAnsi="Times New Roman" w:eastAsia="宋体" w:cs="Times New Roman"/>
          <w:i w:val="0"/>
          <w:color w:val="1F2937"/>
          <w:sz w:val="24"/>
          <w:szCs w:val="24"/>
        </w:rPr>
        <w:t>：输出抵扣前 / 抵扣后双柱对比，明确展示绿电占比与抵扣量。</w:t>
      </w:r>
    </w:p>
    <w:p w14:paraId="098C1235">
      <w:pPr>
        <w:pStyle w:val="19"/>
        <w:widowControl/>
        <w:numPr>
          <w:ilvl w:val="0"/>
          <w:numId w:val="6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因子版本标注</w:t>
      </w:r>
      <w:r>
        <w:rPr>
          <w:rFonts w:ascii="Times New Roman" w:hAnsi="Times New Roman" w:eastAsia="宋体" w:cs="Times New Roman"/>
          <w:i w:val="0"/>
          <w:color w:val="1F2937"/>
          <w:sz w:val="24"/>
          <w:szCs w:val="24"/>
        </w:rPr>
        <w:t>：图表底部常驻显示本次核算所用排放因子版本号与生效日期，支持点击查看因子来源。</w:t>
      </w:r>
    </w:p>
    <w:p w14:paraId="306F7DD3">
      <w:pPr>
        <w:pStyle w:val="19"/>
        <w:widowControl/>
        <w:numPr>
          <w:ilvl w:val="0"/>
          <w:numId w:val="0"/>
        </w:numPr>
        <w:adjustRightInd w:val="0"/>
        <w:spacing w:before="100" w:after="100" w:afterLines="0" w:afterAutospacing="0" w:line="300" w:lineRule="auto"/>
        <w:jc w:val="both"/>
        <w:rPr>
          <w:rFonts w:hint="default" w:eastAsia="宋体"/>
          <w:lang w:val="en-US" w:eastAsia="zh-CN"/>
        </w:rPr>
      </w:pPr>
      <w:r>
        <w:rPr>
          <w:rFonts w:hint="eastAsia"/>
          <w:lang w:val="en-US" w:eastAsia="zh-CN"/>
        </w:rPr>
        <w:t>数据概览：</w:t>
      </w:r>
    </w:p>
    <w:p w14:paraId="4D83E597">
      <w:pPr>
        <w:pStyle w:val="19"/>
        <w:widowControl/>
        <w:numPr>
          <w:ilvl w:val="0"/>
          <w:numId w:val="0"/>
        </w:numPr>
        <w:adjustRightInd w:val="0"/>
        <w:spacing w:before="100" w:after="100" w:afterLines="0" w:afterAutospacing="0" w:line="300" w:lineRule="auto"/>
        <w:jc w:val="both"/>
        <w:rPr>
          <w:rFonts w:ascii="Times New Roman" w:hAnsi="Times New Roman" w:eastAsia="宋体" w:cs="Times New Roman"/>
          <w:i w:val="0"/>
          <w:color w:val="1F2937"/>
          <w:sz w:val="24"/>
          <w:szCs w:val="24"/>
        </w:rPr>
      </w:pPr>
      <w:r>
        <w:drawing>
          <wp:inline distT="0" distB="0" distL="114300" distR="114300">
            <wp:extent cx="5905500" cy="2345055"/>
            <wp:effectExtent l="0" t="0" r="0" b="17145"/>
            <wp:docPr id="107"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61"/>
                    <pic:cNvPicPr>
                      <a:picLocks noChangeAspect="1"/>
                    </pic:cNvPicPr>
                  </pic:nvPicPr>
                  <pic:blipFill>
                    <a:blip r:embed="rId38"/>
                    <a:stretch>
                      <a:fillRect/>
                    </a:stretch>
                  </pic:blipFill>
                  <pic:spPr>
                    <a:xfrm>
                      <a:off x="0" y="0"/>
                      <a:ext cx="5905500" cy="2345055"/>
                    </a:xfrm>
                    <a:prstGeom prst="rect">
                      <a:avLst/>
                    </a:prstGeom>
                    <a:noFill/>
                    <a:ln>
                      <a:noFill/>
                    </a:ln>
                  </pic:spPr>
                </pic:pic>
              </a:graphicData>
            </a:graphic>
          </wp:inline>
        </w:drawing>
      </w:r>
    </w:p>
    <w:p w14:paraId="0848C81D">
      <w:pPr>
        <w:pStyle w:val="19"/>
        <w:widowControl/>
        <w:numPr>
          <w:ilvl w:val="0"/>
          <w:numId w:val="0"/>
        </w:numPr>
        <w:adjustRightInd w:val="0"/>
        <w:spacing w:before="100" w:after="100" w:afterLines="0" w:afterAutospacing="0" w:line="300" w:lineRule="auto"/>
        <w:jc w:val="both"/>
        <w:rPr>
          <w:rFonts w:ascii="Times New Roman" w:hAnsi="Times New Roman" w:eastAsia="宋体" w:cs="Times New Roman"/>
          <w:i w:val="0"/>
          <w:color w:val="1F2937"/>
          <w:sz w:val="24"/>
          <w:szCs w:val="24"/>
        </w:rPr>
      </w:pPr>
    </w:p>
    <w:p w14:paraId="5211E993">
      <w:pPr>
        <w:pStyle w:val="19"/>
        <w:widowControl/>
        <w:numPr>
          <w:ilvl w:val="0"/>
          <w:numId w:val="0"/>
        </w:numPr>
        <w:adjustRightInd w:val="0"/>
        <w:spacing w:before="100" w:after="100" w:afterLines="0" w:afterAutospacing="0" w:line="300" w:lineRule="auto"/>
        <w:jc w:val="both"/>
        <w:rPr>
          <w:rFonts w:hint="default" w:ascii="Times New Roman" w:hAnsi="Times New Roman" w:eastAsia="宋体" w:cs="Times New Roman"/>
          <w:i w:val="0"/>
          <w:color w:val="1F2937"/>
          <w:sz w:val="24"/>
          <w:szCs w:val="24"/>
          <w:lang w:val="en-US" w:eastAsia="zh-CN"/>
        </w:rPr>
      </w:pPr>
      <w:r>
        <w:rPr>
          <w:rFonts w:hint="eastAsia" w:cs="Times New Roman"/>
          <w:i w:val="0"/>
          <w:color w:val="1F2937"/>
          <w:sz w:val="24"/>
          <w:szCs w:val="24"/>
          <w:lang w:val="en-US" w:eastAsia="zh-CN"/>
        </w:rPr>
        <w:t>碳排放数据：</w:t>
      </w:r>
    </w:p>
    <w:p w14:paraId="3C950B44">
      <w:pPr>
        <w:pStyle w:val="19"/>
        <w:widowControl/>
        <w:numPr>
          <w:ilvl w:val="0"/>
          <w:numId w:val="0"/>
        </w:numPr>
        <w:adjustRightInd w:val="0"/>
        <w:spacing w:before="100" w:after="100" w:afterLines="0" w:afterAutospacing="0" w:line="300" w:lineRule="auto"/>
        <w:jc w:val="both"/>
      </w:pPr>
      <w:r>
        <w:drawing>
          <wp:inline distT="0" distB="0" distL="114300" distR="114300">
            <wp:extent cx="5913755" cy="3321685"/>
            <wp:effectExtent l="0" t="0" r="10795" b="12065"/>
            <wp:docPr id="108"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62"/>
                    <pic:cNvPicPr>
                      <a:picLocks noChangeAspect="1"/>
                    </pic:cNvPicPr>
                  </pic:nvPicPr>
                  <pic:blipFill>
                    <a:blip r:embed="rId39"/>
                    <a:stretch>
                      <a:fillRect/>
                    </a:stretch>
                  </pic:blipFill>
                  <pic:spPr>
                    <a:xfrm>
                      <a:off x="0" y="0"/>
                      <a:ext cx="5913755" cy="3321685"/>
                    </a:xfrm>
                    <a:prstGeom prst="rect">
                      <a:avLst/>
                    </a:prstGeom>
                    <a:noFill/>
                    <a:ln>
                      <a:noFill/>
                    </a:ln>
                  </pic:spPr>
                </pic:pic>
              </a:graphicData>
            </a:graphic>
          </wp:inline>
        </w:drawing>
      </w:r>
    </w:p>
    <w:p w14:paraId="3138B67E">
      <w:pPr>
        <w:pStyle w:val="19"/>
        <w:widowControl/>
        <w:numPr>
          <w:ilvl w:val="0"/>
          <w:numId w:val="0"/>
        </w:numPr>
        <w:adjustRightInd w:val="0"/>
        <w:spacing w:before="100" w:after="100" w:afterLines="0" w:afterAutospacing="0" w:line="300" w:lineRule="auto"/>
        <w:jc w:val="both"/>
      </w:pPr>
    </w:p>
    <w:p w14:paraId="26FE2DAA">
      <w:pPr>
        <w:pStyle w:val="6"/>
        <w:numPr>
          <w:ilvl w:val="0"/>
          <w:numId w:val="5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p w14:paraId="7167DE0F">
      <w:pPr>
        <w:rPr>
          <w:rFonts w:hint="eastAsia"/>
        </w:rPr>
      </w:pPr>
    </w:p>
    <w:tbl>
      <w:tblPr>
        <w:tblStyle w:val="38"/>
        <w:tblW w:w="9784" w:type="dxa"/>
        <w:jc w:val="center"/>
        <w:tblLayout w:type="autofit"/>
        <w:tblCellMar>
          <w:top w:w="0" w:type="dxa"/>
          <w:left w:w="108" w:type="dxa"/>
          <w:bottom w:w="0" w:type="dxa"/>
          <w:right w:w="108" w:type="dxa"/>
        </w:tblCellMar>
      </w:tblPr>
      <w:tblGrid>
        <w:gridCol w:w="899"/>
        <w:gridCol w:w="1641"/>
        <w:gridCol w:w="1381"/>
        <w:gridCol w:w="1204"/>
        <w:gridCol w:w="4659"/>
      </w:tblGrid>
      <w:tr w14:paraId="3C7DB924">
        <w:trPr>
          <w:tblHeader/>
          <w:jc w:val="center"/>
        </w:trPr>
        <w:tc>
          <w:tcPr>
            <w:tcW w:w="89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270028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B1D81F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38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342F1B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EA56CF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465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2AD396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核算来源与约束规则</w:t>
            </w:r>
          </w:p>
        </w:tc>
      </w:tr>
      <w:tr w14:paraId="2368FA4E">
        <w:tblPrEx>
          <w:tblCellMar>
            <w:top w:w="0" w:type="dxa"/>
            <w:left w:w="108" w:type="dxa"/>
            <w:bottom w:w="0" w:type="dxa"/>
            <w:right w:w="108" w:type="dxa"/>
          </w:tblCellMar>
        </w:tblPrEx>
        <w:trPr>
          <w:tblHeader/>
          <w:jc w:val="center"/>
        </w:trPr>
        <w:tc>
          <w:tcPr>
            <w:tcW w:w="8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D4C9FC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F524C9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化石燃料燃烧排放</w:t>
            </w:r>
          </w:p>
        </w:tc>
        <w:tc>
          <w:tcPr>
            <w:tcW w:w="13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DB43E5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4CFD93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tCO2e</w:t>
            </w:r>
          </w:p>
        </w:tc>
        <w:tc>
          <w:tcPr>
            <w:tcW w:w="465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BC18C4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Σ(燃料消耗量 × 低位热值 × 碳含量 × 氧化率 × 44/12)</w:t>
            </w:r>
          </w:p>
        </w:tc>
      </w:tr>
      <w:tr w14:paraId="3CF401BD">
        <w:tblPrEx>
          <w:tblCellMar>
            <w:top w:w="0" w:type="dxa"/>
            <w:left w:w="108" w:type="dxa"/>
            <w:bottom w:w="0" w:type="dxa"/>
            <w:right w:w="108" w:type="dxa"/>
          </w:tblCellMar>
        </w:tblPrEx>
        <w:trPr>
          <w:jc w:val="center"/>
        </w:trPr>
        <w:tc>
          <w:tcPr>
            <w:tcW w:w="8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E688F4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026653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购入电力间接排放</w:t>
            </w:r>
          </w:p>
        </w:tc>
        <w:tc>
          <w:tcPr>
            <w:tcW w:w="13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E81C09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FDE23C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tCO2e</w:t>
            </w:r>
          </w:p>
        </w:tc>
        <w:tc>
          <w:tcPr>
            <w:tcW w:w="465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4B8346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外购电量 × 区域电网排放因子</w:t>
            </w:r>
          </w:p>
        </w:tc>
      </w:tr>
      <w:tr w14:paraId="2ED62BB4">
        <w:tblPrEx>
          <w:tblCellMar>
            <w:top w:w="0" w:type="dxa"/>
            <w:left w:w="108" w:type="dxa"/>
            <w:bottom w:w="0" w:type="dxa"/>
            <w:right w:w="108" w:type="dxa"/>
          </w:tblCellMar>
        </w:tblPrEx>
        <w:trPr>
          <w:jc w:val="center"/>
        </w:trPr>
        <w:tc>
          <w:tcPr>
            <w:tcW w:w="8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3B2D42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BC0464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购入热力间接排放</w:t>
            </w:r>
          </w:p>
        </w:tc>
        <w:tc>
          <w:tcPr>
            <w:tcW w:w="13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B46A8E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F1A00E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tCO2e</w:t>
            </w:r>
          </w:p>
        </w:tc>
        <w:tc>
          <w:tcPr>
            <w:tcW w:w="465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B1D89B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外购蒸汽量 × 热力排放因子</w:t>
            </w:r>
          </w:p>
        </w:tc>
      </w:tr>
      <w:tr w14:paraId="26E08507">
        <w:tblPrEx>
          <w:tblCellMar>
            <w:top w:w="0" w:type="dxa"/>
            <w:left w:w="108" w:type="dxa"/>
            <w:bottom w:w="0" w:type="dxa"/>
            <w:right w:w="108" w:type="dxa"/>
          </w:tblCellMar>
        </w:tblPrEx>
        <w:trPr>
          <w:jc w:val="center"/>
        </w:trPr>
        <w:tc>
          <w:tcPr>
            <w:tcW w:w="8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C2081E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247031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总碳排放量</w:t>
            </w:r>
          </w:p>
        </w:tc>
        <w:tc>
          <w:tcPr>
            <w:tcW w:w="13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92094F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D6FD75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tCO2e</w:t>
            </w:r>
          </w:p>
        </w:tc>
        <w:tc>
          <w:tcPr>
            <w:tcW w:w="465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1034F1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Scope 1 + Scope 2，≥ 0</w:t>
            </w:r>
          </w:p>
        </w:tc>
      </w:tr>
      <w:tr w14:paraId="2FE5342E">
        <w:tblPrEx>
          <w:tblCellMar>
            <w:top w:w="0" w:type="dxa"/>
            <w:left w:w="108" w:type="dxa"/>
            <w:bottom w:w="0" w:type="dxa"/>
            <w:right w:w="108" w:type="dxa"/>
          </w:tblCellMar>
        </w:tblPrEx>
        <w:trPr>
          <w:jc w:val="center"/>
        </w:trPr>
        <w:tc>
          <w:tcPr>
            <w:tcW w:w="8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10599F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EA5832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万元产值碳排强度</w:t>
            </w:r>
          </w:p>
        </w:tc>
        <w:tc>
          <w:tcPr>
            <w:tcW w:w="13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DEA100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8D957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tCO2e/万元</w:t>
            </w:r>
          </w:p>
        </w:tc>
        <w:tc>
          <w:tcPr>
            <w:tcW w:w="465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0C863E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分母产值为 0 时显示 </w:t>
            </w:r>
            <w:r>
              <w:rPr>
                <w:rFonts w:hint="eastAsia" w:ascii="宋体" w:hAnsi="宋体" w:eastAsia="宋体" w:cs="宋体"/>
                <w:b w:val="0"/>
                <w:i w:val="0"/>
                <w:iCs w:val="0"/>
                <w:color w:val="0284C7"/>
                <w:sz w:val="24"/>
                <w:szCs w:val="24"/>
              </w:rPr>
              <w:t xml:space="preserve"> -- </w:t>
            </w:r>
          </w:p>
        </w:tc>
      </w:tr>
      <w:tr w14:paraId="3437E060">
        <w:tblPrEx>
          <w:tblCellMar>
            <w:top w:w="0" w:type="dxa"/>
            <w:left w:w="108" w:type="dxa"/>
            <w:bottom w:w="0" w:type="dxa"/>
            <w:right w:w="108" w:type="dxa"/>
          </w:tblCellMar>
        </w:tblPrEx>
        <w:trPr>
          <w:jc w:val="center"/>
        </w:trPr>
        <w:tc>
          <w:tcPr>
            <w:tcW w:w="8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6D4FCA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34BFAD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单位产品碳排强度</w:t>
            </w:r>
          </w:p>
        </w:tc>
        <w:tc>
          <w:tcPr>
            <w:tcW w:w="13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BD3E43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CE5CA6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tCO2e/单位</w:t>
            </w:r>
          </w:p>
        </w:tc>
        <w:tc>
          <w:tcPr>
            <w:tcW w:w="465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38811F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分母产量为 0 时显示 </w:t>
            </w:r>
            <w:r>
              <w:rPr>
                <w:rFonts w:hint="eastAsia" w:ascii="宋体" w:hAnsi="宋体" w:eastAsia="宋体" w:cs="宋体"/>
                <w:b w:val="0"/>
                <w:i w:val="0"/>
                <w:iCs w:val="0"/>
                <w:color w:val="0284C7"/>
                <w:sz w:val="24"/>
                <w:szCs w:val="24"/>
              </w:rPr>
              <w:t xml:space="preserve"> -- </w:t>
            </w:r>
          </w:p>
        </w:tc>
      </w:tr>
      <w:tr w14:paraId="1324352E">
        <w:tblPrEx>
          <w:tblCellMar>
            <w:top w:w="0" w:type="dxa"/>
            <w:left w:w="108" w:type="dxa"/>
            <w:bottom w:w="0" w:type="dxa"/>
            <w:right w:w="108" w:type="dxa"/>
          </w:tblCellMar>
        </w:tblPrEx>
        <w:trPr>
          <w:jc w:val="center"/>
        </w:trPr>
        <w:tc>
          <w:tcPr>
            <w:tcW w:w="8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43A7FA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D57E10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绿电抵扣量</w:t>
            </w:r>
          </w:p>
        </w:tc>
        <w:tc>
          <w:tcPr>
            <w:tcW w:w="13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6CD3F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3DAC55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tCO2e</w:t>
            </w:r>
          </w:p>
        </w:tc>
        <w:tc>
          <w:tcPr>
            <w:tcW w:w="465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DB240E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绿电消纳量 × 电网排放因子</w:t>
            </w:r>
          </w:p>
        </w:tc>
      </w:tr>
      <w:tr w14:paraId="028C71F6">
        <w:tblPrEx>
          <w:tblCellMar>
            <w:top w:w="0" w:type="dxa"/>
            <w:left w:w="108" w:type="dxa"/>
            <w:bottom w:w="0" w:type="dxa"/>
            <w:right w:w="108" w:type="dxa"/>
          </w:tblCellMar>
        </w:tblPrEx>
        <w:trPr>
          <w:jc w:val="center"/>
        </w:trPr>
        <w:tc>
          <w:tcPr>
            <w:tcW w:w="8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CC560E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7AA3CD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抵扣后净排放量</w:t>
            </w:r>
          </w:p>
        </w:tc>
        <w:tc>
          <w:tcPr>
            <w:tcW w:w="13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4ECE67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DEB09E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tCO2e</w:t>
            </w:r>
          </w:p>
        </w:tc>
        <w:tc>
          <w:tcPr>
            <w:tcW w:w="465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4B9EAE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总排放量 − 绿电抵扣量</w:t>
            </w:r>
          </w:p>
        </w:tc>
      </w:tr>
      <w:tr w14:paraId="0969F234">
        <w:tblPrEx>
          <w:tblCellMar>
            <w:top w:w="0" w:type="dxa"/>
            <w:left w:w="108" w:type="dxa"/>
            <w:bottom w:w="0" w:type="dxa"/>
            <w:right w:w="108" w:type="dxa"/>
          </w:tblCellMar>
        </w:tblPrEx>
        <w:trPr>
          <w:jc w:val="center"/>
        </w:trPr>
        <w:tc>
          <w:tcPr>
            <w:tcW w:w="8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A23225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B69A11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排放因子版本号</w:t>
            </w:r>
          </w:p>
        </w:tc>
        <w:tc>
          <w:tcPr>
            <w:tcW w:w="13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3215EF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6ADD5E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65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E53042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因子库当前生效版本，过期因子拦截</w:t>
            </w:r>
          </w:p>
        </w:tc>
      </w:tr>
      <w:tr w14:paraId="3CA055D7">
        <w:tblPrEx>
          <w:tblCellMar>
            <w:top w:w="0" w:type="dxa"/>
            <w:left w:w="108" w:type="dxa"/>
            <w:bottom w:w="0" w:type="dxa"/>
            <w:right w:w="108" w:type="dxa"/>
          </w:tblCellMar>
        </w:tblPrEx>
        <w:trPr>
          <w:jc w:val="center"/>
        </w:trPr>
        <w:tc>
          <w:tcPr>
            <w:tcW w:w="8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D001B8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164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8258F4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核算口径标识</w:t>
            </w:r>
          </w:p>
        </w:tc>
        <w:tc>
          <w:tcPr>
            <w:tcW w:w="13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B8C764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20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68F874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65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D07E03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取值 </w:t>
            </w:r>
            <w:r>
              <w:rPr>
                <w:rFonts w:hint="eastAsia" w:ascii="宋体" w:hAnsi="宋体" w:eastAsia="宋体" w:cs="宋体"/>
                <w:b w:val="0"/>
                <w:i w:val="0"/>
                <w:iCs w:val="0"/>
                <w:color w:val="0284C7"/>
                <w:sz w:val="24"/>
                <w:szCs w:val="24"/>
              </w:rPr>
              <w:t xml:space="preserve"> Scope 1 </w:t>
            </w:r>
            <w:r>
              <w:rPr>
                <w:rFonts w:hint="eastAsia" w:ascii="宋体" w:hAnsi="宋体" w:eastAsia="宋体" w:cs="宋体"/>
                <w:i w:val="0"/>
                <w:iCs w:val="0"/>
                <w:color w:val="1F2937"/>
                <w:sz w:val="24"/>
                <w:szCs w:val="24"/>
              </w:rPr>
              <w:t xml:space="preserve"> / </w:t>
            </w:r>
            <w:r>
              <w:rPr>
                <w:rFonts w:hint="eastAsia" w:ascii="宋体" w:hAnsi="宋体" w:eastAsia="宋体" w:cs="宋体"/>
                <w:b w:val="0"/>
                <w:i w:val="0"/>
                <w:iCs w:val="0"/>
                <w:color w:val="0284C7"/>
                <w:sz w:val="24"/>
                <w:szCs w:val="24"/>
              </w:rPr>
              <w:t xml:space="preserve"> Scope 2 </w:t>
            </w:r>
            <w:r>
              <w:rPr>
                <w:rFonts w:hint="eastAsia" w:ascii="宋体" w:hAnsi="宋体" w:eastAsia="宋体" w:cs="宋体"/>
                <w:i w:val="0"/>
                <w:iCs w:val="0"/>
                <w:color w:val="1F2937"/>
                <w:sz w:val="24"/>
                <w:szCs w:val="24"/>
              </w:rPr>
              <w:t xml:space="preserve"> / </w:t>
            </w:r>
            <w:r>
              <w:rPr>
                <w:rFonts w:hint="eastAsia" w:ascii="宋体" w:hAnsi="宋体" w:eastAsia="宋体" w:cs="宋体"/>
                <w:b w:val="0"/>
                <w:i w:val="0"/>
                <w:iCs w:val="0"/>
                <w:color w:val="0284C7"/>
                <w:sz w:val="24"/>
                <w:szCs w:val="24"/>
              </w:rPr>
              <w:t xml:space="preserve"> 合计 </w:t>
            </w:r>
          </w:p>
        </w:tc>
      </w:tr>
    </w:tbl>
    <w:p w14:paraId="371B16A6">
      <w:pPr>
        <w:spacing w:after="60"/>
        <w:rPr>
          <w:rFonts w:hint="eastAsia" w:ascii="宋体" w:hAnsi="宋体" w:eastAsia="宋体" w:cs="宋体"/>
          <w:i w:val="0"/>
          <w:iCs w:val="0"/>
          <w:sz w:val="24"/>
          <w:szCs w:val="24"/>
        </w:rPr>
      </w:pPr>
    </w:p>
    <w:p w14:paraId="1EABC41D">
      <w:pPr>
        <w:pStyle w:val="6"/>
        <w:numPr>
          <w:ilvl w:val="0"/>
          <w:numId w:val="5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721E42BA">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078C77EC">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C_scope1 = Σ ( FC_i × NCV_i × CC_i × OF_i × 44/12 ) 化石燃料燃烧直接排放</w:t>
            </w:r>
          </w:p>
          <w:p w14:paraId="6698068E">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C_scope2 = Q_grid × EF_grid + Q_heat × EF_heat         外购电力与热力间接排放</w:t>
            </w:r>
          </w:p>
          <w:p w14:paraId="489E7E0A">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C_total = C_scope1 + C_scope2                            总碳排放量</w:t>
            </w:r>
          </w:p>
          <w:p w14:paraId="58340A3F">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I_output = C_total / G_output × 10000                   万元产值碳排强度</w:t>
            </w:r>
          </w:p>
          <w:p w14:paraId="341B654E">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C_net = C_total - E_green × EF_grid                     绿电抵扣后净排放量</w:t>
            </w:r>
          </w:p>
        </w:tc>
      </w:tr>
    </w:tbl>
    <w:p w14:paraId="3E0620D6">
      <w:pPr>
        <w:spacing w:after="40"/>
        <w:rPr>
          <w:rFonts w:hint="eastAsia" w:ascii="宋体" w:hAnsi="宋体" w:eastAsia="宋体" w:cs="宋体"/>
          <w:i w:val="0"/>
          <w:iCs w:val="0"/>
          <w:sz w:val="24"/>
          <w:szCs w:val="24"/>
        </w:rPr>
      </w:pPr>
    </w:p>
    <w:p w14:paraId="786DFD44">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w:t>
      </w:r>
      <w:r>
        <w:rPr>
          <w:rFonts w:ascii="Times New Roman" w:hAnsi="Times New Roman" w:eastAsia="宋体" w:cs="Times New Roman"/>
          <w:b w:val="0"/>
          <w:i w:val="0"/>
          <w:color w:val="0284C7"/>
          <w:sz w:val="24"/>
          <w:szCs w:val="24"/>
        </w:rPr>
        <w:t xml:space="preserve"> FC_i </w:t>
      </w:r>
      <w:r>
        <w:rPr>
          <w:rFonts w:ascii="Times New Roman" w:hAnsi="Times New Roman" w:eastAsia="宋体" w:cs="Times New Roman"/>
          <w:i w:val="0"/>
          <w:color w:val="1F2937"/>
          <w:sz w:val="24"/>
          <w:szCs w:val="24"/>
        </w:rPr>
        <w:t xml:space="preserve"> 为第 i 种燃料消耗量；</w:t>
      </w:r>
      <w:r>
        <w:rPr>
          <w:rFonts w:ascii="Times New Roman" w:hAnsi="Times New Roman" w:eastAsia="宋体" w:cs="Times New Roman"/>
          <w:b w:val="0"/>
          <w:i w:val="0"/>
          <w:color w:val="0284C7"/>
          <w:sz w:val="24"/>
          <w:szCs w:val="24"/>
        </w:rPr>
        <w:t xml:space="preserve"> NCV_i </w:t>
      </w:r>
      <w:r>
        <w:rPr>
          <w:rFonts w:ascii="Times New Roman" w:hAnsi="Times New Roman" w:eastAsia="宋体" w:cs="Times New Roman"/>
          <w:i w:val="0"/>
          <w:color w:val="1F2937"/>
          <w:sz w:val="24"/>
          <w:szCs w:val="24"/>
        </w:rPr>
        <w:t xml:space="preserve"> 为低位热值；</w:t>
      </w:r>
      <w:r>
        <w:rPr>
          <w:rFonts w:ascii="Times New Roman" w:hAnsi="Times New Roman" w:eastAsia="宋体" w:cs="Times New Roman"/>
          <w:b w:val="0"/>
          <w:i w:val="0"/>
          <w:color w:val="0284C7"/>
          <w:sz w:val="24"/>
          <w:szCs w:val="24"/>
        </w:rPr>
        <w:t xml:space="preserve"> CC_i </w:t>
      </w:r>
      <w:r>
        <w:rPr>
          <w:rFonts w:ascii="Times New Roman" w:hAnsi="Times New Roman" w:eastAsia="宋体" w:cs="Times New Roman"/>
          <w:i w:val="0"/>
          <w:color w:val="1F2937"/>
          <w:sz w:val="24"/>
          <w:szCs w:val="24"/>
        </w:rPr>
        <w:t xml:space="preserve"> 为单位热值含碳量；</w:t>
      </w:r>
      <w:r>
        <w:rPr>
          <w:rFonts w:ascii="Times New Roman" w:hAnsi="Times New Roman" w:eastAsia="宋体" w:cs="Times New Roman"/>
          <w:b w:val="0"/>
          <w:i w:val="0"/>
          <w:color w:val="0284C7"/>
          <w:sz w:val="24"/>
          <w:szCs w:val="24"/>
        </w:rPr>
        <w:t xml:space="preserve"> OF_i </w:t>
      </w:r>
      <w:r>
        <w:rPr>
          <w:rFonts w:ascii="Times New Roman" w:hAnsi="Times New Roman" w:eastAsia="宋体" w:cs="Times New Roman"/>
          <w:i w:val="0"/>
          <w:color w:val="1F2937"/>
          <w:sz w:val="24"/>
          <w:szCs w:val="24"/>
        </w:rPr>
        <w:t xml:space="preserve"> 为碳氧化率；</w:t>
      </w:r>
      <w:r>
        <w:rPr>
          <w:rFonts w:ascii="Times New Roman" w:hAnsi="Times New Roman" w:eastAsia="宋体" w:cs="Times New Roman"/>
          <w:b w:val="0"/>
          <w:i w:val="0"/>
          <w:color w:val="0284C7"/>
          <w:sz w:val="24"/>
          <w:szCs w:val="24"/>
        </w:rPr>
        <w:t xml:space="preserve"> EF_grid </w:t>
      </w:r>
      <w:r>
        <w:rPr>
          <w:rFonts w:ascii="Times New Roman" w:hAnsi="Times New Roman" w:eastAsia="宋体" w:cs="Times New Roman"/>
          <w:i w:val="0"/>
          <w:color w:val="1F2937"/>
          <w:sz w:val="24"/>
          <w:szCs w:val="24"/>
        </w:rPr>
        <w:t xml:space="preserve"> 为区域电网排放因子（tCO2/MWh）；</w:t>
      </w:r>
      <w:r>
        <w:rPr>
          <w:rFonts w:ascii="Times New Roman" w:hAnsi="Times New Roman" w:eastAsia="宋体" w:cs="Times New Roman"/>
          <w:b w:val="0"/>
          <w:i w:val="0"/>
          <w:color w:val="0284C7"/>
          <w:sz w:val="24"/>
          <w:szCs w:val="24"/>
        </w:rPr>
        <w:t xml:space="preserve"> EF_heat </w:t>
      </w:r>
      <w:r>
        <w:rPr>
          <w:rFonts w:ascii="Times New Roman" w:hAnsi="Times New Roman" w:eastAsia="宋体" w:cs="Times New Roman"/>
          <w:i w:val="0"/>
          <w:color w:val="1F2937"/>
          <w:sz w:val="24"/>
          <w:szCs w:val="24"/>
        </w:rPr>
        <w:t xml:space="preserve"> 为外购热力排放因子；</w:t>
      </w:r>
      <w:r>
        <w:rPr>
          <w:rFonts w:ascii="Times New Roman" w:hAnsi="Times New Roman" w:eastAsia="宋体" w:cs="Times New Roman"/>
          <w:b w:val="0"/>
          <w:i w:val="0"/>
          <w:color w:val="0284C7"/>
          <w:sz w:val="24"/>
          <w:szCs w:val="24"/>
        </w:rPr>
        <w:t xml:space="preserve"> E_green </w:t>
      </w:r>
      <w:r>
        <w:rPr>
          <w:rFonts w:ascii="Times New Roman" w:hAnsi="Times New Roman" w:eastAsia="宋体" w:cs="Times New Roman"/>
          <w:i w:val="0"/>
          <w:color w:val="1F2937"/>
          <w:sz w:val="24"/>
          <w:szCs w:val="24"/>
        </w:rPr>
        <w:t xml:space="preserve"> 为绿电消纳量。</w:t>
      </w:r>
    </w:p>
    <w:p w14:paraId="734264CE">
      <w:pPr>
        <w:pStyle w:val="6"/>
        <w:numPr>
          <w:ilvl w:val="0"/>
          <w:numId w:val="5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0E548576">
      <w:pPr>
        <w:pStyle w:val="19"/>
        <w:widowControl/>
        <w:numPr>
          <w:ilvl w:val="0"/>
          <w:numId w:val="6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核算口径</w:t>
      </w:r>
      <w:r>
        <w:rPr>
          <w:rFonts w:ascii="Times New Roman" w:hAnsi="Times New Roman" w:eastAsia="宋体" w:cs="Times New Roman"/>
          <w:i w:val="0"/>
          <w:color w:val="1F2937"/>
          <w:sz w:val="24"/>
          <w:szCs w:val="24"/>
        </w:rPr>
        <w:t>：严格区分 Scope 1 与 Scope 2，不得合并为单一数值对外发布。</w:t>
      </w:r>
    </w:p>
    <w:p w14:paraId="4562F279">
      <w:pPr>
        <w:pStyle w:val="19"/>
        <w:widowControl/>
        <w:numPr>
          <w:ilvl w:val="0"/>
          <w:numId w:val="6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因子口径</w:t>
      </w:r>
      <w:r>
        <w:rPr>
          <w:rFonts w:ascii="Times New Roman" w:hAnsi="Times New Roman" w:eastAsia="宋体" w:cs="Times New Roman"/>
          <w:i w:val="0"/>
          <w:color w:val="1F2937"/>
          <w:sz w:val="24"/>
          <w:szCs w:val="24"/>
        </w:rPr>
        <w:t>：排放因子取因子库当前生效版本，过期因子触发拦截。</w:t>
      </w:r>
    </w:p>
    <w:p w14:paraId="65F62A33">
      <w:pPr>
        <w:pStyle w:val="19"/>
        <w:widowControl/>
        <w:numPr>
          <w:ilvl w:val="0"/>
          <w:numId w:val="6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抵扣口径</w:t>
      </w:r>
      <w:r>
        <w:rPr>
          <w:rFonts w:ascii="Times New Roman" w:hAnsi="Times New Roman" w:eastAsia="宋体" w:cs="Times New Roman"/>
          <w:i w:val="0"/>
          <w:color w:val="1F2937"/>
          <w:sz w:val="24"/>
          <w:szCs w:val="24"/>
        </w:rPr>
        <w:t>：绿电抵扣按具备物理可溯源条件的消纳量核算，绿证核销的等效量单独列示不混入。</w:t>
      </w:r>
    </w:p>
    <w:p w14:paraId="5F8A04E6">
      <w:pPr>
        <w:pStyle w:val="19"/>
        <w:widowControl/>
        <w:numPr>
          <w:ilvl w:val="0"/>
          <w:numId w:val="6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强度口径</w:t>
      </w:r>
      <w:r>
        <w:rPr>
          <w:rFonts w:ascii="Times New Roman" w:hAnsi="Times New Roman" w:eastAsia="宋体" w:cs="Times New Roman"/>
          <w:i w:val="0"/>
          <w:color w:val="1F2937"/>
          <w:sz w:val="24"/>
          <w:szCs w:val="24"/>
        </w:rPr>
        <w:t>：万元产值碳排强度分母为当期产品产值（万元），与单位产值能耗口径保持一致。</w:t>
      </w:r>
    </w:p>
    <w:p w14:paraId="4F94CC59">
      <w:pPr>
        <w:pStyle w:val="6"/>
        <w:numPr>
          <w:ilvl w:val="0"/>
          <w:numId w:val="5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660B0894">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10DCE153">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排放因子过期：触发 </w:t>
            </w:r>
            <w:r>
              <w:rPr>
                <w:rFonts w:hint="eastAsia" w:ascii="宋体" w:hAnsi="宋体" w:eastAsia="宋体" w:cs="宋体"/>
                <w:b w:val="0"/>
                <w:i w:val="0"/>
                <w:iCs w:val="0"/>
                <w:color w:val="0284C7"/>
                <w:sz w:val="24"/>
                <w:szCs w:val="24"/>
              </w:rPr>
              <w:t xml:space="preserve"> E_VAL_FACTOR_EXPIRED </w:t>
            </w:r>
            <w:r>
              <w:rPr>
                <w:rFonts w:hint="eastAsia" w:ascii="宋体" w:hAnsi="宋体" w:eastAsia="宋体" w:cs="宋体"/>
                <w:i w:val="0"/>
                <w:iCs w:val="0"/>
                <w:color w:val="1F2937"/>
                <w:sz w:val="24"/>
                <w:szCs w:val="24"/>
              </w:rPr>
              <w:t>，图表底部标注"因子待升级"并保留历史版本可查。</w:t>
            </w:r>
          </w:p>
          <w:p w14:paraId="5D4A3F9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分母产值为 0：强度指标显示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，严禁 NaN 或白屏。</w:t>
            </w:r>
          </w:p>
          <w:p w14:paraId="2D776CE4">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绿电抵扣量大于总排放量：按 0 兜底并标注"抵扣量异常，待核对凭证"。</w:t>
            </w:r>
          </w:p>
          <w:p w14:paraId="2BB921F1">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数据修复：已关账月度的碳排放数据禁止直接修改，须走特批反冲流程。</w:t>
            </w:r>
          </w:p>
        </w:tc>
      </w:tr>
    </w:tbl>
    <w:p w14:paraId="4C989CBB">
      <w:pPr>
        <w:spacing w:after="40"/>
        <w:rPr>
          <w:rFonts w:hint="eastAsia" w:ascii="宋体" w:hAnsi="宋体" w:eastAsia="宋体" w:cs="宋体"/>
          <w:i w:val="0"/>
          <w:iCs w:val="0"/>
          <w:sz w:val="24"/>
          <w:szCs w:val="24"/>
        </w:rPr>
      </w:pPr>
    </w:p>
    <w:p w14:paraId="4B0C393A">
      <w:pPr>
        <w:pStyle w:val="6"/>
        <w:numPr>
          <w:ilvl w:val="0"/>
          <w:numId w:val="59"/>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138CC20C">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7C91E6BA">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能源碳排放监测双范围核算</w:t>
            </w:r>
          </w:p>
          <w:p w14:paraId="3FF81503">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范围一与范围二独立核算</w:t>
            </w:r>
          </w:p>
          <w:p w14:paraId="60C618C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园区当月已录入天然气、柴油消耗量及外购电量、外购蒸汽量</w:t>
            </w:r>
          </w:p>
          <w:p w14:paraId="55BE7AA9">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系统渲染碳排放双轴堆叠面积图</w:t>
            </w:r>
          </w:p>
          <w:p w14:paraId="405E4C09">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Scope 1 与 Scope 2 分别独立成层展示</w:t>
            </w:r>
          </w:p>
          <w:p w14:paraId="12C81159">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总碳排放量等于两者之和</w:t>
            </w:r>
          </w:p>
          <w:p w14:paraId="1246B16A">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页面不将两范围合并为单一数值对外发布</w:t>
            </w:r>
          </w:p>
          <w:p w14:paraId="362B4266">
            <w:pPr>
              <w:spacing w:before="0" w:after="20" w:line="264" w:lineRule="auto"/>
              <w:rPr>
                <w:rFonts w:hint="eastAsia" w:ascii="宋体" w:hAnsi="宋体" w:eastAsia="宋体" w:cs="宋体"/>
                <w:i w:val="0"/>
                <w:iCs w:val="0"/>
                <w:sz w:val="24"/>
                <w:szCs w:val="24"/>
              </w:rPr>
            </w:pPr>
          </w:p>
          <w:p w14:paraId="1A0D94C0">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绿电抵扣核算</w:t>
            </w:r>
          </w:p>
          <w:p w14:paraId="57DAE4A8">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园区当月绿电消纳量具备物理可溯源凭证</w:t>
            </w:r>
          </w:p>
          <w:p w14:paraId="2F5E598B">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系统测算抵扣后净排放量</w:t>
            </w:r>
          </w:p>
          <w:p w14:paraId="01F1479B">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抵扣后净排放量 = 总排放量 − 绿电消纳量 × 电网排放因子</w:t>
            </w:r>
          </w:p>
          <w:p w14:paraId="55B9781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当抵扣量大于总排放量时按 0 兜底并标注待核对凭证</w:t>
            </w:r>
          </w:p>
          <w:p w14:paraId="7AE69FD4">
            <w:pPr>
              <w:spacing w:before="0" w:after="20" w:line="264" w:lineRule="auto"/>
              <w:rPr>
                <w:rFonts w:hint="eastAsia" w:ascii="宋体" w:hAnsi="宋体" w:eastAsia="宋体" w:cs="宋体"/>
                <w:i w:val="0"/>
                <w:iCs w:val="0"/>
                <w:sz w:val="24"/>
                <w:szCs w:val="24"/>
              </w:rPr>
            </w:pPr>
          </w:p>
          <w:p w14:paraId="6609BBF5">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因子过期拦截</w:t>
            </w:r>
          </w:p>
          <w:p w14:paraId="722D2D2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某排放因子条目已超出 effective_to 有效期</w:t>
            </w:r>
          </w:p>
          <w:p w14:paraId="7AE65B9A">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系统尝试使用该因子完成碳排核算</w:t>
            </w:r>
          </w:p>
          <w:p w14:paraId="334E13C8">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拦截核算并返回 E_VAL_FACTOR_EXPIRED</w:t>
            </w:r>
          </w:p>
          <w:p w14:paraId="7A67FCF0">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图表底部标注"因子待升级"，历史版本仍可查询</w:t>
            </w:r>
          </w:p>
        </w:tc>
      </w:tr>
    </w:tbl>
    <w:p w14:paraId="15BA5586">
      <w:pPr>
        <w:spacing w:after="40"/>
        <w:rPr>
          <w:rFonts w:hint="eastAsia" w:ascii="宋体" w:hAnsi="宋体" w:eastAsia="宋体" w:cs="宋体"/>
          <w:i w:val="0"/>
          <w:iCs w:val="0"/>
          <w:sz w:val="24"/>
          <w:szCs w:val="24"/>
        </w:rPr>
      </w:pPr>
    </w:p>
    <w:p w14:paraId="31364E59">
      <w:pPr>
        <w:pStyle w:val="5"/>
        <w:numPr>
          <w:ilvl w:val="0"/>
          <w:numId w:val="27"/>
        </w:numPr>
        <w:ind w:left="0" w:leftChars="0" w:firstLine="0" w:firstLineChars="0"/>
        <w:outlineLvl w:val="1"/>
        <w:rPr>
          <w:rFonts w:hint="eastAsia" w:ascii="Times New Roman" w:hAnsi="Times New Roman" w:eastAsia="黑体" w:cs="Times New Roman"/>
          <w:b w:val="0"/>
          <w:bCs w:val="0"/>
          <w:sz w:val="30"/>
          <w:szCs w:val="24"/>
          <w:lang w:val="en-US" w:eastAsia="zh-CN"/>
        </w:rPr>
      </w:pPr>
      <w:bookmarkStart w:id="21" w:name="_Toc15620"/>
      <w:r>
        <w:rPr>
          <w:rFonts w:hint="eastAsia" w:ascii="Times New Roman" w:hAnsi="Times New Roman" w:eastAsia="黑体" w:cs="Times New Roman"/>
          <w:b w:val="0"/>
          <w:bCs w:val="0"/>
          <w:sz w:val="30"/>
          <w:szCs w:val="24"/>
          <w:lang w:val="en-US" w:eastAsia="zh-CN"/>
        </w:rPr>
        <w:t>自定义指标监测</w:t>
      </w:r>
      <w:bookmarkEnd w:id="21"/>
    </w:p>
    <w:p w14:paraId="2F3AD31A">
      <w:pPr>
        <w:numPr>
          <w:ilvl w:val="0"/>
          <w:numId w:val="0"/>
        </w:numPr>
        <w:spacing w:after="40"/>
        <w:ind w:leftChars="0"/>
        <w:rPr>
          <w:rFonts w:hint="default" w:ascii="宋体" w:hAnsi="宋体" w:eastAsia="宋体" w:cs="宋体"/>
          <w:i w:val="0"/>
          <w:iCs w:val="0"/>
          <w:sz w:val="24"/>
          <w:szCs w:val="24"/>
          <w:lang w:val="en-US" w:eastAsia="zh-CN"/>
        </w:rPr>
      </w:pPr>
      <w:r>
        <w:drawing>
          <wp:inline distT="0" distB="0" distL="114300" distR="114300">
            <wp:extent cx="5900420" cy="2925445"/>
            <wp:effectExtent l="0" t="0" r="5080" b="8255"/>
            <wp:docPr id="1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6"/>
                    <pic:cNvPicPr>
                      <a:picLocks noChangeAspect="1"/>
                    </pic:cNvPicPr>
                  </pic:nvPicPr>
                  <pic:blipFill>
                    <a:blip r:embed="rId40"/>
                    <a:stretch>
                      <a:fillRect/>
                    </a:stretch>
                  </pic:blipFill>
                  <pic:spPr>
                    <a:xfrm>
                      <a:off x="0" y="0"/>
                      <a:ext cx="5900420" cy="2925445"/>
                    </a:xfrm>
                    <a:prstGeom prst="rect">
                      <a:avLst/>
                    </a:prstGeom>
                    <a:noFill/>
                    <a:ln>
                      <a:noFill/>
                    </a:ln>
                  </pic:spPr>
                </pic:pic>
              </a:graphicData>
            </a:graphic>
          </wp:inline>
        </w:drawing>
      </w:r>
    </w:p>
    <w:p w14:paraId="4B4A1640">
      <w:pPr>
        <w:pStyle w:val="6"/>
        <w:numPr>
          <w:ilvl w:val="0"/>
          <w:numId w:val="64"/>
        </w:numPr>
        <w:bidi w:val="0"/>
        <w:ind w:left="0" w:leftChars="0" w:firstLine="0" w:firstLineChars="0"/>
        <w:rPr>
          <w:b w:val="0"/>
          <w:bCs w:val="0"/>
          <w:sz w:val="28"/>
          <w:szCs w:val="28"/>
        </w:rPr>
      </w:pPr>
      <w:r>
        <w:rPr>
          <w:b w:val="0"/>
          <w:bCs w:val="0"/>
          <w:sz w:val="28"/>
          <w:szCs w:val="28"/>
        </w:rPr>
        <w:t>定位与架构角色</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6F6AE29D">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tcPr>
          <w:p w14:paraId="53CB830D">
            <w:pPr>
              <w:pStyle w:val="19"/>
              <w:bidi w:val="0"/>
            </w:pPr>
          </w:p>
        </w:tc>
      </w:tr>
    </w:tbl>
    <w:p w14:paraId="770E48DB"/>
    <w:p w14:paraId="1BFC628B">
      <w:pPr>
        <w:pStyle w:val="6"/>
        <w:numPr>
          <w:ilvl w:val="0"/>
          <w:numId w:val="64"/>
        </w:numPr>
        <w:bidi w:val="0"/>
        <w:ind w:left="0" w:leftChars="0" w:firstLine="0" w:firstLineChars="0"/>
        <w:rPr>
          <w:b w:val="0"/>
          <w:bCs w:val="0"/>
          <w:sz w:val="28"/>
          <w:szCs w:val="28"/>
        </w:rPr>
      </w:pPr>
      <w:r>
        <w:rPr>
          <w:b w:val="0"/>
          <w:bCs w:val="0"/>
          <w:sz w:val="28"/>
          <w:szCs w:val="28"/>
        </w:rPr>
        <w:t>业务场景与用户故事</w:t>
      </w:r>
    </w:p>
    <w:tbl>
      <w:tblPr>
        <w:tblStyle w:val="38"/>
        <w:tblW w:w="0" w:type="auto"/>
        <w:jc w:val="center"/>
        <w:tblBorders>
          <w:top w:val="none" w:color="auto" w:sz="0" w:space="0"/>
          <w:left w:val="single" w:color="44546A" w:themeColor="text2"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05D9CCB3">
        <w:tblPrEx>
          <w:tblBorders>
            <w:top w:val="none" w:color="auto" w:sz="0" w:space="0"/>
            <w:left w:val="single" w:color="44546A" w:themeColor="text2"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tcPr>
          <w:p w14:paraId="35E8A42A">
            <w:pPr>
              <w:pStyle w:val="19"/>
              <w:bidi w:val="0"/>
            </w:pPr>
          </w:p>
        </w:tc>
      </w:tr>
    </w:tbl>
    <w:p w14:paraId="231FEA41"/>
    <w:p w14:paraId="7DE23CAE">
      <w:pPr>
        <w:pStyle w:val="6"/>
        <w:numPr>
          <w:ilvl w:val="0"/>
          <w:numId w:val="64"/>
        </w:numPr>
        <w:bidi w:val="0"/>
        <w:ind w:left="0" w:leftChars="0" w:firstLine="0" w:firstLineChars="0"/>
        <w:rPr>
          <w:b w:val="0"/>
          <w:bCs w:val="0"/>
          <w:sz w:val="28"/>
          <w:szCs w:val="28"/>
        </w:rPr>
      </w:pPr>
      <w:r>
        <w:rPr>
          <w:b w:val="0"/>
          <w:bCs w:val="0"/>
          <w:sz w:val="28"/>
          <w:szCs w:val="28"/>
        </w:rPr>
        <w:t>功能规格与交互契约</w:t>
      </w:r>
    </w:p>
    <w:tbl>
      <w:tblPr>
        <w:tblStyle w:val="38"/>
        <w:tblW w:w="0" w:type="auto"/>
        <w:jc w:val="center"/>
        <w:tblBorders>
          <w:top w:val="none" w:color="auto" w:sz="0" w:space="0"/>
          <w:left w:val="single" w:color="EE822F" w:themeColor="accent2"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3FC7E326">
        <w:tblPrEx>
          <w:tblBorders>
            <w:top w:val="none" w:color="auto" w:sz="0" w:space="0"/>
            <w:left w:val="single" w:color="EE822F" w:themeColor="accent2"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tcPr>
          <w:p w14:paraId="1D64D4E6">
            <w:pPr>
              <w:pStyle w:val="19"/>
              <w:bidi w:val="0"/>
            </w:pPr>
          </w:p>
          <w:p w14:paraId="062D7437">
            <w:pPr>
              <w:pStyle w:val="19"/>
              <w:bidi w:val="0"/>
              <w:ind w:left="0" w:leftChars="0" w:firstLine="0" w:firstLineChars="0"/>
              <w:rPr>
                <w:rFonts w:hint="eastAsia"/>
                <w:lang w:val="en-US" w:eastAsia="zh-CN"/>
              </w:rPr>
            </w:pPr>
            <w:r>
              <w:rPr>
                <w:rFonts w:hint="eastAsia"/>
                <w:lang w:val="en-US" w:eastAsia="zh-CN"/>
              </w:rPr>
              <w:t>数据概览：</w:t>
            </w:r>
          </w:p>
          <w:p w14:paraId="6E0E59DE">
            <w:pPr>
              <w:pStyle w:val="19"/>
              <w:bidi w:val="0"/>
              <w:ind w:left="0" w:leftChars="0" w:firstLine="0" w:firstLineChars="0"/>
            </w:pPr>
            <w:r>
              <w:drawing>
                <wp:inline distT="0" distB="0" distL="114300" distR="114300">
                  <wp:extent cx="5996305" cy="2018665"/>
                  <wp:effectExtent l="0" t="0" r="4445" b="635"/>
                  <wp:docPr id="110"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64"/>
                          <pic:cNvPicPr>
                            <a:picLocks noChangeAspect="1"/>
                          </pic:cNvPicPr>
                        </pic:nvPicPr>
                        <pic:blipFill>
                          <a:blip r:embed="rId41"/>
                          <a:stretch>
                            <a:fillRect/>
                          </a:stretch>
                        </pic:blipFill>
                        <pic:spPr>
                          <a:xfrm>
                            <a:off x="0" y="0"/>
                            <a:ext cx="5996305" cy="2018665"/>
                          </a:xfrm>
                          <a:prstGeom prst="rect">
                            <a:avLst/>
                          </a:prstGeom>
                          <a:noFill/>
                          <a:ln>
                            <a:noFill/>
                          </a:ln>
                        </pic:spPr>
                      </pic:pic>
                    </a:graphicData>
                  </a:graphic>
                </wp:inline>
              </w:drawing>
            </w:r>
          </w:p>
          <w:p w14:paraId="0BFB8EEC">
            <w:pPr>
              <w:pStyle w:val="19"/>
              <w:bidi w:val="0"/>
              <w:ind w:left="0" w:leftChars="0" w:firstLine="0" w:firstLineChars="0"/>
              <w:rPr>
                <w:rFonts w:hint="eastAsia"/>
                <w:lang w:val="en-US" w:eastAsia="zh-CN"/>
              </w:rPr>
            </w:pPr>
          </w:p>
          <w:p w14:paraId="12B672F9">
            <w:pPr>
              <w:pStyle w:val="19"/>
              <w:bidi w:val="0"/>
              <w:ind w:left="0" w:leftChars="0" w:firstLine="0" w:firstLineChars="0"/>
              <w:rPr>
                <w:rFonts w:hint="default"/>
                <w:lang w:val="en-US" w:eastAsia="zh-CN"/>
              </w:rPr>
            </w:pPr>
            <w:r>
              <w:rPr>
                <w:rFonts w:hint="eastAsia"/>
                <w:lang w:val="en-US" w:eastAsia="zh-CN"/>
              </w:rPr>
              <w:t>数据台账明细：</w:t>
            </w:r>
          </w:p>
          <w:p w14:paraId="66536892">
            <w:pPr>
              <w:pStyle w:val="19"/>
              <w:bidi w:val="0"/>
              <w:ind w:left="0" w:leftChars="0" w:firstLine="0" w:firstLineChars="0"/>
              <w:rPr>
                <w:rFonts w:hint="default"/>
                <w:lang w:val="en-US" w:eastAsia="zh-CN"/>
              </w:rPr>
            </w:pPr>
            <w:r>
              <w:drawing>
                <wp:inline distT="0" distB="0" distL="114300" distR="114300">
                  <wp:extent cx="5996305" cy="2658745"/>
                  <wp:effectExtent l="0" t="0" r="4445" b="8255"/>
                  <wp:docPr id="111"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65"/>
                          <pic:cNvPicPr>
                            <a:picLocks noChangeAspect="1"/>
                          </pic:cNvPicPr>
                        </pic:nvPicPr>
                        <pic:blipFill>
                          <a:blip r:embed="rId42"/>
                          <a:stretch>
                            <a:fillRect/>
                          </a:stretch>
                        </pic:blipFill>
                        <pic:spPr>
                          <a:xfrm>
                            <a:off x="0" y="0"/>
                            <a:ext cx="5996305" cy="2658745"/>
                          </a:xfrm>
                          <a:prstGeom prst="rect">
                            <a:avLst/>
                          </a:prstGeom>
                          <a:noFill/>
                          <a:ln>
                            <a:noFill/>
                          </a:ln>
                        </pic:spPr>
                      </pic:pic>
                    </a:graphicData>
                  </a:graphic>
                </wp:inline>
              </w:drawing>
            </w:r>
          </w:p>
        </w:tc>
      </w:tr>
    </w:tbl>
    <w:p w14:paraId="531E4F14"/>
    <w:p w14:paraId="3E2A4776">
      <w:pPr>
        <w:pStyle w:val="6"/>
        <w:numPr>
          <w:ilvl w:val="0"/>
          <w:numId w:val="64"/>
        </w:numPr>
        <w:bidi w:val="0"/>
        <w:ind w:left="0" w:leftChars="0" w:firstLine="0" w:firstLineChars="0"/>
        <w:rPr>
          <w:b w:val="0"/>
          <w:bCs w:val="0"/>
          <w:sz w:val="28"/>
          <w:szCs w:val="28"/>
        </w:rPr>
      </w:pPr>
      <w:r>
        <w:rPr>
          <w:b w:val="0"/>
          <w:bCs w:val="0"/>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89"/>
        <w:gridCol w:w="1657"/>
        <w:gridCol w:w="1468"/>
        <w:gridCol w:w="1291"/>
        <w:gridCol w:w="4479"/>
      </w:tblGrid>
      <w:tr w14:paraId="53D61513">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62C6C6B">
            <w:pPr>
              <w:pStyle w:val="19"/>
              <w:bidi w:val="0"/>
              <w:spacing w:line="240" w:lineRule="auto"/>
              <w:ind w:left="0" w:leftChars="0" w:right="0" w:rightChars="0" w:firstLine="0" w:firstLineChars="0"/>
              <w:jc w:val="both"/>
            </w:pPr>
            <w: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283FEA3">
            <w:pPr>
              <w:pStyle w:val="19"/>
              <w:bidi w:val="0"/>
              <w:spacing w:line="240" w:lineRule="auto"/>
              <w:ind w:left="0" w:leftChars="0" w:right="0" w:rightChars="0" w:firstLine="0" w:firstLineChars="0"/>
              <w:jc w:val="both"/>
            </w:pPr>
            <w:r>
              <w:t>字段中文名称</w:t>
            </w:r>
          </w:p>
        </w:tc>
        <w:tc>
          <w:tcPr>
            <w:tcW w:w="146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90314CE">
            <w:pPr>
              <w:pStyle w:val="19"/>
              <w:bidi w:val="0"/>
              <w:spacing w:line="240" w:lineRule="auto"/>
              <w:ind w:left="0" w:leftChars="0" w:right="0" w:rightChars="0" w:firstLine="0" w:firstLineChars="0"/>
              <w:jc w:val="both"/>
            </w:pPr>
            <w:r>
              <w:t>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825A81E">
            <w:pPr>
              <w:pStyle w:val="19"/>
              <w:bidi w:val="0"/>
              <w:spacing w:line="240" w:lineRule="auto"/>
              <w:ind w:left="0" w:leftChars="0" w:right="0" w:rightChars="0" w:firstLine="0" w:firstLineChars="0"/>
              <w:jc w:val="both"/>
            </w:pPr>
            <w:r>
              <w:t>工程单位</w:t>
            </w:r>
          </w:p>
        </w:tc>
        <w:tc>
          <w:tcPr>
            <w:tcW w:w="447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A02A53E">
            <w:pPr>
              <w:pStyle w:val="19"/>
              <w:bidi w:val="0"/>
              <w:spacing w:line="240" w:lineRule="auto"/>
              <w:ind w:left="0" w:leftChars="0" w:right="0" w:rightChars="0" w:firstLine="0" w:firstLineChars="0"/>
              <w:jc w:val="both"/>
            </w:pPr>
            <w:r>
              <w:t>校验与约束规则</w:t>
            </w:r>
          </w:p>
        </w:tc>
      </w:tr>
      <w:tr w14:paraId="7BD9BC7B">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F269AB9">
            <w:pPr>
              <w:pStyle w:val="19"/>
              <w:bidi w:val="0"/>
              <w:spacing w:line="240" w:lineRule="auto"/>
              <w:ind w:left="0" w:leftChars="0" w:right="0" w:rightChars="0" w:firstLine="0" w:firstLineChars="0"/>
              <w:jc w:val="both"/>
            </w:pP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B739380">
            <w:pPr>
              <w:pStyle w:val="19"/>
              <w:bidi w:val="0"/>
              <w:spacing w:line="240" w:lineRule="auto"/>
              <w:ind w:left="0" w:leftChars="0" w:right="0" w:rightChars="0" w:firstLine="0" w:firstLineChars="0"/>
              <w:jc w:val="both"/>
            </w:pP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99874C6">
            <w:pPr>
              <w:pStyle w:val="19"/>
              <w:bidi w:val="0"/>
              <w:spacing w:line="240" w:lineRule="auto"/>
              <w:ind w:left="0" w:leftChars="0" w:right="0" w:rightChars="0" w:firstLine="0" w:firstLineChars="0"/>
              <w:jc w:val="both"/>
            </w:pP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2676328">
            <w:pPr>
              <w:pStyle w:val="19"/>
              <w:bidi w:val="0"/>
              <w:spacing w:line="240" w:lineRule="auto"/>
              <w:ind w:left="0" w:leftChars="0" w:right="0" w:rightChars="0" w:firstLine="0" w:firstLineChars="0"/>
              <w:jc w:val="both"/>
            </w:pP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C8E5883">
            <w:pPr>
              <w:pStyle w:val="19"/>
              <w:bidi w:val="0"/>
              <w:spacing w:line="240" w:lineRule="auto"/>
              <w:ind w:left="0" w:leftChars="0" w:right="0" w:rightChars="0" w:firstLine="0" w:firstLineChars="0"/>
              <w:jc w:val="both"/>
            </w:pPr>
          </w:p>
        </w:tc>
      </w:tr>
      <w:tr w14:paraId="7FEA3C65">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3875ADB">
            <w:pPr>
              <w:pStyle w:val="19"/>
              <w:bidi w:val="0"/>
              <w:spacing w:line="240" w:lineRule="auto"/>
              <w:ind w:left="0" w:leftChars="0" w:right="0" w:rightChars="0" w:firstLine="0" w:firstLineChars="0"/>
              <w:jc w:val="both"/>
            </w:pP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CFEC37C">
            <w:pPr>
              <w:pStyle w:val="19"/>
              <w:bidi w:val="0"/>
              <w:spacing w:line="240" w:lineRule="auto"/>
              <w:ind w:left="0" w:leftChars="0" w:right="0" w:rightChars="0" w:firstLine="0" w:firstLineChars="0"/>
              <w:jc w:val="both"/>
            </w:pP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EFFC321">
            <w:pPr>
              <w:pStyle w:val="19"/>
              <w:bidi w:val="0"/>
              <w:spacing w:line="240" w:lineRule="auto"/>
              <w:ind w:left="0" w:leftChars="0" w:right="0" w:rightChars="0" w:firstLine="0" w:firstLineChars="0"/>
              <w:jc w:val="both"/>
            </w:pP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12DD407">
            <w:pPr>
              <w:pStyle w:val="19"/>
              <w:bidi w:val="0"/>
              <w:spacing w:line="240" w:lineRule="auto"/>
              <w:ind w:left="0" w:leftChars="0" w:right="0" w:rightChars="0" w:firstLine="0" w:firstLineChars="0"/>
              <w:jc w:val="both"/>
            </w:pP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3352EEE">
            <w:pPr>
              <w:pStyle w:val="19"/>
              <w:bidi w:val="0"/>
              <w:spacing w:line="240" w:lineRule="auto"/>
              <w:ind w:left="0" w:leftChars="0" w:right="0" w:rightChars="0" w:firstLine="0" w:firstLineChars="0"/>
              <w:jc w:val="both"/>
            </w:pPr>
          </w:p>
        </w:tc>
      </w:tr>
      <w:tr w14:paraId="4B08F856">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8B12681">
            <w:pPr>
              <w:pStyle w:val="19"/>
              <w:bidi w:val="0"/>
              <w:spacing w:line="240" w:lineRule="auto"/>
              <w:ind w:left="0" w:leftChars="0" w:right="0" w:rightChars="0" w:firstLine="0" w:firstLineChars="0"/>
              <w:jc w:val="both"/>
            </w:pP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3AEF421">
            <w:pPr>
              <w:pStyle w:val="19"/>
              <w:bidi w:val="0"/>
              <w:spacing w:line="240" w:lineRule="auto"/>
              <w:ind w:left="0" w:leftChars="0" w:right="0" w:rightChars="0" w:firstLine="0" w:firstLineChars="0"/>
              <w:jc w:val="both"/>
            </w:pP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FF6993E">
            <w:pPr>
              <w:pStyle w:val="19"/>
              <w:bidi w:val="0"/>
              <w:spacing w:line="240" w:lineRule="auto"/>
              <w:ind w:left="0" w:leftChars="0" w:right="0" w:rightChars="0" w:firstLine="0" w:firstLineChars="0"/>
              <w:jc w:val="both"/>
            </w:pP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0BBE5DB">
            <w:pPr>
              <w:pStyle w:val="19"/>
              <w:bidi w:val="0"/>
              <w:spacing w:line="240" w:lineRule="auto"/>
              <w:ind w:left="0" w:leftChars="0" w:right="0" w:rightChars="0" w:firstLine="0" w:firstLineChars="0"/>
              <w:jc w:val="both"/>
            </w:pP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70BAE48">
            <w:pPr>
              <w:pStyle w:val="19"/>
              <w:bidi w:val="0"/>
              <w:spacing w:line="240" w:lineRule="auto"/>
              <w:ind w:left="0" w:leftChars="0" w:right="0" w:rightChars="0" w:firstLine="0" w:firstLineChars="0"/>
              <w:jc w:val="both"/>
            </w:pPr>
          </w:p>
        </w:tc>
      </w:tr>
      <w:tr w14:paraId="7612DBB0">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AA51F77">
            <w:pPr>
              <w:pStyle w:val="19"/>
              <w:bidi w:val="0"/>
              <w:spacing w:line="240" w:lineRule="auto"/>
              <w:ind w:left="0" w:leftChars="0" w:right="0" w:rightChars="0" w:firstLine="0" w:firstLineChars="0"/>
              <w:jc w:val="both"/>
            </w:pP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3CF3797">
            <w:pPr>
              <w:pStyle w:val="19"/>
              <w:bidi w:val="0"/>
              <w:spacing w:line="240" w:lineRule="auto"/>
              <w:ind w:left="0" w:leftChars="0" w:right="0" w:rightChars="0" w:firstLine="0" w:firstLineChars="0"/>
              <w:jc w:val="both"/>
            </w:pP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42DDAA9">
            <w:pPr>
              <w:pStyle w:val="19"/>
              <w:bidi w:val="0"/>
              <w:spacing w:line="240" w:lineRule="auto"/>
              <w:ind w:left="0" w:leftChars="0" w:right="0" w:rightChars="0" w:firstLine="0" w:firstLineChars="0"/>
              <w:jc w:val="both"/>
            </w:pP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B372362">
            <w:pPr>
              <w:pStyle w:val="19"/>
              <w:bidi w:val="0"/>
              <w:spacing w:line="240" w:lineRule="auto"/>
              <w:ind w:left="0" w:leftChars="0" w:right="0" w:rightChars="0" w:firstLine="0" w:firstLineChars="0"/>
              <w:jc w:val="both"/>
            </w:pP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BDDFDE4">
            <w:pPr>
              <w:pStyle w:val="19"/>
              <w:bidi w:val="0"/>
              <w:spacing w:line="240" w:lineRule="auto"/>
              <w:ind w:left="0" w:leftChars="0" w:right="0" w:rightChars="0" w:firstLine="0" w:firstLineChars="0"/>
              <w:jc w:val="both"/>
            </w:pPr>
          </w:p>
        </w:tc>
      </w:tr>
      <w:tr w14:paraId="077AECE3">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11632B0">
            <w:pPr>
              <w:pStyle w:val="19"/>
              <w:bidi w:val="0"/>
              <w:spacing w:line="240" w:lineRule="auto"/>
              <w:ind w:left="0" w:leftChars="0" w:right="0" w:rightChars="0" w:firstLine="0" w:firstLineChars="0"/>
              <w:jc w:val="both"/>
            </w:pP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F5EDD4B">
            <w:pPr>
              <w:pStyle w:val="19"/>
              <w:bidi w:val="0"/>
              <w:spacing w:line="240" w:lineRule="auto"/>
              <w:ind w:left="0" w:leftChars="0" w:right="0" w:rightChars="0" w:firstLine="0" w:firstLineChars="0"/>
              <w:jc w:val="both"/>
            </w:pP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985338F">
            <w:pPr>
              <w:pStyle w:val="19"/>
              <w:bidi w:val="0"/>
              <w:spacing w:line="240" w:lineRule="auto"/>
              <w:ind w:left="0" w:leftChars="0" w:right="0" w:rightChars="0" w:firstLine="0" w:firstLineChars="0"/>
              <w:jc w:val="both"/>
            </w:pP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186E0E0">
            <w:pPr>
              <w:pStyle w:val="19"/>
              <w:bidi w:val="0"/>
              <w:spacing w:line="240" w:lineRule="auto"/>
              <w:ind w:left="0" w:leftChars="0" w:right="0" w:rightChars="0" w:firstLine="0" w:firstLineChars="0"/>
              <w:jc w:val="both"/>
            </w:pP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975B431">
            <w:pPr>
              <w:pStyle w:val="19"/>
              <w:bidi w:val="0"/>
              <w:spacing w:line="240" w:lineRule="auto"/>
              <w:ind w:left="0" w:leftChars="0" w:right="0" w:rightChars="0" w:firstLine="0" w:firstLineChars="0"/>
              <w:jc w:val="both"/>
            </w:pPr>
          </w:p>
        </w:tc>
      </w:tr>
      <w:tr w14:paraId="66F36E76">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27E52F2">
            <w:pPr>
              <w:pStyle w:val="19"/>
              <w:bidi w:val="0"/>
              <w:spacing w:line="240" w:lineRule="auto"/>
              <w:ind w:left="0" w:leftChars="0" w:right="0" w:rightChars="0" w:firstLine="0" w:firstLineChars="0"/>
              <w:jc w:val="both"/>
            </w:pP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0D359F7">
            <w:pPr>
              <w:pStyle w:val="19"/>
              <w:bidi w:val="0"/>
              <w:spacing w:line="240" w:lineRule="auto"/>
              <w:ind w:left="0" w:leftChars="0" w:right="0" w:rightChars="0" w:firstLine="0" w:firstLineChars="0"/>
              <w:jc w:val="both"/>
            </w:pP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1F894C2">
            <w:pPr>
              <w:pStyle w:val="19"/>
              <w:bidi w:val="0"/>
              <w:spacing w:line="240" w:lineRule="auto"/>
              <w:ind w:left="0" w:leftChars="0" w:right="0" w:rightChars="0" w:firstLine="0" w:firstLineChars="0"/>
              <w:jc w:val="both"/>
            </w:pP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86B37B4">
            <w:pPr>
              <w:pStyle w:val="19"/>
              <w:bidi w:val="0"/>
              <w:spacing w:line="240" w:lineRule="auto"/>
              <w:ind w:left="0" w:leftChars="0" w:right="0" w:rightChars="0" w:firstLine="0" w:firstLineChars="0"/>
              <w:jc w:val="both"/>
            </w:pP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FC99565">
            <w:pPr>
              <w:pStyle w:val="19"/>
              <w:bidi w:val="0"/>
              <w:spacing w:line="240" w:lineRule="auto"/>
              <w:ind w:left="0" w:leftChars="0" w:right="0" w:rightChars="0" w:firstLine="0" w:firstLineChars="0"/>
              <w:jc w:val="both"/>
            </w:pPr>
          </w:p>
        </w:tc>
      </w:tr>
      <w:tr w14:paraId="504C7D62">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56F3481">
            <w:pPr>
              <w:pStyle w:val="19"/>
              <w:bidi w:val="0"/>
              <w:spacing w:line="240" w:lineRule="auto"/>
              <w:ind w:left="0" w:leftChars="0" w:right="0" w:rightChars="0" w:firstLine="0" w:firstLineChars="0"/>
              <w:jc w:val="both"/>
            </w:pP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3488AB6">
            <w:pPr>
              <w:pStyle w:val="19"/>
              <w:bidi w:val="0"/>
              <w:spacing w:line="240" w:lineRule="auto"/>
              <w:ind w:left="0" w:leftChars="0" w:right="0" w:rightChars="0" w:firstLine="0" w:firstLineChars="0"/>
              <w:jc w:val="both"/>
            </w:pP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71B9865">
            <w:pPr>
              <w:pStyle w:val="19"/>
              <w:bidi w:val="0"/>
              <w:spacing w:line="240" w:lineRule="auto"/>
              <w:ind w:left="0" w:leftChars="0" w:right="0" w:rightChars="0" w:firstLine="0" w:firstLineChars="0"/>
              <w:jc w:val="both"/>
            </w:pP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CCB762A">
            <w:pPr>
              <w:pStyle w:val="19"/>
              <w:bidi w:val="0"/>
              <w:spacing w:line="240" w:lineRule="auto"/>
              <w:ind w:left="0" w:leftChars="0" w:right="0" w:rightChars="0" w:firstLine="0" w:firstLineChars="0"/>
              <w:jc w:val="both"/>
            </w:pP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1C5A422">
            <w:pPr>
              <w:pStyle w:val="19"/>
              <w:bidi w:val="0"/>
              <w:spacing w:line="240" w:lineRule="auto"/>
              <w:ind w:left="0" w:leftChars="0" w:right="0" w:rightChars="0" w:firstLine="0" w:firstLineChars="0"/>
              <w:jc w:val="both"/>
            </w:pPr>
          </w:p>
        </w:tc>
      </w:tr>
      <w:tr w14:paraId="00602357">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FB94AD0">
            <w:pPr>
              <w:pStyle w:val="19"/>
              <w:bidi w:val="0"/>
              <w:spacing w:line="240" w:lineRule="auto"/>
              <w:ind w:left="0" w:leftChars="0" w:right="0" w:rightChars="0" w:firstLine="0" w:firstLineChars="0"/>
              <w:jc w:val="both"/>
            </w:pPr>
          </w:p>
        </w:tc>
        <w:tc>
          <w:tcPr>
            <w:tcW w:w="165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B6AA7AC">
            <w:pPr>
              <w:pStyle w:val="19"/>
              <w:bidi w:val="0"/>
              <w:spacing w:line="240" w:lineRule="auto"/>
              <w:ind w:left="0" w:leftChars="0" w:right="0" w:rightChars="0" w:firstLine="0" w:firstLineChars="0"/>
              <w:jc w:val="both"/>
            </w:pP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04FBD78">
            <w:pPr>
              <w:pStyle w:val="19"/>
              <w:bidi w:val="0"/>
              <w:spacing w:line="240" w:lineRule="auto"/>
              <w:ind w:left="0" w:leftChars="0" w:right="0" w:rightChars="0" w:firstLine="0" w:firstLineChars="0"/>
              <w:jc w:val="both"/>
            </w:pPr>
          </w:p>
        </w:tc>
        <w:tc>
          <w:tcPr>
            <w:tcW w:w="129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CC0C36D">
            <w:pPr>
              <w:pStyle w:val="19"/>
              <w:bidi w:val="0"/>
              <w:spacing w:line="240" w:lineRule="auto"/>
              <w:ind w:left="0" w:leftChars="0" w:right="0" w:rightChars="0" w:firstLine="0" w:firstLineChars="0"/>
              <w:jc w:val="both"/>
            </w:pP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8DB56EC">
            <w:pPr>
              <w:pStyle w:val="19"/>
              <w:bidi w:val="0"/>
              <w:spacing w:line="240" w:lineRule="auto"/>
              <w:ind w:left="0" w:leftChars="0" w:right="0" w:rightChars="0" w:firstLine="0" w:firstLineChars="0"/>
              <w:jc w:val="both"/>
            </w:pPr>
          </w:p>
        </w:tc>
      </w:tr>
    </w:tbl>
    <w:p w14:paraId="6D1E93E6">
      <w:pPr>
        <w:pStyle w:val="19"/>
        <w:bidi w:val="0"/>
      </w:pPr>
    </w:p>
    <w:p w14:paraId="7DBFE415">
      <w:pPr>
        <w:pStyle w:val="6"/>
        <w:numPr>
          <w:ilvl w:val="0"/>
          <w:numId w:val="64"/>
        </w:numPr>
        <w:bidi w:val="0"/>
        <w:ind w:left="0" w:leftChars="0" w:firstLine="0" w:firstLineChars="0"/>
        <w:rPr>
          <w:b w:val="0"/>
          <w:bCs w:val="0"/>
          <w:sz w:val="28"/>
          <w:szCs w:val="28"/>
        </w:rPr>
      </w:pPr>
      <w:r>
        <w:rPr>
          <w:b w:val="0"/>
          <w:bCs w:val="0"/>
          <w:sz w:val="28"/>
          <w:szCs w:val="28"/>
        </w:rPr>
        <w:t>核心数学模型与算法框架</w:t>
      </w:r>
    </w:p>
    <w:tbl>
      <w:tblPr>
        <w:tblStyle w:val="38"/>
        <w:tblW w:w="0" w:type="auto"/>
        <w:jc w:val="center"/>
        <w:tblLayout w:type="fixed"/>
        <w:tblCellMar>
          <w:top w:w="0" w:type="dxa"/>
          <w:left w:w="108" w:type="dxa"/>
          <w:bottom w:w="0" w:type="dxa"/>
          <w:right w:w="108" w:type="dxa"/>
        </w:tblCellMar>
      </w:tblPr>
      <w:tblGrid>
        <w:gridCol w:w="9648"/>
      </w:tblGrid>
      <w:tr w14:paraId="395C9971">
        <w:tblPrEx>
          <w:tblCellMar>
            <w:top w:w="0" w:type="dxa"/>
            <w:left w:w="108" w:type="dxa"/>
            <w:bottom w:w="0" w:type="dxa"/>
            <w:right w:w="108" w:type="dxa"/>
          </w:tblCellMar>
        </w:tblPrEx>
        <w:trPr>
          <w:jc w:val="center"/>
        </w:trPr>
        <w:tc>
          <w:tcPr>
            <w:tcW w:w="9648" w:type="dxa"/>
            <w:tcBorders>
              <w:top w:val="nil"/>
              <w:left w:val="single" w:color="16A34A" w:sz="24" w:space="0"/>
              <w:bottom w:val="nil"/>
              <w:right w:val="nil"/>
            </w:tcBorders>
            <w:shd w:val="clear" w:color="auto" w:fill="F0FDF4"/>
            <w:tcMar>
              <w:top w:w="70" w:type="dxa"/>
              <w:left w:w="100" w:type="dxa"/>
              <w:bottom w:w="70" w:type="dxa"/>
              <w:right w:w="100" w:type="dxa"/>
            </w:tcMar>
          </w:tcPr>
          <w:p w14:paraId="6B95C272">
            <w:pPr>
              <w:pStyle w:val="19"/>
              <w:bidi w:val="0"/>
            </w:pPr>
          </w:p>
        </w:tc>
      </w:tr>
    </w:tbl>
    <w:p w14:paraId="3BF1F508">
      <w:pPr>
        <w:pStyle w:val="19"/>
        <w:bidi w:val="0"/>
      </w:pPr>
    </w:p>
    <w:p w14:paraId="5655A174">
      <w:pPr>
        <w:pStyle w:val="6"/>
        <w:numPr>
          <w:ilvl w:val="0"/>
          <w:numId w:val="64"/>
        </w:numPr>
        <w:bidi w:val="0"/>
        <w:ind w:left="0" w:leftChars="0" w:firstLine="0" w:firstLineChars="0"/>
        <w:rPr>
          <w:b w:val="0"/>
          <w:bCs w:val="0"/>
          <w:sz w:val="28"/>
          <w:szCs w:val="28"/>
        </w:rPr>
      </w:pPr>
      <w:r>
        <w:rPr>
          <w:b w:val="0"/>
          <w:bCs w:val="0"/>
          <w:sz w:val="28"/>
          <w:szCs w:val="28"/>
        </w:rPr>
        <w:t>展示、对标与判定口径</w:t>
      </w:r>
    </w:p>
    <w:tbl>
      <w:tblPr>
        <w:tblStyle w:val="38"/>
        <w:tblW w:w="0" w:type="auto"/>
        <w:jc w:val="center"/>
        <w:tblBorders>
          <w:top w:val="none" w:color="auto" w:sz="0" w:space="0"/>
          <w:left w:val="single" w:color="4874CB" w:themeColor="accent1"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6EF82BF9">
        <w:tblPrEx>
          <w:tblBorders>
            <w:top w:val="none" w:color="auto" w:sz="0" w:space="0"/>
            <w:left w:val="single" w:color="4874CB" w:themeColor="accent1"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tcPr>
          <w:p w14:paraId="38BCF723">
            <w:pPr>
              <w:pStyle w:val="19"/>
              <w:bidi w:val="0"/>
            </w:pPr>
          </w:p>
        </w:tc>
      </w:tr>
    </w:tbl>
    <w:p w14:paraId="2F42FC2C">
      <w:pPr>
        <w:pStyle w:val="19"/>
        <w:bidi w:val="0"/>
      </w:pPr>
    </w:p>
    <w:p w14:paraId="412D10D1">
      <w:pPr>
        <w:pStyle w:val="6"/>
        <w:numPr>
          <w:ilvl w:val="0"/>
          <w:numId w:val="64"/>
        </w:numPr>
        <w:bidi w:val="0"/>
        <w:ind w:left="0" w:leftChars="0" w:firstLine="0" w:firstLineChars="0"/>
        <w:rPr>
          <w:b w:val="0"/>
          <w:bCs w:val="0"/>
          <w:sz w:val="28"/>
          <w:szCs w:val="28"/>
        </w:rPr>
      </w:pPr>
      <w:r>
        <w:rPr>
          <w:b w:val="0"/>
          <w:bCs w:val="0"/>
          <w:sz w:val="28"/>
          <w:szCs w:val="28"/>
        </w:rPr>
        <w:t>边界条件、异常处理与防错规则</w:t>
      </w:r>
    </w:p>
    <w:tbl>
      <w:tblPr>
        <w:tblStyle w:val="38"/>
        <w:tblW w:w="0" w:type="auto"/>
        <w:jc w:val="center"/>
        <w:tblBorders>
          <w:top w:val="none" w:color="auto" w:sz="0" w:space="0"/>
          <w:left w:val="single" w:color="E54C5E" w:themeColor="accent6"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64BFD75F">
        <w:tblPrEx>
          <w:tblBorders>
            <w:top w:val="none" w:color="auto" w:sz="0" w:space="0"/>
            <w:left w:val="single" w:color="E54C5E" w:themeColor="accent6"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5F3FF"/>
            <w:tcMar>
              <w:top w:w="70" w:type="dxa"/>
              <w:left w:w="100" w:type="dxa"/>
              <w:bottom w:w="70" w:type="dxa"/>
              <w:right w:w="100" w:type="dxa"/>
            </w:tcMar>
          </w:tcPr>
          <w:p w14:paraId="7F118505">
            <w:pPr>
              <w:pStyle w:val="19"/>
              <w:bidi w:val="0"/>
            </w:pPr>
          </w:p>
        </w:tc>
      </w:tr>
    </w:tbl>
    <w:p w14:paraId="0CA02B5D"/>
    <w:p w14:paraId="4B40C322">
      <w:pPr>
        <w:pStyle w:val="6"/>
        <w:numPr>
          <w:ilvl w:val="0"/>
          <w:numId w:val="64"/>
        </w:numPr>
        <w:bidi w:val="0"/>
        <w:ind w:left="0" w:leftChars="0" w:firstLine="0" w:firstLineChars="0"/>
        <w:rPr>
          <w:b w:val="0"/>
          <w:bCs w:val="0"/>
          <w:sz w:val="28"/>
          <w:szCs w:val="28"/>
        </w:rPr>
      </w:pPr>
      <w:r>
        <w:rPr>
          <w:b w:val="0"/>
          <w:bCs w:val="0"/>
          <w:sz w:val="28"/>
          <w:szCs w:val="28"/>
        </w:rPr>
        <w:t>QA 自动化验收准则（Gherkin BDD）</w:t>
      </w:r>
    </w:p>
    <w:tbl>
      <w:tblPr>
        <w:tblStyle w:val="38"/>
        <w:tblW w:w="0" w:type="auto"/>
        <w:jc w:val="center"/>
        <w:tblLayout w:type="fixed"/>
        <w:tblCellMar>
          <w:top w:w="0" w:type="dxa"/>
          <w:left w:w="108" w:type="dxa"/>
          <w:bottom w:w="0" w:type="dxa"/>
          <w:right w:w="108" w:type="dxa"/>
        </w:tblCellMar>
      </w:tblPr>
      <w:tblGrid>
        <w:gridCol w:w="9648"/>
      </w:tblGrid>
      <w:tr w14:paraId="72E180AF">
        <w:tblPrEx>
          <w:tblCellMar>
            <w:top w:w="0" w:type="dxa"/>
            <w:left w:w="108" w:type="dxa"/>
            <w:bottom w:w="0" w:type="dxa"/>
            <w:right w:w="108" w:type="dxa"/>
          </w:tblCellMar>
        </w:tblPrEx>
        <w:trPr>
          <w:jc w:val="center"/>
        </w:trPr>
        <w:tc>
          <w:tcPr>
            <w:tcW w:w="9648" w:type="dxa"/>
            <w:tcBorders>
              <w:top w:val="nil"/>
              <w:left w:val="single" w:color="7C3AED" w:sz="24" w:space="0"/>
              <w:bottom w:val="nil"/>
              <w:right w:val="nil"/>
            </w:tcBorders>
            <w:shd w:val="clear" w:color="auto" w:fill="F5F3FF"/>
            <w:tcMar>
              <w:top w:w="70" w:type="dxa"/>
              <w:left w:w="100" w:type="dxa"/>
              <w:bottom w:w="70" w:type="dxa"/>
              <w:right w:w="100" w:type="dxa"/>
            </w:tcMar>
          </w:tcPr>
          <w:p w14:paraId="2223F7A0">
            <w:pPr>
              <w:pStyle w:val="19"/>
              <w:bidi w:val="0"/>
            </w:pPr>
          </w:p>
        </w:tc>
      </w:tr>
    </w:tbl>
    <w:p w14:paraId="43050B62">
      <w:pPr>
        <w:numPr>
          <w:ilvl w:val="0"/>
          <w:numId w:val="0"/>
        </w:numPr>
        <w:spacing w:after="40"/>
        <w:ind w:leftChars="0"/>
        <w:rPr>
          <w:rFonts w:hint="default" w:ascii="宋体" w:hAnsi="宋体" w:eastAsia="宋体" w:cs="宋体"/>
          <w:i w:val="0"/>
          <w:iCs w:val="0"/>
          <w:sz w:val="24"/>
          <w:szCs w:val="24"/>
          <w:lang w:val="en-US" w:eastAsia="zh-CN"/>
        </w:rPr>
      </w:pPr>
    </w:p>
    <w:p w14:paraId="6C7DCA8E">
      <w:pPr>
        <w:pStyle w:val="4"/>
        <w:numPr>
          <w:ilvl w:val="0"/>
          <w:numId w:val="15"/>
        </w:numPr>
        <w:topLinePunct w:val="0"/>
        <w:ind w:left="0" w:leftChars="0" w:firstLine="0" w:firstLineChars="0"/>
        <w:outlineLvl w:val="0"/>
        <w:rPr>
          <w:rFonts w:hint="eastAsia" w:eastAsia="黑体"/>
          <w:b w:val="0"/>
          <w:bCs w:val="0"/>
          <w:sz w:val="30"/>
          <w:szCs w:val="32"/>
        </w:rPr>
      </w:pPr>
      <w:bookmarkStart w:id="22" w:name="_Toc15423"/>
      <w:r>
        <w:rPr>
          <w:rFonts w:ascii="Times New Roman" w:hAnsi="Times New Roman" w:eastAsia="黑体" w:cs="Times New Roman"/>
          <w:b w:val="0"/>
          <w:bCs w:val="0"/>
          <w:sz w:val="30"/>
          <w:szCs w:val="32"/>
        </w:rPr>
        <w:t>能耗能效分析</w:t>
      </w:r>
      <w:bookmarkEnd w:id="22"/>
    </w:p>
    <w:p w14:paraId="55286C6D">
      <w:pPr>
        <w:pStyle w:val="5"/>
        <w:numPr>
          <w:ilvl w:val="0"/>
          <w:numId w:val="65"/>
        </w:numPr>
        <w:ind w:left="0" w:leftChars="0" w:firstLine="0" w:firstLineChars="0"/>
        <w:outlineLvl w:val="1"/>
        <w:rPr>
          <w:rFonts w:eastAsia="黑体"/>
          <w:b w:val="0"/>
          <w:bCs w:val="0"/>
          <w:sz w:val="30"/>
          <w:szCs w:val="24"/>
        </w:rPr>
      </w:pPr>
      <w:bookmarkStart w:id="23" w:name="_Toc1657"/>
      <w:r>
        <w:rPr>
          <w:rFonts w:ascii="Times New Roman" w:hAnsi="Times New Roman" w:eastAsia="黑体" w:cs="Times New Roman"/>
          <w:b w:val="0"/>
          <w:bCs w:val="0"/>
          <w:sz w:val="30"/>
          <w:szCs w:val="24"/>
        </w:rPr>
        <w:t>用能结构分析</w:t>
      </w:r>
      <w:bookmarkEnd w:id="23"/>
    </w:p>
    <w:p w14:paraId="1862A81A">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drawing>
          <wp:inline distT="0" distB="0" distL="114300" distR="114300">
            <wp:extent cx="5900420" cy="2925445"/>
            <wp:effectExtent l="0" t="0" r="5080" b="8255"/>
            <wp:docPr id="1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7"/>
                    <pic:cNvPicPr>
                      <a:picLocks noChangeAspect="1"/>
                    </pic:cNvPicPr>
                  </pic:nvPicPr>
                  <pic:blipFill>
                    <a:blip r:embed="rId43"/>
                    <a:stretch>
                      <a:fillRect/>
                    </a:stretch>
                  </pic:blipFill>
                  <pic:spPr>
                    <a:xfrm>
                      <a:off x="0" y="0"/>
                      <a:ext cx="5900420" cy="2925445"/>
                    </a:xfrm>
                    <a:prstGeom prst="rect">
                      <a:avLst/>
                    </a:prstGeom>
                    <a:noFill/>
                    <a:ln>
                      <a:noFill/>
                    </a:ln>
                  </pic:spPr>
                </pic:pic>
              </a:graphicData>
            </a:graphic>
          </wp:inline>
        </w:drawing>
      </w:r>
    </w:p>
    <w:p w14:paraId="6C837094">
      <w:pPr>
        <w:pStyle w:val="6"/>
        <w:numPr>
          <w:ilvl w:val="0"/>
          <w:numId w:val="66"/>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67968715">
      <w:pPr>
        <w:pStyle w:val="19"/>
        <w:widowControl/>
        <w:numPr>
          <w:ilvl w:val="0"/>
          <w:numId w:val="6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：全集团能源消费介质结构占比与历史推移结构分析，支撑"以电代气、以绿代灰"的能源清洁化替代决策。</w:t>
      </w:r>
    </w:p>
    <w:p w14:paraId="05704EBB">
      <w:pPr>
        <w:pStyle w:val="19"/>
        <w:widowControl/>
        <w:numPr>
          <w:ilvl w:val="0"/>
          <w:numId w:val="6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：P2 园区能碳专员、能耗分析专家。</w:t>
      </w:r>
    </w:p>
    <w:p w14:paraId="15957C48">
      <w:pPr>
        <w:pStyle w:val="19"/>
        <w:widowControl/>
        <w:numPr>
          <w:ilvl w:val="0"/>
          <w:numId w:val="6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/monitor/analysis/structure </w:t>
      </w:r>
      <w:r>
        <w:rPr>
          <w:rFonts w:ascii="Times New Roman" w:hAnsi="Times New Roman" w:eastAsia="宋体" w:cs="Times New Roman"/>
          <w:i w:val="0"/>
          <w:color w:val="1F2937"/>
          <w:sz w:val="24"/>
          <w:szCs w:val="24"/>
        </w:rPr>
        <w:t>。</w:t>
      </w:r>
    </w:p>
    <w:p w14:paraId="0AE8F536">
      <w:pPr>
        <w:pStyle w:val="19"/>
        <w:widowControl/>
        <w:numPr>
          <w:ilvl w:val="0"/>
          <w:numId w:val="6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：用能在线监测介质消耗数据、折标系数版本库、组织架构四级维度。</w:t>
      </w:r>
    </w:p>
    <w:p w14:paraId="190D7EA9">
      <w:pPr>
        <w:pStyle w:val="19"/>
        <w:widowControl/>
        <w:numPr>
          <w:ilvl w:val="0"/>
          <w:numId w:val="6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：能源替代方案依据、零碳工厂自评估能源利用维度数据。</w:t>
      </w:r>
    </w:p>
    <w:p w14:paraId="658118AF">
      <w:pPr>
        <w:pStyle w:val="6"/>
        <w:numPr>
          <w:ilvl w:val="0"/>
          <w:numId w:val="66"/>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63A0C89E">
      <w:pPr>
        <w:pStyle w:val="19"/>
        <w:widowControl/>
        <w:numPr>
          <w:ilvl w:val="0"/>
          <w:numId w:val="6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：全集团各园区在电力、天然气、工业蒸汽、柴油等不同能源介质上的当量消费占比与推移结构分析。</w:t>
      </w:r>
    </w:p>
    <w:p w14:paraId="29A0E4FC">
      <w:pPr>
        <w:pStyle w:val="19"/>
        <w:widowControl/>
        <w:numPr>
          <w:ilvl w:val="0"/>
          <w:numId w:val="6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69696428">
      <w:pPr>
        <w:pStyle w:val="19"/>
        <w:widowControl/>
        <w:numPr>
          <w:ilvl w:val="0"/>
          <w:numId w:val="68"/>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能耗分析专家</w:t>
      </w:r>
      <w:r>
        <w:rPr>
          <w:rFonts w:ascii="Times New Roman" w:hAnsi="Times New Roman" w:eastAsia="宋体" w:cs="Times New Roman"/>
          <w:i w:val="0"/>
          <w:color w:val="1F2937"/>
          <w:sz w:val="24"/>
          <w:szCs w:val="24"/>
        </w:rPr>
        <w:t>，</w:t>
      </w:r>
    </w:p>
    <w:p w14:paraId="6CDDD331">
      <w:pPr>
        <w:pStyle w:val="19"/>
        <w:widowControl/>
        <w:numPr>
          <w:ilvl w:val="0"/>
          <w:numId w:val="68"/>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穿透分析各生产基地的能源消费结构占比与历史月度推移</w:t>
      </w:r>
      <w:r>
        <w:rPr>
          <w:rFonts w:ascii="Times New Roman" w:hAnsi="Times New Roman" w:eastAsia="宋体" w:cs="Times New Roman"/>
          <w:i w:val="0"/>
          <w:color w:val="1F2937"/>
          <w:sz w:val="24"/>
          <w:szCs w:val="24"/>
        </w:rPr>
        <w:t>，</w:t>
      </w:r>
    </w:p>
    <w:p w14:paraId="02EDF80B">
      <w:pPr>
        <w:pStyle w:val="19"/>
        <w:widowControl/>
        <w:numPr>
          <w:ilvl w:val="0"/>
          <w:numId w:val="68"/>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我能制定以电代气、以绿代灰的能源清洁化替代方案</w:t>
      </w:r>
      <w:r>
        <w:rPr>
          <w:rFonts w:ascii="Times New Roman" w:hAnsi="Times New Roman" w:eastAsia="宋体" w:cs="Times New Roman"/>
          <w:i w:val="0"/>
          <w:color w:val="1F2937"/>
          <w:sz w:val="24"/>
          <w:szCs w:val="24"/>
        </w:rPr>
        <w:t>。</w:t>
      </w:r>
    </w:p>
    <w:p w14:paraId="53D919EC">
      <w:pPr>
        <w:pStyle w:val="6"/>
        <w:numPr>
          <w:ilvl w:val="0"/>
          <w:numId w:val="66"/>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1F298B5C">
      <w:pPr>
        <w:pStyle w:val="19"/>
        <w:widowControl/>
        <w:numPr>
          <w:ilvl w:val="0"/>
          <w:numId w:val="6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全域能源消费圆环图</w:t>
      </w:r>
      <w:r>
        <w:rPr>
          <w:rFonts w:ascii="Times New Roman" w:hAnsi="Times New Roman" w:eastAsia="宋体" w:cs="Times New Roman"/>
          <w:i w:val="0"/>
          <w:color w:val="1F2937"/>
          <w:sz w:val="24"/>
          <w:szCs w:val="24"/>
        </w:rPr>
        <w:t>：展示电力、蒸汽、天然气等按折标煤当量的占比分布。</w:t>
      </w:r>
    </w:p>
    <w:p w14:paraId="4E592145">
      <w:pPr>
        <w:pStyle w:val="19"/>
        <w:widowControl/>
        <w:numPr>
          <w:ilvl w:val="0"/>
          <w:numId w:val="6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月度用能结构推移堆叠柱状图</w:t>
      </w:r>
      <w:r>
        <w:rPr>
          <w:rFonts w:ascii="Times New Roman" w:hAnsi="Times New Roman" w:eastAsia="宋体" w:cs="Times New Roman"/>
          <w:i w:val="0"/>
          <w:color w:val="1F2937"/>
          <w:sz w:val="24"/>
          <w:szCs w:val="24"/>
        </w:rPr>
        <w:t>：按月份展示各介质消费推移，鼠标悬停展示各分项 tce。</w:t>
      </w:r>
    </w:p>
    <w:p w14:paraId="2F8E8FD1">
      <w:pPr>
        <w:pStyle w:val="19"/>
        <w:widowControl/>
        <w:numPr>
          <w:ilvl w:val="0"/>
          <w:numId w:val="6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车间能耗横向对比柱状图</w:t>
      </w:r>
      <w:r>
        <w:rPr>
          <w:rFonts w:ascii="Times New Roman" w:hAnsi="Times New Roman" w:eastAsia="宋体" w:cs="Times New Roman"/>
          <w:i w:val="0"/>
          <w:color w:val="1F2937"/>
          <w:sz w:val="24"/>
          <w:szCs w:val="24"/>
        </w:rPr>
        <w:t>：客观呈现各生产车间综合能耗排序。</w:t>
      </w:r>
    </w:p>
    <w:p w14:paraId="3F20F602">
      <w:pPr>
        <w:pStyle w:val="19"/>
        <w:widowControl/>
        <w:numPr>
          <w:ilvl w:val="0"/>
          <w:numId w:val="6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维度选择器</w:t>
      </w:r>
      <w:r>
        <w:rPr>
          <w:rFonts w:ascii="Times New Roman" w:hAnsi="Times New Roman" w:eastAsia="宋体" w:cs="Times New Roman"/>
          <w:i w:val="0"/>
          <w:color w:val="1F2937"/>
          <w:sz w:val="24"/>
          <w:szCs w:val="24"/>
        </w:rPr>
        <w:t>：组织（集团 / 产业 / 二级公司 / 车间）+ 时间（月 / 年 / 区间）；上级变更逐级重置下级到首项。</w:t>
      </w:r>
    </w:p>
    <w:p w14:paraId="2A971163">
      <w:pPr>
        <w:pStyle w:val="19"/>
        <w:widowControl/>
        <w:numPr>
          <w:ilvl w:val="0"/>
          <w:numId w:val="6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口径切换</w:t>
      </w:r>
      <w:r>
        <w:rPr>
          <w:rFonts w:ascii="Times New Roman" w:hAnsi="Times New Roman" w:eastAsia="宋体" w:cs="Times New Roman"/>
          <w:i w:val="0"/>
          <w:color w:val="1F2937"/>
          <w:sz w:val="24"/>
          <w:szCs w:val="24"/>
        </w:rPr>
        <w:t>：支持"当量值 / 等价值"折标口径切换，切换后全页图表同步重算并标注当前口径。</w:t>
      </w:r>
    </w:p>
    <w:p w14:paraId="6F462482">
      <w:pPr>
        <w:pStyle w:val="19"/>
        <w:widowControl/>
        <w:numPr>
          <w:ilvl w:val="0"/>
          <w:numId w:val="0"/>
        </w:numPr>
        <w:adjustRightInd w:val="0"/>
        <w:spacing w:before="100" w:after="100" w:afterLines="0" w:afterAutospacing="0" w:line="300" w:lineRule="auto"/>
        <w:jc w:val="both"/>
        <w:rPr>
          <w:rFonts w:hint="default" w:ascii="Times New Roman" w:hAnsi="Times New Roman" w:eastAsia="宋体" w:cs="Times New Roman"/>
          <w:i w:val="0"/>
          <w:color w:val="1F2937"/>
          <w:sz w:val="24"/>
          <w:szCs w:val="24"/>
          <w:lang w:val="en-US" w:eastAsia="zh-CN"/>
        </w:rPr>
      </w:pPr>
      <w:r>
        <w:rPr>
          <w:rFonts w:hint="eastAsia" w:cs="Times New Roman"/>
          <w:i w:val="0"/>
          <w:color w:val="1F2937"/>
          <w:sz w:val="24"/>
          <w:szCs w:val="24"/>
          <w:lang w:val="en-US" w:eastAsia="zh-CN"/>
        </w:rPr>
        <w:t>能源消耗量概览：</w:t>
      </w:r>
    </w:p>
    <w:p w14:paraId="67271C3A">
      <w:pPr>
        <w:pStyle w:val="19"/>
        <w:widowControl/>
        <w:numPr>
          <w:ilvl w:val="0"/>
          <w:numId w:val="0"/>
        </w:numPr>
        <w:adjustRightInd w:val="0"/>
        <w:spacing w:before="100" w:after="100" w:afterLines="0" w:afterAutospacing="0" w:line="300" w:lineRule="auto"/>
        <w:jc w:val="both"/>
        <w:rPr>
          <w:rFonts w:ascii="Times New Roman" w:hAnsi="Times New Roman" w:eastAsia="宋体" w:cs="Times New Roman"/>
          <w:i w:val="0"/>
          <w:color w:val="1F2937"/>
          <w:sz w:val="24"/>
          <w:szCs w:val="24"/>
        </w:rPr>
      </w:pPr>
      <w:r>
        <w:drawing>
          <wp:inline distT="0" distB="0" distL="114300" distR="114300">
            <wp:extent cx="5905500" cy="1049655"/>
            <wp:effectExtent l="0" t="0" r="0" b="17145"/>
            <wp:docPr id="112"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66"/>
                    <pic:cNvPicPr>
                      <a:picLocks noChangeAspect="1"/>
                    </pic:cNvPicPr>
                  </pic:nvPicPr>
                  <pic:blipFill>
                    <a:blip r:embed="rId44"/>
                    <a:stretch>
                      <a:fillRect/>
                    </a:stretch>
                  </pic:blipFill>
                  <pic:spPr>
                    <a:xfrm>
                      <a:off x="0" y="0"/>
                      <a:ext cx="5905500" cy="1049655"/>
                    </a:xfrm>
                    <a:prstGeom prst="rect">
                      <a:avLst/>
                    </a:prstGeom>
                    <a:noFill/>
                    <a:ln>
                      <a:noFill/>
                    </a:ln>
                  </pic:spPr>
                </pic:pic>
              </a:graphicData>
            </a:graphic>
          </wp:inline>
        </w:drawing>
      </w:r>
    </w:p>
    <w:p w14:paraId="62F99666">
      <w:pPr>
        <w:pStyle w:val="19"/>
        <w:widowControl/>
        <w:numPr>
          <w:ilvl w:val="0"/>
          <w:numId w:val="0"/>
        </w:numPr>
        <w:adjustRightInd w:val="0"/>
        <w:spacing w:before="100" w:after="100" w:afterLines="0" w:afterAutospacing="0" w:line="300" w:lineRule="auto"/>
        <w:jc w:val="both"/>
        <w:rPr>
          <w:rFonts w:ascii="Times New Roman" w:hAnsi="Times New Roman" w:eastAsia="宋体" w:cs="Times New Roman"/>
          <w:i w:val="0"/>
          <w:color w:val="1F2937"/>
          <w:sz w:val="24"/>
          <w:szCs w:val="24"/>
        </w:rPr>
      </w:pPr>
    </w:p>
    <w:p w14:paraId="470BB6E7">
      <w:pPr>
        <w:pStyle w:val="19"/>
        <w:widowControl/>
        <w:numPr>
          <w:ilvl w:val="0"/>
          <w:numId w:val="0"/>
        </w:numPr>
        <w:adjustRightInd w:val="0"/>
        <w:spacing w:before="100" w:after="100" w:afterLines="0" w:afterAutospacing="0" w:line="300" w:lineRule="auto"/>
        <w:jc w:val="both"/>
      </w:pPr>
      <w:r>
        <w:rPr>
          <w:rFonts w:hint="eastAsia" w:cs="Times New Roman"/>
          <w:i w:val="0"/>
          <w:color w:val="1F2937"/>
          <w:sz w:val="24"/>
          <w:szCs w:val="24"/>
          <w:lang w:val="en-US" w:eastAsia="zh-CN"/>
        </w:rPr>
        <w:t>能源消耗总量：</w:t>
      </w:r>
      <w:r>
        <w:rPr>
          <w:rFonts w:hint="eastAsia" w:cs="Times New Roman"/>
          <w:i w:val="0"/>
          <w:color w:val="1F2937"/>
          <w:sz w:val="24"/>
          <w:szCs w:val="24"/>
          <w:lang w:val="en-US" w:eastAsia="zh-CN"/>
        </w:rPr>
        <w:br w:type="textWrapping"/>
      </w:r>
      <w:r>
        <w:drawing>
          <wp:inline distT="0" distB="0" distL="114300" distR="114300">
            <wp:extent cx="5913755" cy="3120390"/>
            <wp:effectExtent l="0" t="0" r="10795" b="3810"/>
            <wp:docPr id="113"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67"/>
                    <pic:cNvPicPr>
                      <a:picLocks noChangeAspect="1"/>
                    </pic:cNvPicPr>
                  </pic:nvPicPr>
                  <pic:blipFill>
                    <a:blip r:embed="rId45"/>
                    <a:stretch>
                      <a:fillRect/>
                    </a:stretch>
                  </pic:blipFill>
                  <pic:spPr>
                    <a:xfrm>
                      <a:off x="0" y="0"/>
                      <a:ext cx="5913755" cy="3120390"/>
                    </a:xfrm>
                    <a:prstGeom prst="rect">
                      <a:avLst/>
                    </a:prstGeom>
                    <a:noFill/>
                    <a:ln>
                      <a:noFill/>
                    </a:ln>
                  </pic:spPr>
                </pic:pic>
              </a:graphicData>
            </a:graphic>
          </wp:inline>
        </w:drawing>
      </w:r>
    </w:p>
    <w:p w14:paraId="272500DC">
      <w:pPr>
        <w:pStyle w:val="19"/>
        <w:widowControl/>
        <w:numPr>
          <w:ilvl w:val="0"/>
          <w:numId w:val="0"/>
        </w:numPr>
        <w:adjustRightInd w:val="0"/>
        <w:spacing w:before="100" w:after="100" w:afterLines="0" w:afterAutospacing="0" w:line="300" w:lineRule="auto"/>
        <w:jc w:val="both"/>
      </w:pPr>
    </w:p>
    <w:p w14:paraId="1FC5E8F1">
      <w:pPr>
        <w:pStyle w:val="19"/>
        <w:widowControl/>
        <w:numPr>
          <w:ilvl w:val="0"/>
          <w:numId w:val="0"/>
        </w:numPr>
        <w:adjustRightInd w:val="0"/>
        <w:spacing w:before="100" w:after="100" w:afterLines="0" w:afterAutospacing="0" w:line="300" w:lineRule="auto"/>
        <w:jc w:val="both"/>
        <w:rPr>
          <w:rFonts w:hint="default" w:eastAsia="宋体"/>
          <w:lang w:val="en-US" w:eastAsia="zh-CN"/>
        </w:rPr>
      </w:pPr>
      <w:r>
        <w:rPr>
          <w:rFonts w:hint="eastAsia"/>
          <w:lang w:val="en-US" w:eastAsia="zh-CN"/>
        </w:rPr>
        <w:t>台账明细：</w:t>
      </w:r>
      <w:r>
        <w:rPr>
          <w:rFonts w:hint="eastAsia"/>
          <w:lang w:val="en-US" w:eastAsia="zh-CN"/>
        </w:rPr>
        <w:br w:type="textWrapping"/>
      </w:r>
      <w:r>
        <w:drawing>
          <wp:inline distT="0" distB="0" distL="114300" distR="114300">
            <wp:extent cx="5913755" cy="2054860"/>
            <wp:effectExtent l="0" t="0" r="10795" b="2540"/>
            <wp:docPr id="114"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68"/>
                    <pic:cNvPicPr>
                      <a:picLocks noChangeAspect="1"/>
                    </pic:cNvPicPr>
                  </pic:nvPicPr>
                  <pic:blipFill>
                    <a:blip r:embed="rId46"/>
                    <a:stretch>
                      <a:fillRect/>
                    </a:stretch>
                  </pic:blipFill>
                  <pic:spPr>
                    <a:xfrm>
                      <a:off x="0" y="0"/>
                      <a:ext cx="5913755" cy="2054860"/>
                    </a:xfrm>
                    <a:prstGeom prst="rect">
                      <a:avLst/>
                    </a:prstGeom>
                    <a:noFill/>
                    <a:ln>
                      <a:noFill/>
                    </a:ln>
                  </pic:spPr>
                </pic:pic>
              </a:graphicData>
            </a:graphic>
          </wp:inline>
        </w:drawing>
      </w:r>
    </w:p>
    <w:p w14:paraId="42C49377">
      <w:pPr>
        <w:pStyle w:val="19"/>
        <w:widowControl/>
        <w:numPr>
          <w:ilvl w:val="0"/>
          <w:numId w:val="0"/>
        </w:numPr>
        <w:adjustRightInd w:val="0"/>
        <w:spacing w:before="100" w:after="100" w:afterLines="0" w:afterAutospacing="0" w:line="300" w:lineRule="auto"/>
        <w:jc w:val="both"/>
        <w:rPr>
          <w:rFonts w:ascii="Times New Roman" w:hAnsi="Times New Roman" w:eastAsia="宋体" w:cs="Times New Roman"/>
          <w:i w:val="0"/>
          <w:color w:val="1F2937"/>
          <w:sz w:val="24"/>
          <w:szCs w:val="24"/>
        </w:rPr>
      </w:pPr>
    </w:p>
    <w:p w14:paraId="38D7F602">
      <w:pPr>
        <w:pStyle w:val="6"/>
        <w:numPr>
          <w:ilvl w:val="0"/>
          <w:numId w:val="66"/>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654"/>
        <w:gridCol w:w="2150"/>
        <w:gridCol w:w="1163"/>
        <w:gridCol w:w="1643"/>
        <w:gridCol w:w="4174"/>
      </w:tblGrid>
      <w:tr w14:paraId="1F7C694C">
        <w:tblPrEx>
          <w:tblCellMar>
            <w:top w:w="0" w:type="dxa"/>
            <w:left w:w="108" w:type="dxa"/>
            <w:bottom w:w="0" w:type="dxa"/>
            <w:right w:w="108" w:type="dxa"/>
          </w:tblCellMar>
        </w:tblPrEx>
        <w:trPr>
          <w:tblHeade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6F6F88E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3F5541D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682D9DB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DD513B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417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04D9DA0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计算模型/来源</w:t>
            </w:r>
          </w:p>
        </w:tc>
      </w:tr>
      <w:tr w14:paraId="2D5B4A69">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D7EB8D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ADBAE2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介质实物消费量</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83984E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F0D148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 / m³ / t</w:t>
            </w:r>
          </w:p>
        </w:tc>
        <w:tc>
          <w:tcPr>
            <w:tcW w:w="41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7A2B90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用能在线监测按介质汇总</w:t>
            </w:r>
          </w:p>
        </w:tc>
      </w:tr>
      <w:tr w14:paraId="678E3D5B">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42AE66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F12B96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折标准煤当量值</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DA6AE1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B5B7D2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w:t>
            </w:r>
          </w:p>
        </w:tc>
        <w:tc>
          <w:tcPr>
            <w:tcW w:w="417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D884A4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实物量 × GB/T 2589 当量折标系数</w:t>
            </w:r>
          </w:p>
        </w:tc>
      </w:tr>
      <w:tr w14:paraId="5943D3A5">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02A156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7373FA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折标准煤等价值</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7B4659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50C22B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w:t>
            </w:r>
          </w:p>
        </w:tc>
        <w:tc>
          <w:tcPr>
            <w:tcW w:w="41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EEF650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实物量 × GB/T 2589 等价折标系数</w:t>
            </w:r>
          </w:p>
        </w:tc>
      </w:tr>
      <w:tr w14:paraId="537F348F">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E1B74D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8AE21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介质折标占比</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531DF9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D8CB28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D71CC6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该介质折标量 / 折标总量 × 100%</w:t>
            </w:r>
          </w:p>
        </w:tc>
      </w:tr>
      <w:tr w14:paraId="24CB8203">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9F1246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466F69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结构推移量</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92FB61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D91F62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w:t>
            </w:r>
          </w:p>
        </w:tc>
        <w:tc>
          <w:tcPr>
            <w:tcW w:w="41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6BCED5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按月份分组的各介质折标量</w:t>
            </w:r>
          </w:p>
        </w:tc>
      </w:tr>
      <w:tr w14:paraId="284C37BE">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2AFF89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F7532A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车间综合能耗排序</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3C5B14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Integer</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CDF618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名次</w:t>
            </w:r>
          </w:p>
        </w:tc>
        <w:tc>
          <w:tcPr>
            <w:tcW w:w="417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77C3D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按折标总量降序，同值并列</w:t>
            </w:r>
          </w:p>
        </w:tc>
      </w:tr>
      <w:tr w14:paraId="24FEDB62">
        <w:tblPrEx>
          <w:tblCellMar>
            <w:top w:w="0" w:type="dxa"/>
            <w:left w:w="108" w:type="dxa"/>
            <w:bottom w:w="0" w:type="dxa"/>
            <w:right w:w="108" w:type="dxa"/>
          </w:tblCellMar>
        </w:tblPrEx>
        <w:trPr>
          <w:jc w:val="center"/>
        </w:trPr>
        <w:tc>
          <w:tcPr>
            <w:tcW w:w="65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CA9720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21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C93096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折标口径标识</w:t>
            </w:r>
          </w:p>
        </w:tc>
        <w:tc>
          <w:tcPr>
            <w:tcW w:w="116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1E937F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64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2386C9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5B861B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当量值 / 等价值</w:t>
            </w:r>
          </w:p>
        </w:tc>
      </w:tr>
    </w:tbl>
    <w:p w14:paraId="1237DE00">
      <w:pPr>
        <w:spacing w:after="60"/>
        <w:rPr>
          <w:rFonts w:hint="eastAsia" w:ascii="宋体" w:hAnsi="宋体" w:eastAsia="宋体" w:cs="宋体"/>
          <w:i w:val="0"/>
          <w:iCs w:val="0"/>
          <w:sz w:val="24"/>
          <w:szCs w:val="24"/>
        </w:rPr>
      </w:pPr>
    </w:p>
    <w:p w14:paraId="31760A1A">
      <w:pPr>
        <w:pStyle w:val="6"/>
        <w:numPr>
          <w:ilvl w:val="0"/>
          <w:numId w:val="66"/>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04576758">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556E4D33">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E_tce_j = Q_j × k_j                            介质折标煤量（当量或等价口径）</w:t>
            </w:r>
          </w:p>
          <w:p w14:paraId="7335F1D5">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R_j = E_tce_j / Σ ( E_tce_n ) × 100%          介质折标占比</w:t>
            </w:r>
          </w:p>
          <w:p w14:paraId="162E03EA">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E_shift_m = Σ_j ( E_tce_j,m )                  第 m 月结构推移总量</w:t>
            </w:r>
          </w:p>
          <w:p w14:paraId="3D505F1E">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Rank_ws = RANK_DESC( E_tce_ws )                 车间能耗排名（降序）</w:t>
            </w:r>
          </w:p>
        </w:tc>
      </w:tr>
    </w:tbl>
    <w:p w14:paraId="446B5B06">
      <w:pPr>
        <w:spacing w:after="40"/>
        <w:rPr>
          <w:rFonts w:hint="eastAsia" w:ascii="宋体" w:hAnsi="宋体" w:eastAsia="宋体" w:cs="宋体"/>
          <w:i w:val="0"/>
          <w:iCs w:val="0"/>
          <w:sz w:val="24"/>
          <w:szCs w:val="24"/>
        </w:rPr>
      </w:pPr>
    </w:p>
    <w:p w14:paraId="3A6901CB">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w:t>
      </w:r>
      <w:r>
        <w:rPr>
          <w:rFonts w:ascii="Times New Roman" w:hAnsi="Times New Roman" w:eastAsia="宋体" w:cs="Times New Roman"/>
          <w:b w:val="0"/>
          <w:i w:val="0"/>
          <w:color w:val="0284C7"/>
          <w:sz w:val="24"/>
          <w:szCs w:val="24"/>
        </w:rPr>
        <w:t xml:space="preserve"> k_j </w:t>
      </w:r>
      <w:r>
        <w:rPr>
          <w:rFonts w:ascii="Times New Roman" w:hAnsi="Times New Roman" w:eastAsia="宋体" w:cs="Times New Roman"/>
          <w:i w:val="0"/>
          <w:color w:val="1F2937"/>
          <w:sz w:val="24"/>
          <w:szCs w:val="24"/>
        </w:rPr>
        <w:t xml:space="preserve"> 为该介质折标系数（当量值 / 等价值两套，取自折标系数管理模块当前生效版本）；占比之和须配平至 100.0%。</w:t>
      </w:r>
    </w:p>
    <w:p w14:paraId="202B0EAB">
      <w:pPr>
        <w:pStyle w:val="6"/>
        <w:numPr>
          <w:ilvl w:val="0"/>
          <w:numId w:val="66"/>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5B8F184D">
      <w:pPr>
        <w:pStyle w:val="19"/>
        <w:widowControl/>
        <w:numPr>
          <w:ilvl w:val="0"/>
          <w:numId w:val="7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占比口径</w:t>
      </w:r>
      <w:r>
        <w:rPr>
          <w:rFonts w:ascii="Times New Roman" w:hAnsi="Times New Roman" w:eastAsia="宋体" w:cs="Times New Roman"/>
          <w:i w:val="0"/>
          <w:color w:val="1F2937"/>
          <w:sz w:val="24"/>
          <w:szCs w:val="24"/>
        </w:rPr>
        <w:t>：圆环图与堆叠图占比之和强制配平至 100.0%，浮动超过 ±0.1% 触发自检提示。</w:t>
      </w:r>
    </w:p>
    <w:p w14:paraId="70FC9F6E">
      <w:pPr>
        <w:pStyle w:val="19"/>
        <w:widowControl/>
        <w:numPr>
          <w:ilvl w:val="0"/>
          <w:numId w:val="7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口径一致性</w:t>
      </w:r>
      <w:r>
        <w:rPr>
          <w:rFonts w:ascii="Times New Roman" w:hAnsi="Times New Roman" w:eastAsia="宋体" w:cs="Times New Roman"/>
          <w:i w:val="0"/>
          <w:color w:val="1F2937"/>
          <w:sz w:val="24"/>
          <w:szCs w:val="24"/>
        </w:rPr>
        <w:t>：同一页面内所有图表必须使用同一折标口径，禁止混用当量值与等价值。</w:t>
      </w:r>
    </w:p>
    <w:p w14:paraId="253CBF85">
      <w:pPr>
        <w:pStyle w:val="19"/>
        <w:widowControl/>
        <w:numPr>
          <w:ilvl w:val="0"/>
          <w:numId w:val="7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排序口径</w:t>
      </w:r>
      <w:r>
        <w:rPr>
          <w:rFonts w:ascii="Times New Roman" w:hAnsi="Times New Roman" w:eastAsia="宋体" w:cs="Times New Roman"/>
          <w:i w:val="0"/>
          <w:color w:val="1F2937"/>
          <w:sz w:val="24"/>
          <w:szCs w:val="24"/>
        </w:rPr>
        <w:t>：车间能耗横向对比仅展示客观排序，不标注"先进""落后"等定性标签。</w:t>
      </w:r>
    </w:p>
    <w:p w14:paraId="3BADE003">
      <w:pPr>
        <w:pStyle w:val="6"/>
        <w:numPr>
          <w:ilvl w:val="0"/>
          <w:numId w:val="66"/>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356BA804">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4F775D88">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折标口径标识缺失：页面禁止渲染，强制先选定口径。</w:t>
            </w:r>
          </w:p>
          <w:p w14:paraId="786CF04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某介质无消耗数据：该切片置为 0 并保留图例，不隐藏图例以免误导结构占比。</w:t>
            </w:r>
          </w:p>
          <w:p w14:paraId="0479275D">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折标系数版本过期：触发 </w:t>
            </w:r>
            <w:r>
              <w:rPr>
                <w:rFonts w:hint="eastAsia" w:ascii="宋体" w:hAnsi="宋体" w:eastAsia="宋体" w:cs="宋体"/>
                <w:b w:val="0"/>
                <w:i w:val="0"/>
                <w:iCs w:val="0"/>
                <w:color w:val="0284C7"/>
                <w:sz w:val="24"/>
                <w:szCs w:val="24"/>
              </w:rPr>
              <w:t xml:space="preserve"> E_VAL_FACTOR_EXPIRED </w:t>
            </w:r>
            <w:r>
              <w:rPr>
                <w:rFonts w:hint="eastAsia" w:ascii="宋体" w:hAnsi="宋体" w:eastAsia="宋体" w:cs="宋体"/>
                <w:i w:val="0"/>
                <w:iCs w:val="0"/>
                <w:color w:val="1F2937"/>
                <w:sz w:val="24"/>
                <w:szCs w:val="24"/>
              </w:rPr>
              <w:t>，图表顶部标注"系数待升级"。</w:t>
            </w:r>
          </w:p>
          <w:p w14:paraId="3870553E">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除零兜底：折标总量为 0 时全部占比显示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w:t>
            </w:r>
          </w:p>
        </w:tc>
      </w:tr>
    </w:tbl>
    <w:p w14:paraId="48F83008">
      <w:pPr>
        <w:spacing w:after="40"/>
        <w:rPr>
          <w:rFonts w:hint="eastAsia" w:ascii="宋体" w:hAnsi="宋体" w:eastAsia="宋体" w:cs="宋体"/>
          <w:i w:val="0"/>
          <w:iCs w:val="0"/>
          <w:sz w:val="24"/>
          <w:szCs w:val="24"/>
        </w:rPr>
      </w:pPr>
    </w:p>
    <w:p w14:paraId="017883D7">
      <w:pPr>
        <w:pStyle w:val="6"/>
        <w:numPr>
          <w:ilvl w:val="0"/>
          <w:numId w:val="66"/>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24D03422">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5DC9E884">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用能结构分析口径一致性</w:t>
            </w:r>
          </w:p>
          <w:p w14:paraId="7BD1A250">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占比配平自检</w:t>
            </w:r>
          </w:p>
          <w:p w14:paraId="6B612F6F">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园区当月已录入电力、蒸汽、天然气、水等介质实物量</w:t>
            </w:r>
          </w:p>
          <w:p w14:paraId="32C7F44B">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系统渲染全域能源消费圆环图</w:t>
            </w:r>
          </w:p>
          <w:p w14:paraId="02F1E699">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各介质折标占比之和等于 100.0%</w:t>
            </w:r>
          </w:p>
          <w:p w14:paraId="16929A4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偏差超过 ±0.1% 时触发配平自检提示</w:t>
            </w:r>
          </w:p>
          <w:p w14:paraId="4E5E8B9C">
            <w:pPr>
              <w:spacing w:before="0" w:after="20" w:line="264" w:lineRule="auto"/>
              <w:rPr>
                <w:rFonts w:hint="eastAsia" w:ascii="宋体" w:hAnsi="宋体" w:eastAsia="宋体" w:cs="宋体"/>
                <w:i w:val="0"/>
                <w:iCs w:val="0"/>
                <w:sz w:val="24"/>
                <w:szCs w:val="24"/>
              </w:rPr>
            </w:pPr>
          </w:p>
          <w:p w14:paraId="40E3B97E">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折标口径切换全页联动</w:t>
            </w:r>
          </w:p>
          <w:p w14:paraId="490A3FB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页面当前折标口径为"当量值"</w:t>
            </w:r>
          </w:p>
          <w:p w14:paraId="3DE14390">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用户切换口径为"等价值"</w:t>
            </w:r>
          </w:p>
          <w:p w14:paraId="4592CC50">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圆环图、推移堆叠图与车间对比图同步重算</w:t>
            </w:r>
          </w:p>
          <w:p w14:paraId="15513E21">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页面统一标注当前口径为"等价值"</w:t>
            </w:r>
          </w:p>
          <w:p w14:paraId="345532D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同一页面内不同图表不出现口径混用</w:t>
            </w:r>
          </w:p>
        </w:tc>
      </w:tr>
    </w:tbl>
    <w:p w14:paraId="2C2E6F75">
      <w:pPr>
        <w:spacing w:after="40"/>
        <w:rPr>
          <w:rFonts w:hint="eastAsia" w:ascii="宋体" w:hAnsi="宋体" w:eastAsia="宋体" w:cs="宋体"/>
          <w:i w:val="0"/>
          <w:iCs w:val="0"/>
          <w:sz w:val="24"/>
          <w:szCs w:val="24"/>
        </w:rPr>
      </w:pPr>
    </w:p>
    <w:p w14:paraId="17651FC7">
      <w:pPr>
        <w:spacing w:after="40"/>
        <w:rPr>
          <w:rFonts w:hint="eastAsia" w:ascii="宋体" w:hAnsi="宋体" w:eastAsia="宋体" w:cs="宋体"/>
          <w:i w:val="0"/>
          <w:iCs w:val="0"/>
          <w:sz w:val="24"/>
          <w:szCs w:val="24"/>
        </w:rPr>
      </w:pPr>
    </w:p>
    <w:p w14:paraId="3F042077">
      <w:pPr>
        <w:pStyle w:val="5"/>
        <w:numPr>
          <w:ilvl w:val="0"/>
          <w:numId w:val="65"/>
        </w:numPr>
        <w:ind w:left="0" w:leftChars="0" w:firstLine="0" w:firstLineChars="0"/>
        <w:outlineLvl w:val="1"/>
        <w:rPr>
          <w:rFonts w:eastAsia="黑体"/>
          <w:b w:val="0"/>
          <w:bCs w:val="0"/>
          <w:sz w:val="30"/>
          <w:szCs w:val="24"/>
        </w:rPr>
      </w:pPr>
      <w:bookmarkStart w:id="24" w:name="_Toc8696"/>
      <w:r>
        <w:rPr>
          <w:rFonts w:ascii="Times New Roman" w:hAnsi="Times New Roman" w:eastAsia="黑体" w:cs="Times New Roman"/>
          <w:b w:val="0"/>
          <w:bCs w:val="0"/>
          <w:sz w:val="30"/>
          <w:szCs w:val="24"/>
        </w:rPr>
        <w:t>单位产品能耗</w:t>
      </w:r>
      <w:bookmarkEnd w:id="24"/>
    </w:p>
    <w:p w14:paraId="31C6FF75">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drawing>
          <wp:inline distT="0" distB="0" distL="114300" distR="114300">
            <wp:extent cx="5900420" cy="2925445"/>
            <wp:effectExtent l="0" t="0" r="5080" b="8255"/>
            <wp:docPr id="1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8"/>
                    <pic:cNvPicPr>
                      <a:picLocks noChangeAspect="1"/>
                    </pic:cNvPicPr>
                  </pic:nvPicPr>
                  <pic:blipFill>
                    <a:blip r:embed="rId47"/>
                    <a:stretch>
                      <a:fillRect/>
                    </a:stretch>
                  </pic:blipFill>
                  <pic:spPr>
                    <a:xfrm>
                      <a:off x="0" y="0"/>
                      <a:ext cx="5900420" cy="2925445"/>
                    </a:xfrm>
                    <a:prstGeom prst="rect">
                      <a:avLst/>
                    </a:prstGeom>
                    <a:noFill/>
                    <a:ln>
                      <a:noFill/>
                    </a:ln>
                  </pic:spPr>
                </pic:pic>
              </a:graphicData>
            </a:graphic>
          </wp:inline>
        </w:drawing>
      </w:r>
    </w:p>
    <w:p w14:paraId="631D6A94">
      <w:pPr>
        <w:pStyle w:val="6"/>
        <w:numPr>
          <w:ilvl w:val="0"/>
          <w:numId w:val="71"/>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1472AA69">
      <w:pPr>
        <w:pStyle w:val="19"/>
        <w:widowControl/>
        <w:numPr>
          <w:ilvl w:val="0"/>
          <w:numId w:val="7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：变压器、电线电缆两大核心制造主业的单位产品综合能耗与单位电耗核算与权威基准对标。</w:t>
      </w:r>
    </w:p>
    <w:p w14:paraId="68844F4C">
      <w:pPr>
        <w:pStyle w:val="19"/>
        <w:widowControl/>
        <w:numPr>
          <w:ilvl w:val="0"/>
          <w:numId w:val="7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：制造车间主任、P2 园区能碳专员。</w:t>
      </w:r>
    </w:p>
    <w:p w14:paraId="0DE511DA">
      <w:pPr>
        <w:pStyle w:val="19"/>
        <w:widowControl/>
        <w:numPr>
          <w:ilvl w:val="0"/>
          <w:numId w:val="7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/monitor/analysis/unit-product </w:t>
      </w:r>
      <w:r>
        <w:rPr>
          <w:rFonts w:ascii="Times New Roman" w:hAnsi="Times New Roman" w:eastAsia="宋体" w:cs="Times New Roman"/>
          <w:i w:val="0"/>
          <w:color w:val="1F2937"/>
          <w:sz w:val="24"/>
          <w:szCs w:val="24"/>
        </w:rPr>
        <w:t>。</w:t>
      </w:r>
    </w:p>
    <w:p w14:paraId="2DFAD8E9">
      <w:pPr>
        <w:pStyle w:val="19"/>
        <w:widowControl/>
        <w:numPr>
          <w:ilvl w:val="0"/>
          <w:numId w:val="7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：ERP 物料主数据、MES 报工质检入库数据、车间能源分摊台账、基准管理国家准入先进值。</w:t>
      </w:r>
    </w:p>
    <w:p w14:paraId="7F0DCA74">
      <w:pPr>
        <w:pStyle w:val="19"/>
        <w:widowControl/>
        <w:numPr>
          <w:ilvl w:val="0"/>
          <w:numId w:val="7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：单耗报表、对标管理排名、零碳工厂自评估产品生态维度数据。</w:t>
      </w:r>
    </w:p>
    <w:p w14:paraId="31E4B3C6">
      <w:pPr>
        <w:pStyle w:val="6"/>
        <w:numPr>
          <w:ilvl w:val="0"/>
          <w:numId w:val="71"/>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28DE765A">
      <w:pPr>
        <w:pStyle w:val="19"/>
        <w:widowControl/>
        <w:numPr>
          <w:ilvl w:val="0"/>
          <w:numId w:val="7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：变压器、电线电缆两大核心制造主业的单位产品综合能耗与单位电耗核算与权威基准对标。</w:t>
      </w:r>
    </w:p>
    <w:p w14:paraId="0012E66C">
      <w:pPr>
        <w:pStyle w:val="19"/>
        <w:widowControl/>
        <w:numPr>
          <w:ilvl w:val="0"/>
          <w:numId w:val="7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0BADAE09">
      <w:pPr>
        <w:pStyle w:val="19"/>
        <w:widowControl/>
        <w:numPr>
          <w:ilvl w:val="0"/>
          <w:numId w:val="73"/>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制造车间主任</w:t>
      </w:r>
      <w:r>
        <w:rPr>
          <w:rFonts w:ascii="Times New Roman" w:hAnsi="Times New Roman" w:eastAsia="宋体" w:cs="Times New Roman"/>
          <w:i w:val="0"/>
          <w:color w:val="1F2937"/>
          <w:sz w:val="24"/>
          <w:szCs w:val="24"/>
        </w:rPr>
        <w:t>，</w:t>
      </w:r>
    </w:p>
    <w:p w14:paraId="5C458BD6">
      <w:pPr>
        <w:pStyle w:val="19"/>
        <w:widowControl/>
        <w:numPr>
          <w:ilvl w:val="0"/>
          <w:numId w:val="73"/>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依据本车间变压器额定容量（万 kVA）或线缆长度（km）核算单台产品单耗，与行业先进基准对比</w:t>
      </w:r>
      <w:r>
        <w:rPr>
          <w:rFonts w:ascii="Times New Roman" w:hAnsi="Times New Roman" w:eastAsia="宋体" w:cs="Times New Roman"/>
          <w:i w:val="0"/>
          <w:color w:val="1F2937"/>
          <w:sz w:val="24"/>
          <w:szCs w:val="24"/>
        </w:rPr>
        <w:t>，</w:t>
      </w:r>
    </w:p>
    <w:p w14:paraId="6FC5E403">
      <w:pPr>
        <w:pStyle w:val="19"/>
        <w:widowControl/>
        <w:numPr>
          <w:ilvl w:val="0"/>
          <w:numId w:val="73"/>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我能掌握生产工艺能效水平，推进技改升级</w:t>
      </w:r>
      <w:r>
        <w:rPr>
          <w:rFonts w:ascii="Times New Roman" w:hAnsi="Times New Roman" w:eastAsia="宋体" w:cs="Times New Roman"/>
          <w:i w:val="0"/>
          <w:color w:val="1F2937"/>
          <w:sz w:val="24"/>
          <w:szCs w:val="24"/>
        </w:rPr>
        <w:t>。</w:t>
      </w:r>
    </w:p>
    <w:p w14:paraId="309B6EF1">
      <w:pPr>
        <w:pStyle w:val="6"/>
        <w:numPr>
          <w:ilvl w:val="0"/>
          <w:numId w:val="71"/>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79F3404F">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核心硬红线 1：分产业单耗物理量绝对隔离模型</w:t>
      </w:r>
    </w:p>
    <w:p w14:paraId="58A4723A">
      <w:pPr>
        <w:pStyle w:val="19"/>
        <w:widowControl/>
        <w:numPr>
          <w:ilvl w:val="0"/>
          <w:numId w:val="74"/>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变压器产业（沈变、衡变、新变）：分母统一采用额定容量 </w:t>
      </w:r>
      <w:r>
        <w:rPr>
          <w:rFonts w:ascii="Times New Roman" w:hAnsi="Times New Roman" w:eastAsia="宋体" w:cs="Times New Roman"/>
          <w:b w:val="0"/>
          <w:i w:val="0"/>
          <w:color w:val="0284C7"/>
          <w:sz w:val="24"/>
          <w:szCs w:val="24"/>
        </w:rPr>
        <w:t xml:space="preserve"> 万kVA </w:t>
      </w:r>
      <w:r>
        <w:rPr>
          <w:rFonts w:ascii="Times New Roman" w:hAnsi="Times New Roman" w:eastAsia="宋体" w:cs="Times New Roman"/>
          <w:i w:val="0"/>
          <w:color w:val="1F2937"/>
          <w:sz w:val="24"/>
          <w:szCs w:val="24"/>
        </w:rPr>
        <w:t>（超特高压可折为 MVA），核算指标为</w:t>
      </w:r>
      <w:r>
        <w:rPr>
          <w:rFonts w:ascii="Times New Roman" w:hAnsi="Times New Roman" w:eastAsia="宋体" w:cs="Times New Roman"/>
          <w:b/>
          <w:i w:val="0"/>
          <w:color w:val="1E3A8A"/>
          <w:sz w:val="24"/>
          <w:szCs w:val="24"/>
        </w:rPr>
        <w:t>单位产品综合能耗 (tce/万kVA)</w:t>
      </w:r>
      <w:r>
        <w:rPr>
          <w:rFonts w:ascii="Times New Roman" w:hAnsi="Times New Roman" w:eastAsia="宋体" w:cs="Times New Roman"/>
          <w:i w:val="0"/>
          <w:color w:val="1F2937"/>
          <w:sz w:val="24"/>
          <w:szCs w:val="24"/>
        </w:rPr>
        <w:t>、</w:t>
      </w:r>
      <w:r>
        <w:rPr>
          <w:rFonts w:ascii="Times New Roman" w:hAnsi="Times New Roman" w:eastAsia="宋体" w:cs="Times New Roman"/>
          <w:b/>
          <w:i w:val="0"/>
          <w:color w:val="1E3A8A"/>
          <w:sz w:val="24"/>
          <w:szCs w:val="24"/>
        </w:rPr>
        <w:t>单位产品电耗 (kWh/万kVA)</w:t>
      </w:r>
      <w:r>
        <w:rPr>
          <w:rFonts w:ascii="Times New Roman" w:hAnsi="Times New Roman" w:eastAsia="宋体" w:cs="Times New Roman"/>
          <w:i w:val="0"/>
          <w:color w:val="1F2937"/>
          <w:sz w:val="24"/>
          <w:szCs w:val="24"/>
        </w:rPr>
        <w:t>、</w:t>
      </w:r>
      <w:r>
        <w:rPr>
          <w:rFonts w:ascii="Times New Roman" w:hAnsi="Times New Roman" w:eastAsia="宋体" w:cs="Times New Roman"/>
          <w:b/>
          <w:i w:val="0"/>
          <w:color w:val="1E3A8A"/>
          <w:sz w:val="24"/>
          <w:szCs w:val="24"/>
        </w:rPr>
        <w:t>单位产品蒸汽消耗 (t/万kVA)</w:t>
      </w:r>
      <w:r>
        <w:rPr>
          <w:rFonts w:ascii="Times New Roman" w:hAnsi="Times New Roman" w:eastAsia="宋体" w:cs="Times New Roman"/>
          <w:i w:val="0"/>
          <w:color w:val="1F2937"/>
          <w:sz w:val="24"/>
          <w:szCs w:val="24"/>
        </w:rPr>
        <w:t>。</w:t>
      </w:r>
    </w:p>
    <w:p w14:paraId="22AAE6AE">
      <w:pPr>
        <w:pStyle w:val="19"/>
        <w:widowControl/>
        <w:numPr>
          <w:ilvl w:val="0"/>
          <w:numId w:val="74"/>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电线电缆产业（鲁缆、新缆、德缆）：分母统一采用产品长度 </w:t>
      </w:r>
      <w:r>
        <w:rPr>
          <w:rFonts w:ascii="Times New Roman" w:hAnsi="Times New Roman" w:eastAsia="宋体" w:cs="Times New Roman"/>
          <w:b w:val="0"/>
          <w:i w:val="0"/>
          <w:color w:val="0284C7"/>
          <w:sz w:val="24"/>
          <w:szCs w:val="24"/>
        </w:rPr>
        <w:t xml:space="preserve"> km </w:t>
      </w:r>
      <w:r>
        <w:rPr>
          <w:rFonts w:ascii="Times New Roman" w:hAnsi="Times New Roman" w:eastAsia="宋体" w:cs="Times New Roman"/>
          <w:i w:val="0"/>
          <w:color w:val="1F2937"/>
          <w:sz w:val="24"/>
          <w:szCs w:val="24"/>
        </w:rPr>
        <w:t xml:space="preserve">（或截面标称 </w:t>
      </w:r>
      <w:r>
        <w:rPr>
          <w:rFonts w:ascii="Times New Roman" w:hAnsi="Times New Roman" w:eastAsia="宋体" w:cs="Times New Roman"/>
          <w:b w:val="0"/>
          <w:i w:val="0"/>
          <w:color w:val="0284C7"/>
          <w:sz w:val="24"/>
          <w:szCs w:val="24"/>
        </w:rPr>
        <w:t xml:space="preserve"> 万km·mm² </w:t>
      </w:r>
      <w:r>
        <w:rPr>
          <w:rFonts w:ascii="Times New Roman" w:hAnsi="Times New Roman" w:eastAsia="宋体" w:cs="Times New Roman"/>
          <w:i w:val="0"/>
          <w:color w:val="1F2937"/>
          <w:sz w:val="24"/>
          <w:szCs w:val="24"/>
        </w:rPr>
        <w:t>），核算指标为</w:t>
      </w:r>
      <w:r>
        <w:rPr>
          <w:rFonts w:ascii="Times New Roman" w:hAnsi="Times New Roman" w:eastAsia="宋体" w:cs="Times New Roman"/>
          <w:b/>
          <w:i w:val="0"/>
          <w:color w:val="1E3A8A"/>
          <w:sz w:val="24"/>
          <w:szCs w:val="24"/>
        </w:rPr>
        <w:t>单位产品综合能耗 (tce/km)</w:t>
      </w:r>
      <w:r>
        <w:rPr>
          <w:rFonts w:ascii="Times New Roman" w:hAnsi="Times New Roman" w:eastAsia="宋体" w:cs="Times New Roman"/>
          <w:i w:val="0"/>
          <w:color w:val="1F2937"/>
          <w:sz w:val="24"/>
          <w:szCs w:val="24"/>
        </w:rPr>
        <w:t>、</w:t>
      </w:r>
      <w:r>
        <w:rPr>
          <w:rFonts w:ascii="Times New Roman" w:hAnsi="Times New Roman" w:eastAsia="宋体" w:cs="Times New Roman"/>
          <w:b/>
          <w:i w:val="0"/>
          <w:color w:val="1E3A8A"/>
          <w:sz w:val="24"/>
          <w:szCs w:val="24"/>
        </w:rPr>
        <w:t>单位产品电耗 (kWh/km)</w:t>
      </w:r>
      <w:r>
        <w:rPr>
          <w:rFonts w:ascii="Times New Roman" w:hAnsi="Times New Roman" w:eastAsia="宋体" w:cs="Times New Roman"/>
          <w:i w:val="0"/>
          <w:color w:val="1F2937"/>
          <w:sz w:val="24"/>
          <w:szCs w:val="24"/>
        </w:rPr>
        <w:t>。</w:t>
      </w:r>
    </w:p>
    <w:p w14:paraId="1EA941F8">
      <w:pPr>
        <w:pStyle w:val="19"/>
        <w:widowControl/>
        <w:numPr>
          <w:ilvl w:val="0"/>
          <w:numId w:val="7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隔离铁律</w:t>
      </w:r>
      <w:r>
        <w:rPr>
          <w:rFonts w:ascii="Times New Roman" w:hAnsi="Times New Roman" w:eastAsia="宋体" w:cs="Times New Roman"/>
          <w:i w:val="0"/>
          <w:color w:val="1F2937"/>
          <w:sz w:val="24"/>
          <w:szCs w:val="24"/>
        </w:rPr>
        <w:t>：两类产业单耗在数据库结构、底层 API 响应、页面表格及导出文件中绝对禁止混编在同一统计列中，禁止跨产业直接对比。</w:t>
      </w:r>
    </w:p>
    <w:p w14:paraId="41F63D06">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核心硬红线 2：除零安全防御机制</w:t>
      </w:r>
      <w:r>
        <w:rPr>
          <w:rFonts w:ascii="Times New Roman" w:hAnsi="Times New Roman" w:eastAsia="宋体" w:cs="Times New Roman"/>
          <w:i w:val="0"/>
          <w:color w:val="1F2937"/>
          <w:sz w:val="24"/>
          <w:szCs w:val="24"/>
        </w:rPr>
        <w:t xml:space="preserve">：当统计周期内产量 = 0 时，前端与后端单耗统一安全兜底显示为 </w:t>
      </w:r>
      <w:r>
        <w:rPr>
          <w:rFonts w:ascii="Times New Roman" w:hAnsi="Times New Roman" w:eastAsia="宋体" w:cs="Times New Roman"/>
          <w:b w:val="0"/>
          <w:i w:val="0"/>
          <w:color w:val="0284C7"/>
          <w:sz w:val="24"/>
          <w:szCs w:val="24"/>
        </w:rPr>
        <w:t xml:space="preserve"> -- </w:t>
      </w:r>
      <w:r>
        <w:rPr>
          <w:rFonts w:ascii="Times New Roman" w:hAnsi="Times New Roman" w:eastAsia="宋体" w:cs="Times New Roman"/>
          <w:i w:val="0"/>
          <w:color w:val="1F2937"/>
          <w:sz w:val="24"/>
          <w:szCs w:val="24"/>
        </w:rPr>
        <w:t xml:space="preserve">，严禁抛出 </w:t>
      </w:r>
      <w:r>
        <w:rPr>
          <w:rFonts w:ascii="Times New Roman" w:hAnsi="Times New Roman" w:eastAsia="宋体" w:cs="Times New Roman"/>
          <w:b w:val="0"/>
          <w:i w:val="0"/>
          <w:color w:val="0284C7"/>
          <w:sz w:val="24"/>
          <w:szCs w:val="24"/>
        </w:rPr>
        <w:t xml:space="preserve"> NaN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Infinity </w:t>
      </w:r>
      <w:r>
        <w:rPr>
          <w:rFonts w:ascii="Times New Roman" w:hAnsi="Times New Roman" w:eastAsia="宋体" w:cs="Times New Roman"/>
          <w:i w:val="0"/>
          <w:color w:val="1F2937"/>
          <w:sz w:val="24"/>
          <w:szCs w:val="24"/>
        </w:rPr>
        <w:t xml:space="preserve"> 或空指针异常。</w:t>
      </w:r>
    </w:p>
    <w:p w14:paraId="77F61F3F">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核心硬红线 3：10 家无工序单位精准判空</w:t>
      </w:r>
      <w:r>
        <w:rPr>
          <w:rFonts w:ascii="Times New Roman" w:hAnsi="Times New Roman" w:eastAsia="宋体" w:cs="Times New Roman"/>
          <w:i w:val="0"/>
          <w:color w:val="1F2937"/>
          <w:sz w:val="24"/>
          <w:szCs w:val="24"/>
        </w:rPr>
        <w:t>：当切换至沈变智慧能源、印能公司、衡变南京电研、衡变上开、衡变柯贝尔、新变智慧能源、新变银利电气、鲁缆智缆、鲁缆昭和、鲁缆曙光等 10 家无工序直属单位时，单耗工序业务区整行单行干练输出：</w:t>
      </w:r>
      <w:r>
        <w:rPr>
          <w:rFonts w:ascii="Times New Roman" w:hAnsi="Times New Roman" w:eastAsia="宋体" w:cs="Times New Roman"/>
          <w:b w:val="0"/>
          <w:i w:val="0"/>
          <w:color w:val="0284C7"/>
          <w:sz w:val="24"/>
          <w:szCs w:val="24"/>
        </w:rPr>
        <w:t xml:space="preserve"> 暂无相关工序！ </w:t>
      </w:r>
    </w:p>
    <w:p w14:paraId="72FB4434">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展示与交互规则：</w:t>
      </w:r>
    </w:p>
    <w:p w14:paraId="22957710">
      <w:pPr>
        <w:pStyle w:val="19"/>
        <w:widowControl/>
        <w:numPr>
          <w:ilvl w:val="0"/>
          <w:numId w:val="7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维度选择</w:t>
      </w:r>
      <w:r>
        <w:rPr>
          <w:rFonts w:ascii="Times New Roman" w:hAnsi="Times New Roman" w:eastAsia="宋体" w:cs="Times New Roman"/>
          <w:i w:val="0"/>
          <w:color w:val="1F2937"/>
          <w:sz w:val="24"/>
          <w:szCs w:val="24"/>
        </w:rPr>
        <w:t>：组织（集团 / 产业 / 二级公司 / 车间）+ 产品型号 + 统计周期。</w:t>
      </w:r>
    </w:p>
    <w:p w14:paraId="3E50E3C9">
      <w:pPr>
        <w:pStyle w:val="19"/>
        <w:widowControl/>
        <w:numPr>
          <w:ilvl w:val="0"/>
          <w:numId w:val="7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展示内容</w:t>
      </w:r>
      <w:r>
        <w:rPr>
          <w:rFonts w:ascii="Times New Roman" w:hAnsi="Times New Roman" w:eastAsia="宋体" w:cs="Times New Roman"/>
          <w:i w:val="0"/>
          <w:color w:val="1F2937"/>
          <w:sz w:val="24"/>
          <w:szCs w:val="24"/>
        </w:rPr>
        <w:t>：单位产品综合能耗趋势曲线、同比/环比变动率、与准入基准偏差。</w:t>
      </w:r>
    </w:p>
    <w:p w14:paraId="18EFD906">
      <w:pPr>
        <w:pStyle w:val="19"/>
        <w:widowControl/>
        <w:numPr>
          <w:ilvl w:val="0"/>
          <w:numId w:val="7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纵向对比原则</w:t>
      </w:r>
      <w:r>
        <w:rPr>
          <w:rFonts w:ascii="Times New Roman" w:hAnsi="Times New Roman" w:eastAsia="宋体" w:cs="Times New Roman"/>
          <w:i w:val="0"/>
          <w:color w:val="1F2937"/>
          <w:sz w:val="24"/>
          <w:szCs w:val="24"/>
        </w:rPr>
        <w:t>：各基地与车间仅与自身历史对比，严禁跨产业/跨厂横向拉踩。</w:t>
      </w:r>
    </w:p>
    <w:p w14:paraId="4E9C22B5">
      <w:pPr>
        <w:pStyle w:val="19"/>
        <w:widowControl/>
        <w:numPr>
          <w:ilvl w:val="0"/>
          <w:numId w:val="0"/>
        </w:numPr>
        <w:adjustRightInd w:val="0"/>
        <w:spacing w:before="100" w:after="100" w:afterLines="0" w:afterAutospacing="0" w:line="300" w:lineRule="auto"/>
        <w:jc w:val="both"/>
      </w:pPr>
      <w:r>
        <w:rPr>
          <w:rFonts w:hint="eastAsia" w:cs="Times New Roman"/>
          <w:i w:val="0"/>
          <w:color w:val="1F2937"/>
          <w:sz w:val="24"/>
          <w:szCs w:val="24"/>
          <w:lang w:val="en-US" w:eastAsia="zh-CN"/>
        </w:rPr>
        <w:t>能耗指标明细：</w:t>
      </w:r>
      <w:r>
        <w:rPr>
          <w:rFonts w:hint="eastAsia" w:cs="Times New Roman"/>
          <w:i w:val="0"/>
          <w:color w:val="1F2937"/>
          <w:sz w:val="24"/>
          <w:szCs w:val="24"/>
          <w:lang w:val="en-US" w:eastAsia="zh-CN"/>
        </w:rPr>
        <w:br w:type="textWrapping"/>
      </w:r>
      <w:r>
        <w:drawing>
          <wp:inline distT="0" distB="0" distL="114300" distR="114300">
            <wp:extent cx="5906770" cy="2233295"/>
            <wp:effectExtent l="0" t="0" r="17780" b="14605"/>
            <wp:docPr id="115"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69"/>
                    <pic:cNvPicPr>
                      <a:picLocks noChangeAspect="1"/>
                    </pic:cNvPicPr>
                  </pic:nvPicPr>
                  <pic:blipFill>
                    <a:blip r:embed="rId48"/>
                    <a:stretch>
                      <a:fillRect/>
                    </a:stretch>
                  </pic:blipFill>
                  <pic:spPr>
                    <a:xfrm>
                      <a:off x="0" y="0"/>
                      <a:ext cx="5906770" cy="2233295"/>
                    </a:xfrm>
                    <a:prstGeom prst="rect">
                      <a:avLst/>
                    </a:prstGeom>
                    <a:noFill/>
                    <a:ln>
                      <a:noFill/>
                    </a:ln>
                  </pic:spPr>
                </pic:pic>
              </a:graphicData>
            </a:graphic>
          </wp:inline>
        </w:drawing>
      </w:r>
    </w:p>
    <w:p w14:paraId="4BDE1AB1">
      <w:pPr>
        <w:pStyle w:val="19"/>
        <w:widowControl/>
        <w:numPr>
          <w:ilvl w:val="0"/>
          <w:numId w:val="0"/>
        </w:numPr>
        <w:adjustRightInd w:val="0"/>
        <w:spacing w:before="100" w:after="100" w:afterLines="0" w:afterAutospacing="0" w:line="300" w:lineRule="auto"/>
        <w:jc w:val="both"/>
      </w:pPr>
    </w:p>
    <w:p w14:paraId="6D42B435">
      <w:pPr>
        <w:pStyle w:val="19"/>
        <w:widowControl/>
        <w:numPr>
          <w:ilvl w:val="0"/>
          <w:numId w:val="0"/>
        </w:numPr>
        <w:adjustRightInd w:val="0"/>
        <w:spacing w:before="100" w:after="100" w:afterLines="0" w:afterAutospacing="0" w:line="300" w:lineRule="auto"/>
        <w:jc w:val="both"/>
      </w:pPr>
      <w:r>
        <w:rPr>
          <w:rFonts w:hint="eastAsia"/>
          <w:lang w:val="en-US" w:eastAsia="zh-CN"/>
        </w:rPr>
        <w:t>产品管控指标：</w:t>
      </w:r>
      <w:r>
        <w:rPr>
          <w:rFonts w:hint="eastAsia"/>
          <w:lang w:val="en-US" w:eastAsia="zh-CN"/>
        </w:rPr>
        <w:br w:type="textWrapping"/>
      </w:r>
      <w:r>
        <w:drawing>
          <wp:inline distT="0" distB="0" distL="114300" distR="114300">
            <wp:extent cx="5909310" cy="2283460"/>
            <wp:effectExtent l="0" t="0" r="15240" b="2540"/>
            <wp:docPr id="116"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70"/>
                    <pic:cNvPicPr>
                      <a:picLocks noChangeAspect="1"/>
                    </pic:cNvPicPr>
                  </pic:nvPicPr>
                  <pic:blipFill>
                    <a:blip r:embed="rId49"/>
                    <a:stretch>
                      <a:fillRect/>
                    </a:stretch>
                  </pic:blipFill>
                  <pic:spPr>
                    <a:xfrm>
                      <a:off x="0" y="0"/>
                      <a:ext cx="5909310" cy="2283460"/>
                    </a:xfrm>
                    <a:prstGeom prst="rect">
                      <a:avLst/>
                    </a:prstGeom>
                    <a:noFill/>
                    <a:ln>
                      <a:noFill/>
                    </a:ln>
                  </pic:spPr>
                </pic:pic>
              </a:graphicData>
            </a:graphic>
          </wp:inline>
        </w:drawing>
      </w:r>
    </w:p>
    <w:p w14:paraId="1097686E">
      <w:pPr>
        <w:pStyle w:val="19"/>
        <w:widowControl/>
        <w:numPr>
          <w:ilvl w:val="0"/>
          <w:numId w:val="0"/>
        </w:numPr>
        <w:adjustRightInd w:val="0"/>
        <w:spacing w:before="100" w:after="100" w:afterLines="0" w:afterAutospacing="0" w:line="300" w:lineRule="auto"/>
        <w:jc w:val="both"/>
      </w:pPr>
    </w:p>
    <w:p w14:paraId="286383A5">
      <w:pPr>
        <w:pStyle w:val="19"/>
        <w:widowControl/>
        <w:numPr>
          <w:ilvl w:val="0"/>
          <w:numId w:val="0"/>
        </w:numPr>
        <w:adjustRightInd w:val="0"/>
        <w:spacing w:before="100" w:after="100" w:afterLines="0" w:afterAutospacing="0" w:line="300" w:lineRule="auto"/>
        <w:jc w:val="both"/>
        <w:rPr>
          <w:rFonts w:hint="default" w:eastAsia="宋体"/>
          <w:lang w:val="en-US" w:eastAsia="zh-CN"/>
        </w:rPr>
      </w:pPr>
      <w:r>
        <w:rPr>
          <w:rFonts w:hint="eastAsia"/>
          <w:lang w:val="en-US" w:eastAsia="zh-CN"/>
        </w:rPr>
        <w:t>产品能耗明细：</w:t>
      </w:r>
      <w:r>
        <w:rPr>
          <w:rFonts w:hint="eastAsia"/>
          <w:lang w:val="en-US" w:eastAsia="zh-CN"/>
        </w:rPr>
        <w:br w:type="textWrapping"/>
      </w:r>
      <w:r>
        <w:drawing>
          <wp:inline distT="0" distB="0" distL="114300" distR="114300">
            <wp:extent cx="5909310" cy="2954655"/>
            <wp:effectExtent l="0" t="0" r="15240" b="17145"/>
            <wp:docPr id="117"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71"/>
                    <pic:cNvPicPr>
                      <a:picLocks noChangeAspect="1"/>
                    </pic:cNvPicPr>
                  </pic:nvPicPr>
                  <pic:blipFill>
                    <a:blip r:embed="rId50"/>
                    <a:stretch>
                      <a:fillRect/>
                    </a:stretch>
                  </pic:blipFill>
                  <pic:spPr>
                    <a:xfrm>
                      <a:off x="0" y="0"/>
                      <a:ext cx="5909310" cy="2954655"/>
                    </a:xfrm>
                    <a:prstGeom prst="rect">
                      <a:avLst/>
                    </a:prstGeom>
                    <a:noFill/>
                    <a:ln>
                      <a:noFill/>
                    </a:ln>
                  </pic:spPr>
                </pic:pic>
              </a:graphicData>
            </a:graphic>
          </wp:inline>
        </w:drawing>
      </w:r>
    </w:p>
    <w:p w14:paraId="06DEF6A0">
      <w:pPr>
        <w:pStyle w:val="19"/>
        <w:widowControl/>
        <w:numPr>
          <w:ilvl w:val="0"/>
          <w:numId w:val="0"/>
        </w:numPr>
        <w:adjustRightInd w:val="0"/>
        <w:spacing w:before="100" w:after="100" w:afterLines="0" w:afterAutospacing="0" w:line="300" w:lineRule="auto"/>
        <w:jc w:val="both"/>
        <w:rPr>
          <w:rFonts w:ascii="Times New Roman" w:hAnsi="Times New Roman" w:eastAsia="宋体" w:cs="Times New Roman"/>
          <w:i w:val="0"/>
          <w:color w:val="1F2937"/>
          <w:sz w:val="24"/>
          <w:szCs w:val="24"/>
        </w:rPr>
      </w:pPr>
    </w:p>
    <w:p w14:paraId="4B6AE647">
      <w:pPr>
        <w:pStyle w:val="6"/>
        <w:numPr>
          <w:ilvl w:val="0"/>
          <w:numId w:val="71"/>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56"/>
        <w:gridCol w:w="1900"/>
        <w:gridCol w:w="1339"/>
        <w:gridCol w:w="2139"/>
        <w:gridCol w:w="3550"/>
      </w:tblGrid>
      <w:tr w14:paraId="40B1999F">
        <w:tblPrEx>
          <w:tblCellMar>
            <w:top w:w="0" w:type="dxa"/>
            <w:left w:w="108" w:type="dxa"/>
            <w:bottom w:w="0" w:type="dxa"/>
            <w:right w:w="108" w:type="dxa"/>
          </w:tblCellMar>
        </w:tblPrEx>
        <w:trPr>
          <w:tblHeader/>
          <w:jc w:val="center"/>
        </w:trPr>
        <w:tc>
          <w:tcPr>
            <w:tcW w:w="85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DA06F0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D0096A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33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2A594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213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C98DDC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35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ABE8E3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计算规则与防错逻辑</w:t>
            </w:r>
          </w:p>
        </w:tc>
      </w:tr>
      <w:tr w14:paraId="736044A5">
        <w:tblPrEx>
          <w:tblCellMar>
            <w:top w:w="0" w:type="dxa"/>
            <w:left w:w="108" w:type="dxa"/>
            <w:bottom w:w="0" w:type="dxa"/>
            <w:right w:w="108" w:type="dxa"/>
          </w:tblCellMar>
        </w:tblPrEx>
        <w:trPr>
          <w:tblHeader/>
          <w:jc w:val="center"/>
        </w:trPr>
        <w:tc>
          <w:tcPr>
            <w:tcW w:w="85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C80970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31284A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产品型号编码</w:t>
            </w:r>
          </w:p>
        </w:tc>
        <w:tc>
          <w:tcPr>
            <w:tcW w:w="1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9948D3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21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029780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5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426897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ERP 物料主数据唯一编码</w:t>
            </w:r>
          </w:p>
        </w:tc>
      </w:tr>
      <w:tr w14:paraId="09F65791">
        <w:tblPrEx>
          <w:tblCellMar>
            <w:top w:w="0" w:type="dxa"/>
            <w:left w:w="108" w:type="dxa"/>
            <w:bottom w:w="0" w:type="dxa"/>
            <w:right w:w="108" w:type="dxa"/>
          </w:tblCellMar>
        </w:tblPrEx>
        <w:trPr>
          <w:jc w:val="center"/>
        </w:trPr>
        <w:tc>
          <w:tcPr>
            <w:tcW w:w="85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FB1F9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C79AC2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所属产业分类</w:t>
            </w:r>
          </w:p>
        </w:tc>
        <w:tc>
          <w:tcPr>
            <w:tcW w:w="1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84EE7E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21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A8CB1A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变压器/线缆</w:t>
            </w:r>
          </w:p>
        </w:tc>
        <w:tc>
          <w:tcPr>
            <w:tcW w:w="35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EEE48D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严格决定分母物理量量纲</w:t>
            </w:r>
          </w:p>
        </w:tc>
      </w:tr>
      <w:tr w14:paraId="33CE9147">
        <w:tblPrEx>
          <w:tblCellMar>
            <w:top w:w="0" w:type="dxa"/>
            <w:left w:w="108" w:type="dxa"/>
            <w:bottom w:w="0" w:type="dxa"/>
            <w:right w:w="108" w:type="dxa"/>
          </w:tblCellMar>
        </w:tblPrEx>
        <w:trPr>
          <w:jc w:val="center"/>
        </w:trPr>
        <w:tc>
          <w:tcPr>
            <w:tcW w:w="85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DBEF67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7ADB6A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当期合格品产量</w:t>
            </w:r>
          </w:p>
        </w:tc>
        <w:tc>
          <w:tcPr>
            <w:tcW w:w="1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B73205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21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27CC31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kVA 或 km·mm²</w:t>
            </w:r>
          </w:p>
        </w:tc>
        <w:tc>
          <w:tcPr>
            <w:tcW w:w="35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DC434E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MES 报工质检入库总量，若为 0 单耗置 </w:t>
            </w:r>
            <w:r>
              <w:rPr>
                <w:rFonts w:hint="eastAsia" w:ascii="宋体" w:hAnsi="宋体" w:eastAsia="宋体" w:cs="宋体"/>
                <w:b w:val="0"/>
                <w:i w:val="0"/>
                <w:iCs w:val="0"/>
                <w:color w:val="0284C7"/>
                <w:sz w:val="24"/>
                <w:szCs w:val="24"/>
              </w:rPr>
              <w:t xml:space="preserve"> -- </w:t>
            </w:r>
          </w:p>
        </w:tc>
      </w:tr>
      <w:tr w14:paraId="37C6DAE6">
        <w:tblPrEx>
          <w:tblCellMar>
            <w:top w:w="0" w:type="dxa"/>
            <w:left w:w="108" w:type="dxa"/>
            <w:bottom w:w="0" w:type="dxa"/>
            <w:right w:w="108" w:type="dxa"/>
          </w:tblCellMar>
        </w:tblPrEx>
        <w:trPr>
          <w:jc w:val="center"/>
        </w:trPr>
        <w:tc>
          <w:tcPr>
            <w:tcW w:w="85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5DC1FC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876F05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当期消耗总标煤量</w:t>
            </w:r>
          </w:p>
        </w:tc>
        <w:tc>
          <w:tcPr>
            <w:tcW w:w="1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8E35C4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21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75189B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w:t>
            </w:r>
          </w:p>
        </w:tc>
        <w:tc>
          <w:tcPr>
            <w:tcW w:w="35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A26E72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车间各能源介质按工序分摊折标煤累加</w:t>
            </w:r>
          </w:p>
        </w:tc>
      </w:tr>
      <w:tr w14:paraId="46557018">
        <w:tblPrEx>
          <w:tblCellMar>
            <w:top w:w="0" w:type="dxa"/>
            <w:left w:w="108" w:type="dxa"/>
            <w:bottom w:w="0" w:type="dxa"/>
            <w:right w:w="108" w:type="dxa"/>
          </w:tblCellMar>
        </w:tblPrEx>
        <w:trPr>
          <w:jc w:val="center"/>
        </w:trPr>
        <w:tc>
          <w:tcPr>
            <w:tcW w:w="85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1D6D87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935AC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单位产品综合能耗</w:t>
            </w:r>
          </w:p>
        </w:tc>
        <w:tc>
          <w:tcPr>
            <w:tcW w:w="1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BC47B2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21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7DC959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tce/kVA 或 tce/km·mm²</w:t>
            </w:r>
          </w:p>
        </w:tc>
        <w:tc>
          <w:tcPr>
            <w:tcW w:w="35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908280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period\_energy\_tce / period\_output</w:t>
            </w:r>
          </w:p>
        </w:tc>
      </w:tr>
      <w:tr w14:paraId="25713AD9">
        <w:tblPrEx>
          <w:tblCellMar>
            <w:top w:w="0" w:type="dxa"/>
            <w:left w:w="108" w:type="dxa"/>
            <w:bottom w:w="0" w:type="dxa"/>
            <w:right w:w="108" w:type="dxa"/>
          </w:tblCellMar>
        </w:tblPrEx>
        <w:trPr>
          <w:jc w:val="center"/>
        </w:trPr>
        <w:tc>
          <w:tcPr>
            <w:tcW w:w="85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F0BFD4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35DECA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同比变动率</w:t>
            </w:r>
          </w:p>
        </w:tc>
        <w:tc>
          <w:tcPr>
            <w:tcW w:w="1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8B1FF2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21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D0AD5E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5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7ADFEC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(本期单耗 − 去年同期) / 去年同期 × 100%</w:t>
            </w:r>
          </w:p>
        </w:tc>
      </w:tr>
      <w:tr w14:paraId="52166B94">
        <w:tblPrEx>
          <w:tblCellMar>
            <w:top w:w="0" w:type="dxa"/>
            <w:left w:w="108" w:type="dxa"/>
            <w:bottom w:w="0" w:type="dxa"/>
            <w:right w:w="108" w:type="dxa"/>
          </w:tblCellMar>
        </w:tblPrEx>
        <w:trPr>
          <w:jc w:val="center"/>
        </w:trPr>
        <w:tc>
          <w:tcPr>
            <w:tcW w:w="85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C7B96A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AA6936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环比变动率</w:t>
            </w:r>
          </w:p>
        </w:tc>
        <w:tc>
          <w:tcPr>
            <w:tcW w:w="1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AB41AD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21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965352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5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C82FA5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(本期单耗 − 上月单耗) / 上月单耗 × 100%</w:t>
            </w:r>
          </w:p>
        </w:tc>
      </w:tr>
      <w:tr w14:paraId="78598039">
        <w:tblPrEx>
          <w:tblCellMar>
            <w:top w:w="0" w:type="dxa"/>
            <w:left w:w="108" w:type="dxa"/>
            <w:bottom w:w="0" w:type="dxa"/>
            <w:right w:w="108" w:type="dxa"/>
          </w:tblCellMar>
        </w:tblPrEx>
        <w:trPr>
          <w:jc w:val="center"/>
        </w:trPr>
        <w:tc>
          <w:tcPr>
            <w:tcW w:w="85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42D18A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190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FAAA47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与准入基准偏差</w:t>
            </w:r>
          </w:p>
        </w:tc>
        <w:tc>
          <w:tcPr>
            <w:tcW w:w="1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64B6D3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21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833E9F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tce/单位</w:t>
            </w:r>
          </w:p>
        </w:tc>
        <w:tc>
          <w:tcPr>
            <w:tcW w:w="35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4EB2B8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本期单耗 − 国家准入先进值</w:t>
            </w:r>
          </w:p>
        </w:tc>
      </w:tr>
    </w:tbl>
    <w:p w14:paraId="111B33A5">
      <w:pPr>
        <w:spacing w:after="60"/>
        <w:rPr>
          <w:rFonts w:hint="eastAsia" w:ascii="宋体" w:hAnsi="宋体" w:eastAsia="宋体" w:cs="宋体"/>
          <w:i w:val="0"/>
          <w:iCs w:val="0"/>
          <w:sz w:val="24"/>
          <w:szCs w:val="24"/>
        </w:rPr>
      </w:pPr>
    </w:p>
    <w:p w14:paraId="744FEE8F">
      <w:pPr>
        <w:pStyle w:val="6"/>
        <w:numPr>
          <w:ilvl w:val="0"/>
          <w:numId w:val="71"/>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7E032409">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643FDA3C">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e_unit = E_period / M_period                        单位产品综合能耗</w:t>
            </w:r>
          </w:p>
          <w:p w14:paraId="14EC3F37">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q_unit = Q_period / M_period                        单位产品电耗</w:t>
            </w:r>
          </w:p>
          <w:p w14:paraId="53E660D9">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MoM = ( e_t - e_{t-1} ) / e_{t-1} × 100%            环比变动率</w:t>
            </w:r>
          </w:p>
          <w:p w14:paraId="5DA2A17C">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YoY = ( e_t - e_{t-12} ) / e_{t-12} × 100%          同比变动率</w:t>
            </w:r>
          </w:p>
          <w:p w14:paraId="7A3A8F1E">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Gap = e_unit - Benchmark_admission                  与准入基准偏差</w:t>
            </w:r>
          </w:p>
          <w:p w14:paraId="05EB98FC">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Guard: M_period = 0 → display "--"                  除零安全兜底</w:t>
            </w:r>
          </w:p>
        </w:tc>
      </w:tr>
    </w:tbl>
    <w:p w14:paraId="15157736">
      <w:pPr>
        <w:spacing w:after="40"/>
        <w:rPr>
          <w:rFonts w:hint="eastAsia" w:ascii="宋体" w:hAnsi="宋体" w:eastAsia="宋体" w:cs="宋体"/>
          <w:i w:val="0"/>
          <w:iCs w:val="0"/>
          <w:sz w:val="24"/>
          <w:szCs w:val="24"/>
        </w:rPr>
      </w:pPr>
    </w:p>
    <w:p w14:paraId="5D91DF20">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w:t>
      </w:r>
      <w:r>
        <w:rPr>
          <w:rFonts w:ascii="Times New Roman" w:hAnsi="Times New Roman" w:eastAsia="宋体" w:cs="Times New Roman"/>
          <w:b w:val="0"/>
          <w:i w:val="0"/>
          <w:color w:val="0284C7"/>
          <w:sz w:val="24"/>
          <w:szCs w:val="24"/>
        </w:rPr>
        <w:t xml:space="preserve"> E_period </w:t>
      </w:r>
      <w:r>
        <w:rPr>
          <w:rFonts w:ascii="Times New Roman" w:hAnsi="Times New Roman" w:eastAsia="宋体" w:cs="Times New Roman"/>
          <w:i w:val="0"/>
          <w:color w:val="1F2937"/>
          <w:sz w:val="24"/>
          <w:szCs w:val="24"/>
        </w:rPr>
        <w:t xml:space="preserve"> 为统计周期内该产品分摊的折标煤总量（tce）；</w:t>
      </w:r>
      <w:r>
        <w:rPr>
          <w:rFonts w:ascii="Times New Roman" w:hAnsi="Times New Roman" w:eastAsia="宋体" w:cs="Times New Roman"/>
          <w:b w:val="0"/>
          <w:i w:val="0"/>
          <w:color w:val="0284C7"/>
          <w:sz w:val="24"/>
          <w:szCs w:val="24"/>
        </w:rPr>
        <w:t xml:space="preserve"> M_period </w:t>
      </w:r>
      <w:r>
        <w:rPr>
          <w:rFonts w:ascii="Times New Roman" w:hAnsi="Times New Roman" w:eastAsia="宋体" w:cs="Times New Roman"/>
          <w:i w:val="0"/>
          <w:color w:val="1F2937"/>
          <w:sz w:val="24"/>
          <w:szCs w:val="24"/>
        </w:rPr>
        <w:t xml:space="preserve"> 为当期合格品产量（变压器：kVA 或万 kVA；线缆：km 或 km·mm²）；</w:t>
      </w:r>
      <w:r>
        <w:rPr>
          <w:rFonts w:ascii="Times New Roman" w:hAnsi="Times New Roman" w:eastAsia="宋体" w:cs="Times New Roman"/>
          <w:b w:val="0"/>
          <w:i w:val="0"/>
          <w:color w:val="0284C7"/>
          <w:sz w:val="24"/>
          <w:szCs w:val="24"/>
        </w:rPr>
        <w:t xml:space="preserve"> Benchmark_admission </w:t>
      </w:r>
      <w:r>
        <w:rPr>
          <w:rFonts w:ascii="Times New Roman" w:hAnsi="Times New Roman" w:eastAsia="宋体" w:cs="Times New Roman"/>
          <w:i w:val="0"/>
          <w:color w:val="1F2937"/>
          <w:sz w:val="24"/>
          <w:szCs w:val="24"/>
        </w:rPr>
        <w:t xml:space="preserve"> 为国家准入先进值。</w:t>
      </w:r>
    </w:p>
    <w:p w14:paraId="77D46BD3">
      <w:pPr>
        <w:pStyle w:val="6"/>
        <w:numPr>
          <w:ilvl w:val="0"/>
          <w:numId w:val="71"/>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0170F122">
      <w:pPr>
        <w:pStyle w:val="19"/>
        <w:widowControl/>
        <w:numPr>
          <w:ilvl w:val="0"/>
          <w:numId w:val="7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分母口径</w:t>
      </w:r>
      <w:r>
        <w:rPr>
          <w:rFonts w:ascii="Times New Roman" w:hAnsi="Times New Roman" w:eastAsia="宋体" w:cs="Times New Roman"/>
          <w:i w:val="0"/>
          <w:color w:val="1F2937"/>
          <w:sz w:val="24"/>
          <w:szCs w:val="24"/>
        </w:rPr>
        <w:t>：分母量纲由产业分类严格决定，变压器为 kVA 系，线缆为 km·mm² 系。</w:t>
      </w:r>
    </w:p>
    <w:p w14:paraId="0FC0FEC8">
      <w:pPr>
        <w:pStyle w:val="19"/>
        <w:widowControl/>
        <w:numPr>
          <w:ilvl w:val="0"/>
          <w:numId w:val="7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对比口径</w:t>
      </w:r>
      <w:r>
        <w:rPr>
          <w:rFonts w:ascii="Times New Roman" w:hAnsi="Times New Roman" w:eastAsia="宋体" w:cs="Times New Roman"/>
          <w:i w:val="0"/>
          <w:color w:val="1F2937"/>
          <w:sz w:val="24"/>
          <w:szCs w:val="24"/>
        </w:rPr>
        <w:t>：各基地与车间仅与自身历史对比，不跨产业、不跨厂横向拉踩。</w:t>
      </w:r>
    </w:p>
    <w:p w14:paraId="26301818">
      <w:pPr>
        <w:pStyle w:val="19"/>
        <w:widowControl/>
        <w:numPr>
          <w:ilvl w:val="0"/>
          <w:numId w:val="7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基准口径</w:t>
      </w:r>
      <w:r>
        <w:rPr>
          <w:rFonts w:ascii="Times New Roman" w:hAnsi="Times New Roman" w:eastAsia="宋体" w:cs="Times New Roman"/>
          <w:i w:val="0"/>
          <w:color w:val="1F2937"/>
          <w:sz w:val="24"/>
          <w:szCs w:val="24"/>
        </w:rPr>
        <w:t>：叠加国家限额先进值与准入值参考线；距基准偏差以数值呈现。</w:t>
      </w:r>
    </w:p>
    <w:p w14:paraId="70F806B2">
      <w:pPr>
        <w:pStyle w:val="19"/>
        <w:widowControl/>
        <w:numPr>
          <w:ilvl w:val="0"/>
          <w:numId w:val="7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状态判定</w:t>
      </w:r>
      <w:r>
        <w:rPr>
          <w:rFonts w:ascii="Times New Roman" w:hAnsi="Times New Roman" w:eastAsia="宋体" w:cs="Times New Roman"/>
          <w:i w:val="0"/>
          <w:color w:val="1F2937"/>
          <w:sz w:val="24"/>
          <w:szCs w:val="24"/>
        </w:rPr>
        <w:t>：按标杆值/基准值三色判定，点击指标进入二级详情。</w:t>
      </w:r>
    </w:p>
    <w:p w14:paraId="7190A570">
      <w:pPr>
        <w:pStyle w:val="6"/>
        <w:numPr>
          <w:ilvl w:val="0"/>
          <w:numId w:val="71"/>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7B67973C">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5D41986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月度产量为 0：单耗显示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 xml:space="preserve">，触发 </w:t>
            </w:r>
            <w:r>
              <w:rPr>
                <w:rFonts w:hint="eastAsia" w:ascii="宋体" w:hAnsi="宋体" w:eastAsia="宋体" w:cs="宋体"/>
                <w:b w:val="0"/>
                <w:i w:val="0"/>
                <w:iCs w:val="0"/>
                <w:color w:val="0284C7"/>
                <w:sz w:val="24"/>
                <w:szCs w:val="24"/>
              </w:rPr>
              <w:t xml:space="preserve"> E_CALC_UNIT_DIV_ZERO_SOFT </w:t>
            </w:r>
            <w:r>
              <w:rPr>
                <w:rFonts w:hint="eastAsia" w:ascii="宋体" w:hAnsi="宋体" w:eastAsia="宋体" w:cs="宋体"/>
                <w:i w:val="0"/>
                <w:iCs w:val="0"/>
                <w:color w:val="1F2937"/>
                <w:sz w:val="24"/>
                <w:szCs w:val="24"/>
              </w:rPr>
              <w:t>；严禁 NaN 或白屏。</w:t>
            </w:r>
          </w:p>
          <w:p w14:paraId="75BAF4FC">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产量录入负数：触发 </w:t>
            </w:r>
            <w:r>
              <w:rPr>
                <w:rFonts w:hint="eastAsia" w:ascii="宋体" w:hAnsi="宋体" w:eastAsia="宋体" w:cs="宋体"/>
                <w:b w:val="0"/>
                <w:i w:val="0"/>
                <w:iCs w:val="0"/>
                <w:color w:val="0284C7"/>
                <w:sz w:val="24"/>
                <w:szCs w:val="24"/>
              </w:rPr>
              <w:t xml:space="preserve"> E_VAL_PROD_QTY_NEGATIVE </w:t>
            </w:r>
            <w:r>
              <w:rPr>
                <w:rFonts w:hint="eastAsia" w:ascii="宋体" w:hAnsi="宋体" w:eastAsia="宋体" w:cs="宋体"/>
                <w:i w:val="0"/>
                <w:iCs w:val="0"/>
                <w:color w:val="1F2937"/>
                <w:sz w:val="24"/>
                <w:szCs w:val="24"/>
              </w:rPr>
              <w:t>，前端红框拦截阻断提交。</w:t>
            </w:r>
          </w:p>
          <w:p w14:paraId="7CD7F0F1">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无工序单位：触发 </w:t>
            </w:r>
            <w:r>
              <w:rPr>
                <w:rFonts w:hint="eastAsia" w:ascii="宋体" w:hAnsi="宋体" w:eastAsia="宋体" w:cs="宋体"/>
                <w:b w:val="0"/>
                <w:i w:val="0"/>
                <w:iCs w:val="0"/>
                <w:color w:val="0284C7"/>
                <w:sz w:val="24"/>
                <w:szCs w:val="24"/>
              </w:rPr>
              <w:t xml:space="preserve"> E_QM_WHITE_LIST_MISS </w:t>
            </w:r>
            <w:r>
              <w:rPr>
                <w:rFonts w:hint="eastAsia" w:ascii="宋体" w:hAnsi="宋体" w:eastAsia="宋体" w:cs="宋体"/>
                <w:i w:val="0"/>
                <w:iCs w:val="0"/>
                <w:color w:val="1F2937"/>
                <w:sz w:val="24"/>
                <w:szCs w:val="24"/>
              </w:rPr>
              <w:t>，整行输出"暂无相关工序！"。</w:t>
            </w:r>
          </w:p>
          <w:p w14:paraId="3CEC447F">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跨产业混算：数据库与 API 层面通过量纲字段强约束，禁止跨产业同列。</w:t>
            </w:r>
          </w:p>
          <w:p w14:paraId="7D7D5C59">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锁账拦截：已关账月度的产量数据禁止修改，触发 </w:t>
            </w:r>
            <w:r>
              <w:rPr>
                <w:rFonts w:hint="eastAsia" w:ascii="宋体" w:hAnsi="宋体" w:eastAsia="宋体" w:cs="宋体"/>
                <w:b w:val="0"/>
                <w:i w:val="0"/>
                <w:iCs w:val="0"/>
                <w:color w:val="0284C7"/>
                <w:sz w:val="24"/>
                <w:szCs w:val="24"/>
              </w:rPr>
              <w:t xml:space="preserve"> E_SYS_ENTRY_ALREADY_LOCKED </w:t>
            </w:r>
            <w:r>
              <w:rPr>
                <w:rFonts w:hint="eastAsia" w:ascii="宋体" w:hAnsi="宋体" w:eastAsia="宋体" w:cs="宋体"/>
                <w:i w:val="0"/>
                <w:iCs w:val="0"/>
                <w:color w:val="1F2937"/>
                <w:sz w:val="24"/>
                <w:szCs w:val="24"/>
              </w:rPr>
              <w:t>。</w:t>
            </w:r>
          </w:p>
        </w:tc>
      </w:tr>
    </w:tbl>
    <w:p w14:paraId="3CCEE185">
      <w:pPr>
        <w:spacing w:after="40"/>
        <w:rPr>
          <w:rFonts w:hint="eastAsia" w:ascii="宋体" w:hAnsi="宋体" w:eastAsia="宋体" w:cs="宋体"/>
          <w:i w:val="0"/>
          <w:iCs w:val="0"/>
          <w:sz w:val="24"/>
          <w:szCs w:val="24"/>
        </w:rPr>
      </w:pPr>
    </w:p>
    <w:p w14:paraId="6E6783CB">
      <w:pPr>
        <w:pStyle w:val="6"/>
        <w:numPr>
          <w:ilvl w:val="0"/>
          <w:numId w:val="71"/>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1494CF27">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436E2198">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单位产品能耗分产业隔离核算</w:t>
            </w:r>
          </w:p>
          <w:p w14:paraId="5130C259">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极限除零边界防御</w:t>
            </w:r>
          </w:p>
          <w:p w14:paraId="50D0117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某车间当月变压器合格品产量录入为 0</w:t>
            </w:r>
          </w:p>
          <w:p w14:paraId="41984C9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系统渲染单位产品综合能耗与单位产品电耗</w:t>
            </w:r>
          </w:p>
          <w:p w14:paraId="26E77F7A">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两项单耗均安全显示为 "--"</w:t>
            </w:r>
          </w:p>
          <w:p w14:paraId="2AF89EB1">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后台记录 E_CALC_UNIT_DIV_ZERO_SOFT</w:t>
            </w:r>
          </w:p>
          <w:p w14:paraId="65B376EC">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页面不出现 NaN、Infinity 或白屏</w:t>
            </w:r>
          </w:p>
          <w:p w14:paraId="6D4B4D7F">
            <w:pPr>
              <w:spacing w:before="0" w:after="20" w:line="264" w:lineRule="auto"/>
              <w:rPr>
                <w:rFonts w:hint="eastAsia" w:ascii="宋体" w:hAnsi="宋体" w:eastAsia="宋体" w:cs="宋体"/>
                <w:i w:val="0"/>
                <w:iCs w:val="0"/>
                <w:sz w:val="24"/>
                <w:szCs w:val="24"/>
              </w:rPr>
            </w:pPr>
          </w:p>
          <w:p w14:paraId="378B1822">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产量负数拦截</w:t>
            </w:r>
          </w:p>
          <w:p w14:paraId="6E4F19D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车间填报员在数据录入工作台录入产量</w:t>
            </w:r>
          </w:p>
          <w:p w14:paraId="1928243B">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输入数值为 -500 kVA</w:t>
            </w:r>
          </w:p>
          <w:p w14:paraId="0C7A237B">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前端即时红框高亮并阻断提交</w:t>
            </w:r>
          </w:p>
          <w:p w14:paraId="113A40E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返回 E_VAL_PROD_QTY_NEGATIVE</w:t>
            </w:r>
          </w:p>
          <w:p w14:paraId="42E921E2">
            <w:pPr>
              <w:spacing w:before="0" w:after="20" w:line="264" w:lineRule="auto"/>
              <w:rPr>
                <w:rFonts w:hint="eastAsia" w:ascii="宋体" w:hAnsi="宋体" w:eastAsia="宋体" w:cs="宋体"/>
                <w:i w:val="0"/>
                <w:iCs w:val="0"/>
                <w:sz w:val="24"/>
                <w:szCs w:val="24"/>
              </w:rPr>
            </w:pPr>
          </w:p>
          <w:p w14:paraId="7EA65BF5">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无工序单位单行判空</w:t>
            </w:r>
          </w:p>
          <w:p w14:paraId="0ACF6701">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组织树选中"鲁缆昭和"等 10 家无工序直属单位之一</w:t>
            </w:r>
          </w:p>
          <w:p w14:paraId="49F1768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页面渲染单耗工序业务区</w:t>
            </w:r>
          </w:p>
          <w:p w14:paraId="5D8FC2E6">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整行仅输出单行文本 "暂无相关工序！"</w:t>
            </w:r>
          </w:p>
          <w:p w14:paraId="67A2434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不出现任何解释性长文案</w:t>
            </w:r>
          </w:p>
          <w:p w14:paraId="183F0EF8">
            <w:pPr>
              <w:spacing w:before="0" w:after="20" w:line="264" w:lineRule="auto"/>
              <w:rPr>
                <w:rFonts w:hint="eastAsia" w:ascii="宋体" w:hAnsi="宋体" w:eastAsia="宋体" w:cs="宋体"/>
                <w:i w:val="0"/>
                <w:iCs w:val="0"/>
                <w:sz w:val="24"/>
                <w:szCs w:val="24"/>
              </w:rPr>
            </w:pPr>
          </w:p>
          <w:p w14:paraId="514786E1">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跨产业混算阻断</w:t>
            </w:r>
          </w:p>
          <w:p w14:paraId="389B3BB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数据集中同时存在变压器产业与线缆产业单耗记录</w:t>
            </w:r>
          </w:p>
          <w:p w14:paraId="562D4E7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系统生成页面表格与 Excel 导出文件</w:t>
            </w:r>
          </w:p>
          <w:p w14:paraId="7B54A3EB">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两类产业单耗分列独立呈现</w:t>
            </w:r>
          </w:p>
          <w:p w14:paraId="4B0103E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不存在跨产业同一统计列或跨产业排名</w:t>
            </w:r>
          </w:p>
        </w:tc>
      </w:tr>
    </w:tbl>
    <w:p w14:paraId="27735735">
      <w:pPr>
        <w:spacing w:after="40"/>
        <w:rPr>
          <w:rFonts w:hint="eastAsia" w:ascii="宋体" w:hAnsi="宋体" w:eastAsia="宋体" w:cs="宋体"/>
          <w:i w:val="0"/>
          <w:iCs w:val="0"/>
          <w:sz w:val="24"/>
          <w:szCs w:val="24"/>
        </w:rPr>
      </w:pPr>
    </w:p>
    <w:p w14:paraId="489E0456">
      <w:pPr>
        <w:pStyle w:val="5"/>
        <w:numPr>
          <w:ilvl w:val="0"/>
          <w:numId w:val="65"/>
        </w:numPr>
        <w:ind w:left="0" w:leftChars="0" w:firstLine="0" w:firstLineChars="0"/>
        <w:outlineLvl w:val="1"/>
        <w:rPr>
          <w:rFonts w:eastAsia="黑体"/>
          <w:b w:val="0"/>
          <w:bCs w:val="0"/>
          <w:sz w:val="30"/>
          <w:szCs w:val="24"/>
        </w:rPr>
      </w:pPr>
      <w:bookmarkStart w:id="25" w:name="_Toc11046"/>
      <w:r>
        <w:rPr>
          <w:rFonts w:ascii="Times New Roman" w:hAnsi="Times New Roman" w:eastAsia="黑体" w:cs="Times New Roman"/>
          <w:b w:val="0"/>
          <w:bCs w:val="0"/>
          <w:sz w:val="30"/>
          <w:szCs w:val="24"/>
        </w:rPr>
        <w:t>单位产值能耗</w:t>
      </w:r>
      <w:bookmarkEnd w:id="25"/>
    </w:p>
    <w:p w14:paraId="3B1BEEAB">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drawing>
          <wp:inline distT="0" distB="0" distL="114300" distR="114300">
            <wp:extent cx="5900420" cy="2925445"/>
            <wp:effectExtent l="0" t="0" r="5080" b="8255"/>
            <wp:docPr id="2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0"/>
                    <pic:cNvPicPr>
                      <a:picLocks noChangeAspect="1"/>
                    </pic:cNvPicPr>
                  </pic:nvPicPr>
                  <pic:blipFill>
                    <a:blip r:embed="rId51"/>
                    <a:stretch>
                      <a:fillRect/>
                    </a:stretch>
                  </pic:blipFill>
                  <pic:spPr>
                    <a:xfrm>
                      <a:off x="0" y="0"/>
                      <a:ext cx="5900420" cy="2925445"/>
                    </a:xfrm>
                    <a:prstGeom prst="rect">
                      <a:avLst/>
                    </a:prstGeom>
                    <a:noFill/>
                    <a:ln>
                      <a:noFill/>
                    </a:ln>
                  </pic:spPr>
                </pic:pic>
              </a:graphicData>
            </a:graphic>
          </wp:inline>
        </w:drawing>
      </w:r>
    </w:p>
    <w:p w14:paraId="6C533739">
      <w:pPr>
        <w:pStyle w:val="6"/>
        <w:numPr>
          <w:ilvl w:val="0"/>
          <w:numId w:val="76"/>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023ACFF7">
      <w:pPr>
        <w:pStyle w:val="19"/>
        <w:widowControl/>
        <w:numPr>
          <w:ilvl w:val="0"/>
          <w:numId w:val="7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：核算全集团及直属经营单位的"万元产值综合能耗（tce/万元）"与"万元产值电耗（kWh/万元）"，支撑发改委能耗双控考核。</w:t>
      </w:r>
    </w:p>
    <w:p w14:paraId="31045316">
      <w:pPr>
        <w:pStyle w:val="19"/>
        <w:widowControl/>
        <w:numPr>
          <w:ilvl w:val="0"/>
          <w:numId w:val="7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：集团能碳战略规划员、P2 园区能碳专员。</w:t>
      </w:r>
    </w:p>
    <w:p w14:paraId="6F9DD949">
      <w:pPr>
        <w:pStyle w:val="19"/>
        <w:widowControl/>
        <w:numPr>
          <w:ilvl w:val="0"/>
          <w:numId w:val="7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/monitor/analysis/unit-output </w:t>
      </w:r>
      <w:r>
        <w:rPr>
          <w:rFonts w:ascii="Times New Roman" w:hAnsi="Times New Roman" w:eastAsia="宋体" w:cs="Times New Roman"/>
          <w:i w:val="0"/>
          <w:color w:val="1F2937"/>
          <w:sz w:val="24"/>
          <w:szCs w:val="24"/>
        </w:rPr>
        <w:t>。</w:t>
      </w:r>
    </w:p>
    <w:p w14:paraId="6D0173ED">
      <w:pPr>
        <w:pStyle w:val="19"/>
        <w:widowControl/>
        <w:numPr>
          <w:ilvl w:val="0"/>
          <w:numId w:val="7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：用能在线监测综合能耗、ERP 产值数据、国家限额先进值与准入值字典。</w:t>
      </w:r>
    </w:p>
    <w:p w14:paraId="4E9545B7">
      <w:pPr>
        <w:pStyle w:val="19"/>
        <w:widowControl/>
        <w:numPr>
          <w:ilvl w:val="0"/>
          <w:numId w:val="7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：北极星指标"万元产值综合能耗下降率"、零碳工厂自评估、集团能耗双控上报数据。</w:t>
      </w:r>
    </w:p>
    <w:p w14:paraId="487CA8E6">
      <w:pPr>
        <w:pStyle w:val="6"/>
        <w:numPr>
          <w:ilvl w:val="0"/>
          <w:numId w:val="76"/>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738D01E6">
      <w:pPr>
        <w:pStyle w:val="19"/>
        <w:widowControl/>
        <w:numPr>
          <w:ilvl w:val="0"/>
          <w:numId w:val="7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：核算全集团及直属经营单位的万元产值综合能耗与万元产值电耗，支撑发改委能耗双控考核。</w:t>
      </w:r>
    </w:p>
    <w:p w14:paraId="0C53BEF0">
      <w:pPr>
        <w:pStyle w:val="19"/>
        <w:widowControl/>
        <w:numPr>
          <w:ilvl w:val="0"/>
          <w:numId w:val="7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3E047480">
      <w:pPr>
        <w:pStyle w:val="19"/>
        <w:widowControl/>
        <w:numPr>
          <w:ilvl w:val="0"/>
          <w:numId w:val="78"/>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集团能碳战略规划员</w:t>
      </w:r>
      <w:r>
        <w:rPr>
          <w:rFonts w:ascii="Times New Roman" w:hAnsi="Times New Roman" w:eastAsia="宋体" w:cs="Times New Roman"/>
          <w:i w:val="0"/>
          <w:color w:val="1F2937"/>
          <w:sz w:val="24"/>
          <w:szCs w:val="24"/>
        </w:rPr>
        <w:t>，</w:t>
      </w:r>
    </w:p>
    <w:p w14:paraId="29AF6817">
      <w:pPr>
        <w:pStyle w:val="19"/>
        <w:widowControl/>
        <w:numPr>
          <w:ilvl w:val="0"/>
          <w:numId w:val="78"/>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分析历年各分子公司万元产值能耗推移与行业标杆基准偏差</w:t>
      </w:r>
      <w:r>
        <w:rPr>
          <w:rFonts w:ascii="Times New Roman" w:hAnsi="Times New Roman" w:eastAsia="宋体" w:cs="Times New Roman"/>
          <w:i w:val="0"/>
          <w:color w:val="1F2937"/>
          <w:sz w:val="24"/>
          <w:szCs w:val="24"/>
        </w:rPr>
        <w:t>，</w:t>
      </w:r>
    </w:p>
    <w:p w14:paraId="77D0B5A3">
      <w:pPr>
        <w:pStyle w:val="19"/>
        <w:widowControl/>
        <w:numPr>
          <w:ilvl w:val="0"/>
          <w:numId w:val="78"/>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识别高产低耗标杆实体，推进节能降耗考核</w:t>
      </w:r>
      <w:r>
        <w:rPr>
          <w:rFonts w:ascii="Times New Roman" w:hAnsi="Times New Roman" w:eastAsia="宋体" w:cs="Times New Roman"/>
          <w:i w:val="0"/>
          <w:color w:val="1F2937"/>
          <w:sz w:val="24"/>
          <w:szCs w:val="24"/>
        </w:rPr>
        <w:t>。</w:t>
      </w:r>
    </w:p>
    <w:p w14:paraId="41F4AA29">
      <w:pPr>
        <w:pStyle w:val="6"/>
        <w:numPr>
          <w:ilvl w:val="0"/>
          <w:numId w:val="76"/>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139CBB30">
      <w:pPr>
        <w:pStyle w:val="19"/>
        <w:widowControl/>
        <w:numPr>
          <w:ilvl w:val="0"/>
          <w:numId w:val="7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万元产值能耗推移折线图</w:t>
      </w:r>
      <w:r>
        <w:rPr>
          <w:rFonts w:ascii="Times New Roman" w:hAnsi="Times New Roman" w:eastAsia="宋体" w:cs="Times New Roman"/>
          <w:i w:val="0"/>
          <w:color w:val="1F2937"/>
          <w:sz w:val="24"/>
          <w:szCs w:val="24"/>
        </w:rPr>
        <w:t>：展示近 36 个月连续走势，叠加国家限额先进值与准入值参考线。</w:t>
      </w:r>
    </w:p>
    <w:p w14:paraId="023E20D3">
      <w:pPr>
        <w:pStyle w:val="19"/>
        <w:numPr>
          <w:ilvl w:val="0"/>
          <w:numId w:val="79"/>
        </w:numPr>
        <w:bidi w:val="0"/>
        <w:rPr>
          <w:rFonts w:eastAsia="宋体"/>
          <w:b/>
          <w:i w:val="0"/>
          <w:color w:val="0284C7"/>
          <w:sz w:val="24"/>
          <w:szCs w:val="24"/>
        </w:rPr>
      </w:pPr>
      <w:r>
        <w:rPr>
          <w:rFonts w:ascii="Times New Roman" w:hAnsi="Times New Roman" w:eastAsia="宋体" w:cs="Times New Roman"/>
          <w:b/>
          <w:i w:val="0"/>
          <w:color w:val="1E3A8A"/>
          <w:sz w:val="24"/>
          <w:szCs w:val="24"/>
        </w:rPr>
        <w:t>6 大经营单位万元产值单耗柱状图</w:t>
      </w:r>
      <w:r>
        <w:rPr>
          <w:rFonts w:ascii="Times New Roman" w:hAnsi="Times New Roman" w:eastAsia="宋体" w:cs="Times New Roman"/>
          <w:i w:val="0"/>
          <w:color w:val="1F2937"/>
          <w:sz w:val="24"/>
          <w:szCs w:val="24"/>
        </w:rPr>
        <w:t>：客观展示各单位当期数值与行业基准偏差量。</w:t>
      </w:r>
    </w:p>
    <w:p w14:paraId="76D99D63">
      <w:pPr>
        <w:pStyle w:val="19"/>
        <w:widowControl/>
        <w:numPr>
          <w:ilvl w:val="0"/>
          <w:numId w:val="7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单位切换</w:t>
      </w:r>
      <w:r>
        <w:rPr>
          <w:rFonts w:ascii="Times New Roman" w:hAnsi="Times New Roman" w:eastAsia="宋体" w:cs="Times New Roman"/>
          <w:i w:val="0"/>
          <w:color w:val="1F2937"/>
          <w:sz w:val="24"/>
          <w:szCs w:val="24"/>
        </w:rPr>
        <w:t>：支持 tce/万元 与 kgce/万元 单位切换，切换后全部图表与表格同步换算。</w:t>
      </w:r>
    </w:p>
    <w:p w14:paraId="4715C280">
      <w:pPr>
        <w:pStyle w:val="19"/>
        <w:widowControl/>
        <w:numPr>
          <w:ilvl w:val="0"/>
          <w:numId w:val="7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分产业视图</w:t>
      </w:r>
      <w:r>
        <w:rPr>
          <w:rFonts w:ascii="Times New Roman" w:hAnsi="Times New Roman" w:eastAsia="宋体" w:cs="Times New Roman"/>
          <w:i w:val="0"/>
          <w:color w:val="1F2937"/>
          <w:sz w:val="24"/>
          <w:szCs w:val="24"/>
        </w:rPr>
        <w:t>：支持按变压器产业、线缆产业分别查看产值能耗推移，避免产业差异干扰。</w:t>
      </w:r>
    </w:p>
    <w:p w14:paraId="1BCE2481">
      <w:pPr>
        <w:pStyle w:val="19"/>
        <w:widowControl/>
        <w:numPr>
          <w:ilvl w:val="0"/>
          <w:numId w:val="0"/>
        </w:numPr>
        <w:adjustRightInd w:val="0"/>
        <w:spacing w:before="100" w:after="100" w:afterLines="0" w:afterAutospacing="0" w:line="300" w:lineRule="auto"/>
        <w:jc w:val="both"/>
      </w:pPr>
      <w:r>
        <w:rPr>
          <w:rFonts w:hint="eastAsia" w:cs="Times New Roman"/>
          <w:i w:val="0"/>
          <w:color w:val="1F2937"/>
          <w:sz w:val="24"/>
          <w:szCs w:val="24"/>
          <w:lang w:val="en-US" w:eastAsia="zh-CN"/>
        </w:rPr>
        <w:t>产品产值概览：</w:t>
      </w:r>
      <w:r>
        <w:rPr>
          <w:rFonts w:hint="eastAsia" w:cs="Times New Roman"/>
          <w:i w:val="0"/>
          <w:color w:val="1F2937"/>
          <w:sz w:val="24"/>
          <w:szCs w:val="24"/>
          <w:lang w:val="en-US" w:eastAsia="zh-CN"/>
        </w:rPr>
        <w:br w:type="textWrapping"/>
      </w:r>
      <w:r>
        <w:drawing>
          <wp:inline distT="0" distB="0" distL="114300" distR="114300">
            <wp:extent cx="5901690" cy="2171065"/>
            <wp:effectExtent l="0" t="0" r="3810" b="635"/>
            <wp:docPr id="118"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72"/>
                    <pic:cNvPicPr>
                      <a:picLocks noChangeAspect="1"/>
                    </pic:cNvPicPr>
                  </pic:nvPicPr>
                  <pic:blipFill>
                    <a:blip r:embed="rId52"/>
                    <a:stretch>
                      <a:fillRect/>
                    </a:stretch>
                  </pic:blipFill>
                  <pic:spPr>
                    <a:xfrm>
                      <a:off x="0" y="0"/>
                      <a:ext cx="5901690" cy="2171065"/>
                    </a:xfrm>
                    <a:prstGeom prst="rect">
                      <a:avLst/>
                    </a:prstGeom>
                    <a:noFill/>
                    <a:ln>
                      <a:noFill/>
                    </a:ln>
                  </pic:spPr>
                </pic:pic>
              </a:graphicData>
            </a:graphic>
          </wp:inline>
        </w:drawing>
      </w:r>
    </w:p>
    <w:p w14:paraId="63A6E76F">
      <w:pPr>
        <w:pStyle w:val="19"/>
        <w:widowControl/>
        <w:numPr>
          <w:ilvl w:val="0"/>
          <w:numId w:val="0"/>
        </w:numPr>
        <w:adjustRightInd w:val="0"/>
        <w:spacing w:before="100" w:after="100" w:afterLines="0" w:afterAutospacing="0" w:line="300" w:lineRule="auto"/>
        <w:jc w:val="both"/>
      </w:pPr>
    </w:p>
    <w:p w14:paraId="56DD4858">
      <w:pPr>
        <w:pStyle w:val="19"/>
        <w:widowControl/>
        <w:numPr>
          <w:ilvl w:val="0"/>
          <w:numId w:val="0"/>
        </w:numPr>
        <w:adjustRightInd w:val="0"/>
        <w:spacing w:before="100" w:after="100" w:afterLines="0" w:afterAutospacing="0" w:line="300" w:lineRule="auto"/>
        <w:jc w:val="both"/>
      </w:pPr>
      <w:r>
        <w:rPr>
          <w:rFonts w:hint="eastAsia"/>
          <w:lang w:val="en-US" w:eastAsia="zh-CN"/>
        </w:rPr>
        <w:t>产品产值能耗：</w:t>
      </w:r>
      <w:r>
        <w:rPr>
          <w:rFonts w:hint="eastAsia"/>
          <w:lang w:val="en-US" w:eastAsia="zh-CN"/>
        </w:rPr>
        <w:br w:type="textWrapping"/>
      </w:r>
      <w:r>
        <w:drawing>
          <wp:inline distT="0" distB="0" distL="114300" distR="114300">
            <wp:extent cx="5904865" cy="1804035"/>
            <wp:effectExtent l="0" t="0" r="635" b="5715"/>
            <wp:docPr id="119"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73"/>
                    <pic:cNvPicPr>
                      <a:picLocks noChangeAspect="1"/>
                    </pic:cNvPicPr>
                  </pic:nvPicPr>
                  <pic:blipFill>
                    <a:blip r:embed="rId53"/>
                    <a:stretch>
                      <a:fillRect/>
                    </a:stretch>
                  </pic:blipFill>
                  <pic:spPr>
                    <a:xfrm>
                      <a:off x="0" y="0"/>
                      <a:ext cx="5904865" cy="1804035"/>
                    </a:xfrm>
                    <a:prstGeom prst="rect">
                      <a:avLst/>
                    </a:prstGeom>
                    <a:noFill/>
                    <a:ln>
                      <a:noFill/>
                    </a:ln>
                  </pic:spPr>
                </pic:pic>
              </a:graphicData>
            </a:graphic>
          </wp:inline>
        </w:drawing>
      </w:r>
    </w:p>
    <w:p w14:paraId="179C5311">
      <w:pPr>
        <w:pStyle w:val="19"/>
        <w:widowControl/>
        <w:numPr>
          <w:ilvl w:val="0"/>
          <w:numId w:val="0"/>
        </w:numPr>
        <w:adjustRightInd w:val="0"/>
        <w:spacing w:before="100" w:after="100" w:afterLines="0" w:afterAutospacing="0" w:line="300" w:lineRule="auto"/>
        <w:jc w:val="both"/>
      </w:pPr>
    </w:p>
    <w:p w14:paraId="7B95C509">
      <w:pPr>
        <w:pStyle w:val="19"/>
        <w:widowControl/>
        <w:numPr>
          <w:ilvl w:val="0"/>
          <w:numId w:val="0"/>
        </w:numPr>
        <w:adjustRightInd w:val="0"/>
        <w:spacing w:before="100" w:after="100" w:afterLines="0" w:afterAutospacing="0" w:line="300" w:lineRule="auto"/>
        <w:jc w:val="both"/>
        <w:rPr>
          <w:rFonts w:hint="default"/>
          <w:lang w:val="en-US" w:eastAsia="zh-CN"/>
        </w:rPr>
      </w:pPr>
      <w:r>
        <w:rPr>
          <w:rFonts w:hint="eastAsia"/>
          <w:lang w:val="en-US" w:eastAsia="zh-CN"/>
        </w:rPr>
        <w:t>万元产值能耗</w:t>
      </w:r>
      <w:r>
        <w:rPr>
          <w:rFonts w:hint="eastAsia"/>
          <w:lang w:val="en-US" w:eastAsia="zh-CN"/>
        </w:rPr>
        <w:br w:type="textWrapping"/>
      </w:r>
      <w:r>
        <w:drawing>
          <wp:inline distT="0" distB="0" distL="114300" distR="114300">
            <wp:extent cx="5913755" cy="1661160"/>
            <wp:effectExtent l="0" t="0" r="10795" b="15240"/>
            <wp:docPr id="122"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76"/>
                    <pic:cNvPicPr>
                      <a:picLocks noChangeAspect="1"/>
                    </pic:cNvPicPr>
                  </pic:nvPicPr>
                  <pic:blipFill>
                    <a:blip r:embed="rId54"/>
                    <a:stretch>
                      <a:fillRect/>
                    </a:stretch>
                  </pic:blipFill>
                  <pic:spPr>
                    <a:xfrm>
                      <a:off x="0" y="0"/>
                      <a:ext cx="5913755" cy="1661160"/>
                    </a:xfrm>
                    <a:prstGeom prst="rect">
                      <a:avLst/>
                    </a:prstGeom>
                    <a:noFill/>
                    <a:ln>
                      <a:noFill/>
                    </a:ln>
                  </pic:spPr>
                </pic:pic>
              </a:graphicData>
            </a:graphic>
          </wp:inline>
        </w:drawing>
      </w:r>
    </w:p>
    <w:p w14:paraId="61D66874">
      <w:pPr>
        <w:pStyle w:val="19"/>
        <w:widowControl/>
        <w:numPr>
          <w:ilvl w:val="0"/>
          <w:numId w:val="0"/>
        </w:numPr>
        <w:adjustRightInd w:val="0"/>
        <w:spacing w:before="100" w:after="100" w:afterLines="0" w:afterAutospacing="0" w:line="300" w:lineRule="auto"/>
        <w:jc w:val="both"/>
        <w:rPr>
          <w:rFonts w:ascii="Times New Roman" w:hAnsi="Times New Roman" w:eastAsia="宋体" w:cs="Times New Roman"/>
          <w:i w:val="0"/>
          <w:color w:val="1F2937"/>
          <w:sz w:val="24"/>
          <w:szCs w:val="24"/>
        </w:rPr>
      </w:pPr>
    </w:p>
    <w:p w14:paraId="1D0D17FD">
      <w:pPr>
        <w:pStyle w:val="6"/>
        <w:numPr>
          <w:ilvl w:val="0"/>
          <w:numId w:val="76"/>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644"/>
        <w:gridCol w:w="2365"/>
        <w:gridCol w:w="1145"/>
        <w:gridCol w:w="1393"/>
        <w:gridCol w:w="4237"/>
      </w:tblGrid>
      <w:tr w14:paraId="09842B19">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D1A7B3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FC0E6F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6AA4B2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139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339B0D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423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025831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计算规则与防错逻辑</w:t>
            </w:r>
          </w:p>
        </w:tc>
      </w:tr>
      <w:tr w14:paraId="6DF4CE47">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FAD093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E2A0B7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综合能源消费量</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B6A4ED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9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A49E9F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w:t>
            </w:r>
          </w:p>
        </w:tc>
        <w:tc>
          <w:tcPr>
            <w:tcW w:w="42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048979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组织层级汇总，≥ 0</w:t>
            </w:r>
          </w:p>
        </w:tc>
      </w:tr>
      <w:tr w14:paraId="5DDF6303">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E64648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3F30EB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工业总产值</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D08F71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9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051BCE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万元</w:t>
            </w:r>
          </w:p>
        </w:tc>
        <w:tc>
          <w:tcPr>
            <w:tcW w:w="42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F42E1F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ERP 财务口径，含税/不含税口径须标注</w:t>
            </w:r>
          </w:p>
        </w:tc>
      </w:tr>
      <w:tr w14:paraId="10E03DA0">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4BEBA1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E427CA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工业增加值</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071EB6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9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025CED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万元</w:t>
            </w:r>
          </w:p>
        </w:tc>
        <w:tc>
          <w:tcPr>
            <w:tcW w:w="42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1C6A3B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ERP 财务口径</w:t>
            </w:r>
          </w:p>
        </w:tc>
      </w:tr>
      <w:tr w14:paraId="62A06747">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F42D0D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511753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万元产值综合能耗</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08D0C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9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1A4D83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tce/万元</w:t>
            </w:r>
          </w:p>
        </w:tc>
        <w:tc>
          <w:tcPr>
            <w:tcW w:w="42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4BA35A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E / G</w:t>
            </w:r>
            <w:r>
              <w:rPr>
                <w:rFonts w:hint="eastAsia" w:ascii="宋体" w:hAnsi="宋体" w:eastAsia="宋体" w:cs="宋体"/>
                <w:i w:val="0"/>
                <w:iCs w:val="0"/>
                <w:color w:val="1F2937"/>
                <w:sz w:val="24"/>
                <w:szCs w:val="24"/>
              </w:rPr>
              <w:t xml:space="preserve">，分母为 0 显示 </w:t>
            </w:r>
            <w:r>
              <w:rPr>
                <w:rFonts w:hint="eastAsia" w:ascii="宋体" w:hAnsi="宋体" w:eastAsia="宋体" w:cs="宋体"/>
                <w:b w:val="0"/>
                <w:i w:val="0"/>
                <w:iCs w:val="0"/>
                <w:color w:val="0284C7"/>
                <w:sz w:val="24"/>
                <w:szCs w:val="24"/>
              </w:rPr>
              <w:t xml:space="preserve"> -- </w:t>
            </w:r>
          </w:p>
        </w:tc>
      </w:tr>
      <w:tr w14:paraId="4E8EF5CD">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E155B6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725CAA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万元产值电耗</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ADF029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9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2882E4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kWh/万元</w:t>
            </w:r>
          </w:p>
        </w:tc>
        <w:tc>
          <w:tcPr>
            <w:tcW w:w="42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E374C9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Q_电 / G</w:t>
            </w:r>
            <w:r>
              <w:rPr>
                <w:rFonts w:hint="eastAsia" w:ascii="宋体" w:hAnsi="宋体" w:eastAsia="宋体" w:cs="宋体"/>
                <w:i w:val="0"/>
                <w:iCs w:val="0"/>
                <w:color w:val="1F2937"/>
                <w:sz w:val="24"/>
                <w:szCs w:val="24"/>
              </w:rPr>
              <w:t xml:space="preserve">，分母为 0 显示 </w:t>
            </w:r>
            <w:r>
              <w:rPr>
                <w:rFonts w:hint="eastAsia" w:ascii="宋体" w:hAnsi="宋体" w:eastAsia="宋体" w:cs="宋体"/>
                <w:b w:val="0"/>
                <w:i w:val="0"/>
                <w:iCs w:val="0"/>
                <w:color w:val="0284C7"/>
                <w:sz w:val="24"/>
                <w:szCs w:val="24"/>
              </w:rPr>
              <w:t xml:space="preserve"> -- </w:t>
            </w:r>
          </w:p>
        </w:tc>
      </w:tr>
      <w:tr w14:paraId="756EE14A">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BB4033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82CA25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单位工业增加值能耗</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9AE2A6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9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840021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tce/万元</w:t>
            </w:r>
          </w:p>
        </w:tc>
        <w:tc>
          <w:tcPr>
            <w:tcW w:w="42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85D9E5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E / G_{nva}</w:t>
            </w:r>
          </w:p>
        </w:tc>
      </w:tr>
      <w:tr w14:paraId="54A645A9">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9029CF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1C8A35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与先进值偏差</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5F22DE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9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FC5E26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tce/万元</w:t>
            </w:r>
          </w:p>
        </w:tc>
        <w:tc>
          <w:tcPr>
            <w:tcW w:w="42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2988A3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实测值 − 国家限额先进值</w:t>
            </w:r>
          </w:p>
        </w:tc>
      </w:tr>
      <w:tr w14:paraId="15EA5CE1">
        <w:tblPrEx>
          <w:tblCellMar>
            <w:top w:w="0" w:type="dxa"/>
            <w:left w:w="108" w:type="dxa"/>
            <w:bottom w:w="0" w:type="dxa"/>
            <w:right w:w="108" w:type="dxa"/>
          </w:tblCellMar>
        </w:tblPrEx>
        <w:trPr>
          <w:jc w:val="center"/>
        </w:trPr>
        <w:tc>
          <w:tcPr>
            <w:tcW w:w="6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D6DA2C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236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CEB13C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与准入值偏差</w:t>
            </w:r>
          </w:p>
        </w:tc>
        <w:tc>
          <w:tcPr>
            <w:tcW w:w="114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20E065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9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56D3D8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tce/万元</w:t>
            </w:r>
          </w:p>
        </w:tc>
        <w:tc>
          <w:tcPr>
            <w:tcW w:w="42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4BCE29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实测值 − 国家限额准入值</w:t>
            </w:r>
          </w:p>
        </w:tc>
      </w:tr>
    </w:tbl>
    <w:p w14:paraId="42187B40">
      <w:pPr>
        <w:pStyle w:val="6"/>
        <w:numPr>
          <w:ilvl w:val="0"/>
          <w:numId w:val="76"/>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7C8A7634">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68B2AEBE">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g = E / G                                           万元产值综合能耗</w:t>
            </w:r>
          </w:p>
          <w:p w14:paraId="24B784C1">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g_e = Q_elec / G                                    万元产值电耗</w:t>
            </w:r>
          </w:p>
          <w:p w14:paraId="663F4F3E">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g_nva = E / G_nva                                   单位工业增加值能耗</w:t>
            </w:r>
          </w:p>
          <w:p w14:paraId="5E11F1A9">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Gap_adv = g - Limit_advanced                        与先进值偏差</w:t>
            </w:r>
          </w:p>
          <w:p w14:paraId="0737ABBF">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Gap_adm = g - Limit_admission                       与准入值偏差</w:t>
            </w:r>
          </w:p>
          <w:p w14:paraId="001A3883">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Decline_rate = ( g_current - g_base ) / g_base × 100%   万元产值综合能耗下降率</w:t>
            </w:r>
          </w:p>
        </w:tc>
      </w:tr>
    </w:tbl>
    <w:p w14:paraId="606683BB">
      <w:pPr>
        <w:spacing w:after="40"/>
        <w:rPr>
          <w:rFonts w:hint="eastAsia" w:ascii="宋体" w:hAnsi="宋体" w:eastAsia="宋体" w:cs="宋体"/>
          <w:i w:val="0"/>
          <w:iCs w:val="0"/>
          <w:sz w:val="24"/>
          <w:szCs w:val="24"/>
        </w:rPr>
      </w:pPr>
    </w:p>
    <w:p w14:paraId="22DCEB1A">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w:t>
      </w:r>
      <w:r>
        <w:rPr>
          <w:rFonts w:ascii="Times New Roman" w:hAnsi="Times New Roman" w:eastAsia="宋体" w:cs="Times New Roman"/>
          <w:b w:val="0"/>
          <w:i w:val="0"/>
          <w:color w:val="0284C7"/>
          <w:sz w:val="24"/>
          <w:szCs w:val="24"/>
        </w:rPr>
        <w:t xml:space="preserve"> G </w:t>
      </w:r>
      <w:r>
        <w:rPr>
          <w:rFonts w:ascii="Times New Roman" w:hAnsi="Times New Roman" w:eastAsia="宋体" w:cs="Times New Roman"/>
          <w:i w:val="0"/>
          <w:color w:val="1F2937"/>
          <w:sz w:val="24"/>
          <w:szCs w:val="24"/>
        </w:rPr>
        <w:t xml:space="preserve"> 为当期工业总产值（万元）；</w:t>
      </w:r>
      <w:r>
        <w:rPr>
          <w:rFonts w:ascii="Times New Roman" w:hAnsi="Times New Roman" w:eastAsia="宋体" w:cs="Times New Roman"/>
          <w:b w:val="0"/>
          <w:i w:val="0"/>
          <w:color w:val="0284C7"/>
          <w:sz w:val="24"/>
          <w:szCs w:val="24"/>
        </w:rPr>
        <w:t xml:space="preserve"> G_nva </w:t>
      </w:r>
      <w:r>
        <w:rPr>
          <w:rFonts w:ascii="Times New Roman" w:hAnsi="Times New Roman" w:eastAsia="宋体" w:cs="Times New Roman"/>
          <w:i w:val="0"/>
          <w:color w:val="1F2937"/>
          <w:sz w:val="24"/>
          <w:szCs w:val="24"/>
        </w:rPr>
        <w:t xml:space="preserve"> 为工业增加值（万元）；</w:t>
      </w:r>
      <w:r>
        <w:rPr>
          <w:rFonts w:ascii="Times New Roman" w:hAnsi="Times New Roman" w:eastAsia="宋体" w:cs="Times New Roman"/>
          <w:b w:val="0"/>
          <w:i w:val="0"/>
          <w:color w:val="0284C7"/>
          <w:sz w:val="24"/>
          <w:szCs w:val="24"/>
        </w:rPr>
        <w:t xml:space="preserve"> Limit_advanced </w:t>
      </w:r>
      <w:r>
        <w:rPr>
          <w:rFonts w:ascii="Times New Roman" w:hAnsi="Times New Roman" w:eastAsia="宋体" w:cs="Times New Roman"/>
          <w:i w:val="0"/>
          <w:color w:val="1F2937"/>
          <w:sz w:val="24"/>
          <w:szCs w:val="24"/>
        </w:rPr>
        <w:t xml:space="preserve"> 与 </w:t>
      </w:r>
      <w:r>
        <w:rPr>
          <w:rFonts w:ascii="Times New Roman" w:hAnsi="Times New Roman" w:eastAsia="宋体" w:cs="Times New Roman"/>
          <w:b w:val="0"/>
          <w:i w:val="0"/>
          <w:color w:val="0284C7"/>
          <w:sz w:val="24"/>
          <w:szCs w:val="24"/>
        </w:rPr>
        <w:t xml:space="preserve"> Limit_admission </w:t>
      </w:r>
      <w:r>
        <w:rPr>
          <w:rFonts w:ascii="Times New Roman" w:hAnsi="Times New Roman" w:eastAsia="宋体" w:cs="Times New Roman"/>
          <w:i w:val="0"/>
          <w:color w:val="1F2937"/>
          <w:sz w:val="24"/>
          <w:szCs w:val="24"/>
        </w:rPr>
        <w:t xml:space="preserve"> 为国家限额先进值与准入值，取自基准管理模块；</w:t>
      </w:r>
      <w:r>
        <w:rPr>
          <w:rFonts w:ascii="Times New Roman" w:hAnsi="Times New Roman" w:eastAsia="宋体" w:cs="Times New Roman"/>
          <w:b w:val="0"/>
          <w:i w:val="0"/>
          <w:color w:val="0284C7"/>
          <w:sz w:val="24"/>
          <w:szCs w:val="24"/>
        </w:rPr>
        <w:t xml:space="preserve"> g_base </w:t>
      </w:r>
      <w:r>
        <w:rPr>
          <w:rFonts w:ascii="Times New Roman" w:hAnsi="Times New Roman" w:eastAsia="宋体" w:cs="Times New Roman"/>
          <w:i w:val="0"/>
          <w:color w:val="1F2937"/>
          <w:sz w:val="24"/>
          <w:szCs w:val="24"/>
        </w:rPr>
        <w:t xml:space="preserve"> 为基准年取值。</w:t>
      </w:r>
    </w:p>
    <w:p w14:paraId="70904D49">
      <w:pPr>
        <w:pStyle w:val="6"/>
        <w:numPr>
          <w:ilvl w:val="0"/>
          <w:numId w:val="76"/>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35569D78">
      <w:pPr>
        <w:pStyle w:val="19"/>
        <w:widowControl/>
        <w:numPr>
          <w:ilvl w:val="0"/>
          <w:numId w:val="8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产值口径</w:t>
      </w:r>
      <w:r>
        <w:rPr>
          <w:rFonts w:ascii="Times New Roman" w:hAnsi="Times New Roman" w:eastAsia="宋体" w:cs="Times New Roman"/>
          <w:i w:val="0"/>
          <w:color w:val="1F2937"/>
          <w:sz w:val="24"/>
          <w:szCs w:val="24"/>
        </w:rPr>
        <w:t>：明确标注含税/不含税与现价/可比价口径，同一视图内口径不可混用。</w:t>
      </w:r>
    </w:p>
    <w:p w14:paraId="1A4B5CEF">
      <w:pPr>
        <w:pStyle w:val="19"/>
        <w:widowControl/>
        <w:numPr>
          <w:ilvl w:val="0"/>
          <w:numId w:val="8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基准口径</w:t>
      </w:r>
      <w:r>
        <w:rPr>
          <w:rFonts w:ascii="Times New Roman" w:hAnsi="Times New Roman" w:eastAsia="宋体" w:cs="Times New Roman"/>
          <w:i w:val="0"/>
          <w:color w:val="1F2937"/>
          <w:sz w:val="24"/>
          <w:szCs w:val="24"/>
        </w:rPr>
        <w:t>：叠加国家限额先进值与准入值双参考线；达标判定以先进值为首选基准。</w:t>
      </w:r>
    </w:p>
    <w:p w14:paraId="0073D08B">
      <w:pPr>
        <w:pStyle w:val="19"/>
        <w:widowControl/>
        <w:numPr>
          <w:ilvl w:val="0"/>
          <w:numId w:val="8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纵向对比原则</w:t>
      </w:r>
      <w:r>
        <w:rPr>
          <w:rFonts w:ascii="Times New Roman" w:hAnsi="Times New Roman" w:eastAsia="宋体" w:cs="Times New Roman"/>
          <w:i w:val="0"/>
          <w:color w:val="1F2937"/>
          <w:sz w:val="24"/>
          <w:szCs w:val="24"/>
        </w:rPr>
        <w:t>：各单位仅与自身历史对比及与国家级基准对比，不进行跨单位拉踩式排名表述。</w:t>
      </w:r>
    </w:p>
    <w:p w14:paraId="0CA73B1C">
      <w:pPr>
        <w:pStyle w:val="19"/>
        <w:widowControl/>
        <w:numPr>
          <w:ilvl w:val="0"/>
          <w:numId w:val="8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推移口径</w:t>
      </w:r>
      <w:r>
        <w:rPr>
          <w:rFonts w:ascii="Times New Roman" w:hAnsi="Times New Roman" w:eastAsia="宋体" w:cs="Times New Roman"/>
          <w:i w:val="0"/>
          <w:color w:val="1F2937"/>
          <w:sz w:val="24"/>
          <w:szCs w:val="24"/>
        </w:rPr>
        <w:t>：36 个月推移中缺失月份保持断层，不插值。</w:t>
      </w:r>
    </w:p>
    <w:p w14:paraId="614875AB">
      <w:pPr>
        <w:pStyle w:val="6"/>
        <w:numPr>
          <w:ilvl w:val="0"/>
          <w:numId w:val="76"/>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61A349FB">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49159B1A">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产值为 0 或未上报：单耗显示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，卡片标注"产值数据待上报"。</w:t>
            </w:r>
          </w:p>
          <w:p w14:paraId="21E5C7F9">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产值口径未标注：页面禁止渲染，强制先选定口径。</w:t>
            </w:r>
          </w:p>
          <w:p w14:paraId="1A626501">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国家限额值缺失：基准线不绘制，不以 0 代替。</w:t>
            </w:r>
          </w:p>
          <w:p w14:paraId="3D575B9A">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除零兜底：任意分母为 0 的场景统一安全显示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w:t>
            </w:r>
          </w:p>
        </w:tc>
      </w:tr>
    </w:tbl>
    <w:p w14:paraId="342B6177">
      <w:pPr>
        <w:spacing w:after="40"/>
        <w:rPr>
          <w:rFonts w:hint="eastAsia" w:ascii="宋体" w:hAnsi="宋体" w:eastAsia="宋体" w:cs="宋体"/>
          <w:i w:val="0"/>
          <w:iCs w:val="0"/>
          <w:sz w:val="24"/>
          <w:szCs w:val="24"/>
        </w:rPr>
      </w:pPr>
    </w:p>
    <w:p w14:paraId="6F4D0FBB">
      <w:pPr>
        <w:pStyle w:val="6"/>
        <w:numPr>
          <w:ilvl w:val="0"/>
          <w:numId w:val="76"/>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706A1F12">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5D712DE3">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单位产值能耗核算与双控对标</w:t>
            </w:r>
          </w:p>
          <w:p w14:paraId="6FCDE9E3">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万元产值能耗核算</w:t>
            </w:r>
          </w:p>
          <w:p w14:paraId="4C6A21C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集团已上报当期综合能源消费量与工业总产值</w:t>
            </w:r>
          </w:p>
          <w:p w14:paraId="4DF5FEDF">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系统核算万元产值综合能耗</w:t>
            </w:r>
          </w:p>
          <w:p w14:paraId="043CAB8D">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计算结果等于 综合能源消费量 ÷ 工业总产值</w:t>
            </w:r>
          </w:p>
          <w:p w14:paraId="40CB89A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结果单位标注为 tce/万元</w:t>
            </w:r>
          </w:p>
          <w:p w14:paraId="69E3CD39">
            <w:pPr>
              <w:spacing w:before="0" w:after="20" w:line="264" w:lineRule="auto"/>
              <w:rPr>
                <w:rFonts w:hint="eastAsia" w:ascii="宋体" w:hAnsi="宋体" w:eastAsia="宋体" w:cs="宋体"/>
                <w:i w:val="0"/>
                <w:iCs w:val="0"/>
                <w:sz w:val="24"/>
                <w:szCs w:val="24"/>
              </w:rPr>
            </w:pPr>
          </w:p>
          <w:p w14:paraId="2FD36C2C">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产值缺失安全兜底</w:t>
            </w:r>
          </w:p>
          <w:p w14:paraId="08749A6F">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某经营单位当期工业总产值尚未上报</w:t>
            </w:r>
          </w:p>
          <w:p w14:paraId="63DA08E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页面渲染该单位的万元产值能耗卡片</w:t>
            </w:r>
          </w:p>
          <w:p w14:paraId="66FE5B91">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指标值显示为 "--" 并标注"产值数据待上报"</w:t>
            </w:r>
          </w:p>
          <w:p w14:paraId="705AAB13">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页面不出现 NaN 或 0 值冒充</w:t>
            </w:r>
          </w:p>
          <w:p w14:paraId="76FC7C97">
            <w:pPr>
              <w:spacing w:before="0" w:after="20" w:line="264" w:lineRule="auto"/>
              <w:rPr>
                <w:rFonts w:hint="eastAsia" w:ascii="宋体" w:hAnsi="宋体" w:eastAsia="宋体" w:cs="宋体"/>
                <w:i w:val="0"/>
                <w:iCs w:val="0"/>
                <w:sz w:val="24"/>
                <w:szCs w:val="24"/>
              </w:rPr>
            </w:pPr>
          </w:p>
          <w:p w14:paraId="467A48E3">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基准线绘制</w:t>
            </w:r>
          </w:p>
          <w:p w14:paraId="04DABCEF">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国家限额先进值与准入值已配置</w:t>
            </w:r>
          </w:p>
          <w:p w14:paraId="7B37F72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渲染 36 个月万元产值能耗推移折线图</w:t>
            </w:r>
          </w:p>
          <w:p w14:paraId="50013014">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折线图叠加先进值与准入值两条参考线</w:t>
            </w:r>
          </w:p>
          <w:p w14:paraId="39E9F7E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缺失月份保持断层不插值</w:t>
            </w:r>
          </w:p>
        </w:tc>
      </w:tr>
    </w:tbl>
    <w:p w14:paraId="5B063A01">
      <w:pPr>
        <w:spacing w:after="40"/>
        <w:rPr>
          <w:rFonts w:hint="eastAsia" w:ascii="宋体" w:hAnsi="宋体" w:eastAsia="宋体" w:cs="宋体"/>
          <w:i w:val="0"/>
          <w:iCs w:val="0"/>
          <w:sz w:val="24"/>
          <w:szCs w:val="24"/>
        </w:rPr>
      </w:pPr>
    </w:p>
    <w:p w14:paraId="027CB06C">
      <w:pPr>
        <w:pStyle w:val="5"/>
        <w:numPr>
          <w:ilvl w:val="0"/>
          <w:numId w:val="65"/>
        </w:numPr>
        <w:ind w:left="0" w:leftChars="0" w:firstLine="0" w:firstLineChars="0"/>
        <w:outlineLvl w:val="1"/>
        <w:rPr>
          <w:rFonts w:eastAsia="黑体"/>
          <w:b w:val="0"/>
          <w:bCs w:val="0"/>
          <w:sz w:val="30"/>
          <w:szCs w:val="24"/>
        </w:rPr>
      </w:pPr>
      <w:bookmarkStart w:id="26" w:name="_Toc24077"/>
      <w:r>
        <w:rPr>
          <w:rFonts w:ascii="Times New Roman" w:hAnsi="Times New Roman" w:eastAsia="黑体" w:cs="Times New Roman"/>
          <w:b w:val="0"/>
          <w:bCs w:val="0"/>
          <w:sz w:val="30"/>
          <w:szCs w:val="24"/>
        </w:rPr>
        <w:t>对标管理</w:t>
      </w:r>
      <w:bookmarkEnd w:id="26"/>
    </w:p>
    <w:p w14:paraId="52C18483">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drawing>
          <wp:inline distT="0" distB="0" distL="114300" distR="114300">
            <wp:extent cx="5900420" cy="2925445"/>
            <wp:effectExtent l="0" t="0" r="5080" b="8255"/>
            <wp:docPr id="2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1"/>
                    <pic:cNvPicPr>
                      <a:picLocks noChangeAspect="1"/>
                    </pic:cNvPicPr>
                  </pic:nvPicPr>
                  <pic:blipFill>
                    <a:blip r:embed="rId55"/>
                    <a:stretch>
                      <a:fillRect/>
                    </a:stretch>
                  </pic:blipFill>
                  <pic:spPr>
                    <a:xfrm>
                      <a:off x="0" y="0"/>
                      <a:ext cx="5900420" cy="2925445"/>
                    </a:xfrm>
                    <a:prstGeom prst="rect">
                      <a:avLst/>
                    </a:prstGeom>
                    <a:noFill/>
                    <a:ln>
                      <a:noFill/>
                    </a:ln>
                  </pic:spPr>
                </pic:pic>
              </a:graphicData>
            </a:graphic>
          </wp:inline>
        </w:drawing>
      </w:r>
    </w:p>
    <w:p w14:paraId="35BA35FA">
      <w:pPr>
        <w:pStyle w:val="6"/>
        <w:numPr>
          <w:ilvl w:val="0"/>
          <w:numId w:val="81"/>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32980834">
      <w:pPr>
        <w:pStyle w:val="19"/>
        <w:widowControl/>
        <w:numPr>
          <w:ilvl w:val="0"/>
          <w:numId w:val="8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：引入【国家先进值】【国家准入值】【特变电工领跑线】三线对标体系，实现工厂、产线、产品、型号、生产计划 5 维度、6 指标的全景对标与红黑榜排名。</w:t>
      </w:r>
    </w:p>
    <w:p w14:paraId="13A29E88">
      <w:pPr>
        <w:pStyle w:val="19"/>
        <w:widowControl/>
        <w:numPr>
          <w:ilvl w:val="0"/>
          <w:numId w:val="8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：P1 集团决策层、P2 园区能碳专员。</w:t>
      </w:r>
    </w:p>
    <w:p w14:paraId="6DE38911">
      <w:pPr>
        <w:pStyle w:val="19"/>
        <w:widowControl/>
        <w:numPr>
          <w:ilvl w:val="0"/>
          <w:numId w:val="8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/monitor/analysis/benchmark </w:t>
      </w:r>
      <w:r>
        <w:rPr>
          <w:rFonts w:ascii="Times New Roman" w:hAnsi="Times New Roman" w:eastAsia="宋体" w:cs="Times New Roman"/>
          <w:i w:val="0"/>
          <w:color w:val="1F2937"/>
          <w:sz w:val="24"/>
          <w:szCs w:val="24"/>
        </w:rPr>
        <w:t xml:space="preserve">；子页 </w:t>
      </w:r>
      <w:r>
        <w:rPr>
          <w:rFonts w:ascii="Times New Roman" w:hAnsi="Times New Roman" w:eastAsia="宋体" w:cs="Times New Roman"/>
          <w:b w:val="0"/>
          <w:i w:val="0"/>
          <w:color w:val="0284C7"/>
          <w:sz w:val="24"/>
          <w:szCs w:val="24"/>
        </w:rPr>
        <w:t xml:space="preserve"> /indicator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/horizontal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/vertical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/process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/baseline </w:t>
      </w:r>
      <w:r>
        <w:rPr>
          <w:rFonts w:ascii="Times New Roman" w:hAnsi="Times New Roman" w:eastAsia="宋体" w:cs="Times New Roman"/>
          <w:i w:val="0"/>
          <w:color w:val="1F2937"/>
          <w:sz w:val="24"/>
          <w:szCs w:val="24"/>
        </w:rPr>
        <w:t>。</w:t>
      </w:r>
    </w:p>
    <w:p w14:paraId="139C990B">
      <w:pPr>
        <w:pStyle w:val="19"/>
        <w:widowControl/>
        <w:numPr>
          <w:ilvl w:val="0"/>
          <w:numId w:val="8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：指标管控核算结果、单位产品/产值能耗、零碳工厂自评估得分、基准管理模块。</w:t>
      </w:r>
    </w:p>
    <w:p w14:paraId="6F22D1EE">
      <w:pPr>
        <w:pStyle w:val="19"/>
        <w:widowControl/>
        <w:numPr>
          <w:ilvl w:val="0"/>
          <w:numId w:val="8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：管理抓手清单、整改督办派单、零碳工厂星级评定输入。</w:t>
      </w:r>
    </w:p>
    <w:p w14:paraId="2ED72086">
      <w:pPr>
        <w:pStyle w:val="6"/>
        <w:numPr>
          <w:ilvl w:val="0"/>
          <w:numId w:val="81"/>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5CB34F49">
      <w:pPr>
        <w:pStyle w:val="19"/>
        <w:widowControl/>
        <w:numPr>
          <w:ilvl w:val="0"/>
          <w:numId w:val="8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：集团季度对标分析场景，需在统一口径下横向比较各工厂与产线，识别达标情况并锁定最需改进的对象与指标。</w:t>
      </w:r>
    </w:p>
    <w:p w14:paraId="365133C7">
      <w:pPr>
        <w:pStyle w:val="19"/>
        <w:widowControl/>
        <w:numPr>
          <w:ilvl w:val="0"/>
          <w:numId w:val="8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34BAF34A">
      <w:pPr>
        <w:pStyle w:val="19"/>
        <w:widowControl/>
        <w:numPr>
          <w:ilvl w:val="0"/>
          <w:numId w:val="83"/>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P2 园区能碳专员</w:t>
      </w:r>
      <w:r>
        <w:rPr>
          <w:rFonts w:ascii="Times New Roman" w:hAnsi="Times New Roman" w:eastAsia="宋体" w:cs="Times New Roman"/>
          <w:i w:val="0"/>
          <w:color w:val="1F2937"/>
          <w:sz w:val="24"/>
          <w:szCs w:val="24"/>
        </w:rPr>
        <w:t>，</w:t>
      </w:r>
    </w:p>
    <w:p w14:paraId="2ABAA6C5">
      <w:pPr>
        <w:pStyle w:val="19"/>
        <w:widowControl/>
        <w:numPr>
          <w:ilvl w:val="0"/>
          <w:numId w:val="83"/>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在 5 个对标维度间切换并查看 6 项指标的达标状态、红黑榜排名与多指标明细表</w:t>
      </w:r>
      <w:r>
        <w:rPr>
          <w:rFonts w:ascii="Times New Roman" w:hAnsi="Times New Roman" w:eastAsia="宋体" w:cs="Times New Roman"/>
          <w:i w:val="0"/>
          <w:color w:val="1F2937"/>
          <w:sz w:val="24"/>
          <w:szCs w:val="24"/>
        </w:rPr>
        <w:t>，</w:t>
      </w:r>
    </w:p>
    <w:p w14:paraId="37B58412">
      <w:pPr>
        <w:pStyle w:val="19"/>
        <w:widowControl/>
        <w:numPr>
          <w:ilvl w:val="0"/>
          <w:numId w:val="83"/>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我能直接定位"抓哪个单位、抓哪个指标"，形成可执行的整改抓手</w:t>
      </w:r>
      <w:r>
        <w:rPr>
          <w:rFonts w:ascii="Times New Roman" w:hAnsi="Times New Roman" w:eastAsia="宋体" w:cs="Times New Roman"/>
          <w:i w:val="0"/>
          <w:color w:val="1F2937"/>
          <w:sz w:val="24"/>
          <w:szCs w:val="24"/>
        </w:rPr>
        <w:t>。</w:t>
      </w:r>
    </w:p>
    <w:p w14:paraId="3CF43139">
      <w:pPr>
        <w:pStyle w:val="6"/>
        <w:numPr>
          <w:ilvl w:val="0"/>
          <w:numId w:val="81"/>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4E9996A4">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对标维度与指标：</w:t>
      </w:r>
    </w:p>
    <w:p w14:paraId="7BE0C61B">
      <w:pPr>
        <w:pStyle w:val="19"/>
        <w:widowControl/>
        <w:numPr>
          <w:ilvl w:val="0"/>
          <w:numId w:val="8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5 个对标维度</w:t>
      </w:r>
      <w:r>
        <w:rPr>
          <w:rFonts w:ascii="Times New Roman" w:hAnsi="Times New Roman" w:eastAsia="宋体" w:cs="Times New Roman"/>
          <w:i w:val="0"/>
          <w:color w:val="1F2937"/>
          <w:sz w:val="24"/>
          <w:szCs w:val="24"/>
        </w:rPr>
        <w:t>：工厂（不同工厂横向对标）、产线（同/跨工厂产线对标）、产品种类、产品型号、生产计划（相同产品·不同时间批次对标，右侧切换为减碳趋势折线并锁定示例产品）；项目公司/在建单位置灰、不参与排名与达标统计。</w:t>
      </w:r>
    </w:p>
    <w:p w14:paraId="4BBB416E">
      <w:pPr>
        <w:pStyle w:val="19"/>
        <w:widowControl/>
        <w:numPr>
          <w:ilvl w:val="0"/>
          <w:numId w:val="8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6 项对标指标</w:t>
      </w:r>
      <w:r>
        <w:rPr>
          <w:rFonts w:ascii="Times New Roman" w:hAnsi="Times New Roman" w:eastAsia="宋体" w:cs="Times New Roman"/>
          <w:i w:val="0"/>
          <w:color w:val="1F2937"/>
          <w:sz w:val="24"/>
          <w:szCs w:val="24"/>
        </w:rPr>
        <w:t>：零碳综合得分 + 5 项关键指标（单位产品综合能耗、单位产值能耗、单位产品碳排放、绿电占比、单位产品碳足迹）。</w:t>
      </w:r>
    </w:p>
    <w:p w14:paraId="6E587D45">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零碳关键对标指标基准（V1.4）：</w:t>
      </w:r>
    </w:p>
    <w:tbl>
      <w:tblPr>
        <w:tblStyle w:val="38"/>
        <w:tblW w:w="4998" w:type="pct"/>
        <w:jc w:val="center"/>
        <w:tblLayout w:type="autofit"/>
        <w:tblCellMar>
          <w:top w:w="0" w:type="dxa"/>
          <w:left w:w="108" w:type="dxa"/>
          <w:bottom w:w="0" w:type="dxa"/>
          <w:right w:w="108" w:type="dxa"/>
        </w:tblCellMar>
      </w:tblPr>
      <w:tblGrid>
        <w:gridCol w:w="3150"/>
        <w:gridCol w:w="3150"/>
        <w:gridCol w:w="3150"/>
      </w:tblGrid>
      <w:tr w14:paraId="0967DD86">
        <w:tblPrEx>
          <w:tblCellMar>
            <w:top w:w="0" w:type="dxa"/>
            <w:left w:w="108" w:type="dxa"/>
            <w:bottom w:w="0" w:type="dxa"/>
            <w:right w:w="108" w:type="dxa"/>
          </w:tblCellMar>
        </w:tblPrEx>
        <w:trPr>
          <w:tblHeader/>
          <w:jc w:val="center"/>
        </w:trPr>
        <w:tc>
          <w:tcPr>
            <w:tcW w:w="1666" w:type="pct"/>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332FF6CC">
            <w:pPr>
              <w:spacing w:before="0" w:after="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指标</w:t>
            </w:r>
          </w:p>
        </w:tc>
        <w:tc>
          <w:tcPr>
            <w:tcW w:w="1666" w:type="pct"/>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08518811">
            <w:pPr>
              <w:spacing w:before="0" w:after="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零碳标杆</w:t>
            </w:r>
          </w:p>
        </w:tc>
        <w:tc>
          <w:tcPr>
            <w:tcW w:w="1666" w:type="pct"/>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37B0FA3">
            <w:pPr>
              <w:spacing w:before="0" w:after="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生成基准</w:t>
            </w:r>
          </w:p>
        </w:tc>
      </w:tr>
      <w:tr w14:paraId="78D36515">
        <w:tblPrEx>
          <w:tblCellMar>
            <w:top w:w="0" w:type="dxa"/>
            <w:left w:w="108" w:type="dxa"/>
            <w:bottom w:w="0" w:type="dxa"/>
            <w:right w:w="108" w:type="dxa"/>
          </w:tblCellMar>
        </w:tblPrEx>
        <w:trPr>
          <w:jc w:val="center"/>
        </w:trPr>
        <w:tc>
          <w:tcPr>
            <w:tcW w:w="1666" w:type="pct"/>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83C37FC">
            <w:pPr>
              <w:spacing w:before="0" w:after="0" w:line="264" w:lineRule="auto"/>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单位产品综合能耗</w:t>
            </w:r>
          </w:p>
        </w:tc>
        <w:tc>
          <w:tcPr>
            <w:tcW w:w="1666" w:type="pct"/>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4098775">
            <w:pPr>
              <w:spacing w:before="0" w:after="0" w:line="264" w:lineRule="auto"/>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400 kgce/台</w:t>
            </w:r>
          </w:p>
        </w:tc>
        <w:tc>
          <w:tcPr>
            <w:tcW w:w="1666" w:type="pct"/>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04B05FC">
            <w:pPr>
              <w:spacing w:before="0" w:after="0" w:line="264" w:lineRule="auto"/>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430</w:t>
            </w:r>
          </w:p>
        </w:tc>
      </w:tr>
      <w:tr w14:paraId="3998696A">
        <w:tblPrEx>
          <w:tblCellMar>
            <w:top w:w="0" w:type="dxa"/>
            <w:left w:w="108" w:type="dxa"/>
            <w:bottom w:w="0" w:type="dxa"/>
            <w:right w:w="108" w:type="dxa"/>
          </w:tblCellMar>
        </w:tblPrEx>
        <w:trPr>
          <w:jc w:val="center"/>
        </w:trPr>
        <w:tc>
          <w:tcPr>
            <w:tcW w:w="1666" w:type="pct"/>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76E63B0">
            <w:pPr>
              <w:spacing w:before="0" w:after="0" w:line="264" w:lineRule="auto"/>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单位产值能耗</w:t>
            </w:r>
          </w:p>
        </w:tc>
        <w:tc>
          <w:tcPr>
            <w:tcW w:w="1666" w:type="pct"/>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7812658">
            <w:pPr>
              <w:spacing w:before="0" w:after="0" w:line="264" w:lineRule="auto"/>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0.30 tce/万元</w:t>
            </w:r>
          </w:p>
        </w:tc>
        <w:tc>
          <w:tcPr>
            <w:tcW w:w="1666" w:type="pct"/>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BA9791D">
            <w:pPr>
              <w:spacing w:before="0" w:after="0" w:line="264" w:lineRule="auto"/>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0.34</w:t>
            </w:r>
          </w:p>
        </w:tc>
      </w:tr>
      <w:tr w14:paraId="0F2AFD86">
        <w:tblPrEx>
          <w:tblCellMar>
            <w:top w:w="0" w:type="dxa"/>
            <w:left w:w="108" w:type="dxa"/>
            <w:bottom w:w="0" w:type="dxa"/>
            <w:right w:w="108" w:type="dxa"/>
          </w:tblCellMar>
        </w:tblPrEx>
        <w:trPr>
          <w:jc w:val="center"/>
        </w:trPr>
        <w:tc>
          <w:tcPr>
            <w:tcW w:w="1666" w:type="pct"/>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D947BCB">
            <w:pPr>
              <w:spacing w:before="0" w:after="0" w:line="264" w:lineRule="auto"/>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单位产品碳排放</w:t>
            </w:r>
          </w:p>
        </w:tc>
        <w:tc>
          <w:tcPr>
            <w:tcW w:w="1666" w:type="pct"/>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258CEC8">
            <w:pPr>
              <w:spacing w:before="0" w:after="0" w:line="264" w:lineRule="auto"/>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900 kgCO2/台</w:t>
            </w:r>
          </w:p>
        </w:tc>
        <w:tc>
          <w:tcPr>
            <w:tcW w:w="1666" w:type="pct"/>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14D5DB2">
            <w:pPr>
              <w:spacing w:before="0" w:after="0" w:line="264" w:lineRule="auto"/>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980</w:t>
            </w:r>
          </w:p>
        </w:tc>
      </w:tr>
      <w:tr w14:paraId="401EBF27">
        <w:tblPrEx>
          <w:tblCellMar>
            <w:top w:w="0" w:type="dxa"/>
            <w:left w:w="108" w:type="dxa"/>
            <w:bottom w:w="0" w:type="dxa"/>
            <w:right w:w="108" w:type="dxa"/>
          </w:tblCellMar>
        </w:tblPrEx>
        <w:trPr>
          <w:jc w:val="center"/>
        </w:trPr>
        <w:tc>
          <w:tcPr>
            <w:tcW w:w="1666" w:type="pct"/>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12E7E7F">
            <w:pPr>
              <w:spacing w:before="0" w:after="0" w:line="264" w:lineRule="auto"/>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绿电占比</w:t>
            </w:r>
          </w:p>
        </w:tc>
        <w:tc>
          <w:tcPr>
            <w:tcW w:w="1666" w:type="pct"/>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144EE21">
            <w:pPr>
              <w:spacing w:before="0" w:after="0" w:line="264" w:lineRule="auto"/>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60 %（越高越好）</w:t>
            </w:r>
          </w:p>
        </w:tc>
        <w:tc>
          <w:tcPr>
            <w:tcW w:w="1666" w:type="pct"/>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FC80CA8">
            <w:pPr>
              <w:spacing w:before="0" w:after="0" w:line="264" w:lineRule="auto"/>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52</w:t>
            </w:r>
          </w:p>
        </w:tc>
      </w:tr>
      <w:tr w14:paraId="7F73BECD">
        <w:tblPrEx>
          <w:tblCellMar>
            <w:top w:w="0" w:type="dxa"/>
            <w:left w:w="108" w:type="dxa"/>
            <w:bottom w:w="0" w:type="dxa"/>
            <w:right w:w="108" w:type="dxa"/>
          </w:tblCellMar>
        </w:tblPrEx>
        <w:trPr>
          <w:jc w:val="center"/>
        </w:trPr>
        <w:tc>
          <w:tcPr>
            <w:tcW w:w="1666" w:type="pct"/>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F67EC79">
            <w:pPr>
              <w:spacing w:before="0" w:after="0" w:line="264" w:lineRule="auto"/>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单位产品碳足迹</w:t>
            </w:r>
          </w:p>
        </w:tc>
        <w:tc>
          <w:tcPr>
            <w:tcW w:w="1666" w:type="pct"/>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5C941E1">
            <w:pPr>
              <w:spacing w:before="0" w:after="0" w:line="264" w:lineRule="auto"/>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1000 kgCO2e/台</w:t>
            </w:r>
          </w:p>
        </w:tc>
        <w:tc>
          <w:tcPr>
            <w:tcW w:w="1666" w:type="pct"/>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82145AD">
            <w:pPr>
              <w:spacing w:before="0" w:after="0" w:line="264" w:lineRule="auto"/>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1080</w:t>
            </w:r>
          </w:p>
        </w:tc>
      </w:tr>
    </w:tbl>
    <w:p w14:paraId="0E11ED42">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计算口径（`lib/benchmark.ts` 实现，供研发核对）：</w:t>
      </w:r>
    </w:p>
    <w:p w14:paraId="717DEE7C">
      <w:pPr>
        <w:pStyle w:val="19"/>
        <w:widowControl/>
        <w:numPr>
          <w:ilvl w:val="0"/>
          <w:numId w:val="8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达标系数 achievement</w:t>
      </w:r>
      <w:r>
        <w:rPr>
          <w:rFonts w:ascii="Times New Roman" w:hAnsi="Times New Roman" w:eastAsia="宋体" w:cs="Times New Roman"/>
          <w:i w:val="0"/>
          <w:color w:val="1F2937"/>
          <w:sz w:val="24"/>
          <w:szCs w:val="24"/>
        </w:rPr>
        <w:t>：越低越好 = 标杆/实测；越高越好 = 实测/标杆；≥1 即达到或优于标杆。</w:t>
      </w:r>
    </w:p>
    <w:p w14:paraId="6EB7BA75">
      <w:pPr>
        <w:pStyle w:val="19"/>
        <w:widowControl/>
        <w:numPr>
          <w:ilvl w:val="0"/>
          <w:numId w:val="8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距标杆差距 gapPct</w:t>
      </w:r>
      <w:r>
        <w:rPr>
          <w:rFonts w:ascii="Times New Roman" w:hAnsi="Times New Roman" w:eastAsia="宋体" w:cs="Times New Roman"/>
          <w:i w:val="0"/>
          <w:color w:val="1F2937"/>
          <w:sz w:val="24"/>
          <w:szCs w:val="24"/>
        </w:rPr>
        <w:t>：越低越好 = (实测−标杆)/标杆×100%；越高越好 = (标杆−实测)/标杆×100%。</w:t>
      </w:r>
    </w:p>
    <w:p w14:paraId="05B8953A">
      <w:pPr>
        <w:pStyle w:val="19"/>
        <w:widowControl/>
        <w:numPr>
          <w:ilvl w:val="0"/>
          <w:numId w:val="8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单指标状态</w:t>
      </w:r>
      <w:r>
        <w:rPr>
          <w:rFonts w:ascii="Times New Roman" w:hAnsi="Times New Roman" w:eastAsia="宋体" w:cs="Times New Roman"/>
          <w:i w:val="0"/>
          <w:color w:val="1F2937"/>
          <w:sz w:val="24"/>
          <w:szCs w:val="24"/>
        </w:rPr>
        <w:t>：达标系数 ≥1.00 优秀；0.85~1.00 正常；&lt;0.85 异常。</w:t>
      </w:r>
    </w:p>
    <w:p w14:paraId="2CA130CA">
      <w:pPr>
        <w:pStyle w:val="19"/>
        <w:widowControl/>
        <w:numPr>
          <w:ilvl w:val="0"/>
          <w:numId w:val="8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零碳综合得分（0~100）</w:t>
      </w:r>
      <w:r>
        <w:rPr>
          <w:rFonts w:ascii="Times New Roman" w:hAnsi="Times New Roman" w:eastAsia="宋体" w:cs="Times New Roman"/>
          <w:i w:val="0"/>
          <w:color w:val="1F2937"/>
          <w:sz w:val="24"/>
          <w:szCs w:val="24"/>
        </w:rPr>
        <w:t xml:space="preserve">：对 5 项指标各取 </w:t>
      </w:r>
      <w:r>
        <w:rPr>
          <w:rFonts w:ascii="Times New Roman" w:hAnsi="Times New Roman" w:eastAsia="宋体" w:cs="Times New Roman"/>
          <w:i w:val="0"/>
          <w:color w:val="15803D"/>
          <w:sz w:val="24"/>
          <w:szCs w:val="24"/>
        </w:rPr>
        <w:t>min(1.15, 达标系数)</w:t>
      </w:r>
      <w:r>
        <w:rPr>
          <w:rFonts w:ascii="Times New Roman" w:hAnsi="Times New Roman" w:eastAsia="宋体" w:cs="Times New Roman"/>
          <w:i w:val="0"/>
          <w:color w:val="1F2937"/>
          <w:sz w:val="24"/>
          <w:szCs w:val="24"/>
        </w:rPr>
        <w:t xml:space="preserve"> 后求平均，再 ×86，夹逼到 [45, 99]。</w:t>
      </w:r>
    </w:p>
    <w:p w14:paraId="604F3384">
      <w:pPr>
        <w:pStyle w:val="19"/>
        <w:widowControl/>
        <w:numPr>
          <w:ilvl w:val="0"/>
          <w:numId w:val="8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综合得分三色阈值</w:t>
      </w:r>
      <w:r>
        <w:rPr>
          <w:rFonts w:ascii="Times New Roman" w:hAnsi="Times New Roman" w:eastAsia="宋体" w:cs="Times New Roman"/>
          <w:i w:val="0"/>
          <w:color w:val="1F2937"/>
          <w:sz w:val="24"/>
          <w:szCs w:val="24"/>
        </w:rPr>
        <w:t>：≥90 优秀（绿）；78~89 正常（黄）；&lt;78 异常（红）。</w:t>
      </w:r>
    </w:p>
    <w:p w14:paraId="4DD0F436">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页面区块与联动：</w:t>
      </w:r>
    </w:p>
    <w:p w14:paraId="1679EF71">
      <w:pPr>
        <w:pStyle w:val="19"/>
        <w:widowControl/>
        <w:numPr>
          <w:ilvl w:val="0"/>
          <w:numId w:val="8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总览 5 卡</w:t>
      </w:r>
      <w:r>
        <w:rPr>
          <w:rFonts w:ascii="Times New Roman" w:hAnsi="Times New Roman" w:eastAsia="宋体" w:cs="Times New Roman"/>
          <w:i w:val="0"/>
          <w:color w:val="1F2937"/>
          <w:sz w:val="24"/>
          <w:szCs w:val="24"/>
        </w:rPr>
        <w:t>：恒定展示全部 5 项指标（不随所选指标变化），每卡含状态徽章、超大数值、标杆值、"已达标 / 差 N%"与达标度进度条（标杆刻度竖线固定 83.3% 处）。</w:t>
      </w:r>
    </w:p>
    <w:p w14:paraId="25314B9A">
      <w:pPr>
        <w:pStyle w:val="19"/>
        <w:widowControl/>
        <w:numPr>
          <w:ilvl w:val="0"/>
          <w:numId w:val="8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宏观概要 4 卡</w:t>
      </w:r>
      <w:r>
        <w:rPr>
          <w:rFonts w:ascii="Times New Roman" w:hAnsi="Times New Roman" w:eastAsia="宋体" w:cs="Times New Roman"/>
          <w:i w:val="0"/>
          <w:color w:val="1F2937"/>
          <w:sz w:val="24"/>
          <w:szCs w:val="24"/>
        </w:rPr>
        <w:t>：平均零碳得分、达到零碳标杆（达标 = 综合得分 ≥90）实体数/总数、标杆对象（得分最高实体）、管理抓手（得分最低实体 + 其 gapPct 最大的指标，直接点名"抓什么"）。</w:t>
      </w:r>
    </w:p>
    <w:p w14:paraId="69FE1491">
      <w:pPr>
        <w:pStyle w:val="19"/>
        <w:widowControl/>
        <w:numPr>
          <w:ilvl w:val="0"/>
          <w:numId w:val="8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对标红黑榜</w:t>
      </w:r>
      <w:r>
        <w:rPr>
          <w:rFonts w:ascii="Times New Roman" w:hAnsi="Times New Roman" w:eastAsia="宋体" w:cs="Times New Roman"/>
          <w:i w:val="0"/>
          <w:color w:val="1F2937"/>
          <w:sz w:val="24"/>
          <w:szCs w:val="24"/>
        </w:rPr>
        <w:t xml:space="preserve">：横向条形排名，score 降序、越低越好升序、越高越好降序；前 3 名序号徽章金/银/铜，其余中性灰；条形比例尺 = </w:t>
      </w:r>
      <w:r>
        <w:rPr>
          <w:rFonts w:ascii="Times New Roman" w:hAnsi="Times New Roman" w:eastAsia="宋体" w:cs="Times New Roman"/>
          <w:i w:val="0"/>
          <w:color w:val="15803D"/>
          <w:sz w:val="24"/>
          <w:szCs w:val="24"/>
        </w:rPr>
        <w:t>min(100, achievement/1.2×100)%</w:t>
      </w:r>
      <w:r>
        <w:rPr>
          <w:rFonts w:ascii="Times New Roman" w:hAnsi="Times New Roman" w:eastAsia="宋体" w:cs="Times New Roman"/>
          <w:i w:val="0"/>
          <w:color w:val="1F2937"/>
          <w:sz w:val="24"/>
          <w:szCs w:val="24"/>
        </w:rPr>
        <w:t>，标杆竖线固定 1/1.2 处。</w:t>
      </w:r>
    </w:p>
    <w:p w14:paraId="577FE3F0">
      <w:pPr>
        <w:pStyle w:val="19"/>
        <w:widowControl/>
        <w:numPr>
          <w:ilvl w:val="0"/>
          <w:numId w:val="8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趋势/结构</w:t>
      </w:r>
      <w:r>
        <w:rPr>
          <w:rFonts w:ascii="Times New Roman" w:hAnsi="Times New Roman" w:eastAsia="宋体" w:cs="Times New Roman"/>
          <w:i w:val="0"/>
          <w:color w:val="1F2937"/>
          <w:sz w:val="24"/>
          <w:szCs w:val="24"/>
        </w:rPr>
        <w:t>：生产计划维度（temporal）且非 score 时显示"相同产品·减碳趋势"折线（实测 + 零碳标杆恒定线）；其他情况显示"综合得分分布"折线（实测 + 标杆线 90）。</w:t>
      </w:r>
    </w:p>
    <w:p w14:paraId="10C9BD2B">
      <w:pPr>
        <w:pStyle w:val="19"/>
        <w:widowControl/>
        <w:numPr>
          <w:ilvl w:val="0"/>
          <w:numId w:val="8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多指标对标明细表</w:t>
      </w:r>
      <w:r>
        <w:rPr>
          <w:rFonts w:ascii="Times New Roman" w:hAnsi="Times New Roman" w:eastAsia="宋体" w:cs="Times New Roman"/>
          <w:i w:val="0"/>
          <w:color w:val="1F2937"/>
          <w:sz w:val="24"/>
          <w:szCs w:val="24"/>
        </w:rPr>
        <w:t>：行 = 当前维度全部实体（固定按综合得分降序，与红黑榜指标排序解耦）；列 = 排名、实体、综合得分、5 项关键指标；每行 gapPct 最大的指标单元格红底高亮（管理抓手）。</w:t>
      </w:r>
    </w:p>
    <w:p w14:paraId="241D1278">
      <w:pPr>
        <w:pStyle w:val="19"/>
        <w:widowControl/>
        <w:numPr>
          <w:ilvl w:val="0"/>
          <w:numId w:val="8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联动</w:t>
      </w:r>
      <w:r>
        <w:rPr>
          <w:rFonts w:ascii="Times New Roman" w:hAnsi="Times New Roman" w:eastAsia="宋体" w:cs="Times New Roman"/>
          <w:i w:val="0"/>
          <w:color w:val="1F2937"/>
          <w:sz w:val="24"/>
          <w:szCs w:val="24"/>
        </w:rPr>
        <w:t>：维度/指标切换即时刷新全部区块，无需刷新按钮；顶部工厂筛选器在本视图隐藏（语义冲突）。</w:t>
      </w:r>
    </w:p>
    <w:p w14:paraId="30C3897B">
      <w:pPr>
        <w:pStyle w:val="19"/>
        <w:widowControl/>
      </w:pPr>
      <w:r>
        <w:rPr>
          <w:rFonts w:ascii="Times New Roman" w:hAnsi="Times New Roman" w:eastAsia="宋体" w:cs="Times New Roman"/>
          <w:b/>
          <w:i w:val="0"/>
          <w:color w:val="1E3A8A"/>
          <w:sz w:val="24"/>
          <w:szCs w:val="24"/>
        </w:rPr>
        <w:t>子模块划分</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5.1 核心指标对比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5.2 产品单耗对比（横向）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5.3 产品单耗对比（纵向）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5.4 关键工序单耗对比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5.5 基准管理 </w:t>
      </w:r>
      <w:r>
        <w:rPr>
          <w:rFonts w:ascii="Times New Roman" w:hAnsi="Times New Roman" w:eastAsia="宋体" w:cs="Times New Roman"/>
          <w:i w:val="0"/>
          <w:color w:val="1F2937"/>
          <w:sz w:val="24"/>
          <w:szCs w:val="24"/>
        </w:rPr>
        <w:t>。</w:t>
      </w:r>
      <w:r>
        <w:rPr>
          <w:rFonts w:ascii="Times New Roman" w:hAnsi="Times New Roman" w:eastAsia="宋体" w:cs="Times New Roman"/>
          <w:i w:val="0"/>
          <w:color w:val="1F2937"/>
          <w:sz w:val="24"/>
          <w:szCs w:val="24"/>
        </w:rPr>
        <w:br w:type="textWrapping"/>
      </w:r>
      <w:r>
        <w:rPr>
          <w:rFonts w:hint="eastAsia" w:cs="Times New Roman"/>
          <w:i w:val="0"/>
          <w:color w:val="1F2937"/>
          <w:sz w:val="24"/>
          <w:szCs w:val="24"/>
          <w:lang w:val="en-US" w:eastAsia="zh-CN"/>
        </w:rPr>
        <w:t>核心指标对比：</w:t>
      </w:r>
      <w:r>
        <w:rPr>
          <w:rFonts w:ascii="Times New Roman" w:hAnsi="Times New Roman" w:eastAsia="宋体" w:cs="Times New Roman"/>
          <w:i w:val="0"/>
          <w:color w:val="1F2937"/>
          <w:sz w:val="24"/>
          <w:szCs w:val="24"/>
        </w:rPr>
        <w:br w:type="textWrapping"/>
      </w:r>
      <w:r>
        <w:drawing>
          <wp:inline distT="0" distB="0" distL="114300" distR="114300">
            <wp:extent cx="5908675" cy="2294255"/>
            <wp:effectExtent l="0" t="0" r="15875" b="10795"/>
            <wp:docPr id="123"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77"/>
                    <pic:cNvPicPr>
                      <a:picLocks noChangeAspect="1"/>
                    </pic:cNvPicPr>
                  </pic:nvPicPr>
                  <pic:blipFill>
                    <a:blip r:embed="rId56"/>
                    <a:stretch>
                      <a:fillRect/>
                    </a:stretch>
                  </pic:blipFill>
                  <pic:spPr>
                    <a:xfrm>
                      <a:off x="0" y="0"/>
                      <a:ext cx="5908675" cy="2294255"/>
                    </a:xfrm>
                    <a:prstGeom prst="rect">
                      <a:avLst/>
                    </a:prstGeom>
                    <a:noFill/>
                    <a:ln>
                      <a:noFill/>
                    </a:ln>
                  </pic:spPr>
                </pic:pic>
              </a:graphicData>
            </a:graphic>
          </wp:inline>
        </w:drawing>
      </w:r>
      <w:r>
        <w:br w:type="textWrapping"/>
      </w:r>
      <w:r>
        <w:br w:type="textWrapping"/>
      </w:r>
      <w:r>
        <w:rPr>
          <w:rFonts w:hint="eastAsia"/>
          <w:lang w:val="en-US" w:eastAsia="zh-CN"/>
        </w:rPr>
        <w:t>零碳指标排名：</w:t>
      </w:r>
      <w:r>
        <w:rPr>
          <w:rFonts w:hint="eastAsia"/>
          <w:lang w:val="en-US" w:eastAsia="zh-CN"/>
        </w:rPr>
        <w:br w:type="textWrapping"/>
      </w:r>
      <w:r>
        <w:drawing>
          <wp:inline distT="0" distB="0" distL="114300" distR="114300">
            <wp:extent cx="5900420" cy="2258695"/>
            <wp:effectExtent l="0" t="0" r="5080" b="8255"/>
            <wp:docPr id="124"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78"/>
                    <pic:cNvPicPr>
                      <a:picLocks noChangeAspect="1"/>
                    </pic:cNvPicPr>
                  </pic:nvPicPr>
                  <pic:blipFill>
                    <a:blip r:embed="rId57"/>
                    <a:stretch>
                      <a:fillRect/>
                    </a:stretch>
                  </pic:blipFill>
                  <pic:spPr>
                    <a:xfrm>
                      <a:off x="0" y="0"/>
                      <a:ext cx="5900420" cy="2258695"/>
                    </a:xfrm>
                    <a:prstGeom prst="rect">
                      <a:avLst/>
                    </a:prstGeom>
                    <a:noFill/>
                    <a:ln>
                      <a:noFill/>
                    </a:ln>
                  </pic:spPr>
                </pic:pic>
              </a:graphicData>
            </a:graphic>
          </wp:inline>
        </w:drawing>
      </w:r>
      <w:r>
        <w:br w:type="textWrapping"/>
      </w:r>
    </w:p>
    <w:p w14:paraId="00B335B3">
      <w:pPr>
        <w:pStyle w:val="19"/>
        <w:widowControl/>
        <w:ind w:left="0" w:leftChars="0" w:firstLine="0" w:firstLineChars="0"/>
      </w:pPr>
      <w:r>
        <w:rPr>
          <w:rFonts w:hint="eastAsia"/>
          <w:lang w:val="en-US" w:eastAsia="zh-CN"/>
        </w:rPr>
        <w:t>产品单耗对比（横向）：</w:t>
      </w:r>
      <w:r>
        <w:rPr>
          <w:rFonts w:hint="eastAsia"/>
          <w:lang w:val="en-US" w:eastAsia="zh-CN"/>
        </w:rPr>
        <w:br w:type="textWrapping"/>
      </w:r>
      <w:r>
        <w:drawing>
          <wp:inline distT="0" distB="0" distL="114300" distR="114300">
            <wp:extent cx="5908675" cy="2981960"/>
            <wp:effectExtent l="0" t="0" r="15875" b="8890"/>
            <wp:docPr id="125"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79"/>
                    <pic:cNvPicPr>
                      <a:picLocks noChangeAspect="1"/>
                    </pic:cNvPicPr>
                  </pic:nvPicPr>
                  <pic:blipFill>
                    <a:blip r:embed="rId58"/>
                    <a:stretch>
                      <a:fillRect/>
                    </a:stretch>
                  </pic:blipFill>
                  <pic:spPr>
                    <a:xfrm>
                      <a:off x="0" y="0"/>
                      <a:ext cx="5908675" cy="2981960"/>
                    </a:xfrm>
                    <a:prstGeom prst="rect">
                      <a:avLst/>
                    </a:prstGeom>
                    <a:noFill/>
                    <a:ln>
                      <a:noFill/>
                    </a:ln>
                  </pic:spPr>
                </pic:pic>
              </a:graphicData>
            </a:graphic>
          </wp:inline>
        </w:drawing>
      </w:r>
      <w:r>
        <w:br w:type="textWrapping"/>
      </w:r>
    </w:p>
    <w:p w14:paraId="1E59210A">
      <w:pPr>
        <w:pStyle w:val="19"/>
        <w:widowControl/>
        <w:ind w:left="0" w:leftChars="0" w:firstLine="0" w:firstLineChars="0"/>
      </w:pPr>
      <w:r>
        <w:rPr>
          <w:rFonts w:hint="eastAsia"/>
          <w:lang w:val="en-US" w:eastAsia="zh-CN"/>
        </w:rPr>
        <w:t>工厂单耗分析：</w:t>
      </w:r>
      <w:r>
        <w:rPr>
          <w:rFonts w:hint="eastAsia"/>
          <w:lang w:val="en-US" w:eastAsia="zh-CN"/>
        </w:rPr>
        <w:br w:type="textWrapping"/>
      </w:r>
      <w:r>
        <w:drawing>
          <wp:inline distT="0" distB="0" distL="114300" distR="114300">
            <wp:extent cx="5913120" cy="4327525"/>
            <wp:effectExtent l="0" t="0" r="11430" b="15875"/>
            <wp:docPr id="126"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80"/>
                    <pic:cNvPicPr>
                      <a:picLocks noChangeAspect="1"/>
                    </pic:cNvPicPr>
                  </pic:nvPicPr>
                  <pic:blipFill>
                    <a:blip r:embed="rId59"/>
                    <a:stretch>
                      <a:fillRect/>
                    </a:stretch>
                  </pic:blipFill>
                  <pic:spPr>
                    <a:xfrm>
                      <a:off x="0" y="0"/>
                      <a:ext cx="5913120" cy="4327525"/>
                    </a:xfrm>
                    <a:prstGeom prst="rect">
                      <a:avLst/>
                    </a:prstGeom>
                    <a:noFill/>
                    <a:ln>
                      <a:noFill/>
                    </a:ln>
                  </pic:spPr>
                </pic:pic>
              </a:graphicData>
            </a:graphic>
          </wp:inline>
        </w:drawing>
      </w:r>
    </w:p>
    <w:p w14:paraId="354856E9">
      <w:pPr>
        <w:pStyle w:val="19"/>
        <w:widowControl/>
        <w:ind w:left="0" w:leftChars="0" w:firstLine="0" w:firstLineChars="0"/>
      </w:pPr>
      <w:r>
        <w:rPr>
          <w:rFonts w:hint="default"/>
          <w:lang w:val="en-US" w:eastAsia="zh-CN"/>
        </w:rPr>
        <w:br w:type="textWrapping"/>
      </w:r>
      <w:r>
        <w:rPr>
          <w:rFonts w:hint="eastAsia"/>
          <w:lang w:val="en-US" w:eastAsia="zh-CN"/>
        </w:rPr>
        <w:t>产品单耗分析（纵向）：</w:t>
      </w:r>
      <w:r>
        <w:rPr>
          <w:rFonts w:hint="eastAsia"/>
          <w:lang w:val="en-US" w:eastAsia="zh-CN"/>
        </w:rPr>
        <w:br w:type="textWrapping"/>
      </w:r>
      <w:r>
        <w:drawing>
          <wp:inline distT="0" distB="0" distL="114300" distR="114300">
            <wp:extent cx="5908675" cy="3249930"/>
            <wp:effectExtent l="0" t="0" r="15875" b="7620"/>
            <wp:docPr id="127"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81"/>
                    <pic:cNvPicPr>
                      <a:picLocks noChangeAspect="1"/>
                    </pic:cNvPicPr>
                  </pic:nvPicPr>
                  <pic:blipFill>
                    <a:blip r:embed="rId60"/>
                    <a:stretch>
                      <a:fillRect/>
                    </a:stretch>
                  </pic:blipFill>
                  <pic:spPr>
                    <a:xfrm>
                      <a:off x="0" y="0"/>
                      <a:ext cx="5908675" cy="3249930"/>
                    </a:xfrm>
                    <a:prstGeom prst="rect">
                      <a:avLst/>
                    </a:prstGeom>
                    <a:noFill/>
                    <a:ln>
                      <a:noFill/>
                    </a:ln>
                  </pic:spPr>
                </pic:pic>
              </a:graphicData>
            </a:graphic>
          </wp:inline>
        </w:drawing>
      </w:r>
    </w:p>
    <w:p w14:paraId="76740A2E">
      <w:pPr>
        <w:pStyle w:val="19"/>
        <w:widowControl/>
        <w:ind w:left="0" w:leftChars="0" w:firstLine="0" w:firstLineChars="0"/>
      </w:pPr>
    </w:p>
    <w:p w14:paraId="20733BA9">
      <w:pPr>
        <w:pStyle w:val="19"/>
        <w:widowControl/>
        <w:ind w:left="0" w:leftChars="0" w:firstLine="0" w:firstLineChars="0"/>
      </w:pPr>
      <w:r>
        <w:rPr>
          <w:rFonts w:hint="eastAsia"/>
          <w:lang w:val="en-US" w:eastAsia="zh-CN"/>
        </w:rPr>
        <w:t>关键工序对比分析：</w:t>
      </w:r>
      <w:r>
        <w:rPr>
          <w:rFonts w:hint="eastAsia"/>
          <w:lang w:val="en-US" w:eastAsia="zh-CN"/>
        </w:rPr>
        <w:br w:type="textWrapping"/>
      </w:r>
      <w:r>
        <w:drawing>
          <wp:inline distT="0" distB="0" distL="114300" distR="114300">
            <wp:extent cx="5912485" cy="3147695"/>
            <wp:effectExtent l="0" t="0" r="12065" b="14605"/>
            <wp:docPr id="128"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82"/>
                    <pic:cNvPicPr>
                      <a:picLocks noChangeAspect="1"/>
                    </pic:cNvPicPr>
                  </pic:nvPicPr>
                  <pic:blipFill>
                    <a:blip r:embed="rId61"/>
                    <a:stretch>
                      <a:fillRect/>
                    </a:stretch>
                  </pic:blipFill>
                  <pic:spPr>
                    <a:xfrm>
                      <a:off x="0" y="0"/>
                      <a:ext cx="5912485" cy="3147695"/>
                    </a:xfrm>
                    <a:prstGeom prst="rect">
                      <a:avLst/>
                    </a:prstGeom>
                    <a:noFill/>
                    <a:ln>
                      <a:noFill/>
                    </a:ln>
                  </pic:spPr>
                </pic:pic>
              </a:graphicData>
            </a:graphic>
          </wp:inline>
        </w:drawing>
      </w:r>
    </w:p>
    <w:p w14:paraId="5AA05ABB">
      <w:pPr>
        <w:pStyle w:val="19"/>
        <w:widowControl/>
        <w:ind w:left="0" w:leftChars="0" w:firstLine="0" w:firstLineChars="0"/>
      </w:pPr>
    </w:p>
    <w:p w14:paraId="39C25D2D">
      <w:pPr>
        <w:pStyle w:val="19"/>
        <w:widowControl/>
        <w:ind w:left="0" w:leftChars="0" w:firstLine="0" w:firstLineChars="0"/>
      </w:pPr>
      <w:r>
        <w:rPr>
          <w:rFonts w:hint="eastAsia"/>
          <w:lang w:val="en-US" w:eastAsia="zh-CN"/>
        </w:rPr>
        <w:t>基准管理：</w:t>
      </w:r>
      <w:r>
        <w:rPr>
          <w:rFonts w:hint="eastAsia"/>
          <w:lang w:val="en-US" w:eastAsia="zh-CN"/>
        </w:rPr>
        <w:br w:type="textWrapping"/>
      </w:r>
      <w:r>
        <w:drawing>
          <wp:inline distT="0" distB="0" distL="114300" distR="114300">
            <wp:extent cx="5899785" cy="2308225"/>
            <wp:effectExtent l="0" t="0" r="5715" b="15875"/>
            <wp:docPr id="130"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84"/>
                    <pic:cNvPicPr>
                      <a:picLocks noChangeAspect="1"/>
                    </pic:cNvPicPr>
                  </pic:nvPicPr>
                  <pic:blipFill>
                    <a:blip r:embed="rId62"/>
                    <a:stretch>
                      <a:fillRect/>
                    </a:stretch>
                  </pic:blipFill>
                  <pic:spPr>
                    <a:xfrm>
                      <a:off x="0" y="0"/>
                      <a:ext cx="5899785" cy="2308225"/>
                    </a:xfrm>
                    <a:prstGeom prst="rect">
                      <a:avLst/>
                    </a:prstGeom>
                    <a:noFill/>
                    <a:ln>
                      <a:noFill/>
                    </a:ln>
                  </pic:spPr>
                </pic:pic>
              </a:graphicData>
            </a:graphic>
          </wp:inline>
        </w:drawing>
      </w:r>
    </w:p>
    <w:p w14:paraId="7154BD1A">
      <w:pPr>
        <w:pStyle w:val="19"/>
        <w:widowControl/>
        <w:ind w:left="0" w:leftChars="0" w:firstLine="0" w:firstLineChars="0"/>
      </w:pPr>
    </w:p>
    <w:p w14:paraId="51E885BC">
      <w:pPr>
        <w:pStyle w:val="19"/>
        <w:widowControl/>
        <w:ind w:left="0" w:leftChars="0" w:firstLine="0" w:firstLineChars="0"/>
        <w:rPr>
          <w:rFonts w:hint="default"/>
          <w:lang w:val="en-US" w:eastAsia="zh-CN"/>
        </w:rPr>
      </w:pPr>
      <w:r>
        <w:rPr>
          <w:rFonts w:hint="default"/>
          <w:lang w:val="en-US" w:eastAsia="zh-CN"/>
        </w:rPr>
        <w:br w:type="textWrapping"/>
      </w:r>
      <w:r>
        <w:rPr>
          <w:rFonts w:hint="eastAsia"/>
          <w:lang w:val="en-US" w:eastAsia="zh-CN"/>
        </w:rPr>
        <w:t>基准数据参数：</w:t>
      </w:r>
      <w:r>
        <w:rPr>
          <w:rFonts w:hint="eastAsia"/>
          <w:lang w:val="en-US" w:eastAsia="zh-CN"/>
        </w:rPr>
        <w:br w:type="textWrapping"/>
      </w:r>
      <w:r>
        <w:drawing>
          <wp:inline distT="0" distB="0" distL="114300" distR="114300">
            <wp:extent cx="4772660" cy="4821555"/>
            <wp:effectExtent l="0" t="0" r="8890" b="17145"/>
            <wp:docPr id="132"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图片 86"/>
                    <pic:cNvPicPr>
                      <a:picLocks noChangeAspect="1"/>
                    </pic:cNvPicPr>
                  </pic:nvPicPr>
                  <pic:blipFill>
                    <a:blip r:embed="rId63"/>
                    <a:stretch>
                      <a:fillRect/>
                    </a:stretch>
                  </pic:blipFill>
                  <pic:spPr>
                    <a:xfrm>
                      <a:off x="0" y="0"/>
                      <a:ext cx="4772660" cy="4821555"/>
                    </a:xfrm>
                    <a:prstGeom prst="rect">
                      <a:avLst/>
                    </a:prstGeom>
                    <a:noFill/>
                    <a:ln>
                      <a:noFill/>
                    </a:ln>
                  </pic:spPr>
                </pic:pic>
              </a:graphicData>
            </a:graphic>
          </wp:inline>
        </w:drawing>
      </w:r>
    </w:p>
    <w:p w14:paraId="2725AA47">
      <w:pPr>
        <w:pStyle w:val="6"/>
        <w:numPr>
          <w:ilvl w:val="0"/>
          <w:numId w:val="81"/>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82"/>
        <w:gridCol w:w="1896"/>
        <w:gridCol w:w="1364"/>
        <w:gridCol w:w="1364"/>
        <w:gridCol w:w="4278"/>
      </w:tblGrid>
      <w:tr w14:paraId="4B6C73DF">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8A3D09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4391AD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36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D62C91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136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C58550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427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635FB7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计算规则与防错逻辑</w:t>
            </w:r>
          </w:p>
        </w:tc>
      </w:tr>
      <w:tr w14:paraId="03D831BA">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7E2DA8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741357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对标实体名称</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90CB0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1B642F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27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931C8F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工厂/产线/产品/型号/生产计划层级名称</w:t>
            </w:r>
          </w:p>
        </w:tc>
      </w:tr>
      <w:tr w14:paraId="4A3DF025">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ED85A8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330A89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对标维度标识</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138A1D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B841B5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27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5E50F9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factory / line / category / model / plan</w:t>
            </w:r>
          </w:p>
        </w:tc>
      </w:tr>
      <w:tr w14:paraId="393458E0">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CB814E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6F7625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单项达标系数</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54FDEB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1AD3D0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27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94AA7E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越低越好 = 标杆/实测；越高越好 = 实测/标杆</w:t>
            </w:r>
          </w:p>
        </w:tc>
      </w:tr>
      <w:tr w14:paraId="28D4078B">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3B4C97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4116AB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单项距标杆差距</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56E3F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D18B56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27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8EDF30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按越低越好/越高越好两种口径分别计算</w:t>
            </w:r>
          </w:p>
        </w:tc>
      </w:tr>
      <w:tr w14:paraId="64C015FE">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F917E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767848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单项状态</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5197D6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DA3FFF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27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EA9BEC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优秀 ≥1.00 / 正常 0.85~1.00 / 异常 &lt;0.85</w:t>
            </w:r>
          </w:p>
        </w:tc>
      </w:tr>
      <w:tr w14:paraId="7C477FB7">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544760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BA75B6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零碳综合得分</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D95E8D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A0F3EF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分</w:t>
            </w:r>
          </w:p>
        </w:tc>
        <w:tc>
          <w:tcPr>
            <w:tcW w:w="427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46E2BB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clamp(AVG(min(1.15, Ach)) × 86, 45, 99)</w:t>
            </w:r>
          </w:p>
        </w:tc>
      </w:tr>
      <w:tr w14:paraId="1B9044A4">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6D07DE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BF9FBD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综合得分状态</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A6F860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B7BB5E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27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E9C60E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优秀 ≥90 / 正常 78~89 / 异常 &lt;78</w:t>
            </w:r>
          </w:p>
        </w:tc>
      </w:tr>
      <w:tr w14:paraId="28F9FDD1">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B94C51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88153D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管理抓手指标</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BA3915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1B1DBF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27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0DF11E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该实体 gapPct 最大的指标名称</w:t>
            </w:r>
          </w:p>
        </w:tc>
      </w:tr>
      <w:tr w14:paraId="33E6A22D">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416B79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2D7A82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排名序号</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69EF9E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Integer</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1ABCD1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27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221892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前 3 名金/银/铜徽章，其余中性灰</w:t>
            </w:r>
          </w:p>
        </w:tc>
      </w:tr>
      <w:tr w14:paraId="112512E6">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F79739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189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0FCD5A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条形比例尺</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F3702E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2550BE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27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3B0A19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min(100, achievement/1.2×100)</w:t>
            </w:r>
          </w:p>
        </w:tc>
      </w:tr>
    </w:tbl>
    <w:p w14:paraId="4CB6690A">
      <w:pPr>
        <w:spacing w:after="60"/>
        <w:rPr>
          <w:rFonts w:hint="eastAsia" w:ascii="宋体" w:hAnsi="宋体" w:eastAsia="宋体" w:cs="宋体"/>
          <w:i w:val="0"/>
          <w:iCs w:val="0"/>
          <w:sz w:val="24"/>
          <w:szCs w:val="24"/>
        </w:rPr>
      </w:pPr>
    </w:p>
    <w:p w14:paraId="5FCDA8D7">
      <w:pPr>
        <w:pStyle w:val="6"/>
        <w:numPr>
          <w:ilvl w:val="0"/>
          <w:numId w:val="81"/>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7AF825CA">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315B9187">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Ach = 越低越好 ? ( Benchmark / Actual ) : ( Actual / Benchmark )</w:t>
            </w:r>
          </w:p>
          <w:p w14:paraId="2FEFFD20">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gapPct = 越低越好 ? ( (Actual - Benchmark)/Benchmark×100% ) : ( (Benchmark - Actual)/Benchmark×100% )</w:t>
            </w:r>
          </w:p>
          <w:p w14:paraId="1E451001">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Status_item = Ach &gt;= 1.00 ? 优秀 : ( Ach &gt;= 0.85 ? 正常 : 异常 )</w:t>
            </w:r>
          </w:p>
          <w:p w14:paraId="32FB5EC3">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Score_total = CLAMP( AVG_i ( MIN(1.15, Ach_i) ) × 86, 45, 99 )</w:t>
            </w:r>
          </w:p>
          <w:p w14:paraId="3DF71340">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Status_total = Score_total &gt;= 90 ? 优秀 : ( Score_total &gt;= 78 ? 正常 : 异常 )</w:t>
            </w:r>
          </w:p>
          <w:p w14:paraId="088430C6">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Bar_ratio = MIN( 100, Ach / 1.2 × 100% )</w:t>
            </w:r>
          </w:p>
        </w:tc>
      </w:tr>
    </w:tbl>
    <w:p w14:paraId="70F342DE">
      <w:pPr>
        <w:spacing w:after="40"/>
        <w:rPr>
          <w:rFonts w:hint="eastAsia" w:ascii="宋体" w:hAnsi="宋体" w:eastAsia="宋体" w:cs="宋体"/>
          <w:i w:val="0"/>
          <w:iCs w:val="0"/>
          <w:sz w:val="24"/>
          <w:szCs w:val="24"/>
        </w:rPr>
      </w:pPr>
    </w:p>
    <w:p w14:paraId="1CA0BCD1">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5 项关键指标分别为单位产品综合能耗、单位产值能耗、单位产品碳排放、绿电占比、单位产品碳足迹；</w:t>
      </w:r>
      <w:r>
        <w:rPr>
          <w:rFonts w:ascii="Times New Roman" w:hAnsi="Times New Roman" w:eastAsia="宋体" w:cs="Times New Roman"/>
          <w:b w:val="0"/>
          <w:i w:val="0"/>
          <w:color w:val="0284C7"/>
          <w:sz w:val="24"/>
          <w:szCs w:val="24"/>
        </w:rPr>
        <w:t xml:space="preserve"> min </w:t>
      </w:r>
      <w:r>
        <w:rPr>
          <w:rFonts w:ascii="Times New Roman" w:hAnsi="Times New Roman" w:eastAsia="宋体" w:cs="Times New Roman"/>
          <w:i w:val="0"/>
          <w:color w:val="1F2937"/>
          <w:sz w:val="24"/>
          <w:szCs w:val="24"/>
        </w:rPr>
        <w:t xml:space="preserve"> 上限 1.15 用于限制单项过度领先；</w:t>
      </w:r>
      <w:r>
        <w:rPr>
          <w:rFonts w:ascii="Times New Roman" w:hAnsi="Times New Roman" w:eastAsia="宋体" w:cs="Times New Roman"/>
          <w:b w:val="0"/>
          <w:i w:val="0"/>
          <w:color w:val="0284C7"/>
          <w:sz w:val="24"/>
          <w:szCs w:val="24"/>
        </w:rPr>
        <w:t xml:space="preserve"> ×86 </w:t>
      </w:r>
      <w:r>
        <w:rPr>
          <w:rFonts w:ascii="Times New Roman" w:hAnsi="Times New Roman" w:eastAsia="宋体" w:cs="Times New Roman"/>
          <w:i w:val="0"/>
          <w:color w:val="1F2937"/>
          <w:sz w:val="24"/>
          <w:szCs w:val="24"/>
        </w:rPr>
        <w:t xml:space="preserve"> 为得分放大系数；夹逼区间 [45, 99] 保证得分可视性。</w:t>
      </w:r>
    </w:p>
    <w:p w14:paraId="57E71D72">
      <w:pPr>
        <w:pStyle w:val="6"/>
        <w:numPr>
          <w:ilvl w:val="0"/>
          <w:numId w:val="81"/>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221D9D02">
      <w:pPr>
        <w:pStyle w:val="19"/>
        <w:widowControl/>
        <w:numPr>
          <w:ilvl w:val="0"/>
          <w:numId w:val="8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基准口径</w:t>
      </w:r>
      <w:r>
        <w:rPr>
          <w:rFonts w:ascii="Times New Roman" w:hAnsi="Times New Roman" w:eastAsia="宋体" w:cs="Times New Roman"/>
          <w:i w:val="0"/>
          <w:color w:val="1F2937"/>
          <w:sz w:val="24"/>
          <w:szCs w:val="24"/>
        </w:rPr>
        <w:t>：三线对标体系固定为【国家先进值】【国家准入值】【特变电工领跑线】。</w:t>
      </w:r>
    </w:p>
    <w:p w14:paraId="64ED00D7">
      <w:pPr>
        <w:pStyle w:val="19"/>
        <w:widowControl/>
        <w:numPr>
          <w:ilvl w:val="0"/>
          <w:numId w:val="8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排名口径</w:t>
      </w:r>
      <w:r>
        <w:rPr>
          <w:rFonts w:ascii="Times New Roman" w:hAnsi="Times New Roman" w:eastAsia="宋体" w:cs="Times New Roman"/>
          <w:i w:val="0"/>
          <w:color w:val="1F2937"/>
          <w:sz w:val="24"/>
          <w:szCs w:val="24"/>
        </w:rPr>
        <w:t>：红黑榜排序随所选指标动态切换（score 降序、越低越好升序、越高越好降序），明细表固定按综合得分降序，二者解耦。</w:t>
      </w:r>
    </w:p>
    <w:p w14:paraId="64AB57BB">
      <w:pPr>
        <w:pStyle w:val="19"/>
        <w:widowControl/>
        <w:numPr>
          <w:ilvl w:val="0"/>
          <w:numId w:val="8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排除口径</w:t>
      </w:r>
      <w:r>
        <w:rPr>
          <w:rFonts w:ascii="Times New Roman" w:hAnsi="Times New Roman" w:eastAsia="宋体" w:cs="Times New Roman"/>
          <w:i w:val="0"/>
          <w:color w:val="1F2937"/>
          <w:sz w:val="24"/>
          <w:szCs w:val="24"/>
        </w:rPr>
        <w:t>：项目公司/在建单位置灰、不参与排名与达标统计。</w:t>
      </w:r>
    </w:p>
    <w:p w14:paraId="7DEB48F3">
      <w:pPr>
        <w:pStyle w:val="19"/>
        <w:widowControl/>
        <w:numPr>
          <w:ilvl w:val="0"/>
          <w:numId w:val="8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高亮口径</w:t>
      </w:r>
      <w:r>
        <w:rPr>
          <w:rFonts w:ascii="Times New Roman" w:hAnsi="Times New Roman" w:eastAsia="宋体" w:cs="Times New Roman"/>
          <w:i w:val="0"/>
          <w:color w:val="1F2937"/>
          <w:sz w:val="24"/>
          <w:szCs w:val="24"/>
        </w:rPr>
        <w:t>：每行 gapPct 最大的指标单元格红底高亮，作为该行的管理抓手。</w:t>
      </w:r>
    </w:p>
    <w:p w14:paraId="0B73AA31">
      <w:pPr>
        <w:pStyle w:val="6"/>
        <w:numPr>
          <w:ilvl w:val="0"/>
          <w:numId w:val="81"/>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2E467956">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2EC3965C">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标杆值为 0：达标系数与差距率均显示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，不参与排名与平均分计算。</w:t>
            </w:r>
          </w:p>
          <w:p w14:paraId="0963C4C7">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某实体指标数据缺失：该实体在明细表中该项留空并整体降权，不参与达标统计。</w:t>
            </w:r>
          </w:p>
          <w:p w14:paraId="24AF2579">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项目公司/在建单位：强制置灰并排除出排名与达标统计，不允许手工纳入。</w:t>
            </w:r>
          </w:p>
          <w:p w14:paraId="0635D59A">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除零兜底：所有比值类字段分母为 0 时统一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w:t>
            </w:r>
          </w:p>
        </w:tc>
      </w:tr>
    </w:tbl>
    <w:p w14:paraId="1C75D349">
      <w:pPr>
        <w:spacing w:after="40"/>
        <w:rPr>
          <w:rFonts w:hint="eastAsia" w:ascii="宋体" w:hAnsi="宋体" w:eastAsia="宋体" w:cs="宋体"/>
          <w:i w:val="0"/>
          <w:iCs w:val="0"/>
          <w:sz w:val="24"/>
          <w:szCs w:val="24"/>
        </w:rPr>
      </w:pPr>
    </w:p>
    <w:p w14:paraId="2F0AF7E6">
      <w:pPr>
        <w:pStyle w:val="6"/>
        <w:numPr>
          <w:ilvl w:val="0"/>
          <w:numId w:val="81"/>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04B1AF95">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0258ED6E">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对标管理三线体系与红黑榜</w:t>
            </w:r>
          </w:p>
          <w:p w14:paraId="5B65C05F">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综合得分计算与夹逼</w:t>
            </w:r>
          </w:p>
          <w:p w14:paraId="31A6219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某实体 5 项关键指标的达标系数分别为 1.02、0.92、1.20、0.78、1.05</w:t>
            </w:r>
          </w:p>
          <w:p w14:paraId="58A595B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系统计算零碳综合得分</w:t>
            </w:r>
          </w:p>
          <w:p w14:paraId="38AE833E">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各项先取 min(1.15, 达标系数)，即 1.02、0.92、1.15、0.78、1.05</w:t>
            </w:r>
          </w:p>
          <w:p w14:paraId="0C6F22C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求平均后乘以 86 并夹逼至 [45, 99] 区间</w:t>
            </w:r>
          </w:p>
          <w:p w14:paraId="113C31C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得分状态按 ≥90 优秀 / 78~89 正常 / &lt;78 异常 判定</w:t>
            </w:r>
          </w:p>
          <w:p w14:paraId="4D679A9B">
            <w:pPr>
              <w:spacing w:before="0" w:after="20" w:line="264" w:lineRule="auto"/>
              <w:rPr>
                <w:rFonts w:hint="eastAsia" w:ascii="宋体" w:hAnsi="宋体" w:eastAsia="宋体" w:cs="宋体"/>
                <w:i w:val="0"/>
                <w:iCs w:val="0"/>
                <w:sz w:val="24"/>
                <w:szCs w:val="24"/>
              </w:rPr>
            </w:pPr>
          </w:p>
          <w:p w14:paraId="743EE719">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管理抓手自动点名</w:t>
            </w:r>
          </w:p>
          <w:p w14:paraId="4E0716C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某实体 5 项指标的 gapPct 分别为 2%、5%、18%、1%、3%</w:t>
            </w:r>
          </w:p>
          <w:p w14:paraId="2D4FCEC0">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页面渲染宏观概要区的"管理抓手"卡片</w:t>
            </w:r>
          </w:p>
          <w:p w14:paraId="73922574">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卡片直接点名 gapPct 最大的指标（本例为 gapPct = 18% 的指标）</w:t>
            </w:r>
          </w:p>
          <w:p w14:paraId="3CB4659C">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明细表中该指标单元格红底高亮</w:t>
            </w:r>
          </w:p>
          <w:p w14:paraId="670C5B0A">
            <w:pPr>
              <w:spacing w:before="0" w:after="20" w:line="264" w:lineRule="auto"/>
              <w:rPr>
                <w:rFonts w:hint="eastAsia" w:ascii="宋体" w:hAnsi="宋体" w:eastAsia="宋体" w:cs="宋体"/>
                <w:i w:val="0"/>
                <w:iCs w:val="0"/>
                <w:sz w:val="24"/>
                <w:szCs w:val="24"/>
              </w:rPr>
            </w:pPr>
          </w:p>
          <w:p w14:paraId="0162E2BC">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项目公司排除排名</w:t>
            </w:r>
          </w:p>
          <w:p w14:paraId="2888625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对标维度中存在项目公司与在建单位</w:t>
            </w:r>
          </w:p>
          <w:p w14:paraId="7B2546AF">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系统生成对标红黑榜排名</w:t>
            </w:r>
          </w:p>
          <w:p w14:paraId="65DBFCF6">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项目公司与在建单位置灰且不计入排名序号</w:t>
            </w:r>
          </w:p>
          <w:p w14:paraId="52C0E99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不参与达标统计与平均得分计算</w:t>
            </w:r>
          </w:p>
          <w:p w14:paraId="1B00F114">
            <w:pPr>
              <w:spacing w:before="0" w:after="20" w:line="264" w:lineRule="auto"/>
              <w:rPr>
                <w:rFonts w:hint="eastAsia" w:ascii="宋体" w:hAnsi="宋体" w:eastAsia="宋体" w:cs="宋体"/>
                <w:i w:val="0"/>
                <w:iCs w:val="0"/>
                <w:sz w:val="24"/>
                <w:szCs w:val="24"/>
              </w:rPr>
            </w:pPr>
          </w:p>
          <w:p w14:paraId="78A4CEC8">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维度切换即时刷新</w:t>
            </w:r>
          </w:p>
          <w:p w14:paraId="3286A40C">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用户当前位于"工厂"维度</w:t>
            </w:r>
          </w:p>
          <w:p w14:paraId="776A3F2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用户切换维度至"生产计划"</w:t>
            </w:r>
          </w:p>
          <w:p w14:paraId="7B2201EE">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全部区块即时刷新且无需点击刷新按钮</w:t>
            </w:r>
          </w:p>
          <w:p w14:paraId="1E90259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右侧趋势区切换为"相同产品·减碳趋势"折线并锁定示例产品</w:t>
            </w:r>
          </w:p>
          <w:p w14:paraId="67299578">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顶部工厂筛选器在本视图隐藏</w:t>
            </w:r>
          </w:p>
        </w:tc>
      </w:tr>
    </w:tbl>
    <w:p w14:paraId="2C9987CC">
      <w:pPr>
        <w:spacing w:after="40"/>
        <w:rPr>
          <w:rFonts w:hint="eastAsia" w:ascii="宋体" w:hAnsi="宋体" w:eastAsia="宋体" w:cs="宋体"/>
          <w:i w:val="0"/>
          <w:iCs w:val="0"/>
          <w:sz w:val="24"/>
          <w:szCs w:val="24"/>
        </w:rPr>
      </w:pPr>
    </w:p>
    <w:p w14:paraId="6809D421">
      <w:pPr>
        <w:pStyle w:val="4"/>
        <w:numPr>
          <w:ilvl w:val="0"/>
          <w:numId w:val="15"/>
        </w:numPr>
        <w:topLinePunct w:val="0"/>
        <w:ind w:left="0" w:leftChars="0" w:firstLine="0" w:firstLineChars="0"/>
        <w:outlineLvl w:val="0"/>
        <w:rPr>
          <w:rFonts w:hint="eastAsia" w:eastAsia="黑体"/>
          <w:b w:val="0"/>
          <w:bCs w:val="0"/>
          <w:sz w:val="30"/>
          <w:szCs w:val="32"/>
        </w:rPr>
      </w:pPr>
      <w:bookmarkStart w:id="27" w:name="_Toc30127"/>
      <w:r>
        <w:rPr>
          <w:rFonts w:ascii="Times New Roman" w:hAnsi="Times New Roman" w:eastAsia="黑体" w:cs="Times New Roman"/>
          <w:b w:val="0"/>
          <w:bCs w:val="0"/>
          <w:sz w:val="30"/>
          <w:szCs w:val="32"/>
        </w:rPr>
        <w:t>零碳项目评估</w:t>
      </w:r>
      <w:bookmarkEnd w:id="27"/>
    </w:p>
    <w:p w14:paraId="23F1C6EE">
      <w:pPr>
        <w:pStyle w:val="5"/>
        <w:numPr>
          <w:ilvl w:val="0"/>
          <w:numId w:val="86"/>
        </w:numPr>
        <w:ind w:left="0" w:leftChars="0" w:firstLine="0" w:firstLineChars="0"/>
        <w:outlineLvl w:val="1"/>
        <w:rPr>
          <w:rFonts w:eastAsia="黑体"/>
          <w:b w:val="0"/>
          <w:bCs w:val="0"/>
          <w:sz w:val="30"/>
          <w:szCs w:val="24"/>
        </w:rPr>
      </w:pPr>
      <w:bookmarkStart w:id="28" w:name="_Toc2741"/>
      <w:r>
        <w:rPr>
          <w:rFonts w:ascii="Times New Roman" w:hAnsi="Times New Roman" w:eastAsia="黑体" w:cs="Times New Roman"/>
          <w:b w:val="0"/>
          <w:bCs w:val="0"/>
          <w:sz w:val="30"/>
          <w:szCs w:val="24"/>
        </w:rPr>
        <w:t>项目档案管理</w:t>
      </w:r>
      <w:bookmarkEnd w:id="28"/>
    </w:p>
    <w:p w14:paraId="15AF6143">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drawing>
          <wp:inline distT="0" distB="0" distL="114300" distR="114300">
            <wp:extent cx="5900420" cy="2925445"/>
            <wp:effectExtent l="0" t="0" r="5080" b="8255"/>
            <wp:docPr id="2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2"/>
                    <pic:cNvPicPr>
                      <a:picLocks noChangeAspect="1"/>
                    </pic:cNvPicPr>
                  </pic:nvPicPr>
                  <pic:blipFill>
                    <a:blip r:embed="rId64"/>
                    <a:stretch>
                      <a:fillRect/>
                    </a:stretch>
                  </pic:blipFill>
                  <pic:spPr>
                    <a:xfrm>
                      <a:off x="0" y="0"/>
                      <a:ext cx="5900420" cy="2925445"/>
                    </a:xfrm>
                    <a:prstGeom prst="rect">
                      <a:avLst/>
                    </a:prstGeom>
                    <a:noFill/>
                    <a:ln>
                      <a:noFill/>
                    </a:ln>
                  </pic:spPr>
                </pic:pic>
              </a:graphicData>
            </a:graphic>
          </wp:inline>
        </w:drawing>
      </w:r>
    </w:p>
    <w:p w14:paraId="33396B7F">
      <w:pPr>
        <w:pStyle w:val="6"/>
        <w:numPr>
          <w:ilvl w:val="0"/>
          <w:numId w:val="8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05BDBF18">
      <w:pPr>
        <w:pStyle w:val="19"/>
        <w:widowControl/>
        <w:numPr>
          <w:ilvl w:val="0"/>
          <w:numId w:val="8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：管理全集团分布式光伏、储能电站、变频改造、余热回收、空压机优化等低碳技改项目的台账、立项文档与生命周期属性。</w:t>
      </w:r>
    </w:p>
    <w:p w14:paraId="32DB0E8D">
      <w:pPr>
        <w:pStyle w:val="19"/>
        <w:widowControl/>
        <w:numPr>
          <w:ilvl w:val="0"/>
          <w:numId w:val="8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：技改项目经理、P2 园区能碳专员。</w:t>
      </w:r>
    </w:p>
    <w:p w14:paraId="1FDF3A1E">
      <w:pPr>
        <w:pStyle w:val="19"/>
        <w:widowControl/>
        <w:numPr>
          <w:ilvl w:val="0"/>
          <w:numId w:val="8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/monitor/project/archive </w:t>
      </w:r>
      <w:r>
        <w:rPr>
          <w:rFonts w:ascii="Times New Roman" w:hAnsi="Times New Roman" w:eastAsia="宋体" w:cs="Times New Roman"/>
          <w:i w:val="0"/>
          <w:color w:val="1F2937"/>
          <w:sz w:val="24"/>
          <w:szCs w:val="24"/>
        </w:rPr>
        <w:t>。</w:t>
      </w:r>
    </w:p>
    <w:p w14:paraId="6989914B">
      <w:pPr>
        <w:pStyle w:val="19"/>
        <w:widowControl/>
        <w:numPr>
          <w:ilvl w:val="0"/>
          <w:numId w:val="8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：项目立项审批流、投资与设计节能量台账、并网验收资料。</w:t>
      </w:r>
    </w:p>
    <w:p w14:paraId="4CA8492E">
      <w:pPr>
        <w:pStyle w:val="19"/>
        <w:widowControl/>
        <w:numPr>
          <w:ilvl w:val="0"/>
          <w:numId w:val="8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：实时监控纳管清单、项目运行评估基线数据、绿色资产档案。</w:t>
      </w:r>
    </w:p>
    <w:p w14:paraId="4DB7E852">
      <w:pPr>
        <w:pStyle w:val="6"/>
        <w:numPr>
          <w:ilvl w:val="0"/>
          <w:numId w:val="8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0F5B0059">
      <w:pPr>
        <w:pStyle w:val="19"/>
        <w:widowControl/>
        <w:numPr>
          <w:ilvl w:val="0"/>
          <w:numId w:val="8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：管理全集团分布式光伏、储能电站、变频改造、余热回收、空压机优化等低碳技改项目的台账、立项文档与生命周期属性。</w:t>
      </w:r>
    </w:p>
    <w:p w14:paraId="10050FBE">
      <w:pPr>
        <w:pStyle w:val="19"/>
        <w:widowControl/>
        <w:numPr>
          <w:ilvl w:val="0"/>
          <w:numId w:val="8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0E7C5B43">
      <w:pPr>
        <w:pStyle w:val="19"/>
        <w:widowControl/>
        <w:numPr>
          <w:ilvl w:val="0"/>
          <w:numId w:val="89"/>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技改项目经理</w:t>
      </w:r>
      <w:r>
        <w:rPr>
          <w:rFonts w:ascii="Times New Roman" w:hAnsi="Times New Roman" w:eastAsia="宋体" w:cs="Times New Roman"/>
          <w:i w:val="0"/>
          <w:color w:val="1F2937"/>
          <w:sz w:val="24"/>
          <w:szCs w:val="24"/>
        </w:rPr>
        <w:t>，</w:t>
      </w:r>
    </w:p>
    <w:p w14:paraId="63708AA7">
      <w:pPr>
        <w:pStyle w:val="19"/>
        <w:widowControl/>
        <w:numPr>
          <w:ilvl w:val="0"/>
          <w:numId w:val="89"/>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统一录入和查询各园区节能减碳项目的投资额、设计节能量、施工周期与并网状态</w:t>
      </w:r>
      <w:r>
        <w:rPr>
          <w:rFonts w:ascii="Times New Roman" w:hAnsi="Times New Roman" w:eastAsia="宋体" w:cs="Times New Roman"/>
          <w:i w:val="0"/>
          <w:color w:val="1F2937"/>
          <w:sz w:val="24"/>
          <w:szCs w:val="24"/>
        </w:rPr>
        <w:t>，</w:t>
      </w:r>
    </w:p>
    <w:p w14:paraId="7FC74FB8">
      <w:pPr>
        <w:pStyle w:val="19"/>
        <w:widowControl/>
        <w:numPr>
          <w:ilvl w:val="0"/>
          <w:numId w:val="89"/>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形成全集团清晰的绿色资产档案</w:t>
      </w:r>
      <w:r>
        <w:rPr>
          <w:rFonts w:ascii="Times New Roman" w:hAnsi="Times New Roman" w:eastAsia="宋体" w:cs="Times New Roman"/>
          <w:i w:val="0"/>
          <w:color w:val="1F2937"/>
          <w:sz w:val="24"/>
          <w:szCs w:val="24"/>
        </w:rPr>
        <w:t>。</w:t>
      </w:r>
    </w:p>
    <w:p w14:paraId="4D7E1D69">
      <w:pPr>
        <w:pStyle w:val="6"/>
        <w:numPr>
          <w:ilvl w:val="0"/>
          <w:numId w:val="8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7647A709">
      <w:pPr>
        <w:pStyle w:val="19"/>
        <w:widowControl/>
        <w:numPr>
          <w:ilvl w:val="0"/>
          <w:numId w:val="9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状态自解释徽章</w:t>
      </w:r>
      <w:r>
        <w:rPr>
          <w:rFonts w:ascii="Times New Roman" w:hAnsi="Times New Roman" w:eastAsia="宋体" w:cs="Times New Roman"/>
          <w:i w:val="0"/>
          <w:color w:val="1F2937"/>
          <w:sz w:val="24"/>
          <w:szCs w:val="24"/>
        </w:rPr>
        <w:t>：拟建、在建、并网运行、竣工归档四种状态，仅以徽章色彩与文案承载，不附加过程标签。</w:t>
      </w:r>
    </w:p>
    <w:p w14:paraId="6D68BBC9">
      <w:pPr>
        <w:pStyle w:val="19"/>
        <w:widowControl/>
        <w:numPr>
          <w:ilvl w:val="0"/>
          <w:numId w:val="9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搜索与筛选栏</w:t>
      </w:r>
      <w:r>
        <w:rPr>
          <w:rFonts w:ascii="Times New Roman" w:hAnsi="Times New Roman" w:eastAsia="宋体" w:cs="Times New Roman"/>
          <w:i w:val="0"/>
          <w:color w:val="1F2937"/>
          <w:sz w:val="24"/>
          <w:szCs w:val="24"/>
        </w:rPr>
        <w:t>：支持按园区、按改造类型（光伏/储能/电机/余热）、投资额范围筛选。</w:t>
      </w:r>
    </w:p>
    <w:p w14:paraId="15C176B1">
      <w:pPr>
        <w:pStyle w:val="19"/>
        <w:widowControl/>
        <w:numPr>
          <w:ilvl w:val="0"/>
          <w:numId w:val="9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操作抽屉</w:t>
      </w:r>
      <w:r>
        <w:rPr>
          <w:rFonts w:ascii="Times New Roman" w:hAnsi="Times New Roman" w:eastAsia="宋体" w:cs="Times New Roman"/>
          <w:i w:val="0"/>
          <w:color w:val="1F2937"/>
          <w:sz w:val="24"/>
          <w:szCs w:val="24"/>
        </w:rPr>
        <w:t>：点击行展开项目档案详情抽屉，查看立项批文与设计指标。</w:t>
      </w:r>
    </w:p>
    <w:p w14:paraId="7280331D">
      <w:pPr>
        <w:pStyle w:val="19"/>
        <w:widowControl/>
        <w:numPr>
          <w:ilvl w:val="0"/>
          <w:numId w:val="9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状态流转</w:t>
      </w:r>
      <w:r>
        <w:rPr>
          <w:rFonts w:ascii="Times New Roman" w:hAnsi="Times New Roman" w:eastAsia="宋体" w:cs="Times New Roman"/>
          <w:i w:val="0"/>
          <w:color w:val="1F2937"/>
          <w:sz w:val="24"/>
          <w:szCs w:val="24"/>
        </w:rPr>
        <w:t>：拟建 → 在建 → 并网运行 → 竣工归档；状态变更须记录操作人与时间戳。</w:t>
      </w:r>
    </w:p>
    <w:p w14:paraId="1D465D59">
      <w:pPr>
        <w:pStyle w:val="19"/>
        <w:widowControl/>
        <w:numPr>
          <w:ilvl w:val="0"/>
          <w:numId w:val="0"/>
        </w:numPr>
        <w:adjustRightInd w:val="0"/>
        <w:spacing w:before="100" w:after="100" w:afterLines="0" w:afterAutospacing="0" w:line="300" w:lineRule="auto"/>
        <w:jc w:val="both"/>
        <w:rPr>
          <w:rFonts w:ascii="Times New Roman" w:hAnsi="Times New Roman" w:eastAsia="宋体" w:cs="Times New Roman"/>
          <w:i w:val="0"/>
          <w:color w:val="1F2937"/>
          <w:sz w:val="24"/>
          <w:szCs w:val="24"/>
        </w:rPr>
      </w:pPr>
    </w:p>
    <w:p w14:paraId="5C049352">
      <w:pPr>
        <w:pStyle w:val="19"/>
        <w:widowControl/>
        <w:numPr>
          <w:ilvl w:val="0"/>
          <w:numId w:val="0"/>
        </w:numPr>
        <w:adjustRightInd w:val="0"/>
        <w:spacing w:before="100" w:after="100" w:afterLines="0" w:afterAutospacing="0" w:line="300" w:lineRule="auto"/>
        <w:jc w:val="both"/>
      </w:pPr>
      <w:r>
        <w:rPr>
          <w:rFonts w:hint="eastAsia" w:cs="Times New Roman"/>
          <w:i w:val="0"/>
          <w:color w:val="1F2937"/>
          <w:sz w:val="24"/>
          <w:szCs w:val="24"/>
          <w:lang w:val="en-US" w:eastAsia="zh-CN"/>
        </w:rPr>
        <w:t>添加档案管理：</w:t>
      </w:r>
      <w:r>
        <w:rPr>
          <w:rFonts w:hint="eastAsia" w:cs="Times New Roman"/>
          <w:i w:val="0"/>
          <w:color w:val="1F2937"/>
          <w:sz w:val="24"/>
          <w:szCs w:val="24"/>
          <w:lang w:val="en-US" w:eastAsia="zh-CN"/>
        </w:rPr>
        <w:br w:type="textWrapping"/>
      </w:r>
      <w:r>
        <w:drawing>
          <wp:inline distT="0" distB="0" distL="114300" distR="114300">
            <wp:extent cx="5911215" cy="4638040"/>
            <wp:effectExtent l="0" t="0" r="13335" b="10160"/>
            <wp:docPr id="133"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87"/>
                    <pic:cNvPicPr>
                      <a:picLocks noChangeAspect="1"/>
                    </pic:cNvPicPr>
                  </pic:nvPicPr>
                  <pic:blipFill>
                    <a:blip r:embed="rId65"/>
                    <a:stretch>
                      <a:fillRect/>
                    </a:stretch>
                  </pic:blipFill>
                  <pic:spPr>
                    <a:xfrm>
                      <a:off x="0" y="0"/>
                      <a:ext cx="5911215" cy="4638040"/>
                    </a:xfrm>
                    <a:prstGeom prst="rect">
                      <a:avLst/>
                    </a:prstGeom>
                    <a:noFill/>
                    <a:ln>
                      <a:noFill/>
                    </a:ln>
                  </pic:spPr>
                </pic:pic>
              </a:graphicData>
            </a:graphic>
          </wp:inline>
        </w:drawing>
      </w:r>
    </w:p>
    <w:p w14:paraId="03FE7B55">
      <w:pPr>
        <w:pStyle w:val="19"/>
        <w:widowControl/>
        <w:numPr>
          <w:ilvl w:val="0"/>
          <w:numId w:val="0"/>
        </w:numPr>
        <w:adjustRightInd w:val="0"/>
        <w:spacing w:before="100" w:after="100" w:afterLines="0" w:afterAutospacing="0" w:line="300" w:lineRule="auto"/>
        <w:jc w:val="both"/>
        <w:rPr>
          <w:rFonts w:hint="default"/>
          <w:lang w:val="en-US" w:eastAsia="zh-CN"/>
        </w:rPr>
      </w:pPr>
    </w:p>
    <w:p w14:paraId="550E1E5D">
      <w:pPr>
        <w:pStyle w:val="6"/>
        <w:numPr>
          <w:ilvl w:val="0"/>
          <w:numId w:val="8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81"/>
        <w:gridCol w:w="1845"/>
        <w:gridCol w:w="1363"/>
        <w:gridCol w:w="1203"/>
        <w:gridCol w:w="4492"/>
      </w:tblGrid>
      <w:tr w14:paraId="6E6A4561">
        <w:tblPrEx>
          <w:tblCellMar>
            <w:top w:w="0" w:type="dxa"/>
            <w:left w:w="108" w:type="dxa"/>
            <w:bottom w:w="0" w:type="dxa"/>
            <w:right w:w="108" w:type="dxa"/>
          </w:tblCellMar>
        </w:tblPrEx>
        <w:trPr>
          <w:tblHeade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2763AF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184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80690F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36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BB715A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71676D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449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BA9B80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7718A907">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D42CE1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18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896634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项目编号</w:t>
            </w:r>
          </w:p>
        </w:tc>
        <w:tc>
          <w:tcPr>
            <w:tcW w:w="136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B872C0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692559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49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E50561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唯一主键，命名规则 </w:t>
            </w:r>
            <w:r>
              <w:rPr>
                <w:rFonts w:hint="eastAsia" w:ascii="宋体" w:hAnsi="宋体" w:eastAsia="宋体" w:cs="宋体"/>
                <w:b w:val="0"/>
                <w:i w:val="0"/>
                <w:iCs w:val="0"/>
                <w:color w:val="0284C7"/>
                <w:sz w:val="24"/>
                <w:szCs w:val="24"/>
              </w:rPr>
              <w:t xml:space="preserve"> PRJ-&lt;年&gt;-&lt;园区码&gt;-&lt;序号&gt; </w:t>
            </w:r>
          </w:p>
        </w:tc>
      </w:tr>
      <w:tr w14:paraId="1C14B896">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69C290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184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DAD689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项目名称</w:t>
            </w:r>
          </w:p>
        </w:tc>
        <w:tc>
          <w:tcPr>
            <w:tcW w:w="136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BBFD10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2A4100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49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033ACC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非空，最长 128 字符</w:t>
            </w:r>
          </w:p>
        </w:tc>
      </w:tr>
      <w:tr w14:paraId="5BE40C1E">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9B67FC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18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E5D1A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所属园区</w:t>
            </w:r>
          </w:p>
        </w:tc>
        <w:tc>
          <w:tcPr>
            <w:tcW w:w="136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CACE3E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BC418C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49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831006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必须在六级组织架构有效园区内</w:t>
            </w:r>
          </w:p>
        </w:tc>
      </w:tr>
      <w:tr w14:paraId="71545317">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1D3DAD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184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EAFC10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改造类型</w:t>
            </w:r>
          </w:p>
        </w:tc>
        <w:tc>
          <w:tcPr>
            <w:tcW w:w="136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A6290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D0B51D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49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46BA6F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光伏 / 储能 / 电机变频 / 余热回收 / 空压机</w:t>
            </w:r>
          </w:p>
        </w:tc>
      </w:tr>
      <w:tr w14:paraId="4B800466">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18F8E1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18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FFCCC0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项目投资额</w:t>
            </w:r>
          </w:p>
        </w:tc>
        <w:tc>
          <w:tcPr>
            <w:tcW w:w="136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8090F6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693289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万元</w:t>
            </w:r>
          </w:p>
        </w:tc>
        <w:tc>
          <w:tcPr>
            <w:tcW w:w="449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232161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0，保留两位小数</w:t>
            </w:r>
          </w:p>
        </w:tc>
      </w:tr>
      <w:tr w14:paraId="2BE45B61">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7DB994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184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5FD3BB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设计节能量</w:t>
            </w:r>
          </w:p>
        </w:tc>
        <w:tc>
          <w:tcPr>
            <w:tcW w:w="136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368F32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34C8F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tce/年</w:t>
            </w:r>
          </w:p>
        </w:tc>
        <w:tc>
          <w:tcPr>
            <w:tcW w:w="449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13D028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&gt; 0，否则触发 E_VAL_PRJ_MV_BASELINE_EMPTY 相关校验</w:t>
            </w:r>
          </w:p>
        </w:tc>
      </w:tr>
      <w:tr w14:paraId="22D93DC3">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BE9D77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18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264186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并网状态</w:t>
            </w:r>
          </w:p>
        </w:tc>
        <w:tc>
          <w:tcPr>
            <w:tcW w:w="136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5C9971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9A0519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49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49724D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拟建 / 在建 / 并网运行 / 竣工归档</w:t>
            </w:r>
          </w:p>
        </w:tc>
      </w:tr>
      <w:tr w14:paraId="2B376F20">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40E369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184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DF5513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立项批文附件</w:t>
            </w:r>
          </w:p>
        </w:tc>
        <w:tc>
          <w:tcPr>
            <w:tcW w:w="136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D60D89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File</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E9F484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49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388279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支持 PDF / 图片，单个不超过 20MB</w:t>
            </w:r>
          </w:p>
        </w:tc>
      </w:tr>
      <w:tr w14:paraId="01B5456F">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6D689B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18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4577B9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计划开工日期</w:t>
            </w:r>
          </w:p>
        </w:tc>
        <w:tc>
          <w:tcPr>
            <w:tcW w:w="136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B5B32D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Date</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04839D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YYYY-MM-DD</w:t>
            </w:r>
          </w:p>
        </w:tc>
        <w:tc>
          <w:tcPr>
            <w:tcW w:w="449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050B64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不得晚于计划竣工日期</w:t>
            </w:r>
          </w:p>
        </w:tc>
      </w:tr>
      <w:tr w14:paraId="5C1378D7">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DF62EE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184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253C3A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计划竣工日期</w:t>
            </w:r>
          </w:p>
        </w:tc>
        <w:tc>
          <w:tcPr>
            <w:tcW w:w="136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A15F37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Date</w:t>
            </w:r>
          </w:p>
        </w:tc>
        <w:tc>
          <w:tcPr>
            <w:tcW w:w="120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E398E9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YYYY-MM-DD</w:t>
            </w:r>
          </w:p>
        </w:tc>
        <w:tc>
          <w:tcPr>
            <w:tcW w:w="449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908D8F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w:t>
            </w:r>
          </w:p>
        </w:tc>
      </w:tr>
    </w:tbl>
    <w:p w14:paraId="27AEF240">
      <w:pPr>
        <w:spacing w:after="60"/>
        <w:rPr>
          <w:rFonts w:hint="eastAsia" w:ascii="宋体" w:hAnsi="宋体" w:eastAsia="宋体" w:cs="宋体"/>
          <w:i w:val="0"/>
          <w:iCs w:val="0"/>
          <w:sz w:val="24"/>
          <w:szCs w:val="24"/>
        </w:rPr>
      </w:pPr>
    </w:p>
    <w:p w14:paraId="3A07A06F">
      <w:pPr>
        <w:pStyle w:val="6"/>
        <w:numPr>
          <w:ilvl w:val="0"/>
          <w:numId w:val="8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7085C427">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7C1D5E5A">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Payback_static = I_0 / CF_annual                      静态投资回收期</w:t>
            </w:r>
          </w:p>
          <w:p w14:paraId="0282F4FF">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CF_annual = E_saved × P_energy                       年节能现金流</w:t>
            </w:r>
          </w:p>
          <w:p w14:paraId="1251D2A1">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ROI = CF_annual / I_0 × 100%                         年化投资回报率</w:t>
            </w:r>
          </w:p>
        </w:tc>
      </w:tr>
    </w:tbl>
    <w:p w14:paraId="548F94CD">
      <w:pPr>
        <w:spacing w:after="40"/>
        <w:rPr>
          <w:rFonts w:hint="eastAsia" w:ascii="宋体" w:hAnsi="宋体" w:eastAsia="宋体" w:cs="宋体"/>
          <w:i w:val="0"/>
          <w:iCs w:val="0"/>
          <w:sz w:val="24"/>
          <w:szCs w:val="24"/>
        </w:rPr>
      </w:pPr>
    </w:p>
    <w:p w14:paraId="778DF41D">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w:t>
      </w:r>
      <w:r>
        <w:rPr>
          <w:rFonts w:ascii="Times New Roman" w:hAnsi="Times New Roman" w:eastAsia="宋体" w:cs="Times New Roman"/>
          <w:b w:val="0"/>
          <w:i w:val="0"/>
          <w:color w:val="0284C7"/>
          <w:sz w:val="24"/>
          <w:szCs w:val="24"/>
        </w:rPr>
        <w:t xml:space="preserve"> I_0 </w:t>
      </w:r>
      <w:r>
        <w:rPr>
          <w:rFonts w:ascii="Times New Roman" w:hAnsi="Times New Roman" w:eastAsia="宋体" w:cs="Times New Roman"/>
          <w:i w:val="0"/>
          <w:color w:val="1F2937"/>
          <w:sz w:val="24"/>
          <w:szCs w:val="24"/>
        </w:rPr>
        <w:t xml:space="preserve"> 为项目初次投资额（万元）；</w:t>
      </w:r>
      <w:r>
        <w:rPr>
          <w:rFonts w:ascii="Times New Roman" w:hAnsi="Times New Roman" w:eastAsia="宋体" w:cs="Times New Roman"/>
          <w:b w:val="0"/>
          <w:i w:val="0"/>
          <w:color w:val="0284C7"/>
          <w:sz w:val="24"/>
          <w:szCs w:val="24"/>
        </w:rPr>
        <w:t xml:space="preserve"> E_saved </w:t>
      </w:r>
      <w:r>
        <w:rPr>
          <w:rFonts w:ascii="Times New Roman" w:hAnsi="Times New Roman" w:eastAsia="宋体" w:cs="Times New Roman"/>
          <w:i w:val="0"/>
          <w:color w:val="1F2937"/>
          <w:sz w:val="24"/>
          <w:szCs w:val="24"/>
        </w:rPr>
        <w:t xml:space="preserve"> 为年节能量（tce 或 kWh）；</w:t>
      </w:r>
      <w:r>
        <w:rPr>
          <w:rFonts w:ascii="Times New Roman" w:hAnsi="Times New Roman" w:eastAsia="宋体" w:cs="Times New Roman"/>
          <w:b w:val="0"/>
          <w:i w:val="0"/>
          <w:color w:val="0284C7"/>
          <w:sz w:val="24"/>
          <w:szCs w:val="24"/>
        </w:rPr>
        <w:t xml:space="preserve"> P_energy </w:t>
      </w:r>
      <w:r>
        <w:rPr>
          <w:rFonts w:ascii="Times New Roman" w:hAnsi="Times New Roman" w:eastAsia="宋体" w:cs="Times New Roman"/>
          <w:i w:val="0"/>
          <w:color w:val="1F2937"/>
          <w:sz w:val="24"/>
          <w:szCs w:val="24"/>
        </w:rPr>
        <w:t xml:space="preserve"> 为能量单价；</w:t>
      </w:r>
      <w:r>
        <w:rPr>
          <w:rFonts w:ascii="Times New Roman" w:hAnsi="Times New Roman" w:eastAsia="宋体" w:cs="Times New Roman"/>
          <w:b w:val="0"/>
          <w:i w:val="0"/>
          <w:color w:val="0284C7"/>
          <w:sz w:val="24"/>
          <w:szCs w:val="24"/>
        </w:rPr>
        <w:t xml:space="preserve"> CF_annual </w:t>
      </w:r>
      <w:r>
        <w:rPr>
          <w:rFonts w:ascii="Times New Roman" w:hAnsi="Times New Roman" w:eastAsia="宋体" w:cs="Times New Roman"/>
          <w:i w:val="0"/>
          <w:color w:val="1F2937"/>
          <w:sz w:val="24"/>
          <w:szCs w:val="24"/>
        </w:rPr>
        <w:t xml:space="preserve"> 为年净节能现金流。</w:t>
      </w:r>
    </w:p>
    <w:p w14:paraId="54E08048">
      <w:pPr>
        <w:pStyle w:val="6"/>
        <w:numPr>
          <w:ilvl w:val="0"/>
          <w:numId w:val="8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16674109">
      <w:pPr>
        <w:pStyle w:val="19"/>
        <w:widowControl/>
        <w:numPr>
          <w:ilvl w:val="0"/>
          <w:numId w:val="9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状态口径</w:t>
      </w:r>
      <w:r>
        <w:rPr>
          <w:rFonts w:ascii="Times New Roman" w:hAnsi="Times New Roman" w:eastAsia="宋体" w:cs="Times New Roman"/>
          <w:i w:val="0"/>
          <w:color w:val="1F2937"/>
          <w:sz w:val="24"/>
          <w:szCs w:val="24"/>
        </w:rPr>
        <w:t>：四态互斥，同一项目任一时刻仅有一个状态。</w:t>
      </w:r>
    </w:p>
    <w:p w14:paraId="5B41BA03">
      <w:pPr>
        <w:pStyle w:val="19"/>
        <w:widowControl/>
        <w:numPr>
          <w:ilvl w:val="0"/>
          <w:numId w:val="9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节能量口径</w:t>
      </w:r>
      <w:r>
        <w:rPr>
          <w:rFonts w:ascii="Times New Roman" w:hAnsi="Times New Roman" w:eastAsia="宋体" w:cs="Times New Roman"/>
          <w:i w:val="0"/>
          <w:color w:val="1F2937"/>
          <w:sz w:val="24"/>
          <w:szCs w:val="24"/>
        </w:rPr>
        <w:t>：设计节能量为立项承诺值，实际节能量以项目运行评估结论为准，二者分列不混用。</w:t>
      </w:r>
    </w:p>
    <w:p w14:paraId="3A18FC48">
      <w:pPr>
        <w:pStyle w:val="19"/>
        <w:widowControl/>
        <w:numPr>
          <w:ilvl w:val="0"/>
          <w:numId w:val="9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筛选口径</w:t>
      </w:r>
      <w:r>
        <w:rPr>
          <w:rFonts w:ascii="Times New Roman" w:hAnsi="Times New Roman" w:eastAsia="宋体" w:cs="Times New Roman"/>
          <w:i w:val="0"/>
          <w:color w:val="1F2937"/>
          <w:sz w:val="24"/>
          <w:szCs w:val="24"/>
        </w:rPr>
        <w:t>：投资额区间为闭区间筛选。</w:t>
      </w:r>
    </w:p>
    <w:p w14:paraId="0A099502">
      <w:pPr>
        <w:pStyle w:val="6"/>
        <w:numPr>
          <w:ilvl w:val="0"/>
          <w:numId w:val="8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5BA2047F">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569EF6DC">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投资额或设计节能量录入负数：触发 </w:t>
            </w:r>
            <w:r>
              <w:rPr>
                <w:rFonts w:hint="eastAsia" w:ascii="宋体" w:hAnsi="宋体" w:eastAsia="宋体" w:cs="宋体"/>
                <w:b w:val="0"/>
                <w:i w:val="0"/>
                <w:iCs w:val="0"/>
                <w:color w:val="0284C7"/>
                <w:sz w:val="24"/>
                <w:szCs w:val="24"/>
              </w:rPr>
              <w:t xml:space="preserve"> E_VAL_ENERGY_NEGATIVE </w:t>
            </w:r>
            <w:r>
              <w:rPr>
                <w:rFonts w:hint="eastAsia" w:ascii="宋体" w:hAnsi="宋体" w:eastAsia="宋体" w:cs="宋体"/>
                <w:i w:val="0"/>
                <w:iCs w:val="0"/>
                <w:color w:val="1F2937"/>
                <w:sz w:val="24"/>
                <w:szCs w:val="24"/>
              </w:rPr>
              <w:t xml:space="preserve"> 类校验，前端红框拦截。</w:t>
            </w:r>
          </w:p>
          <w:p w14:paraId="5BF43056">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竣工日期早于开工日期：前端即时拦截并阻断提交。</w:t>
            </w:r>
          </w:p>
          <w:p w14:paraId="1478508A">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无立项批文的项目：状态不得流转至"并网运行"，流转按钮置灰。</w:t>
            </w:r>
          </w:p>
          <w:p w14:paraId="4473200F">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已竣工归档项目：档案只读，修改须走变更审批。</w:t>
            </w:r>
          </w:p>
        </w:tc>
      </w:tr>
    </w:tbl>
    <w:p w14:paraId="711A5244">
      <w:pPr>
        <w:spacing w:after="40"/>
        <w:rPr>
          <w:rFonts w:hint="eastAsia" w:ascii="宋体" w:hAnsi="宋体" w:eastAsia="宋体" w:cs="宋体"/>
          <w:i w:val="0"/>
          <w:iCs w:val="0"/>
          <w:sz w:val="24"/>
          <w:szCs w:val="24"/>
        </w:rPr>
      </w:pPr>
    </w:p>
    <w:p w14:paraId="6FEEDCB6">
      <w:pPr>
        <w:pStyle w:val="6"/>
        <w:numPr>
          <w:ilvl w:val="0"/>
          <w:numId w:val="87"/>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401EEBEA">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0BEC3E27">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零碳项目档案管理</w:t>
            </w:r>
          </w:p>
          <w:p w14:paraId="0AF41FE1">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日期逻辑校验</w:t>
            </w:r>
          </w:p>
          <w:p w14:paraId="6DBCB4C3">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技改项目经理正在录入一个余热回收项目</w:t>
            </w:r>
          </w:p>
          <w:p w14:paraId="617D9380">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填写的计划竣工日期早于计划开工日期</w:t>
            </w:r>
          </w:p>
          <w:p w14:paraId="70660036">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前端即时拦截并阻断提交</w:t>
            </w:r>
          </w:p>
          <w:p w14:paraId="757B82B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页面提示日期逻辑不成立</w:t>
            </w:r>
          </w:p>
          <w:p w14:paraId="16932AFC">
            <w:pPr>
              <w:spacing w:before="0" w:after="20" w:line="264" w:lineRule="auto"/>
              <w:rPr>
                <w:rFonts w:hint="eastAsia" w:ascii="宋体" w:hAnsi="宋体" w:eastAsia="宋体" w:cs="宋体"/>
                <w:i w:val="0"/>
                <w:iCs w:val="0"/>
                <w:sz w:val="24"/>
                <w:szCs w:val="24"/>
              </w:rPr>
            </w:pPr>
          </w:p>
          <w:p w14:paraId="61D91925">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立项批文缺失阻断状态流转</w:t>
            </w:r>
          </w:p>
          <w:p w14:paraId="230BCAC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某项目尚未上传立项批文附件</w:t>
            </w:r>
          </w:p>
          <w:p w14:paraId="17A95F8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项目经理尝试将项目状态流转至"并网运行"</w:t>
            </w:r>
          </w:p>
          <w:p w14:paraId="7C151437">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流转按钮置灰不可点击</w:t>
            </w:r>
          </w:p>
          <w:p w14:paraId="61A7835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页面不提供任何绕过入口</w:t>
            </w:r>
          </w:p>
        </w:tc>
      </w:tr>
    </w:tbl>
    <w:p w14:paraId="0816B58B">
      <w:pPr>
        <w:spacing w:after="40"/>
        <w:rPr>
          <w:rFonts w:hint="eastAsia" w:ascii="宋体" w:hAnsi="宋体" w:eastAsia="宋体" w:cs="宋体"/>
          <w:i w:val="0"/>
          <w:iCs w:val="0"/>
          <w:sz w:val="24"/>
          <w:szCs w:val="24"/>
        </w:rPr>
      </w:pPr>
    </w:p>
    <w:p w14:paraId="6B2A9630">
      <w:pPr>
        <w:pStyle w:val="5"/>
        <w:numPr>
          <w:ilvl w:val="0"/>
          <w:numId w:val="86"/>
        </w:numPr>
        <w:ind w:left="0" w:leftChars="0" w:firstLine="0" w:firstLineChars="0"/>
        <w:outlineLvl w:val="1"/>
        <w:rPr>
          <w:rFonts w:eastAsia="黑体"/>
          <w:b w:val="0"/>
          <w:bCs w:val="0"/>
          <w:sz w:val="30"/>
          <w:szCs w:val="24"/>
        </w:rPr>
      </w:pPr>
      <w:bookmarkStart w:id="29" w:name="_Toc12557"/>
      <w:r>
        <w:rPr>
          <w:rFonts w:ascii="Times New Roman" w:hAnsi="Times New Roman" w:eastAsia="黑体" w:cs="Times New Roman"/>
          <w:b w:val="0"/>
          <w:bCs w:val="0"/>
          <w:sz w:val="30"/>
          <w:szCs w:val="24"/>
        </w:rPr>
        <w:t>实时监控</w:t>
      </w:r>
      <w:bookmarkEnd w:id="29"/>
    </w:p>
    <w:p w14:paraId="73FE0B80">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drawing>
          <wp:inline distT="0" distB="0" distL="114300" distR="114300">
            <wp:extent cx="5900420" cy="2925445"/>
            <wp:effectExtent l="0" t="0" r="5080" b="8255"/>
            <wp:docPr id="2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3"/>
                    <pic:cNvPicPr>
                      <a:picLocks noChangeAspect="1"/>
                    </pic:cNvPicPr>
                  </pic:nvPicPr>
                  <pic:blipFill>
                    <a:blip r:embed="rId66"/>
                    <a:stretch>
                      <a:fillRect/>
                    </a:stretch>
                  </pic:blipFill>
                  <pic:spPr>
                    <a:xfrm>
                      <a:off x="0" y="0"/>
                      <a:ext cx="5900420" cy="2925445"/>
                    </a:xfrm>
                    <a:prstGeom prst="rect">
                      <a:avLst/>
                    </a:prstGeom>
                    <a:noFill/>
                    <a:ln>
                      <a:noFill/>
                    </a:ln>
                  </pic:spPr>
                </pic:pic>
              </a:graphicData>
            </a:graphic>
          </wp:inline>
        </w:drawing>
      </w:r>
    </w:p>
    <w:p w14:paraId="1007803F">
      <w:pPr>
        <w:pStyle w:val="6"/>
        <w:numPr>
          <w:ilvl w:val="0"/>
          <w:numId w:val="9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67274BCB">
      <w:pPr>
        <w:pStyle w:val="19"/>
        <w:widowControl/>
        <w:numPr>
          <w:ilvl w:val="0"/>
          <w:numId w:val="9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：对已投运的分布式光伏、储能系统及电机变频节能装置的实时运行参数与瞬时功率进行秒级监控。</w:t>
      </w:r>
    </w:p>
    <w:p w14:paraId="4F3DB8D8">
      <w:pPr>
        <w:pStyle w:val="19"/>
        <w:widowControl/>
        <w:numPr>
          <w:ilvl w:val="0"/>
          <w:numId w:val="9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：现场值班工程师、P2 园区能碳专员。</w:t>
      </w:r>
    </w:p>
    <w:p w14:paraId="3036BDC7">
      <w:pPr>
        <w:pStyle w:val="19"/>
        <w:widowControl/>
        <w:numPr>
          <w:ilvl w:val="0"/>
          <w:numId w:val="9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/monitor/project/realtime </w:t>
      </w:r>
      <w:r>
        <w:rPr>
          <w:rFonts w:ascii="Times New Roman" w:hAnsi="Times New Roman" w:eastAsia="宋体" w:cs="Times New Roman"/>
          <w:i w:val="0"/>
          <w:color w:val="1F2937"/>
          <w:sz w:val="24"/>
          <w:szCs w:val="24"/>
        </w:rPr>
        <w:t xml:space="preserve">；子页 </w:t>
      </w:r>
      <w:r>
        <w:rPr>
          <w:rFonts w:ascii="Times New Roman" w:hAnsi="Times New Roman" w:eastAsia="宋体" w:cs="Times New Roman"/>
          <w:b w:val="0"/>
          <w:i w:val="0"/>
          <w:color w:val="0284C7"/>
          <w:sz w:val="24"/>
          <w:szCs w:val="24"/>
        </w:rPr>
        <w:t xml:space="preserve"> /pv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/storage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/heatpump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/hvac </w:t>
      </w:r>
      <w:r>
        <w:rPr>
          <w:rFonts w:ascii="Times New Roman" w:hAnsi="Times New Roman" w:eastAsia="宋体" w:cs="Times New Roman"/>
          <w:i w:val="0"/>
          <w:color w:val="1F2937"/>
          <w:sz w:val="24"/>
          <w:szCs w:val="24"/>
        </w:rPr>
        <w:t>。</w:t>
      </w:r>
    </w:p>
    <w:p w14:paraId="1EEED898">
      <w:pPr>
        <w:pStyle w:val="19"/>
        <w:widowControl/>
        <w:numPr>
          <w:ilvl w:val="0"/>
          <w:numId w:val="9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：项目档案管理纳管清单、新能源资产遥测、设备遥测点位。</w:t>
      </w:r>
    </w:p>
    <w:p w14:paraId="0BB0936A">
      <w:pPr>
        <w:pStyle w:val="19"/>
        <w:widowControl/>
        <w:numPr>
          <w:ilvl w:val="0"/>
          <w:numId w:val="9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：项目运行评估实测数据、微电网调度依据。</w:t>
      </w:r>
    </w:p>
    <w:p w14:paraId="4CE4BAB7">
      <w:pPr>
        <w:pStyle w:val="6"/>
        <w:numPr>
          <w:ilvl w:val="0"/>
          <w:numId w:val="9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4B220A0B">
      <w:pPr>
        <w:pStyle w:val="19"/>
        <w:widowControl/>
        <w:numPr>
          <w:ilvl w:val="0"/>
          <w:numId w:val="9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：对已投运的分布式光伏、储能系统及电机变频节能装置的实时运行参数与瞬时功率进行秒级监控。</w:t>
      </w:r>
    </w:p>
    <w:p w14:paraId="63700099">
      <w:pPr>
        <w:pStyle w:val="19"/>
        <w:widowControl/>
        <w:numPr>
          <w:ilvl w:val="0"/>
          <w:numId w:val="9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0F491AF8">
      <w:pPr>
        <w:pStyle w:val="19"/>
        <w:widowControl/>
        <w:numPr>
          <w:ilvl w:val="0"/>
          <w:numId w:val="94"/>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现场值班工程师</w:t>
      </w:r>
      <w:r>
        <w:rPr>
          <w:rFonts w:ascii="Times New Roman" w:hAnsi="Times New Roman" w:eastAsia="宋体" w:cs="Times New Roman"/>
          <w:i w:val="0"/>
          <w:color w:val="1F2937"/>
          <w:sz w:val="24"/>
          <w:szCs w:val="24"/>
        </w:rPr>
        <w:t>，</w:t>
      </w:r>
    </w:p>
    <w:p w14:paraId="10B060F5">
      <w:pPr>
        <w:pStyle w:val="19"/>
        <w:widowControl/>
        <w:numPr>
          <w:ilvl w:val="0"/>
          <w:numId w:val="94"/>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实时查看各已投运项目的瞬时节电功率与设备工况</w:t>
      </w:r>
      <w:r>
        <w:rPr>
          <w:rFonts w:ascii="Times New Roman" w:hAnsi="Times New Roman" w:eastAsia="宋体" w:cs="Times New Roman"/>
          <w:i w:val="0"/>
          <w:color w:val="1F2937"/>
          <w:sz w:val="24"/>
          <w:szCs w:val="24"/>
        </w:rPr>
        <w:t>，</w:t>
      </w:r>
    </w:p>
    <w:p w14:paraId="205363B2">
      <w:pPr>
        <w:pStyle w:val="19"/>
        <w:widowControl/>
        <w:numPr>
          <w:ilvl w:val="0"/>
          <w:numId w:val="94"/>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确保节能装置处于额定最佳工况</w:t>
      </w:r>
      <w:r>
        <w:rPr>
          <w:rFonts w:ascii="Times New Roman" w:hAnsi="Times New Roman" w:eastAsia="宋体" w:cs="Times New Roman"/>
          <w:i w:val="0"/>
          <w:color w:val="1F2937"/>
          <w:sz w:val="24"/>
          <w:szCs w:val="24"/>
        </w:rPr>
        <w:t>。</w:t>
      </w:r>
    </w:p>
    <w:p w14:paraId="4DC7D3ED">
      <w:pPr>
        <w:pStyle w:val="6"/>
        <w:numPr>
          <w:ilvl w:val="0"/>
          <w:numId w:val="9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350444A9">
      <w:pPr>
        <w:pStyle w:val="19"/>
        <w:widowControl/>
        <w:numPr>
          <w:ilvl w:val="0"/>
          <w:numId w:val="9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实时参数微卡片</w:t>
      </w:r>
      <w:r>
        <w:rPr>
          <w:rFonts w:ascii="Times New Roman" w:hAnsi="Times New Roman" w:eastAsia="宋体" w:cs="Times New Roman"/>
          <w:i w:val="0"/>
          <w:color w:val="1F2937"/>
          <w:sz w:val="24"/>
          <w:szCs w:val="24"/>
        </w:rPr>
        <w:t>：展示瞬时出力、当日累计节能电量、实时设备温度。</w:t>
      </w:r>
    </w:p>
    <w:p w14:paraId="6AFC09AD">
      <w:pPr>
        <w:pStyle w:val="19"/>
        <w:widowControl/>
        <w:numPr>
          <w:ilvl w:val="0"/>
          <w:numId w:val="9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时序运行折线图</w:t>
      </w:r>
      <w:r>
        <w:rPr>
          <w:rFonts w:ascii="Times New Roman" w:hAnsi="Times New Roman" w:eastAsia="宋体" w:cs="Times New Roman"/>
          <w:i w:val="0"/>
          <w:color w:val="1F2937"/>
          <w:sz w:val="24"/>
          <w:szCs w:val="24"/>
        </w:rPr>
        <w:t>：采样周期 5 分钟，展示实际功率曲线与设计功率基线对比。</w:t>
      </w:r>
    </w:p>
    <w:p w14:paraId="7A9B58FD">
      <w:pPr>
        <w:pStyle w:val="19"/>
        <w:widowControl/>
        <w:numPr>
          <w:ilvl w:val="0"/>
          <w:numId w:val="9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子模块划分</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2.1 光伏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2.2 储能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2.3 热泵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2.4 空调 </w:t>
      </w:r>
      <w:r>
        <w:rPr>
          <w:rFonts w:ascii="Times New Roman" w:hAnsi="Times New Roman" w:eastAsia="宋体" w:cs="Times New Roman"/>
          <w:i w:val="0"/>
          <w:color w:val="1F2937"/>
          <w:sz w:val="24"/>
          <w:szCs w:val="24"/>
        </w:rPr>
        <w:t xml:space="preserve"> 四类项目分页监控，各自呈现其专属关键参数。</w:t>
      </w:r>
    </w:p>
    <w:p w14:paraId="5C3F568C">
      <w:pPr>
        <w:pStyle w:val="19"/>
        <w:widowControl/>
        <w:numPr>
          <w:ilvl w:val="0"/>
          <w:numId w:val="9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项目选择器</w:t>
      </w:r>
      <w:r>
        <w:rPr>
          <w:rFonts w:ascii="Times New Roman" w:hAnsi="Times New Roman" w:eastAsia="宋体" w:cs="Times New Roman"/>
          <w:i w:val="0"/>
          <w:color w:val="1F2937"/>
          <w:sz w:val="24"/>
          <w:szCs w:val="24"/>
        </w:rPr>
        <w:t>：左侧按园区 → 项目两级展开，仅展示状态为"并网运行"的项目；未投运项目不出现在选择器内。</w:t>
      </w:r>
    </w:p>
    <w:p w14:paraId="541AE5EE">
      <w:pPr>
        <w:pStyle w:val="19"/>
        <w:widowControl/>
        <w:numPr>
          <w:ilvl w:val="0"/>
          <w:numId w:val="0"/>
        </w:numPr>
        <w:adjustRightInd w:val="0"/>
        <w:spacing w:before="100" w:after="100" w:afterLines="0" w:afterAutospacing="0" w:line="300" w:lineRule="auto"/>
        <w:jc w:val="both"/>
      </w:pPr>
      <w:r>
        <w:rPr>
          <w:rFonts w:hint="eastAsia" w:cs="Times New Roman"/>
          <w:i w:val="0"/>
          <w:color w:val="1F2937"/>
          <w:sz w:val="24"/>
          <w:szCs w:val="24"/>
          <w:lang w:val="en-US" w:eastAsia="zh-CN"/>
        </w:rPr>
        <w:t>光伏：</w:t>
      </w:r>
      <w:r>
        <w:rPr>
          <w:rFonts w:hint="eastAsia" w:cs="Times New Roman"/>
          <w:i w:val="0"/>
          <w:color w:val="1F2937"/>
          <w:sz w:val="24"/>
          <w:szCs w:val="24"/>
          <w:lang w:val="en-US" w:eastAsia="zh-CN"/>
        </w:rPr>
        <w:br w:type="textWrapping"/>
      </w:r>
      <w:r>
        <w:drawing>
          <wp:inline distT="0" distB="0" distL="114300" distR="114300">
            <wp:extent cx="5904865" cy="3836670"/>
            <wp:effectExtent l="0" t="0" r="635" b="11430"/>
            <wp:docPr id="134"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图片 88"/>
                    <pic:cNvPicPr>
                      <a:picLocks noChangeAspect="1"/>
                    </pic:cNvPicPr>
                  </pic:nvPicPr>
                  <pic:blipFill>
                    <a:blip r:embed="rId67"/>
                    <a:stretch>
                      <a:fillRect/>
                    </a:stretch>
                  </pic:blipFill>
                  <pic:spPr>
                    <a:xfrm>
                      <a:off x="0" y="0"/>
                      <a:ext cx="5904865" cy="3836670"/>
                    </a:xfrm>
                    <a:prstGeom prst="rect">
                      <a:avLst/>
                    </a:prstGeom>
                    <a:noFill/>
                    <a:ln>
                      <a:noFill/>
                    </a:ln>
                  </pic:spPr>
                </pic:pic>
              </a:graphicData>
            </a:graphic>
          </wp:inline>
        </w:drawing>
      </w:r>
    </w:p>
    <w:p w14:paraId="59C7CAD6">
      <w:pPr>
        <w:pStyle w:val="19"/>
        <w:widowControl/>
        <w:numPr>
          <w:ilvl w:val="0"/>
          <w:numId w:val="0"/>
        </w:numPr>
        <w:adjustRightInd w:val="0"/>
        <w:spacing w:before="100" w:after="100" w:afterLines="0" w:afterAutospacing="0" w:line="300" w:lineRule="auto"/>
        <w:jc w:val="both"/>
      </w:pPr>
    </w:p>
    <w:p w14:paraId="576CFD3B">
      <w:pPr>
        <w:pStyle w:val="19"/>
        <w:widowControl/>
        <w:numPr>
          <w:ilvl w:val="0"/>
          <w:numId w:val="0"/>
        </w:numPr>
        <w:adjustRightInd w:val="0"/>
        <w:spacing w:before="100" w:after="100" w:afterLines="0" w:afterAutospacing="0" w:line="300" w:lineRule="auto"/>
        <w:jc w:val="both"/>
      </w:pPr>
      <w:r>
        <w:rPr>
          <w:rFonts w:hint="eastAsia"/>
          <w:lang w:val="en-US" w:eastAsia="zh-CN"/>
        </w:rPr>
        <w:t>储能：</w:t>
      </w:r>
      <w:r>
        <w:rPr>
          <w:rFonts w:hint="eastAsia"/>
          <w:lang w:val="en-US" w:eastAsia="zh-CN"/>
        </w:rPr>
        <w:br w:type="textWrapping"/>
      </w:r>
      <w:r>
        <w:drawing>
          <wp:inline distT="0" distB="0" distL="114300" distR="114300">
            <wp:extent cx="5913755" cy="3926205"/>
            <wp:effectExtent l="0" t="0" r="10795" b="17145"/>
            <wp:docPr id="135"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图片 89"/>
                    <pic:cNvPicPr>
                      <a:picLocks noChangeAspect="1"/>
                    </pic:cNvPicPr>
                  </pic:nvPicPr>
                  <pic:blipFill>
                    <a:blip r:embed="rId68"/>
                    <a:stretch>
                      <a:fillRect/>
                    </a:stretch>
                  </pic:blipFill>
                  <pic:spPr>
                    <a:xfrm>
                      <a:off x="0" y="0"/>
                      <a:ext cx="5913755" cy="3926205"/>
                    </a:xfrm>
                    <a:prstGeom prst="rect">
                      <a:avLst/>
                    </a:prstGeom>
                    <a:noFill/>
                    <a:ln>
                      <a:noFill/>
                    </a:ln>
                  </pic:spPr>
                </pic:pic>
              </a:graphicData>
            </a:graphic>
          </wp:inline>
        </w:drawing>
      </w:r>
    </w:p>
    <w:p w14:paraId="4B783382">
      <w:pPr>
        <w:pStyle w:val="19"/>
        <w:widowControl/>
        <w:numPr>
          <w:ilvl w:val="0"/>
          <w:numId w:val="0"/>
        </w:numPr>
        <w:adjustRightInd w:val="0"/>
        <w:spacing w:before="100" w:after="100" w:afterLines="0" w:afterAutospacing="0" w:line="300" w:lineRule="auto"/>
        <w:jc w:val="both"/>
      </w:pPr>
    </w:p>
    <w:p w14:paraId="5C79657D">
      <w:pPr>
        <w:pStyle w:val="19"/>
        <w:widowControl/>
        <w:numPr>
          <w:ilvl w:val="0"/>
          <w:numId w:val="0"/>
        </w:numPr>
        <w:adjustRightInd w:val="0"/>
        <w:spacing w:before="100" w:after="100" w:afterLines="0" w:afterAutospacing="0" w:line="300" w:lineRule="auto"/>
        <w:jc w:val="both"/>
      </w:pPr>
      <w:r>
        <w:rPr>
          <w:rFonts w:hint="eastAsia"/>
          <w:lang w:val="en-US" w:eastAsia="zh-CN"/>
        </w:rPr>
        <w:t>热泵：</w:t>
      </w:r>
      <w:r>
        <w:rPr>
          <w:rFonts w:hint="eastAsia"/>
          <w:lang w:val="en-US" w:eastAsia="zh-CN"/>
        </w:rPr>
        <w:br w:type="textWrapping"/>
      </w:r>
      <w:r>
        <w:drawing>
          <wp:inline distT="0" distB="0" distL="114300" distR="114300">
            <wp:extent cx="5909310" cy="3850005"/>
            <wp:effectExtent l="0" t="0" r="15240" b="17145"/>
            <wp:docPr id="136"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图片 90"/>
                    <pic:cNvPicPr>
                      <a:picLocks noChangeAspect="1"/>
                    </pic:cNvPicPr>
                  </pic:nvPicPr>
                  <pic:blipFill>
                    <a:blip r:embed="rId69"/>
                    <a:stretch>
                      <a:fillRect/>
                    </a:stretch>
                  </pic:blipFill>
                  <pic:spPr>
                    <a:xfrm>
                      <a:off x="0" y="0"/>
                      <a:ext cx="5909310" cy="3850005"/>
                    </a:xfrm>
                    <a:prstGeom prst="rect">
                      <a:avLst/>
                    </a:prstGeom>
                    <a:noFill/>
                    <a:ln>
                      <a:noFill/>
                    </a:ln>
                  </pic:spPr>
                </pic:pic>
              </a:graphicData>
            </a:graphic>
          </wp:inline>
        </w:drawing>
      </w:r>
    </w:p>
    <w:p w14:paraId="22294CC3">
      <w:pPr>
        <w:pStyle w:val="19"/>
        <w:widowControl/>
        <w:numPr>
          <w:ilvl w:val="0"/>
          <w:numId w:val="0"/>
        </w:numPr>
        <w:adjustRightInd w:val="0"/>
        <w:spacing w:before="100" w:after="100" w:afterLines="0" w:afterAutospacing="0" w:line="300" w:lineRule="auto"/>
        <w:jc w:val="both"/>
      </w:pPr>
    </w:p>
    <w:p w14:paraId="06551AD5">
      <w:pPr>
        <w:pStyle w:val="19"/>
        <w:widowControl/>
        <w:numPr>
          <w:ilvl w:val="0"/>
          <w:numId w:val="0"/>
        </w:numPr>
        <w:adjustRightInd w:val="0"/>
        <w:spacing w:before="100" w:after="100" w:afterLines="0" w:afterAutospacing="0" w:line="300" w:lineRule="auto"/>
        <w:jc w:val="both"/>
        <w:rPr>
          <w:rFonts w:hint="eastAsia" w:eastAsia="宋体"/>
          <w:lang w:val="en-US" w:eastAsia="zh-CN"/>
        </w:rPr>
      </w:pPr>
      <w:r>
        <w:rPr>
          <w:rFonts w:hint="eastAsia"/>
          <w:lang w:val="en-US" w:eastAsia="zh-CN"/>
        </w:rPr>
        <w:t>空调：</w:t>
      </w:r>
      <w:r>
        <w:rPr>
          <w:rFonts w:hint="eastAsia"/>
          <w:lang w:val="en-US" w:eastAsia="zh-CN"/>
        </w:rPr>
        <w:br w:type="textWrapping"/>
      </w:r>
      <w:r>
        <w:drawing>
          <wp:inline distT="0" distB="0" distL="114300" distR="114300">
            <wp:extent cx="5913755" cy="3881120"/>
            <wp:effectExtent l="0" t="0" r="10795" b="5080"/>
            <wp:docPr id="137"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图片 91"/>
                    <pic:cNvPicPr>
                      <a:picLocks noChangeAspect="1"/>
                    </pic:cNvPicPr>
                  </pic:nvPicPr>
                  <pic:blipFill>
                    <a:blip r:embed="rId70"/>
                    <a:stretch>
                      <a:fillRect/>
                    </a:stretch>
                  </pic:blipFill>
                  <pic:spPr>
                    <a:xfrm>
                      <a:off x="0" y="0"/>
                      <a:ext cx="5913755" cy="3881120"/>
                    </a:xfrm>
                    <a:prstGeom prst="rect">
                      <a:avLst/>
                    </a:prstGeom>
                    <a:noFill/>
                    <a:ln>
                      <a:noFill/>
                    </a:ln>
                  </pic:spPr>
                </pic:pic>
              </a:graphicData>
            </a:graphic>
          </wp:inline>
        </w:drawing>
      </w:r>
    </w:p>
    <w:p w14:paraId="05D3EBC0">
      <w:pPr>
        <w:pStyle w:val="19"/>
        <w:widowControl/>
        <w:numPr>
          <w:ilvl w:val="0"/>
          <w:numId w:val="0"/>
        </w:numPr>
        <w:adjustRightInd w:val="0"/>
        <w:spacing w:before="100" w:after="100" w:afterLines="0" w:afterAutospacing="0" w:line="300" w:lineRule="auto"/>
        <w:jc w:val="both"/>
        <w:rPr>
          <w:rFonts w:hint="default"/>
          <w:lang w:val="en-US" w:eastAsia="zh-CN"/>
        </w:rPr>
      </w:pPr>
    </w:p>
    <w:p w14:paraId="53374346">
      <w:pPr>
        <w:pStyle w:val="19"/>
        <w:widowControl/>
        <w:numPr>
          <w:ilvl w:val="0"/>
          <w:numId w:val="0"/>
        </w:numPr>
        <w:adjustRightInd w:val="0"/>
        <w:spacing w:before="100" w:after="100" w:afterLines="0" w:afterAutospacing="0" w:line="300" w:lineRule="auto"/>
        <w:jc w:val="both"/>
        <w:rPr>
          <w:rFonts w:hint="default"/>
          <w:lang w:val="en-US" w:eastAsia="zh-CN"/>
        </w:rPr>
      </w:pPr>
    </w:p>
    <w:p w14:paraId="33476929">
      <w:pPr>
        <w:pStyle w:val="6"/>
        <w:numPr>
          <w:ilvl w:val="0"/>
          <w:numId w:val="9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24"/>
        <w:gridCol w:w="1788"/>
        <w:gridCol w:w="1306"/>
        <w:gridCol w:w="893"/>
        <w:gridCol w:w="1716"/>
        <w:gridCol w:w="3257"/>
      </w:tblGrid>
      <w:tr w14:paraId="1A487E66">
        <w:tblPrEx>
          <w:tblCellMar>
            <w:top w:w="0" w:type="dxa"/>
            <w:left w:w="108" w:type="dxa"/>
            <w:bottom w:w="0" w:type="dxa"/>
            <w:right w:w="108" w:type="dxa"/>
          </w:tblCellMar>
        </w:tblPrEx>
        <w:trPr>
          <w:jc w:val="center"/>
        </w:trPr>
        <w:tc>
          <w:tcPr>
            <w:tcW w:w="82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EE25C9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178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8E22DE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30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D32AE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62B0CE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98D94E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适用项目类型</w:t>
            </w:r>
          </w:p>
        </w:tc>
        <w:tc>
          <w:tcPr>
            <w:tcW w:w="325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B7DCF2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19A4A94D">
        <w:tblPrEx>
          <w:tblCellMar>
            <w:top w:w="0" w:type="dxa"/>
            <w:left w:w="108" w:type="dxa"/>
            <w:bottom w:w="0" w:type="dxa"/>
            <w:right w:w="108" w:type="dxa"/>
          </w:tblCellMar>
        </w:tblPrEx>
        <w:trPr>
          <w:jc w:val="center"/>
        </w:trPr>
        <w:tc>
          <w:tcPr>
            <w:tcW w:w="82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92AC55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178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BB21D2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瞬时出力</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9D834F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250B49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01D2A5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光伏/储能/热泵/空调</w:t>
            </w:r>
          </w:p>
        </w:tc>
        <w:tc>
          <w:tcPr>
            <w:tcW w:w="32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B76505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0，采样周期 5 分钟</w:t>
            </w:r>
          </w:p>
        </w:tc>
      </w:tr>
      <w:tr w14:paraId="612A7D40">
        <w:tblPrEx>
          <w:tblCellMar>
            <w:top w:w="0" w:type="dxa"/>
            <w:left w:w="108" w:type="dxa"/>
            <w:bottom w:w="0" w:type="dxa"/>
            <w:right w:w="108" w:type="dxa"/>
          </w:tblCellMar>
        </w:tblPrEx>
        <w:trPr>
          <w:jc w:val="center"/>
        </w:trPr>
        <w:tc>
          <w:tcPr>
            <w:tcW w:w="82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754D66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178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D9E5D0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当日累计节能电量</w:t>
            </w:r>
          </w:p>
        </w:tc>
        <w:tc>
          <w:tcPr>
            <w:tcW w:w="130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5BEEA3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B8D42E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7898B4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全类型</w:t>
            </w:r>
          </w:p>
        </w:tc>
        <w:tc>
          <w:tcPr>
            <w:tcW w:w="32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E8DE8F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0，每日 0 点清零日累计</w:t>
            </w:r>
          </w:p>
        </w:tc>
      </w:tr>
      <w:tr w14:paraId="14C6A07C">
        <w:tblPrEx>
          <w:tblCellMar>
            <w:top w:w="0" w:type="dxa"/>
            <w:left w:w="108" w:type="dxa"/>
            <w:bottom w:w="0" w:type="dxa"/>
            <w:right w:w="108" w:type="dxa"/>
          </w:tblCellMar>
        </w:tblPrEx>
        <w:trPr>
          <w:jc w:val="center"/>
        </w:trPr>
        <w:tc>
          <w:tcPr>
            <w:tcW w:w="82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370B2B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178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BFA99C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实时设备温度</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582684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6D82D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CF39C1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热泵/空调/储能</w:t>
            </w:r>
          </w:p>
        </w:tc>
        <w:tc>
          <w:tcPr>
            <w:tcW w:w="32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C13E36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超额定上限触发越限告警</w:t>
            </w:r>
          </w:p>
        </w:tc>
      </w:tr>
      <w:tr w14:paraId="36A34133">
        <w:tblPrEx>
          <w:tblCellMar>
            <w:top w:w="0" w:type="dxa"/>
            <w:left w:w="108" w:type="dxa"/>
            <w:bottom w:w="0" w:type="dxa"/>
            <w:right w:w="108" w:type="dxa"/>
          </w:tblCellMar>
        </w:tblPrEx>
        <w:trPr>
          <w:jc w:val="center"/>
        </w:trPr>
        <w:tc>
          <w:tcPr>
            <w:tcW w:w="82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618022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178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1FF7EC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设计功率基线</w:t>
            </w:r>
          </w:p>
        </w:tc>
        <w:tc>
          <w:tcPr>
            <w:tcW w:w="130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BA9D7C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483E2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EF898E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全类型</w:t>
            </w:r>
          </w:p>
        </w:tc>
        <w:tc>
          <w:tcPr>
            <w:tcW w:w="32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5C01E7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取自项目设计节能量折算值</w:t>
            </w:r>
          </w:p>
        </w:tc>
      </w:tr>
      <w:tr w14:paraId="6599FAB9">
        <w:tblPrEx>
          <w:tblCellMar>
            <w:top w:w="0" w:type="dxa"/>
            <w:left w:w="108" w:type="dxa"/>
            <w:bottom w:w="0" w:type="dxa"/>
            <w:right w:w="108" w:type="dxa"/>
          </w:tblCellMar>
        </w:tblPrEx>
        <w:trPr>
          <w:jc w:val="center"/>
        </w:trPr>
        <w:tc>
          <w:tcPr>
            <w:tcW w:w="82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E27D89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178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781E61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实测功率偏差</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B5FC03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DF4D0C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8EFF91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全类型</w:t>
            </w:r>
          </w:p>
        </w:tc>
        <w:tc>
          <w:tcPr>
            <w:tcW w:w="32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5B9022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(实测 − 设计) / 设计 × 100%，分母为 0 显示 </w:t>
            </w:r>
            <w:r>
              <w:rPr>
                <w:rFonts w:hint="eastAsia" w:ascii="宋体" w:hAnsi="宋体" w:eastAsia="宋体" w:cs="宋体"/>
                <w:b w:val="0"/>
                <w:i w:val="0"/>
                <w:iCs w:val="0"/>
                <w:color w:val="0284C7"/>
                <w:sz w:val="24"/>
                <w:szCs w:val="24"/>
              </w:rPr>
              <w:t xml:space="preserve"> -- </w:t>
            </w:r>
          </w:p>
        </w:tc>
      </w:tr>
      <w:tr w14:paraId="2AA6261E">
        <w:tblPrEx>
          <w:tblCellMar>
            <w:top w:w="0" w:type="dxa"/>
            <w:left w:w="108" w:type="dxa"/>
            <w:bottom w:w="0" w:type="dxa"/>
            <w:right w:w="108" w:type="dxa"/>
          </w:tblCellMar>
        </w:tblPrEx>
        <w:trPr>
          <w:jc w:val="center"/>
        </w:trPr>
        <w:tc>
          <w:tcPr>
            <w:tcW w:w="82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6B5D2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178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014575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设备运行状态</w:t>
            </w:r>
          </w:p>
        </w:tc>
        <w:tc>
          <w:tcPr>
            <w:tcW w:w="130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BAAC73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679D51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3F67A5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全类型</w:t>
            </w:r>
          </w:p>
        </w:tc>
        <w:tc>
          <w:tcPr>
            <w:tcW w:w="32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97A54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运行 / 待机 / 离线 / 故障</w:t>
            </w:r>
          </w:p>
        </w:tc>
      </w:tr>
      <w:tr w14:paraId="3FD6D32B">
        <w:tblPrEx>
          <w:tblCellMar>
            <w:top w:w="0" w:type="dxa"/>
            <w:left w:w="108" w:type="dxa"/>
            <w:bottom w:w="0" w:type="dxa"/>
            <w:right w:w="108" w:type="dxa"/>
          </w:tblCellMar>
        </w:tblPrEx>
        <w:trPr>
          <w:jc w:val="center"/>
        </w:trPr>
        <w:tc>
          <w:tcPr>
            <w:tcW w:w="82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E1DC2F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178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E8BF4D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累计节能量</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DF50ED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89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7EA836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w:t>
            </w:r>
          </w:p>
        </w:tc>
        <w:tc>
          <w:tcPr>
            <w:tcW w:w="17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18E741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全类型</w:t>
            </w:r>
          </w:p>
        </w:tc>
        <w:tc>
          <w:tcPr>
            <w:tcW w:w="32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A258C8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0，用于项目运行评估输入</w:t>
            </w:r>
          </w:p>
        </w:tc>
      </w:tr>
    </w:tbl>
    <w:p w14:paraId="6F995E70">
      <w:pPr>
        <w:spacing w:after="60"/>
        <w:rPr>
          <w:rFonts w:hint="eastAsia" w:ascii="宋体" w:hAnsi="宋体" w:eastAsia="宋体" w:cs="宋体"/>
          <w:i w:val="0"/>
          <w:iCs w:val="0"/>
          <w:sz w:val="24"/>
          <w:szCs w:val="24"/>
        </w:rPr>
      </w:pPr>
    </w:p>
    <w:p w14:paraId="171CB2BE">
      <w:pPr>
        <w:pStyle w:val="6"/>
        <w:numPr>
          <w:ilvl w:val="0"/>
          <w:numId w:val="9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2FF82EFD">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58342BA4">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Deviation = ( P_actual - P_design ) / P_design × 100%   实测功率与设计基线偏差</w:t>
            </w:r>
          </w:p>
          <w:p w14:paraId="16F1A230">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E_saved_day = Σ ( P_actual × Δt ) / 1000              当日累计节能电量</w:t>
            </w:r>
          </w:p>
          <w:p w14:paraId="6EFB09F4">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E_saved_tce = E_saved_day × k_elec                      节能量折标煤</w:t>
            </w:r>
          </w:p>
          <w:p w14:paraId="65F85641">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η_sys = P_out / P_in × 100%                            系统综合效率</w:t>
            </w:r>
          </w:p>
        </w:tc>
      </w:tr>
    </w:tbl>
    <w:p w14:paraId="46B5F521">
      <w:pPr>
        <w:spacing w:after="40"/>
        <w:rPr>
          <w:rFonts w:hint="eastAsia" w:ascii="宋体" w:hAnsi="宋体" w:eastAsia="宋体" w:cs="宋体"/>
          <w:i w:val="0"/>
          <w:iCs w:val="0"/>
          <w:sz w:val="24"/>
          <w:szCs w:val="24"/>
        </w:rPr>
      </w:pPr>
    </w:p>
    <w:p w14:paraId="6E1B4588">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w:t>
      </w:r>
      <w:r>
        <w:rPr>
          <w:rFonts w:ascii="Times New Roman" w:hAnsi="Times New Roman" w:eastAsia="宋体" w:cs="Times New Roman"/>
          <w:b w:val="0"/>
          <w:i w:val="0"/>
          <w:color w:val="0284C7"/>
          <w:sz w:val="24"/>
          <w:szCs w:val="24"/>
        </w:rPr>
        <w:t xml:space="preserve"> P_design </w:t>
      </w:r>
      <w:r>
        <w:rPr>
          <w:rFonts w:ascii="Times New Roman" w:hAnsi="Times New Roman" w:eastAsia="宋体" w:cs="Times New Roman"/>
          <w:i w:val="0"/>
          <w:color w:val="1F2937"/>
          <w:sz w:val="24"/>
          <w:szCs w:val="24"/>
        </w:rPr>
        <w:t xml:space="preserve"> 为项目设计功率基线；</w:t>
      </w:r>
      <w:r>
        <w:rPr>
          <w:rFonts w:ascii="Times New Roman" w:hAnsi="Times New Roman" w:eastAsia="宋体" w:cs="Times New Roman"/>
          <w:b w:val="0"/>
          <w:i w:val="0"/>
          <w:color w:val="0284C7"/>
          <w:sz w:val="24"/>
          <w:szCs w:val="24"/>
        </w:rPr>
        <w:t xml:space="preserve"> Δt </w:t>
      </w:r>
      <w:r>
        <w:rPr>
          <w:rFonts w:ascii="Times New Roman" w:hAnsi="Times New Roman" w:eastAsia="宋体" w:cs="Times New Roman"/>
          <w:i w:val="0"/>
          <w:color w:val="1F2937"/>
          <w:sz w:val="24"/>
          <w:szCs w:val="24"/>
        </w:rPr>
        <w:t xml:space="preserve"> 为 5 分钟采样间隔；</w:t>
      </w:r>
      <w:r>
        <w:rPr>
          <w:rFonts w:ascii="Times New Roman" w:hAnsi="Times New Roman" w:eastAsia="宋体" w:cs="Times New Roman"/>
          <w:b w:val="0"/>
          <w:i w:val="0"/>
          <w:color w:val="0284C7"/>
          <w:sz w:val="24"/>
          <w:szCs w:val="24"/>
        </w:rPr>
        <w:t xml:space="preserve"> k_elec </w:t>
      </w:r>
      <w:r>
        <w:rPr>
          <w:rFonts w:ascii="Times New Roman" w:hAnsi="Times New Roman" w:eastAsia="宋体" w:cs="Times New Roman"/>
          <w:i w:val="0"/>
          <w:color w:val="1F2937"/>
          <w:sz w:val="24"/>
          <w:szCs w:val="24"/>
        </w:rPr>
        <w:t xml:space="preserve"> 为电力折标准煤系数。</w:t>
      </w:r>
    </w:p>
    <w:p w14:paraId="0E6B475E">
      <w:pPr>
        <w:pStyle w:val="6"/>
        <w:numPr>
          <w:ilvl w:val="0"/>
          <w:numId w:val="9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33370E85">
      <w:pPr>
        <w:pStyle w:val="19"/>
        <w:widowControl/>
        <w:numPr>
          <w:ilvl w:val="0"/>
          <w:numId w:val="9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对比口径</w:t>
      </w:r>
      <w:r>
        <w:rPr>
          <w:rFonts w:ascii="Times New Roman" w:hAnsi="Times New Roman" w:eastAsia="宋体" w:cs="Times New Roman"/>
          <w:i w:val="0"/>
          <w:color w:val="1F2937"/>
          <w:sz w:val="24"/>
          <w:szCs w:val="24"/>
        </w:rPr>
        <w:t>：实测功率必须与设计功率基线同图对比，偏差以百分比呈现。</w:t>
      </w:r>
    </w:p>
    <w:p w14:paraId="668B7653">
      <w:pPr>
        <w:pStyle w:val="19"/>
        <w:widowControl/>
        <w:numPr>
          <w:ilvl w:val="0"/>
          <w:numId w:val="9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采样口径</w:t>
      </w:r>
      <w:r>
        <w:rPr>
          <w:rFonts w:ascii="Times New Roman" w:hAnsi="Times New Roman" w:eastAsia="宋体" w:cs="Times New Roman"/>
          <w:i w:val="0"/>
          <w:color w:val="1F2937"/>
          <w:sz w:val="24"/>
          <w:szCs w:val="24"/>
        </w:rPr>
        <w:t>：实时监控采样周期固定 5 分钟；秒级刷新仅用于设备关键点位。</w:t>
      </w:r>
    </w:p>
    <w:p w14:paraId="14C3A7ED">
      <w:pPr>
        <w:pStyle w:val="19"/>
        <w:widowControl/>
        <w:numPr>
          <w:ilvl w:val="0"/>
          <w:numId w:val="9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节能口径</w:t>
      </w:r>
      <w:r>
        <w:rPr>
          <w:rFonts w:ascii="Times New Roman" w:hAnsi="Times New Roman" w:eastAsia="宋体" w:cs="Times New Roman"/>
          <w:i w:val="0"/>
          <w:color w:val="1F2937"/>
          <w:sz w:val="24"/>
          <w:szCs w:val="24"/>
        </w:rPr>
        <w:t>：当日累计节能电量为实测值，实测功率低于设计基线的时段按 0 计而不计负值。</w:t>
      </w:r>
    </w:p>
    <w:p w14:paraId="68AC47B6">
      <w:pPr>
        <w:pStyle w:val="6"/>
        <w:numPr>
          <w:ilvl w:val="0"/>
          <w:numId w:val="9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4DF4A970">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2143F75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项目离线：卡片显示"设备离线"并保留最后一次有效读数，不阻断其他项目渲染。</w:t>
            </w:r>
          </w:p>
          <w:p w14:paraId="591F204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设备温度越限：触发告警中心事件并红框高亮卡片。</w:t>
            </w:r>
          </w:p>
          <w:p w14:paraId="080A591E">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设计基线为 0 或缺失：偏差显示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，不以 0 代替。</w:t>
            </w:r>
          </w:p>
          <w:p w14:paraId="06E19FB2">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未投运项目：不出现在监控选择器内，无解释性文案。</w:t>
            </w:r>
          </w:p>
        </w:tc>
      </w:tr>
    </w:tbl>
    <w:p w14:paraId="20E5DAFB">
      <w:pPr>
        <w:spacing w:after="40"/>
        <w:rPr>
          <w:rFonts w:hint="eastAsia" w:ascii="宋体" w:hAnsi="宋体" w:eastAsia="宋体" w:cs="宋体"/>
          <w:i w:val="0"/>
          <w:iCs w:val="0"/>
          <w:sz w:val="24"/>
          <w:szCs w:val="24"/>
        </w:rPr>
      </w:pPr>
    </w:p>
    <w:p w14:paraId="135EB583">
      <w:pPr>
        <w:pStyle w:val="6"/>
        <w:numPr>
          <w:ilvl w:val="0"/>
          <w:numId w:val="92"/>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6A870E2A">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2C609450">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零碳项目实时监控</w:t>
            </w:r>
          </w:p>
          <w:p w14:paraId="1D1DA8ED">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实测与设计基线对比</w:t>
            </w:r>
          </w:p>
          <w:p w14:paraId="2D04117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某分布式光伏项目已并网运行且配置了设计功率基线</w:t>
            </w:r>
          </w:p>
          <w:p w14:paraId="036EF86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页面以 5 分钟采样周期渲染时序运行折线图</w:t>
            </w:r>
          </w:p>
          <w:p w14:paraId="2A1B1011">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同图呈现实际功率曲线与设计功率基线</w:t>
            </w:r>
          </w:p>
          <w:p w14:paraId="5E9D9DF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实测功率偏差按（实测 − 设计）÷ 设计 × 100% 计算</w:t>
            </w:r>
          </w:p>
          <w:p w14:paraId="2C99B84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设计基线为 0 时偏差显示 "--"</w:t>
            </w:r>
          </w:p>
          <w:p w14:paraId="2A641BFC">
            <w:pPr>
              <w:spacing w:before="0" w:after="20" w:line="264" w:lineRule="auto"/>
              <w:rPr>
                <w:rFonts w:hint="eastAsia" w:ascii="宋体" w:hAnsi="宋体" w:eastAsia="宋体" w:cs="宋体"/>
                <w:i w:val="0"/>
                <w:iCs w:val="0"/>
                <w:sz w:val="24"/>
                <w:szCs w:val="24"/>
              </w:rPr>
            </w:pPr>
          </w:p>
          <w:p w14:paraId="68CED4AD">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未投运项目不可监控</w:t>
            </w:r>
          </w:p>
          <w:p w14:paraId="260E67B1">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某储能项目状态仍为"在建"</w:t>
            </w:r>
          </w:p>
          <w:p w14:paraId="62B8BA71">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用户展开实时监控左侧项目选择器</w:t>
            </w:r>
          </w:p>
          <w:p w14:paraId="1D8771B1">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该项目不出现在选择器列表中</w:t>
            </w:r>
          </w:p>
          <w:p w14:paraId="7028C66F">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页面不弹出任何解释性文案</w:t>
            </w:r>
          </w:p>
        </w:tc>
      </w:tr>
    </w:tbl>
    <w:p w14:paraId="113DDEF2">
      <w:pPr>
        <w:pStyle w:val="5"/>
        <w:numPr>
          <w:ilvl w:val="0"/>
          <w:numId w:val="86"/>
        </w:numPr>
        <w:ind w:left="0" w:leftChars="0" w:firstLine="0" w:firstLineChars="0"/>
        <w:outlineLvl w:val="1"/>
        <w:rPr>
          <w:rFonts w:eastAsia="黑体"/>
          <w:b w:val="0"/>
          <w:bCs w:val="0"/>
          <w:sz w:val="30"/>
          <w:szCs w:val="24"/>
        </w:rPr>
      </w:pPr>
      <w:bookmarkStart w:id="30" w:name="_Toc25143"/>
      <w:r>
        <w:rPr>
          <w:rFonts w:ascii="Times New Roman" w:hAnsi="Times New Roman" w:eastAsia="黑体" w:cs="Times New Roman"/>
          <w:b w:val="0"/>
          <w:bCs w:val="0"/>
          <w:sz w:val="30"/>
          <w:szCs w:val="24"/>
        </w:rPr>
        <w:t>项目运行评估</w:t>
      </w:r>
      <w:bookmarkEnd w:id="30"/>
    </w:p>
    <w:p w14:paraId="4D3A633B">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drawing>
          <wp:inline distT="0" distB="0" distL="114300" distR="114300">
            <wp:extent cx="5900420" cy="2925445"/>
            <wp:effectExtent l="0" t="0" r="5080" b="8255"/>
            <wp:docPr id="3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4"/>
                    <pic:cNvPicPr>
                      <a:picLocks noChangeAspect="1"/>
                    </pic:cNvPicPr>
                  </pic:nvPicPr>
                  <pic:blipFill>
                    <a:blip r:embed="rId71"/>
                    <a:stretch>
                      <a:fillRect/>
                    </a:stretch>
                  </pic:blipFill>
                  <pic:spPr>
                    <a:xfrm>
                      <a:off x="0" y="0"/>
                      <a:ext cx="5900420" cy="2925445"/>
                    </a:xfrm>
                    <a:prstGeom prst="rect">
                      <a:avLst/>
                    </a:prstGeom>
                    <a:noFill/>
                    <a:ln>
                      <a:noFill/>
                    </a:ln>
                  </pic:spPr>
                </pic:pic>
              </a:graphicData>
            </a:graphic>
          </wp:inline>
        </w:drawing>
      </w:r>
    </w:p>
    <w:p w14:paraId="08ED313A">
      <w:pPr>
        <w:pStyle w:val="6"/>
        <w:numPr>
          <w:ilvl w:val="0"/>
          <w:numId w:val="9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4B0A2E10">
      <w:pPr>
        <w:pStyle w:val="19"/>
        <w:widowControl/>
        <w:numPr>
          <w:ilvl w:val="0"/>
          <w:numId w:val="9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：遵循国际通用 IPMVP 测量与验证（M&amp;V）规程，测算节能量、节约费用与动态投资回收期，形成节能技改项目效益闭环。</w:t>
      </w:r>
    </w:p>
    <w:p w14:paraId="344E8211">
      <w:pPr>
        <w:pStyle w:val="19"/>
        <w:widowControl/>
        <w:numPr>
          <w:ilvl w:val="0"/>
          <w:numId w:val="9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：技改项目经理、P2 园区能碳专员、P6 外部审计机构（只读核验）。</w:t>
      </w:r>
    </w:p>
    <w:p w14:paraId="044D3AA6">
      <w:pPr>
        <w:pStyle w:val="19"/>
        <w:widowControl/>
        <w:numPr>
          <w:ilvl w:val="0"/>
          <w:numId w:val="9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/monitor/project/evaluation </w:t>
      </w:r>
      <w:r>
        <w:rPr>
          <w:rFonts w:ascii="Times New Roman" w:hAnsi="Times New Roman" w:eastAsia="宋体" w:cs="Times New Roman"/>
          <w:i w:val="0"/>
          <w:color w:val="1F2937"/>
          <w:sz w:val="24"/>
          <w:szCs w:val="24"/>
        </w:rPr>
        <w:t xml:space="preserve">；子页 </w:t>
      </w:r>
      <w:r>
        <w:rPr>
          <w:rFonts w:ascii="Times New Roman" w:hAnsi="Times New Roman" w:eastAsia="宋体" w:cs="Times New Roman"/>
          <w:b w:val="0"/>
          <w:i w:val="0"/>
          <w:color w:val="0284C7"/>
          <w:sz w:val="24"/>
          <w:szCs w:val="24"/>
        </w:rPr>
        <w:t xml:space="preserve"> /storage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/pv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/heatpump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/hvac </w:t>
      </w:r>
      <w:r>
        <w:rPr>
          <w:rFonts w:ascii="Times New Roman" w:hAnsi="Times New Roman" w:eastAsia="宋体" w:cs="Times New Roman"/>
          <w:i w:val="0"/>
          <w:color w:val="1F2937"/>
          <w:sz w:val="24"/>
          <w:szCs w:val="24"/>
        </w:rPr>
        <w:t>。</w:t>
      </w:r>
    </w:p>
    <w:p w14:paraId="3CFF45C0">
      <w:pPr>
        <w:pStyle w:val="19"/>
        <w:widowControl/>
        <w:numPr>
          <w:ilvl w:val="0"/>
          <w:numId w:val="9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：项目档案管理设计指标、实时监控实测能耗、财务节能现金流数据。</w:t>
      </w:r>
    </w:p>
    <w:p w14:paraId="17AD8E1C">
      <w:pPr>
        <w:pStyle w:val="19"/>
        <w:widowControl/>
        <w:numPr>
          <w:ilvl w:val="0"/>
          <w:numId w:val="9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：节能效益评估状态机流转结论、零碳工厂自评估佐证材料。</w:t>
      </w:r>
    </w:p>
    <w:p w14:paraId="07674421">
      <w:pPr>
        <w:pStyle w:val="6"/>
        <w:numPr>
          <w:ilvl w:val="0"/>
          <w:numId w:val="9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4A268C99">
      <w:pPr>
        <w:pStyle w:val="19"/>
        <w:widowControl/>
        <w:numPr>
          <w:ilvl w:val="0"/>
          <w:numId w:val="9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：年度节能技改项目效益复盘场景，需按 IPMVP 规程建立基线能耗模型，排除产量与气象波动影响后测算真实节能量。</w:t>
      </w:r>
    </w:p>
    <w:p w14:paraId="1A6DD70E">
      <w:pPr>
        <w:pStyle w:val="19"/>
        <w:widowControl/>
        <w:numPr>
          <w:ilvl w:val="0"/>
          <w:numId w:val="9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6220D77B">
      <w:pPr>
        <w:pStyle w:val="19"/>
        <w:widowControl/>
        <w:numPr>
          <w:ilvl w:val="0"/>
          <w:numId w:val="99"/>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技改项目经理</w:t>
      </w:r>
      <w:r>
        <w:rPr>
          <w:rFonts w:ascii="Times New Roman" w:hAnsi="Times New Roman" w:eastAsia="宋体" w:cs="Times New Roman"/>
          <w:i w:val="0"/>
          <w:color w:val="1F2937"/>
          <w:sz w:val="24"/>
          <w:szCs w:val="24"/>
        </w:rPr>
        <w:t>，</w:t>
      </w:r>
    </w:p>
    <w:p w14:paraId="2A0A14BE">
      <w:pPr>
        <w:pStyle w:val="19"/>
        <w:widowControl/>
        <w:numPr>
          <w:ilvl w:val="0"/>
          <w:numId w:val="99"/>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按 M&amp;V 四要素测算节能量与考虑贴现率的动态投资回收期</w:t>
      </w:r>
      <w:r>
        <w:rPr>
          <w:rFonts w:ascii="Times New Roman" w:hAnsi="Times New Roman" w:eastAsia="宋体" w:cs="Times New Roman"/>
          <w:i w:val="0"/>
          <w:color w:val="1F2937"/>
          <w:sz w:val="24"/>
          <w:szCs w:val="24"/>
        </w:rPr>
        <w:t>，</w:t>
      </w:r>
    </w:p>
    <w:p w14:paraId="67AA17F4">
      <w:pPr>
        <w:pStyle w:val="19"/>
        <w:widowControl/>
        <w:numPr>
          <w:ilvl w:val="0"/>
          <w:numId w:val="99"/>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我能客观证明技改投资效益并支撑下一年度技改立项</w:t>
      </w:r>
      <w:r>
        <w:rPr>
          <w:rFonts w:ascii="Times New Roman" w:hAnsi="Times New Roman" w:eastAsia="宋体" w:cs="Times New Roman"/>
          <w:i w:val="0"/>
          <w:color w:val="1F2937"/>
          <w:sz w:val="24"/>
          <w:szCs w:val="24"/>
        </w:rPr>
        <w:t>。</w:t>
      </w:r>
    </w:p>
    <w:p w14:paraId="4FADF90F">
      <w:pPr>
        <w:pStyle w:val="6"/>
        <w:numPr>
          <w:ilvl w:val="0"/>
          <w:numId w:val="9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19DF12C5">
      <w:pPr>
        <w:pStyle w:val="19"/>
        <w:widowControl/>
        <w:numPr>
          <w:ilvl w:val="0"/>
          <w:numId w:val="10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M&amp;V 测算四要素</w:t>
      </w:r>
      <w:r>
        <w:rPr>
          <w:rFonts w:ascii="Times New Roman" w:hAnsi="Times New Roman" w:eastAsia="宋体" w:cs="Times New Roman"/>
          <w:i w:val="0"/>
          <w:color w:val="1F2937"/>
          <w:sz w:val="24"/>
          <w:szCs w:val="24"/>
        </w:rPr>
        <w:t>：</w:t>
      </w:r>
    </w:p>
    <w:p w14:paraId="6A195511">
      <w:pPr>
        <w:pStyle w:val="19"/>
        <w:widowControl/>
        <w:numPr>
          <w:ilvl w:val="0"/>
          <w:numId w:val="10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基准期能耗</w:t>
      </w:r>
      <w:r>
        <w:rPr>
          <w:rFonts w:ascii="Times New Roman" w:hAnsi="Times New Roman" w:eastAsia="宋体" w:cs="Times New Roman"/>
          <w:i w:val="0"/>
          <w:color w:val="1F2937"/>
          <w:sz w:val="24"/>
          <w:szCs w:val="24"/>
        </w:rPr>
        <w:t>：改造前可验证的基线能耗（不少于 12 个月数据，取自用能在线监测日结库与能源台账；不足 12 个月时按邻近同类园区同工序基线折算，并在报表中标注折算来源与数据区间）。</w:t>
      </w:r>
    </w:p>
    <w:p w14:paraId="5C508F00">
      <w:pPr>
        <w:pStyle w:val="19"/>
        <w:widowControl/>
        <w:numPr>
          <w:ilvl w:val="0"/>
          <w:numId w:val="10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报告期能耗</w:t>
      </w:r>
      <w:r>
        <w:rPr>
          <w:rFonts w:ascii="Times New Roman" w:hAnsi="Times New Roman" w:eastAsia="宋体" w:cs="Times New Roman"/>
          <w:i w:val="0"/>
          <w:color w:val="1F2937"/>
          <w:sz w:val="24"/>
          <w:szCs w:val="24"/>
        </w:rPr>
        <w:t>：改造后实际计量能耗。</w:t>
      </w:r>
    </w:p>
    <w:p w14:paraId="0856B3B5">
      <w:pPr>
        <w:pStyle w:val="19"/>
        <w:widowControl/>
        <w:numPr>
          <w:ilvl w:val="0"/>
          <w:numId w:val="10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调整量</w:t>
      </w:r>
      <w:r>
        <w:rPr>
          <w:rFonts w:ascii="Times New Roman" w:hAnsi="Times New Roman" w:eastAsia="宋体" w:cs="Times New Roman"/>
          <w:i w:val="0"/>
          <w:color w:val="1F2937"/>
          <w:sz w:val="24"/>
          <w:szCs w:val="24"/>
        </w:rPr>
        <w:t>：依据产量、天气等独立变量对基准期能耗的修正值。</w:t>
      </w:r>
    </w:p>
    <w:p w14:paraId="5BCBD879">
      <w:pPr>
        <w:pStyle w:val="19"/>
        <w:widowControl/>
        <w:numPr>
          <w:ilvl w:val="0"/>
          <w:numId w:val="10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节能量</w:t>
      </w:r>
      <w:r>
        <w:rPr>
          <w:rFonts w:ascii="Times New Roman" w:hAnsi="Times New Roman" w:eastAsia="宋体" w:cs="Times New Roman"/>
          <w:i w:val="0"/>
          <w:color w:val="1F2937"/>
          <w:sz w:val="24"/>
          <w:szCs w:val="24"/>
        </w:rPr>
        <w:t>：</w:t>
      </w:r>
      <w:r>
        <w:rPr>
          <w:rFonts w:ascii="Times New Roman" w:hAnsi="Times New Roman" w:eastAsia="宋体" w:cs="Times New Roman"/>
          <w:i w:val="0"/>
          <w:color w:val="15803D"/>
          <w:sz w:val="24"/>
          <w:szCs w:val="24"/>
        </w:rPr>
        <w:t>E\_saved = 基准期调整后能耗 − 报告期能耗</w:t>
      </w:r>
      <w:r>
        <w:rPr>
          <w:rFonts w:ascii="Times New Roman" w:hAnsi="Times New Roman" w:eastAsia="宋体" w:cs="Times New Roman"/>
          <w:i w:val="0"/>
          <w:color w:val="1F2937"/>
          <w:sz w:val="24"/>
          <w:szCs w:val="24"/>
        </w:rPr>
        <w:t>；动态投资回收期 = 项目投资额 / 年节约费用。</w:t>
      </w:r>
    </w:p>
    <w:p w14:paraId="29CF3C0B">
      <w:pPr>
        <w:pStyle w:val="19"/>
        <w:widowControl/>
        <w:numPr>
          <w:ilvl w:val="0"/>
          <w:numId w:val="10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子模块划分</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3.1 储能运行评估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3.2 光伏运行评估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3.3 热泵运行评估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3.4 空调运行评估 </w:t>
      </w:r>
      <w:r>
        <w:rPr>
          <w:rFonts w:ascii="Times New Roman" w:hAnsi="Times New Roman" w:eastAsia="宋体" w:cs="Times New Roman"/>
          <w:i w:val="0"/>
          <w:color w:val="1F2937"/>
          <w:sz w:val="24"/>
          <w:szCs w:val="24"/>
        </w:rPr>
        <w:t>。</w:t>
      </w:r>
    </w:p>
    <w:p w14:paraId="4EC7E5AF">
      <w:pPr>
        <w:pStyle w:val="19"/>
        <w:widowControl/>
        <w:numPr>
          <w:ilvl w:val="0"/>
          <w:numId w:val="10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评估状态机可视化</w:t>
      </w:r>
      <w:r>
        <w:rPr>
          <w:rFonts w:ascii="Times New Roman" w:hAnsi="Times New Roman" w:eastAsia="宋体" w:cs="Times New Roman"/>
          <w:i w:val="0"/>
          <w:color w:val="1F2937"/>
          <w:sz w:val="24"/>
          <w:szCs w:val="24"/>
        </w:rPr>
        <w:t>：项目立项 → 建设施工 → 并网试运行 → 稳定运行 → 已完结；并网试运行需满足 90 天 M&amp;V 连续采数，验收通过方可流转至"稳定运行"。</w:t>
      </w:r>
    </w:p>
    <w:p w14:paraId="2DA46DE4">
      <w:pPr>
        <w:pStyle w:val="19"/>
        <w:widowControl/>
        <w:numPr>
          <w:ilvl w:val="0"/>
          <w:numId w:val="10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回归模型展示</w:t>
      </w:r>
      <w:r>
        <w:rPr>
          <w:rFonts w:ascii="Times New Roman" w:hAnsi="Times New Roman" w:eastAsia="宋体" w:cs="Times New Roman"/>
          <w:i w:val="0"/>
          <w:color w:val="1F2937"/>
          <w:sz w:val="24"/>
          <w:szCs w:val="24"/>
        </w:rPr>
        <w:t xml:space="preserve">：展示基准期能耗与独立变量（产量、度日数）的回归拟合优度 </w:t>
      </w:r>
      <w:r>
        <w:rPr>
          <w:rFonts w:ascii="Times New Roman" w:hAnsi="Times New Roman" w:eastAsia="宋体" w:cs="Times New Roman"/>
          <w:i w:val="0"/>
          <w:color w:val="15803D"/>
          <w:sz w:val="24"/>
          <w:szCs w:val="24"/>
        </w:rPr>
        <w:t>R^2</w:t>
      </w:r>
      <w:r>
        <w:rPr>
          <w:rFonts w:ascii="Times New Roman" w:hAnsi="Times New Roman" w:eastAsia="宋体" w:cs="Times New Roman"/>
          <w:i w:val="0"/>
          <w:color w:val="1F2937"/>
          <w:sz w:val="24"/>
          <w:szCs w:val="24"/>
        </w:rPr>
        <w:t>，</w:t>
      </w:r>
      <w:r>
        <w:rPr>
          <w:rFonts w:ascii="Times New Roman" w:hAnsi="Times New Roman" w:eastAsia="宋体" w:cs="Times New Roman"/>
          <w:i w:val="0"/>
          <w:color w:val="15803D"/>
          <w:sz w:val="24"/>
          <w:szCs w:val="24"/>
        </w:rPr>
        <w:t>R^2 &lt; 0.75</w:t>
      </w:r>
      <w:r>
        <w:rPr>
          <w:rFonts w:ascii="Times New Roman" w:hAnsi="Times New Roman" w:eastAsia="宋体" w:cs="Times New Roman"/>
          <w:i w:val="0"/>
          <w:color w:val="1F2937"/>
          <w:sz w:val="24"/>
          <w:szCs w:val="24"/>
        </w:rPr>
        <w:t xml:space="preserve"> 时提示基线模型可靠性不足。</w:t>
      </w:r>
    </w:p>
    <w:p w14:paraId="0E230662">
      <w:pPr>
        <w:pStyle w:val="6"/>
        <w:numPr>
          <w:ilvl w:val="0"/>
          <w:numId w:val="9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82"/>
        <w:gridCol w:w="1924"/>
        <w:gridCol w:w="1364"/>
        <w:gridCol w:w="1364"/>
        <w:gridCol w:w="4250"/>
      </w:tblGrid>
      <w:tr w14:paraId="6F82B711">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0256CC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5AAD89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36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392EC4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136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A6102E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42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D1E012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3F0A09DC">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D3C2E4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43E7D5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基准期调整后能耗</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E1E71C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E0B251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w:t>
            </w:r>
          </w:p>
        </w:tc>
        <w:tc>
          <w:tcPr>
            <w:tcW w:w="42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A34737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基于不少于 12 个月数据建立回归模型</w:t>
            </w:r>
          </w:p>
        </w:tc>
      </w:tr>
      <w:tr w14:paraId="130BB6E0">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CE5A9B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67EA18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报告期实际能耗</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3BB531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851EE5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w:t>
            </w:r>
          </w:p>
        </w:tc>
        <w:tc>
          <w:tcPr>
            <w:tcW w:w="42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7B26DC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改造后实际计量值</w:t>
            </w:r>
          </w:p>
        </w:tc>
      </w:tr>
      <w:tr w14:paraId="603249E2">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419A9A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912529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工况修正量</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10D2DC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D05F00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w:t>
            </w:r>
          </w:p>
        </w:tc>
        <w:tc>
          <w:tcPr>
            <w:tcW w:w="42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3F35BE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依据产量、气象等独立变量修正</w:t>
            </w:r>
          </w:p>
        </w:tc>
      </w:tr>
      <w:tr w14:paraId="4059A899">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A9F213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667CBF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节能量</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C3DA98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C5C55C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w:t>
            </w:r>
          </w:p>
        </w:tc>
        <w:tc>
          <w:tcPr>
            <w:tcW w:w="42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64D8D2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基准期调整后能耗 − 报告期能耗</w:t>
            </w:r>
          </w:p>
        </w:tc>
      </w:tr>
      <w:tr w14:paraId="036C599A">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809C03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0BC604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年净节能现金流</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C69757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596683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万元</w:t>
            </w:r>
          </w:p>
        </w:tc>
        <w:tc>
          <w:tcPr>
            <w:tcW w:w="42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E7BC3F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节能量 × 能量单价 − 运维成本</w:t>
            </w:r>
          </w:p>
        </w:tc>
      </w:tr>
      <w:tr w14:paraId="11F80EAE">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66AB6E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A7E998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贴现率</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16E8F2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F493E3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2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9472FE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基准取值 8%</w:t>
            </w:r>
          </w:p>
        </w:tc>
      </w:tr>
      <w:tr w14:paraId="70E6BEC3">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9E30FB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EE5FD3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动态投资回收期</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0E107E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BA015D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年</w:t>
            </w:r>
          </w:p>
        </w:tc>
        <w:tc>
          <w:tcPr>
            <w:tcW w:w="42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DF192B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ln(CF/(CF − I_0 × r)) / ln(1 + r)</w:t>
            </w:r>
          </w:p>
        </w:tc>
      </w:tr>
      <w:tr w14:paraId="7605B57B">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D4A5F2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C4ED39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回归拟合优度</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37DCFC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F2C711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2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758DAE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R^2</w:t>
            </w:r>
            <w:r>
              <w:rPr>
                <w:rFonts w:hint="eastAsia" w:ascii="宋体" w:hAnsi="宋体" w:eastAsia="宋体" w:cs="宋体"/>
                <w:i w:val="0"/>
                <w:iCs w:val="0"/>
                <w:color w:val="1F2937"/>
                <w:sz w:val="24"/>
                <w:szCs w:val="24"/>
              </w:rPr>
              <w:t>，低于 0.75 提示模型可靠性不足</w:t>
            </w:r>
          </w:p>
        </w:tc>
      </w:tr>
      <w:tr w14:paraId="564EEB57">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7F5E58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459C3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评估状态</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A85434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3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897B41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2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E26AB9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立项 / 施工 / 并网试运行 / 稳定运行 / 已完结</w:t>
            </w:r>
          </w:p>
        </w:tc>
      </w:tr>
      <w:tr w14:paraId="61B9A42A">
        <w:tblPrEx>
          <w:tblCellMar>
            <w:top w:w="0" w:type="dxa"/>
            <w:left w:w="108" w:type="dxa"/>
            <w:bottom w:w="0" w:type="dxa"/>
            <w:right w:w="108" w:type="dxa"/>
          </w:tblCellMar>
        </w:tblPrEx>
        <w:trPr>
          <w:jc w:val="center"/>
        </w:trPr>
        <w:tc>
          <w:tcPr>
            <w:tcW w:w="88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EE76F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192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9DC6F7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连续采数天数</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726DB0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Integer</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82FD4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天</w:t>
            </w:r>
          </w:p>
        </w:tc>
        <w:tc>
          <w:tcPr>
            <w:tcW w:w="42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3D3FEA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90 天才允许流转至稳定运行</w:t>
            </w:r>
          </w:p>
        </w:tc>
      </w:tr>
    </w:tbl>
    <w:p w14:paraId="0F30D262">
      <w:pPr>
        <w:spacing w:after="60"/>
        <w:rPr>
          <w:rFonts w:hint="eastAsia" w:ascii="宋体" w:hAnsi="宋体" w:eastAsia="宋体" w:cs="宋体"/>
          <w:i w:val="0"/>
          <w:iCs w:val="0"/>
          <w:sz w:val="24"/>
          <w:szCs w:val="24"/>
        </w:rPr>
      </w:pPr>
    </w:p>
    <w:p w14:paraId="5FC1AC28">
      <w:pPr>
        <w:pStyle w:val="6"/>
        <w:numPr>
          <w:ilvl w:val="0"/>
          <w:numId w:val="9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1541C58D">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4FA708F0">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E_saved = ( E_baseline - E_post ) ± ΔE_adj               节能量</w:t>
            </w:r>
          </w:p>
          <w:p w14:paraId="498416D6">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PBP_dynamic = ln( CF / ( CF - I_0 × r ) ) / ln( 1 + r )   动态投资回收期（考虑贴现率 r）</w:t>
            </w:r>
          </w:p>
          <w:p w14:paraId="7126CE08">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E_baseline = f( X_prod, X_hdd, X_cdd )                     基准期能耗回归模型</w:t>
            </w:r>
          </w:p>
          <w:p w14:paraId="2CE7090F">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R² = 1 - SS_res / SS_tot                                   回归拟合优度</w:t>
            </w:r>
          </w:p>
        </w:tc>
      </w:tr>
    </w:tbl>
    <w:p w14:paraId="015D50F3">
      <w:pPr>
        <w:spacing w:after="40"/>
        <w:rPr>
          <w:rFonts w:hint="eastAsia" w:ascii="宋体" w:hAnsi="宋体" w:eastAsia="宋体" w:cs="宋体"/>
          <w:i w:val="0"/>
          <w:iCs w:val="0"/>
          <w:sz w:val="24"/>
          <w:szCs w:val="24"/>
        </w:rPr>
      </w:pPr>
    </w:p>
    <w:p w14:paraId="3879149D">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w:t>
      </w:r>
      <w:r>
        <w:rPr>
          <w:rFonts w:ascii="Times New Roman" w:hAnsi="Times New Roman" w:eastAsia="宋体" w:cs="Times New Roman"/>
          <w:b w:val="0"/>
          <w:i w:val="0"/>
          <w:color w:val="0284C7"/>
          <w:sz w:val="24"/>
          <w:szCs w:val="24"/>
        </w:rPr>
        <w:t xml:space="preserve"> E_baseline </w:t>
      </w:r>
      <w:r>
        <w:rPr>
          <w:rFonts w:ascii="Times New Roman" w:hAnsi="Times New Roman" w:eastAsia="宋体" w:cs="Times New Roman"/>
          <w:i w:val="0"/>
          <w:color w:val="1F2937"/>
          <w:sz w:val="24"/>
          <w:szCs w:val="24"/>
        </w:rPr>
        <w:t xml:space="preserve"> 为基准期调整后能耗；</w:t>
      </w:r>
      <w:r>
        <w:rPr>
          <w:rFonts w:ascii="Times New Roman" w:hAnsi="Times New Roman" w:eastAsia="宋体" w:cs="Times New Roman"/>
          <w:b w:val="0"/>
          <w:i w:val="0"/>
          <w:color w:val="0284C7"/>
          <w:sz w:val="24"/>
          <w:szCs w:val="24"/>
        </w:rPr>
        <w:t xml:space="preserve"> E_post </w:t>
      </w:r>
      <w:r>
        <w:rPr>
          <w:rFonts w:ascii="Times New Roman" w:hAnsi="Times New Roman" w:eastAsia="宋体" w:cs="Times New Roman"/>
          <w:i w:val="0"/>
          <w:color w:val="1F2937"/>
          <w:sz w:val="24"/>
          <w:szCs w:val="24"/>
        </w:rPr>
        <w:t xml:space="preserve"> 为改造后实际能耗；</w:t>
      </w:r>
      <w:r>
        <w:rPr>
          <w:rFonts w:ascii="Times New Roman" w:hAnsi="Times New Roman" w:eastAsia="宋体" w:cs="Times New Roman"/>
          <w:b w:val="0"/>
          <w:i w:val="0"/>
          <w:color w:val="0284C7"/>
          <w:sz w:val="24"/>
          <w:szCs w:val="24"/>
        </w:rPr>
        <w:t xml:space="preserve"> ΔE_adj </w:t>
      </w:r>
      <w:r>
        <w:rPr>
          <w:rFonts w:ascii="Times New Roman" w:hAnsi="Times New Roman" w:eastAsia="宋体" w:cs="Times New Roman"/>
          <w:i w:val="0"/>
          <w:color w:val="1F2937"/>
          <w:sz w:val="24"/>
          <w:szCs w:val="24"/>
        </w:rPr>
        <w:t xml:space="preserve"> 为生产工况修正量；</w:t>
      </w:r>
      <w:r>
        <w:rPr>
          <w:rFonts w:ascii="Times New Roman" w:hAnsi="Times New Roman" w:eastAsia="宋体" w:cs="Times New Roman"/>
          <w:b w:val="0"/>
          <w:i w:val="0"/>
          <w:color w:val="0284C7"/>
          <w:sz w:val="24"/>
          <w:szCs w:val="24"/>
        </w:rPr>
        <w:t xml:space="preserve"> I_0 </w:t>
      </w:r>
      <w:r>
        <w:rPr>
          <w:rFonts w:ascii="Times New Roman" w:hAnsi="Times New Roman" w:eastAsia="宋体" w:cs="Times New Roman"/>
          <w:i w:val="0"/>
          <w:color w:val="1F2937"/>
          <w:sz w:val="24"/>
          <w:szCs w:val="24"/>
        </w:rPr>
        <w:t xml:space="preserve"> 为技改初次投资；</w:t>
      </w:r>
      <w:r>
        <w:rPr>
          <w:rFonts w:ascii="Times New Roman" w:hAnsi="Times New Roman" w:eastAsia="宋体" w:cs="Times New Roman"/>
          <w:b w:val="0"/>
          <w:i w:val="0"/>
          <w:color w:val="0284C7"/>
          <w:sz w:val="24"/>
          <w:szCs w:val="24"/>
        </w:rPr>
        <w:t xml:space="preserve"> CF </w:t>
      </w:r>
      <w:r>
        <w:rPr>
          <w:rFonts w:ascii="Times New Roman" w:hAnsi="Times New Roman" w:eastAsia="宋体" w:cs="Times New Roman"/>
          <w:i w:val="0"/>
          <w:color w:val="1F2937"/>
          <w:sz w:val="24"/>
          <w:szCs w:val="24"/>
        </w:rPr>
        <w:t xml:space="preserve"> 为年净节能现金流；</w:t>
      </w:r>
      <w:r>
        <w:rPr>
          <w:rFonts w:ascii="Times New Roman" w:hAnsi="Times New Roman" w:eastAsia="宋体" w:cs="Times New Roman"/>
          <w:b w:val="0"/>
          <w:i w:val="0"/>
          <w:color w:val="0284C7"/>
          <w:sz w:val="24"/>
          <w:szCs w:val="24"/>
        </w:rPr>
        <w:t xml:space="preserve"> r </w:t>
      </w:r>
      <w:r>
        <w:rPr>
          <w:rFonts w:ascii="Times New Roman" w:hAnsi="Times New Roman" w:eastAsia="宋体" w:cs="Times New Roman"/>
          <w:i w:val="0"/>
          <w:color w:val="1F2937"/>
          <w:sz w:val="24"/>
          <w:szCs w:val="24"/>
        </w:rPr>
        <w:t xml:space="preserve"> 为贴现率（基准 8%）。依据国际 IPMVP 规程选项 B/C 建立基线能耗模型，排除气象温湿度与产量波动影响。</w:t>
      </w:r>
    </w:p>
    <w:p w14:paraId="49F640D9">
      <w:pPr>
        <w:pStyle w:val="6"/>
        <w:numPr>
          <w:ilvl w:val="0"/>
          <w:numId w:val="9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7E66CC89">
      <w:pPr>
        <w:pStyle w:val="19"/>
        <w:widowControl/>
        <w:numPr>
          <w:ilvl w:val="0"/>
          <w:numId w:val="10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基线口径</w:t>
      </w:r>
      <w:r>
        <w:rPr>
          <w:rFonts w:ascii="Times New Roman" w:hAnsi="Times New Roman" w:eastAsia="宋体" w:cs="Times New Roman"/>
          <w:i w:val="0"/>
          <w:color w:val="1F2937"/>
          <w:sz w:val="24"/>
          <w:szCs w:val="24"/>
        </w:rPr>
        <w:t>：基准期数据不得少于 12 个月，不足时评估功能置灰。</w:t>
      </w:r>
    </w:p>
    <w:p w14:paraId="7D0E0036">
      <w:pPr>
        <w:pStyle w:val="19"/>
        <w:widowControl/>
        <w:numPr>
          <w:ilvl w:val="0"/>
          <w:numId w:val="10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调整口径</w:t>
      </w:r>
      <w:r>
        <w:rPr>
          <w:rFonts w:ascii="Times New Roman" w:hAnsi="Times New Roman" w:eastAsia="宋体" w:cs="Times New Roman"/>
          <w:i w:val="0"/>
          <w:color w:val="1F2937"/>
          <w:sz w:val="24"/>
          <w:szCs w:val="24"/>
        </w:rPr>
        <w:t>：调整量必须基于统计显著的独立变量（产量、度日数）计算，不接受人工拍脑袋修正。</w:t>
      </w:r>
    </w:p>
    <w:p w14:paraId="313391DC">
      <w:pPr>
        <w:pStyle w:val="19"/>
        <w:widowControl/>
        <w:numPr>
          <w:ilvl w:val="0"/>
          <w:numId w:val="10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回收期口径</w:t>
      </w:r>
      <w:r>
        <w:rPr>
          <w:rFonts w:ascii="Times New Roman" w:hAnsi="Times New Roman" w:eastAsia="宋体" w:cs="Times New Roman"/>
          <w:i w:val="0"/>
          <w:color w:val="1F2937"/>
          <w:sz w:val="24"/>
          <w:szCs w:val="24"/>
        </w:rPr>
        <w:t>：以动态投资回收期（含贴现）为唯一对外口径，静态回收期仅作内部参考。</w:t>
      </w:r>
    </w:p>
    <w:p w14:paraId="340EEE88">
      <w:pPr>
        <w:pStyle w:val="19"/>
        <w:widowControl/>
        <w:numPr>
          <w:ilvl w:val="0"/>
          <w:numId w:val="10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状态口径</w:t>
      </w:r>
      <w:r>
        <w:rPr>
          <w:rFonts w:ascii="Times New Roman" w:hAnsi="Times New Roman" w:eastAsia="宋体" w:cs="Times New Roman"/>
          <w:i w:val="0"/>
          <w:color w:val="1F2937"/>
          <w:sz w:val="24"/>
          <w:szCs w:val="24"/>
        </w:rPr>
        <w:t>：并网试运行阶段须连续采数 ≥90 天方可流转，流转动作写入审计日志。</w:t>
      </w:r>
    </w:p>
    <w:p w14:paraId="31B962D5">
      <w:pPr>
        <w:pStyle w:val="6"/>
        <w:numPr>
          <w:ilvl w:val="0"/>
          <w:numId w:val="9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4B330FF8">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76C82456">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缺少基准期能耗记录：触发 </w:t>
            </w:r>
            <w:r>
              <w:rPr>
                <w:rFonts w:hint="eastAsia" w:ascii="宋体" w:hAnsi="宋体" w:eastAsia="宋体" w:cs="宋体"/>
                <w:b w:val="0"/>
                <w:i w:val="0"/>
                <w:iCs w:val="0"/>
                <w:color w:val="0284C7"/>
                <w:sz w:val="24"/>
                <w:szCs w:val="24"/>
              </w:rPr>
              <w:t xml:space="preserve"> E_VAL_PRJ_MV_BASELINE_EMPTY </w:t>
            </w:r>
            <w:r>
              <w:rPr>
                <w:rFonts w:hint="eastAsia" w:ascii="宋体" w:hAnsi="宋体" w:eastAsia="宋体" w:cs="宋体"/>
                <w:i w:val="0"/>
                <w:iCs w:val="0"/>
                <w:color w:val="1F2937"/>
                <w:sz w:val="24"/>
                <w:szCs w:val="24"/>
              </w:rPr>
              <w:t>，阻断评估并提示"必须录入技改前至少 12 个月的基准期负荷数据"。</w:t>
            </w:r>
          </w:p>
          <w:p w14:paraId="4F000A4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基准期数据点少于 12 个月：评估按钮置灰，不允许强行测算。</w:t>
            </w:r>
          </w:p>
          <w:p w14:paraId="39E5FE26">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现金流小于等于投资额与贴现率乘积：动态回收期公式失效，输出"投资效益不成立，需重新评估"。</w:t>
            </w:r>
          </w:p>
          <w:p w14:paraId="7D0F438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连续采数不足 90 天：状态流转按钮置灰。</w:t>
            </w:r>
          </w:p>
        </w:tc>
      </w:tr>
    </w:tbl>
    <w:p w14:paraId="3B36B53B">
      <w:pPr>
        <w:spacing w:after="40"/>
        <w:rPr>
          <w:rFonts w:hint="eastAsia" w:ascii="宋体" w:hAnsi="宋体" w:eastAsia="宋体" w:cs="宋体"/>
          <w:i w:val="0"/>
          <w:iCs w:val="0"/>
          <w:sz w:val="24"/>
          <w:szCs w:val="24"/>
        </w:rPr>
      </w:pPr>
    </w:p>
    <w:p w14:paraId="29F29BED">
      <w:pPr>
        <w:pStyle w:val="6"/>
        <w:numPr>
          <w:ilvl w:val="0"/>
          <w:numId w:val="97"/>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12C94AC8">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108E4E45">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项目运行评估 M&amp;V 节能量测算</w:t>
            </w:r>
          </w:p>
          <w:p w14:paraId="7A7D85D4">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缺少基准期数据阻断评估</w:t>
            </w:r>
          </w:p>
          <w:p w14:paraId="115EE873">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某技改项目尚未录入改造前的基准期能耗记录</w:t>
            </w:r>
          </w:p>
          <w:p w14:paraId="28FB273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用户点击"启动 M&amp;V 效益评估"</w:t>
            </w:r>
          </w:p>
          <w:p w14:paraId="42EDE405">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系统阻断评估并返回 E_VAL_PRJ_MV_BASELINE_EMPTY</w:t>
            </w:r>
          </w:p>
          <w:p w14:paraId="353C6B2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页面提示"必须录入技改前至少 12 个月的基准期负荷数据"</w:t>
            </w:r>
          </w:p>
          <w:p w14:paraId="25AD7821">
            <w:pPr>
              <w:spacing w:before="0" w:after="20" w:line="264" w:lineRule="auto"/>
              <w:rPr>
                <w:rFonts w:hint="eastAsia" w:ascii="宋体" w:hAnsi="宋体" w:eastAsia="宋体" w:cs="宋体"/>
                <w:i w:val="0"/>
                <w:iCs w:val="0"/>
                <w:sz w:val="24"/>
                <w:szCs w:val="24"/>
              </w:rPr>
            </w:pPr>
          </w:p>
          <w:p w14:paraId="1F0BBD69">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动态投资回收期测算</w:t>
            </w:r>
          </w:p>
          <w:p w14:paraId="4B3108BC">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项目初次投资 I_0、年净节能现金流 CF 与贴现率 r 均已录入</w:t>
            </w:r>
          </w:p>
          <w:p w14:paraId="668D0D89">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系统测算动态投资回收期</w:t>
            </w:r>
          </w:p>
          <w:p w14:paraId="47DE4B5E">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结果按 ln(CF ÷ (CF − I_0 × r)) ÷ ln(1 + r) 计算</w:t>
            </w:r>
          </w:p>
          <w:p w14:paraId="4A07311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贴现率基准取值 8%</w:t>
            </w:r>
          </w:p>
          <w:p w14:paraId="64D606A4">
            <w:pPr>
              <w:spacing w:before="0" w:after="20" w:line="264" w:lineRule="auto"/>
              <w:rPr>
                <w:rFonts w:hint="eastAsia" w:ascii="宋体" w:hAnsi="宋体" w:eastAsia="宋体" w:cs="宋体"/>
                <w:i w:val="0"/>
                <w:iCs w:val="0"/>
                <w:sz w:val="24"/>
                <w:szCs w:val="24"/>
              </w:rPr>
            </w:pPr>
          </w:p>
          <w:p w14:paraId="58BD5967">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稳定运行状态流转门槛</w:t>
            </w:r>
          </w:p>
          <w:p w14:paraId="10D6EAD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某项目处于"并网试运行"状态且已连续采数 62 天</w:t>
            </w:r>
          </w:p>
          <w:p w14:paraId="018D2A60">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用户尝试将状态流转至"稳定运行"</w:t>
            </w:r>
          </w:p>
          <w:p w14:paraId="6B00B038">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流转按钮置灰不可点击</w:t>
            </w:r>
          </w:p>
          <w:p w14:paraId="7BC2BD5A">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连续采数满 90 天后按钮方可激活</w:t>
            </w:r>
          </w:p>
        </w:tc>
      </w:tr>
    </w:tbl>
    <w:p w14:paraId="61374379">
      <w:pPr>
        <w:spacing w:after="40"/>
        <w:rPr>
          <w:rFonts w:hint="eastAsia" w:ascii="宋体" w:hAnsi="宋体" w:eastAsia="宋体" w:cs="宋体"/>
          <w:i w:val="0"/>
          <w:iCs w:val="0"/>
          <w:sz w:val="24"/>
          <w:szCs w:val="24"/>
        </w:rPr>
      </w:pPr>
    </w:p>
    <w:p w14:paraId="0F9943D8">
      <w:pPr>
        <w:pStyle w:val="5"/>
        <w:numPr>
          <w:ilvl w:val="0"/>
          <w:numId w:val="86"/>
        </w:numPr>
        <w:ind w:left="0" w:leftChars="0" w:firstLine="0" w:firstLineChars="0"/>
        <w:outlineLvl w:val="1"/>
        <w:rPr>
          <w:rFonts w:eastAsia="黑体"/>
          <w:b w:val="0"/>
          <w:bCs w:val="0"/>
          <w:sz w:val="30"/>
          <w:szCs w:val="24"/>
        </w:rPr>
      </w:pPr>
      <w:bookmarkStart w:id="31" w:name="_Toc9430"/>
      <w:r>
        <w:rPr>
          <w:rFonts w:ascii="Times New Roman" w:hAnsi="Times New Roman" w:eastAsia="黑体" w:cs="Times New Roman"/>
          <w:b w:val="0"/>
          <w:bCs w:val="0"/>
          <w:sz w:val="30"/>
          <w:szCs w:val="24"/>
        </w:rPr>
        <w:t>零碳工厂自评估</w:t>
      </w:r>
      <w:bookmarkEnd w:id="31"/>
    </w:p>
    <w:p w14:paraId="71C77923">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drawing>
          <wp:inline distT="0" distB="0" distL="114300" distR="114300">
            <wp:extent cx="5900420" cy="2925445"/>
            <wp:effectExtent l="0" t="0" r="5080" b="8255"/>
            <wp:docPr id="4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5"/>
                    <pic:cNvPicPr>
                      <a:picLocks noChangeAspect="1"/>
                    </pic:cNvPicPr>
                  </pic:nvPicPr>
                  <pic:blipFill>
                    <a:blip r:embed="rId72"/>
                    <a:stretch>
                      <a:fillRect/>
                    </a:stretch>
                  </pic:blipFill>
                  <pic:spPr>
                    <a:xfrm>
                      <a:off x="0" y="0"/>
                      <a:ext cx="5900420" cy="2925445"/>
                    </a:xfrm>
                    <a:prstGeom prst="rect">
                      <a:avLst/>
                    </a:prstGeom>
                    <a:noFill/>
                    <a:ln>
                      <a:noFill/>
                    </a:ln>
                  </pic:spPr>
                </pic:pic>
              </a:graphicData>
            </a:graphic>
          </wp:inline>
        </w:drawing>
      </w:r>
    </w:p>
    <w:p w14:paraId="70707075">
      <w:pPr>
        <w:pStyle w:val="6"/>
        <w:numPr>
          <w:ilvl w:val="0"/>
          <w:numId w:val="10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7782EF41">
      <w:pPr>
        <w:pStyle w:val="19"/>
        <w:widowControl/>
        <w:numPr>
          <w:ilvl w:val="0"/>
          <w:numId w:val="10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：构建三层穿透的零碳工厂自评估体系，输出星级评定结果与整改清单，是集团零碳建设成效的权威量化抓手。</w:t>
      </w:r>
    </w:p>
    <w:p w14:paraId="4FEAC250">
      <w:pPr>
        <w:pStyle w:val="19"/>
        <w:widowControl/>
        <w:numPr>
          <w:ilvl w:val="0"/>
          <w:numId w:val="10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：P2 园区能碳专员（填报）、二级公司（复核）、P1 集团决策层（审批）。</w:t>
      </w:r>
    </w:p>
    <w:p w14:paraId="79369CFD">
      <w:pPr>
        <w:pStyle w:val="19"/>
        <w:widowControl/>
        <w:numPr>
          <w:ilvl w:val="0"/>
          <w:numId w:val="10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/monitor/project/self-assessment </w:t>
      </w:r>
      <w:r>
        <w:rPr>
          <w:rFonts w:ascii="Times New Roman" w:hAnsi="Times New Roman" w:eastAsia="宋体" w:cs="Times New Roman"/>
          <w:i w:val="0"/>
          <w:color w:val="1F2937"/>
          <w:sz w:val="24"/>
          <w:szCs w:val="24"/>
        </w:rPr>
        <w:t>。</w:t>
      </w:r>
    </w:p>
    <w:p w14:paraId="73F9CA6F">
      <w:pPr>
        <w:pStyle w:val="19"/>
        <w:widowControl/>
        <w:numPr>
          <w:ilvl w:val="0"/>
          <w:numId w:val="10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：指标管控、用能结构分析、碳排监测、因子库、绿证核销凭证、ISO 体系证书。</w:t>
      </w:r>
    </w:p>
    <w:p w14:paraId="6FDBFDF9">
      <w:pPr>
        <w:pStyle w:val="19"/>
        <w:widowControl/>
        <w:numPr>
          <w:ilvl w:val="0"/>
          <w:numId w:val="10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：星级评定结果、领导驾驶舱星级分布数据、对标管理零碳综合得分输入。</w:t>
      </w:r>
    </w:p>
    <w:p w14:paraId="462053B7">
      <w:pPr>
        <w:pStyle w:val="6"/>
        <w:numPr>
          <w:ilvl w:val="0"/>
          <w:numId w:val="10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437FEDB6">
      <w:pPr>
        <w:pStyle w:val="19"/>
        <w:widowControl/>
        <w:numPr>
          <w:ilvl w:val="0"/>
          <w:numId w:val="10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：年度零碳工厂评价场景，各园区按 6 大维度提交佐证材料，系统自动计分并分级评级，集团据此认定零碳工厂名单。</w:t>
      </w:r>
    </w:p>
    <w:p w14:paraId="34EC39A9">
      <w:pPr>
        <w:pStyle w:val="19"/>
        <w:widowControl/>
        <w:numPr>
          <w:ilvl w:val="0"/>
          <w:numId w:val="10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24A5150F">
      <w:pPr>
        <w:pStyle w:val="19"/>
        <w:widowControl/>
        <w:numPr>
          <w:ilvl w:val="0"/>
          <w:numId w:val="104"/>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P2 园区能碳专员</w:t>
      </w:r>
      <w:r>
        <w:rPr>
          <w:rFonts w:ascii="Times New Roman" w:hAnsi="Times New Roman" w:eastAsia="宋体" w:cs="Times New Roman"/>
          <w:i w:val="0"/>
          <w:color w:val="1F2937"/>
          <w:sz w:val="24"/>
          <w:szCs w:val="24"/>
        </w:rPr>
        <w:t>，</w:t>
      </w:r>
    </w:p>
    <w:p w14:paraId="1EB0FD31">
      <w:pPr>
        <w:pStyle w:val="19"/>
        <w:widowControl/>
        <w:numPr>
          <w:ilvl w:val="0"/>
          <w:numId w:val="104"/>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按 6 大维度 100 分细化考核表上传佐证材料并由系统自动计分评级</w:t>
      </w:r>
      <w:r>
        <w:rPr>
          <w:rFonts w:ascii="Times New Roman" w:hAnsi="Times New Roman" w:eastAsia="宋体" w:cs="Times New Roman"/>
          <w:i w:val="0"/>
          <w:color w:val="1F2937"/>
          <w:sz w:val="24"/>
          <w:szCs w:val="24"/>
        </w:rPr>
        <w:t>，</w:t>
      </w:r>
    </w:p>
    <w:p w14:paraId="438A11D3">
      <w:pPr>
        <w:pStyle w:val="19"/>
        <w:widowControl/>
        <w:numPr>
          <w:ilvl w:val="0"/>
          <w:numId w:val="104"/>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我能清晰掌握本园区零碳建设短板并针对性整改</w:t>
      </w:r>
      <w:r>
        <w:rPr>
          <w:rFonts w:ascii="Times New Roman" w:hAnsi="Times New Roman" w:eastAsia="宋体" w:cs="Times New Roman"/>
          <w:i w:val="0"/>
          <w:color w:val="1F2937"/>
          <w:sz w:val="24"/>
          <w:szCs w:val="24"/>
        </w:rPr>
        <w:t>。</w:t>
      </w:r>
    </w:p>
    <w:p w14:paraId="7BCF3324">
      <w:pPr>
        <w:pStyle w:val="6"/>
        <w:numPr>
          <w:ilvl w:val="0"/>
          <w:numId w:val="10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567B5830">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三层评估架构</w:t>
      </w:r>
      <w:r>
        <w:rPr>
          <w:rFonts w:ascii="Times New Roman" w:hAnsi="Times New Roman" w:eastAsia="宋体" w:cs="Times New Roman"/>
          <w:i w:val="0"/>
          <w:color w:val="1F2937"/>
          <w:sz w:val="24"/>
          <w:szCs w:val="24"/>
        </w:rPr>
        <w:t>：第 1 层集团大盘雷达与星级分布 → 第 2 层二级公司总分达标率 → 第 3 层工厂 6 大维度 100 分细化考核表。</w:t>
      </w:r>
    </w:p>
    <w:p w14:paraId="2EBF653C">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0284C7"/>
          <w:sz w:val="24"/>
          <w:szCs w:val="24"/>
        </w:rPr>
        <w:t xml:space="preserve">• </w:t>
      </w:r>
      <w:r>
        <w:rPr>
          <w:rFonts w:ascii="Times New Roman" w:hAnsi="Times New Roman" w:eastAsia="宋体" w:cs="Times New Roman"/>
          <w:b/>
          <w:i w:val="0"/>
          <w:color w:val="1E3A8A"/>
          <w:sz w:val="24"/>
          <w:szCs w:val="24"/>
        </w:rPr>
        <w:t>评级星级标准</w:t>
      </w:r>
      <w:r>
        <w:rPr>
          <w:rFonts w:ascii="Times New Roman" w:hAnsi="Times New Roman" w:eastAsia="宋体" w:cs="Times New Roman"/>
          <w:i w:val="0"/>
          <w:color w:val="1F2937"/>
          <w:sz w:val="24"/>
          <w:szCs w:val="24"/>
        </w:rPr>
        <w:t>：五星级（≥90 分）、四星级（80~89 分）、三星级（70~79 分）、未达标（&lt;70 分）。</w:t>
      </w:r>
    </w:p>
    <w:tbl>
      <w:tblPr>
        <w:tblStyle w:val="38"/>
        <w:tblW w:w="9784" w:type="dxa"/>
        <w:jc w:val="center"/>
        <w:tblLayout w:type="autofit"/>
        <w:tblCellMar>
          <w:top w:w="0" w:type="dxa"/>
          <w:left w:w="108" w:type="dxa"/>
          <w:bottom w:w="0" w:type="dxa"/>
          <w:right w:w="108" w:type="dxa"/>
        </w:tblCellMar>
      </w:tblPr>
      <w:tblGrid>
        <w:gridCol w:w="781"/>
        <w:gridCol w:w="1383"/>
        <w:gridCol w:w="5037"/>
        <w:gridCol w:w="2583"/>
      </w:tblGrid>
      <w:tr w14:paraId="212BAF4C">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7758A8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评估维度</w:t>
            </w:r>
          </w:p>
        </w:tc>
        <w:tc>
          <w:tcPr>
            <w:tcW w:w="138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00C1FB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标准分值</w:t>
            </w:r>
          </w:p>
        </w:tc>
        <w:tc>
          <w:tcPr>
            <w:tcW w:w="503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A27C10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核心考评条款与扣分规则</w:t>
            </w:r>
          </w:p>
        </w:tc>
        <w:tc>
          <w:tcPr>
            <w:tcW w:w="258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E7444E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数据来源与佐证材料</w:t>
            </w:r>
          </w:p>
        </w:tc>
      </w:tr>
      <w:tr w14:paraId="09A8C8E9">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C4A846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基础设施</w:t>
            </w:r>
          </w:p>
        </w:tc>
        <w:tc>
          <w:tcPr>
            <w:tcW w:w="13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E39AB2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15 分</w:t>
            </w:r>
          </w:p>
        </w:tc>
        <w:tc>
          <w:tcPr>
            <w:tcW w:w="50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950256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厂房采光天窗采光比、一级能效节能变压器配置率。不达标扣 2 分/项</w:t>
            </w:r>
          </w:p>
        </w:tc>
        <w:tc>
          <w:tcPr>
            <w:tcW w:w="25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FBF015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基础设施台账、工程竣工图纸</w:t>
            </w:r>
          </w:p>
        </w:tc>
      </w:tr>
      <w:tr w14:paraId="7969EE0B">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29D64F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能源利用</w:t>
            </w:r>
          </w:p>
        </w:tc>
        <w:tc>
          <w:tcPr>
            <w:tcW w:w="13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51C959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30 分</w:t>
            </w:r>
          </w:p>
        </w:tc>
        <w:tc>
          <w:tcPr>
            <w:tcW w:w="50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6DB234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屋顶分布式光伏消纳率（≥30%）、储能削峰填谷、工业余热余压回收。消纳每低 5% 扣 2 分</w:t>
            </w:r>
          </w:p>
        </w:tc>
        <w:tc>
          <w:tcPr>
            <w:tcW w:w="25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4BAB0B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微电网采集数据、绿电交易凭证</w:t>
            </w:r>
          </w:p>
        </w:tc>
      </w:tr>
      <w:tr w14:paraId="495ED08B">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0A4778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产品生态</w:t>
            </w:r>
          </w:p>
        </w:tc>
        <w:tc>
          <w:tcPr>
            <w:tcW w:w="13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E7A0A5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20 分</w:t>
            </w:r>
          </w:p>
        </w:tc>
        <w:tc>
          <w:tcPr>
            <w:tcW w:w="50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3B4B1C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主力产品全生命周期 LCA 碳足迹认证、绿色包装材料使用率。出口产品无碳标签扣 3 分</w:t>
            </w:r>
          </w:p>
        </w:tc>
        <w:tc>
          <w:tcPr>
            <w:tcW w:w="25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085537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ISO 14067 第三方认证证书</w:t>
            </w:r>
          </w:p>
        </w:tc>
      </w:tr>
      <w:tr w14:paraId="325FE8B1">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AB1ED1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温室气体</w:t>
            </w:r>
          </w:p>
        </w:tc>
        <w:tc>
          <w:tcPr>
            <w:tcW w:w="13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BB38F6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15 分</w:t>
            </w:r>
          </w:p>
        </w:tc>
        <w:tc>
          <w:tcPr>
            <w:tcW w:w="50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BC2FB2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ISO 14064 组织碳盘查报告、年度减排目标达成率。未出具盘查报告扣 5 分</w:t>
            </w:r>
          </w:p>
        </w:tc>
        <w:tc>
          <w:tcPr>
            <w:tcW w:w="25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7FFF30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权威第三方核查声明</w:t>
            </w:r>
          </w:p>
        </w:tc>
      </w:tr>
      <w:tr w14:paraId="3ED8E91A">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BE738D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碳抵消</w:t>
            </w:r>
          </w:p>
        </w:tc>
        <w:tc>
          <w:tcPr>
            <w:tcW w:w="13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DA2F9A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 分</w:t>
            </w:r>
          </w:p>
        </w:tc>
        <w:tc>
          <w:tcPr>
            <w:tcW w:w="50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ED1044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国家绿色电力证书（GEC）批量核销、CCER 碳资产抵消额度。未核销绿证扣 3 分</w:t>
            </w:r>
          </w:p>
        </w:tc>
        <w:tc>
          <w:tcPr>
            <w:tcW w:w="25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F2F669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国家绿证平台核销证明文件</w:t>
            </w:r>
          </w:p>
        </w:tc>
      </w:tr>
      <w:tr w14:paraId="0ED3436C">
        <w:tblPrEx>
          <w:tblCellMar>
            <w:top w:w="0" w:type="dxa"/>
            <w:left w:w="108" w:type="dxa"/>
            <w:bottom w:w="0" w:type="dxa"/>
            <w:right w:w="108" w:type="dxa"/>
          </w:tblCellMar>
        </w:tblPrEx>
        <w:trPr>
          <w:jc w:val="center"/>
        </w:trPr>
        <w:tc>
          <w:tcPr>
            <w:tcW w:w="7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635514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运营管理</w:t>
            </w:r>
          </w:p>
        </w:tc>
        <w:tc>
          <w:tcPr>
            <w:tcW w:w="13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485212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 分</w:t>
            </w:r>
          </w:p>
        </w:tc>
        <w:tc>
          <w:tcPr>
            <w:tcW w:w="50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E17C29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ISO 50001 能源管理体系认证、专职能碳工程师岗位。体系未年审扣 3 分</w:t>
            </w:r>
          </w:p>
        </w:tc>
        <w:tc>
          <w:tcPr>
            <w:tcW w:w="25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3A6655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体系证书、管理制度任命文件</w:t>
            </w:r>
          </w:p>
        </w:tc>
      </w:tr>
    </w:tbl>
    <w:p w14:paraId="325A2EB9">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评估流程</w:t>
      </w:r>
      <w:r>
        <w:rPr>
          <w:rFonts w:ascii="Times New Roman" w:hAnsi="Times New Roman" w:eastAsia="宋体" w:cs="Times New Roman"/>
          <w:i w:val="0"/>
          <w:color w:val="1F2937"/>
          <w:sz w:val="24"/>
          <w:szCs w:val="24"/>
        </w:rPr>
        <w:t>：填报（各维度佐证材料上传）→ 系统按评分表自动计分 → 星级评级 → 二级公司复核 → 集团审批；评分表、佐证材料与审批记录全程留痕。</w:t>
      </w:r>
    </w:p>
    <w:p w14:paraId="63635455">
      <w:pPr>
        <w:pStyle w:val="6"/>
        <w:numPr>
          <w:ilvl w:val="0"/>
          <w:numId w:val="10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714"/>
        <w:gridCol w:w="1891"/>
        <w:gridCol w:w="1271"/>
        <w:gridCol w:w="1271"/>
        <w:gridCol w:w="4637"/>
      </w:tblGrid>
      <w:tr w14:paraId="7A6B704C">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32A51C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189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AD052C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0D40F0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6AEF07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463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B41DD9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763BBC77">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B2370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189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99B95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评估年度</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3F2651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Integer</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54441C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年</w:t>
            </w:r>
          </w:p>
        </w:tc>
        <w:tc>
          <w:tcPr>
            <w:tcW w:w="46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1C7EFF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不得晚于当前年度</w:t>
            </w:r>
          </w:p>
        </w:tc>
      </w:tr>
      <w:tr w14:paraId="7E837457">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788E18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189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BFAD2E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评估维度</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38AEF0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69A38D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6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B9D8B3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 大维度固定枚举</w:t>
            </w:r>
          </w:p>
        </w:tc>
      </w:tr>
      <w:tr w14:paraId="705EA2BC">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44F172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189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B9D771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标准分值</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6528C5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D457B9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分</w:t>
            </w:r>
          </w:p>
        </w:tc>
        <w:tc>
          <w:tcPr>
            <w:tcW w:w="46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10616A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各维度分值固定，合计 100 分</w:t>
            </w:r>
          </w:p>
        </w:tc>
      </w:tr>
      <w:tr w14:paraId="377F2C72">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EDFA21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189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32E0D5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自评得分</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315D4B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A5F657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分</w:t>
            </w:r>
          </w:p>
        </w:tc>
        <w:tc>
          <w:tcPr>
            <w:tcW w:w="46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F477A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0 ≤ 得分 ≤ 标准分值</w:t>
            </w:r>
          </w:p>
        </w:tc>
      </w:tr>
      <w:tr w14:paraId="6DE1EFCA">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2CF48F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189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9DF12D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扣分项明细</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FB6749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Text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74B0AC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6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CE0BF0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非空，须注明扣分条款编号</w:t>
            </w:r>
          </w:p>
        </w:tc>
      </w:tr>
      <w:tr w14:paraId="7AAAA419">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DD8392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189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B7275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佐证材料附件</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02AD8B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File</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3BC071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6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72B602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按维度强制上传，缺失即不可提交</w:t>
            </w:r>
          </w:p>
        </w:tc>
      </w:tr>
      <w:tr w14:paraId="5CE56934">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11B2A5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189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468D56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综合得分</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5DEA7E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DCAFA6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分</w:t>
            </w:r>
          </w:p>
        </w:tc>
        <w:tc>
          <w:tcPr>
            <w:tcW w:w="46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0ACF56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各维度得分求和，0~100</w:t>
            </w:r>
          </w:p>
        </w:tc>
      </w:tr>
      <w:tr w14:paraId="179986FB">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55EC7A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189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BE243C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星级评定</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39538F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A9738A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6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6D47F5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五星/四星/三星/未达标</w:t>
            </w:r>
          </w:p>
        </w:tc>
      </w:tr>
      <w:tr w14:paraId="0152111E">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730580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189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B31CD3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复核意见</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2F7597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Text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7E53A1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6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E4B2E2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二级公司复核必填</w:t>
            </w:r>
          </w:p>
        </w:tc>
      </w:tr>
      <w:tr w14:paraId="0DFB3D57">
        <w:tblPrEx>
          <w:tblCellMar>
            <w:top w:w="0" w:type="dxa"/>
            <w:left w:w="108" w:type="dxa"/>
            <w:bottom w:w="0" w:type="dxa"/>
            <w:right w:w="108" w:type="dxa"/>
          </w:tblCellMar>
        </w:tblPrEx>
        <w:trPr>
          <w:jc w:val="center"/>
        </w:trPr>
        <w:tc>
          <w:tcPr>
            <w:tcW w:w="71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5D2454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189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B6E341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审批状态</w:t>
            </w:r>
          </w:p>
        </w:tc>
        <w:tc>
          <w:tcPr>
            <w:tcW w:w="127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A45A39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27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4D67AF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6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620A8B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填报中 / 待复核 / 待审批 / 已认定</w:t>
            </w:r>
          </w:p>
        </w:tc>
      </w:tr>
    </w:tbl>
    <w:p w14:paraId="69A3CAB8">
      <w:pPr>
        <w:spacing w:after="60"/>
        <w:rPr>
          <w:rFonts w:hint="eastAsia" w:ascii="宋体" w:hAnsi="宋体" w:eastAsia="宋体" w:cs="宋体"/>
          <w:i w:val="0"/>
          <w:iCs w:val="0"/>
          <w:sz w:val="24"/>
          <w:szCs w:val="24"/>
        </w:rPr>
      </w:pPr>
    </w:p>
    <w:p w14:paraId="15DFBBB7">
      <w:pPr>
        <w:pStyle w:val="6"/>
        <w:numPr>
          <w:ilvl w:val="0"/>
          <w:numId w:val="10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009AADBC">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22E5D974">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Score_dim = Standard_dim - Σ ( Deduction_item )    维度得分 = 标准分值 − 扣分合计</w:t>
            </w:r>
          </w:p>
          <w:p w14:paraId="3EE39E34">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Score_total = Σ Score_dim                          综合得分 = 各维度得分求和</w:t>
            </w:r>
          </w:p>
          <w:p w14:paraId="490151F3">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Star = Score_total &gt;= 90 ? 五星 : ( Score_total &gt;= 80 ? 四星 : ( Score_total &gt;= 70 ? 三星 : 未达标 ) )</w:t>
            </w:r>
          </w:p>
          <w:p w14:paraId="50A38887">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Rate_pass = N_pass / N_total × 100%                二级公司达标率</w:t>
            </w:r>
          </w:p>
        </w:tc>
      </w:tr>
    </w:tbl>
    <w:p w14:paraId="4161D3FD">
      <w:pPr>
        <w:spacing w:after="40"/>
        <w:rPr>
          <w:rFonts w:hint="eastAsia" w:ascii="宋体" w:hAnsi="宋体" w:eastAsia="宋体" w:cs="宋体"/>
          <w:i w:val="0"/>
          <w:iCs w:val="0"/>
          <w:sz w:val="24"/>
          <w:szCs w:val="24"/>
        </w:rPr>
      </w:pPr>
    </w:p>
    <w:p w14:paraId="6D79B68D">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各维度标准分值固定（基础设施 15、能源利用 30、产品生态 20、温室气体 15、碳抵消 10、运营管理 10），合计 100 分；扣分规则按考评条款逐项计算，单项扣分不超出该维度标准分值。</w:t>
      </w:r>
    </w:p>
    <w:p w14:paraId="49888303">
      <w:pPr>
        <w:pStyle w:val="6"/>
        <w:numPr>
          <w:ilvl w:val="0"/>
          <w:numId w:val="10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65DB96DB">
      <w:pPr>
        <w:pStyle w:val="19"/>
        <w:widowControl/>
        <w:numPr>
          <w:ilvl w:val="0"/>
          <w:numId w:val="10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分值口径</w:t>
      </w:r>
      <w:r>
        <w:rPr>
          <w:rFonts w:ascii="Times New Roman" w:hAnsi="Times New Roman" w:eastAsia="宋体" w:cs="Times New Roman"/>
          <w:i w:val="0"/>
          <w:color w:val="1F2937"/>
          <w:sz w:val="24"/>
          <w:szCs w:val="24"/>
        </w:rPr>
        <w:t>：6 大维度分值合计恒为 100 分，不允许自定义权重。</w:t>
      </w:r>
    </w:p>
    <w:p w14:paraId="47645F05">
      <w:pPr>
        <w:pStyle w:val="19"/>
        <w:widowControl/>
        <w:numPr>
          <w:ilvl w:val="0"/>
          <w:numId w:val="10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星级口径</w:t>
      </w:r>
      <w:r>
        <w:rPr>
          <w:rFonts w:ascii="Times New Roman" w:hAnsi="Times New Roman" w:eastAsia="宋体" w:cs="Times New Roman"/>
          <w:i w:val="0"/>
          <w:color w:val="1F2937"/>
          <w:sz w:val="24"/>
          <w:szCs w:val="24"/>
        </w:rPr>
        <w:t>：四档阈值为固定铁律，不允许按园区自定义调整。</w:t>
      </w:r>
    </w:p>
    <w:p w14:paraId="65417EC5">
      <w:pPr>
        <w:pStyle w:val="19"/>
        <w:widowControl/>
        <w:numPr>
          <w:ilvl w:val="0"/>
          <w:numId w:val="10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留痕口径</w:t>
      </w:r>
      <w:r>
        <w:rPr>
          <w:rFonts w:ascii="Times New Roman" w:hAnsi="Times New Roman" w:eastAsia="宋体" w:cs="Times New Roman"/>
          <w:i w:val="0"/>
          <w:color w:val="1F2937"/>
          <w:sz w:val="24"/>
          <w:szCs w:val="24"/>
        </w:rPr>
        <w:t>：评分表、佐证材料与审批记录全程留痕，审批通过后不可修改。</w:t>
      </w:r>
    </w:p>
    <w:p w14:paraId="7ADA15F6">
      <w:pPr>
        <w:pStyle w:val="19"/>
        <w:widowControl/>
        <w:numPr>
          <w:ilvl w:val="0"/>
          <w:numId w:val="10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复核口径</w:t>
      </w:r>
      <w:r>
        <w:rPr>
          <w:rFonts w:ascii="Times New Roman" w:hAnsi="Times New Roman" w:eastAsia="宋体" w:cs="Times New Roman"/>
          <w:i w:val="0"/>
          <w:color w:val="1F2937"/>
          <w:sz w:val="24"/>
          <w:szCs w:val="24"/>
        </w:rPr>
        <w:t>：二级公司复核为必经环节，未复核不得进入集团审批。</w:t>
      </w:r>
    </w:p>
    <w:p w14:paraId="7CA8A6AA">
      <w:pPr>
        <w:pStyle w:val="6"/>
        <w:numPr>
          <w:ilvl w:val="0"/>
          <w:numId w:val="10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7ABA8777">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6AFA7999">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佐证材料缺失：该维度得分置为 0 且不可提交评估，页面明确列出缺失材料清单。</w:t>
            </w:r>
          </w:p>
          <w:p w14:paraId="36D8FD1E">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自评得分超出标准分值：前端即时拦截并阻断保存。</w:t>
            </w:r>
          </w:p>
          <w:p w14:paraId="5A3AA78C">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已认定年度的评估结果：只读锁定，修改须走特批变更流程。</w:t>
            </w:r>
          </w:p>
          <w:p w14:paraId="38B3FCCE">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二级公司未复核：集团审批按钮置灰。</w:t>
            </w:r>
          </w:p>
        </w:tc>
      </w:tr>
    </w:tbl>
    <w:p w14:paraId="355B9F42">
      <w:pPr>
        <w:spacing w:after="40"/>
        <w:rPr>
          <w:rFonts w:hint="eastAsia" w:ascii="宋体" w:hAnsi="宋体" w:eastAsia="宋体" w:cs="宋体"/>
          <w:i w:val="0"/>
          <w:iCs w:val="0"/>
          <w:sz w:val="24"/>
          <w:szCs w:val="24"/>
        </w:rPr>
      </w:pPr>
    </w:p>
    <w:p w14:paraId="1DA0D055">
      <w:pPr>
        <w:pStyle w:val="6"/>
        <w:numPr>
          <w:ilvl w:val="0"/>
          <w:numId w:val="102"/>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32EDBCC1">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1104F37F">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零碳工厂自评估三层穿透与星级评定</w:t>
            </w:r>
          </w:p>
          <w:p w14:paraId="3BBA9F8E">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六维度自动计分与星级映射</w:t>
            </w:r>
          </w:p>
          <w:p w14:paraId="4287F51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某工厂已上传 6 大维度全部佐证材料</w:t>
            </w:r>
          </w:p>
          <w:p w14:paraId="2E5DE93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系统按评分表自动计分</w:t>
            </w:r>
          </w:p>
          <w:p w14:paraId="066F579B">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综合得分等于 6 个维度得分之和且不超过 100 分</w:t>
            </w:r>
          </w:p>
          <w:p w14:paraId="6D5F7C7B">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综合得分 ≥90 映射五星、80~89 映射四星、70~79 映射三星、&lt;70 映射未达标</w:t>
            </w:r>
          </w:p>
          <w:p w14:paraId="1594295E">
            <w:pPr>
              <w:spacing w:before="0" w:after="20" w:line="264" w:lineRule="auto"/>
              <w:rPr>
                <w:rFonts w:hint="eastAsia" w:ascii="宋体" w:hAnsi="宋体" w:eastAsia="宋体" w:cs="宋体"/>
                <w:i w:val="0"/>
                <w:iCs w:val="0"/>
                <w:sz w:val="24"/>
                <w:szCs w:val="24"/>
              </w:rPr>
            </w:pPr>
          </w:p>
          <w:p w14:paraId="1CA12D57">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佐证材料缺失阻断提交</w:t>
            </w:r>
          </w:p>
          <w:p w14:paraId="557F4DD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某工厂"温室气体"维度尚未上传 ISO 14064 碳盘查报告</w:t>
            </w:r>
          </w:p>
          <w:p w14:paraId="5EEAADF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用户尝试提交自评估</w:t>
            </w:r>
          </w:p>
          <w:p w14:paraId="39AD55B0">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系统阻断提交并列出缺失材料清单</w:t>
            </w:r>
          </w:p>
          <w:p w14:paraId="19C2DAFA">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该维度得分置为 0</w:t>
            </w:r>
          </w:p>
          <w:p w14:paraId="5CF36432">
            <w:pPr>
              <w:spacing w:before="0" w:after="20" w:line="264" w:lineRule="auto"/>
              <w:rPr>
                <w:rFonts w:hint="eastAsia" w:ascii="宋体" w:hAnsi="宋体" w:eastAsia="宋体" w:cs="宋体"/>
                <w:i w:val="0"/>
                <w:iCs w:val="0"/>
                <w:sz w:val="24"/>
                <w:szCs w:val="24"/>
              </w:rPr>
            </w:pPr>
          </w:p>
          <w:p w14:paraId="2E3290CB">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复核前置校验</w:t>
            </w:r>
          </w:p>
          <w:p w14:paraId="692337A8">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某工厂自评估已提交但二级公司尚未复核</w:t>
            </w:r>
          </w:p>
          <w:p w14:paraId="3753FEAF">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集团审批人打开审批页面</w:t>
            </w:r>
          </w:p>
          <w:p w14:paraId="55FF706A">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审批按钮置灰不可点击</w:t>
            </w:r>
          </w:p>
          <w:p w14:paraId="2FBCD10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页面提示须先完成二级公司复核</w:t>
            </w:r>
          </w:p>
        </w:tc>
      </w:tr>
    </w:tbl>
    <w:p w14:paraId="2CFE6F7F">
      <w:pPr>
        <w:rPr>
          <w:rFonts w:hint="eastAsia" w:ascii="宋体" w:hAnsi="宋体" w:eastAsia="宋体" w:cs="宋体"/>
          <w:i w:val="0"/>
          <w:iCs w:val="0"/>
          <w:sz w:val="24"/>
          <w:szCs w:val="24"/>
        </w:rPr>
      </w:pPr>
      <w:r>
        <w:rPr>
          <w:rFonts w:hint="eastAsia" w:ascii="宋体" w:hAnsi="宋体" w:eastAsia="宋体" w:cs="宋体"/>
          <w:i w:val="0"/>
          <w:iCs w:val="0"/>
          <w:sz w:val="24"/>
          <w:szCs w:val="24"/>
        </w:rPr>
        <w:br w:type="page"/>
      </w:r>
    </w:p>
    <w:p w14:paraId="3D522A28">
      <w:pPr>
        <w:pStyle w:val="4"/>
        <w:numPr>
          <w:ilvl w:val="0"/>
          <w:numId w:val="15"/>
        </w:numPr>
        <w:topLinePunct w:val="0"/>
        <w:ind w:left="0" w:leftChars="0" w:firstLine="0" w:firstLineChars="0"/>
        <w:outlineLvl w:val="0"/>
        <w:rPr>
          <w:rFonts w:hint="eastAsia" w:eastAsia="黑体"/>
          <w:b w:val="0"/>
          <w:bCs w:val="0"/>
          <w:sz w:val="30"/>
          <w:szCs w:val="32"/>
        </w:rPr>
      </w:pPr>
      <w:bookmarkStart w:id="32" w:name="_Toc21137"/>
      <w:r>
        <w:rPr>
          <w:rFonts w:ascii="Times New Roman" w:hAnsi="Times New Roman" w:eastAsia="黑体" w:cs="Times New Roman"/>
          <w:b w:val="0"/>
          <w:bCs w:val="0"/>
          <w:sz w:val="30"/>
          <w:szCs w:val="32"/>
        </w:rPr>
        <w:t>统计报表</w:t>
      </w:r>
      <w:bookmarkEnd w:id="32"/>
    </w:p>
    <w:p w14:paraId="67D9D936">
      <w:pPr>
        <w:pStyle w:val="5"/>
        <w:numPr>
          <w:ilvl w:val="0"/>
          <w:numId w:val="106"/>
        </w:numPr>
        <w:ind w:left="0" w:leftChars="0" w:firstLine="0" w:firstLineChars="0"/>
        <w:outlineLvl w:val="1"/>
        <w:rPr>
          <w:rFonts w:eastAsia="黑体"/>
          <w:b w:val="0"/>
          <w:bCs w:val="0"/>
          <w:sz w:val="30"/>
          <w:szCs w:val="24"/>
        </w:rPr>
      </w:pPr>
      <w:bookmarkStart w:id="33" w:name="_Toc16583"/>
      <w:r>
        <w:rPr>
          <w:rFonts w:ascii="Times New Roman" w:hAnsi="Times New Roman" w:eastAsia="黑体" w:cs="Times New Roman"/>
          <w:b w:val="0"/>
          <w:bCs w:val="0"/>
          <w:sz w:val="30"/>
          <w:szCs w:val="24"/>
        </w:rPr>
        <w:t>用能报表</w:t>
      </w:r>
      <w:bookmarkEnd w:id="33"/>
    </w:p>
    <w:p w14:paraId="5930AEB3">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drawing>
          <wp:inline distT="0" distB="0" distL="114300" distR="114300">
            <wp:extent cx="5900420" cy="2925445"/>
            <wp:effectExtent l="0" t="0" r="5080" b="8255"/>
            <wp:docPr id="48"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16"/>
                    <pic:cNvPicPr>
                      <a:picLocks noChangeAspect="1"/>
                    </pic:cNvPicPr>
                  </pic:nvPicPr>
                  <pic:blipFill>
                    <a:blip r:embed="rId73"/>
                    <a:stretch>
                      <a:fillRect/>
                    </a:stretch>
                  </pic:blipFill>
                  <pic:spPr>
                    <a:xfrm>
                      <a:off x="0" y="0"/>
                      <a:ext cx="5900420" cy="2925445"/>
                    </a:xfrm>
                    <a:prstGeom prst="rect">
                      <a:avLst/>
                    </a:prstGeom>
                    <a:noFill/>
                    <a:ln>
                      <a:noFill/>
                    </a:ln>
                  </pic:spPr>
                </pic:pic>
              </a:graphicData>
            </a:graphic>
          </wp:inline>
        </w:drawing>
      </w:r>
    </w:p>
    <w:p w14:paraId="39613AA7">
      <w:pPr>
        <w:pStyle w:val="6"/>
        <w:numPr>
          <w:ilvl w:val="0"/>
          <w:numId w:val="10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6147851F">
      <w:pPr>
        <w:pStyle w:val="19"/>
        <w:widowControl/>
        <w:numPr>
          <w:ilvl w:val="0"/>
          <w:numId w:val="10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：按组织 × 时间 × 介质三维交叉输出园区用能台账，支撑日/月/年报与集团汇总上报。</w:t>
      </w:r>
    </w:p>
    <w:p w14:paraId="5CD2FD9A">
      <w:pPr>
        <w:pStyle w:val="19"/>
        <w:widowControl/>
        <w:numPr>
          <w:ilvl w:val="0"/>
          <w:numId w:val="10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：P2 园区能碳专员（生成）、P3 车间填报员（数据核对）。</w:t>
      </w:r>
    </w:p>
    <w:p w14:paraId="01107E43">
      <w:pPr>
        <w:pStyle w:val="19"/>
        <w:widowControl/>
        <w:numPr>
          <w:ilvl w:val="0"/>
          <w:numId w:val="10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/monitor/report/energy </w:t>
      </w:r>
      <w:r>
        <w:rPr>
          <w:rFonts w:ascii="Times New Roman" w:hAnsi="Times New Roman" w:eastAsia="宋体" w:cs="Times New Roman"/>
          <w:i w:val="0"/>
          <w:color w:val="1F2937"/>
          <w:sz w:val="24"/>
          <w:szCs w:val="24"/>
        </w:rPr>
        <w:t>。</w:t>
      </w:r>
    </w:p>
    <w:p w14:paraId="3EBEF505">
      <w:pPr>
        <w:pStyle w:val="19"/>
        <w:widowControl/>
        <w:numPr>
          <w:ilvl w:val="0"/>
          <w:numId w:val="10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：用能在线监测、折标系数版本库、月度锁账状态。</w:t>
      </w:r>
    </w:p>
    <w:p w14:paraId="65441A75">
      <w:pPr>
        <w:pStyle w:val="19"/>
        <w:widowControl/>
        <w:numPr>
          <w:ilvl w:val="0"/>
          <w:numId w:val="10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：集团上报报表、能源管理体系内审台账。</w:t>
      </w:r>
    </w:p>
    <w:p w14:paraId="3FDD6D45">
      <w:pPr>
        <w:pStyle w:val="6"/>
        <w:numPr>
          <w:ilvl w:val="0"/>
          <w:numId w:val="10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00AD9A57">
      <w:pPr>
        <w:pStyle w:val="19"/>
        <w:widowControl/>
        <w:numPr>
          <w:ilvl w:val="0"/>
          <w:numId w:val="10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：月度能源统计上报场景，需按组织层级与介质维度生成标准化用能台账，并带防伪水印导出对外报送。</w:t>
      </w:r>
    </w:p>
    <w:p w14:paraId="43F07242">
      <w:pPr>
        <w:pStyle w:val="19"/>
        <w:widowControl/>
        <w:numPr>
          <w:ilvl w:val="0"/>
          <w:numId w:val="10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3110ABC4">
      <w:pPr>
        <w:pStyle w:val="19"/>
        <w:widowControl/>
        <w:numPr>
          <w:ilvl w:val="0"/>
          <w:numId w:val="109"/>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园区能碳专员 (Persona P2)</w:t>
      </w:r>
      <w:r>
        <w:rPr>
          <w:rFonts w:ascii="Times New Roman" w:hAnsi="Times New Roman" w:eastAsia="宋体" w:cs="Times New Roman"/>
          <w:i w:val="0"/>
          <w:color w:val="1F2937"/>
          <w:sz w:val="24"/>
          <w:szCs w:val="24"/>
        </w:rPr>
        <w:t>，</w:t>
      </w:r>
    </w:p>
    <w:p w14:paraId="359BCD98">
      <w:pPr>
        <w:pStyle w:val="19"/>
        <w:widowControl/>
        <w:numPr>
          <w:ilvl w:val="0"/>
          <w:numId w:val="109"/>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按组织 × 时间 × 介质三维交叉生成用能台账并带防伪水印导出 Excel/PDF</w:t>
      </w:r>
      <w:r>
        <w:rPr>
          <w:rFonts w:ascii="Times New Roman" w:hAnsi="Times New Roman" w:eastAsia="宋体" w:cs="Times New Roman"/>
          <w:i w:val="0"/>
          <w:color w:val="1F2937"/>
          <w:sz w:val="24"/>
          <w:szCs w:val="24"/>
        </w:rPr>
        <w:t>，</w:t>
      </w:r>
    </w:p>
    <w:p w14:paraId="4BB3D4AA">
      <w:pPr>
        <w:pStyle w:val="19"/>
        <w:widowControl/>
        <w:numPr>
          <w:ilvl w:val="0"/>
          <w:numId w:val="109"/>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我能高效完成月度能源统计上报且报表具备防篡改权威性</w:t>
      </w:r>
      <w:r>
        <w:rPr>
          <w:rFonts w:ascii="Times New Roman" w:hAnsi="Times New Roman" w:eastAsia="宋体" w:cs="Times New Roman"/>
          <w:i w:val="0"/>
          <w:color w:val="1F2937"/>
          <w:sz w:val="24"/>
          <w:szCs w:val="24"/>
        </w:rPr>
        <w:t>。</w:t>
      </w:r>
    </w:p>
    <w:p w14:paraId="4200C364">
      <w:pPr>
        <w:pStyle w:val="6"/>
        <w:numPr>
          <w:ilvl w:val="0"/>
          <w:numId w:val="10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706FD2F0">
      <w:pPr>
        <w:pStyle w:val="19"/>
        <w:widowControl/>
        <w:numPr>
          <w:ilvl w:val="0"/>
          <w:numId w:val="11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输出粒度</w:t>
      </w:r>
      <w:r>
        <w:rPr>
          <w:rFonts w:ascii="Times New Roman" w:hAnsi="Times New Roman" w:eastAsia="宋体" w:cs="Times New Roman"/>
          <w:i w:val="0"/>
          <w:color w:val="1F2937"/>
          <w:sz w:val="24"/>
          <w:szCs w:val="24"/>
        </w:rPr>
        <w:t>：组织（集团/产业/二级公司/车间）× 时间（日/月/年）× 介质三维交叉输出。</w:t>
      </w:r>
    </w:p>
    <w:p w14:paraId="40B32A4D">
      <w:pPr>
        <w:pStyle w:val="19"/>
        <w:widowControl/>
        <w:numPr>
          <w:ilvl w:val="0"/>
          <w:numId w:val="11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介质维度</w:t>
      </w:r>
      <w:r>
        <w:rPr>
          <w:rFonts w:ascii="Times New Roman" w:hAnsi="Times New Roman" w:eastAsia="宋体" w:cs="Times New Roman"/>
          <w:i w:val="0"/>
          <w:color w:val="1F2937"/>
          <w:sz w:val="24"/>
          <w:szCs w:val="24"/>
        </w:rPr>
        <w:t>：电（尖峰/高峰/平段/低谷分时段统计）、水、蒸汽、天然气、折标准煤合计。</w:t>
      </w:r>
    </w:p>
    <w:p w14:paraId="069810C3">
      <w:pPr>
        <w:pStyle w:val="19"/>
        <w:widowControl/>
        <w:numPr>
          <w:ilvl w:val="0"/>
          <w:numId w:val="11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同比环比</w:t>
      </w:r>
      <w:r>
        <w:rPr>
          <w:rFonts w:ascii="Times New Roman" w:hAnsi="Times New Roman" w:eastAsia="宋体" w:cs="Times New Roman"/>
          <w:i w:val="0"/>
          <w:color w:val="1F2937"/>
          <w:sz w:val="24"/>
          <w:szCs w:val="24"/>
        </w:rPr>
        <w:t>：系统自动计算（环比 = 本期/上期 − 1；同比 = 本期/去年同期 − 1），手工录入带录入人与时间戳。</w:t>
      </w:r>
    </w:p>
    <w:p w14:paraId="47D590B0">
      <w:pPr>
        <w:pStyle w:val="19"/>
        <w:widowControl/>
        <w:numPr>
          <w:ilvl w:val="0"/>
          <w:numId w:val="11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导出</w:t>
      </w:r>
      <w:r>
        <w:rPr>
          <w:rFonts w:ascii="Times New Roman" w:hAnsi="Times New Roman" w:eastAsia="宋体" w:cs="Times New Roman"/>
          <w:i w:val="0"/>
          <w:color w:val="1F2937"/>
          <w:sz w:val="24"/>
          <w:szCs w:val="24"/>
        </w:rPr>
        <w:t>：Excel/PDF 导出强制注入防伪动态水印（员工号、姓名、时间戳、哈希校验码）。</w:t>
      </w:r>
    </w:p>
    <w:p w14:paraId="1E4C2657">
      <w:pPr>
        <w:pStyle w:val="19"/>
        <w:widowControl/>
        <w:numPr>
          <w:ilvl w:val="0"/>
          <w:numId w:val="11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打印模板</w:t>
      </w:r>
      <w:r>
        <w:rPr>
          <w:rFonts w:ascii="Times New Roman" w:hAnsi="Times New Roman" w:eastAsia="宋体" w:cs="Times New Roman"/>
          <w:i w:val="0"/>
          <w:color w:val="1F2937"/>
          <w:sz w:val="24"/>
          <w:szCs w:val="24"/>
        </w:rPr>
        <w:t>：其余格式与打印模板统一沿用导出中心的 A4 横向套打模板，含保密水印、页码与导出哈希校验码。</w:t>
      </w:r>
    </w:p>
    <w:tbl>
      <w:tblPr>
        <w:tblStyle w:val="38"/>
        <w:tblW w:w="9784" w:type="dxa"/>
        <w:jc w:val="center"/>
        <w:tblLayout w:type="autofit"/>
        <w:tblCellMar>
          <w:top w:w="0" w:type="dxa"/>
          <w:left w:w="108" w:type="dxa"/>
          <w:bottom w:w="0" w:type="dxa"/>
          <w:right w:w="108" w:type="dxa"/>
        </w:tblCellMar>
      </w:tblPr>
      <w:tblGrid>
        <w:gridCol w:w="1100"/>
        <w:gridCol w:w="8684"/>
      </w:tblGrid>
      <w:tr w14:paraId="2C3DE5DF">
        <w:tblPrEx>
          <w:tblCellMar>
            <w:top w:w="0" w:type="dxa"/>
            <w:left w:w="108" w:type="dxa"/>
            <w:bottom w:w="0" w:type="dxa"/>
            <w:right w:w="108" w:type="dxa"/>
          </w:tblCellMar>
        </w:tblPrEx>
        <w:trPr>
          <w:tblHeade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409F6BE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规则项</w:t>
            </w:r>
          </w:p>
        </w:tc>
        <w:tc>
          <w:tcPr>
            <w:tcW w:w="868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139CD8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规则明细</w:t>
            </w:r>
          </w:p>
        </w:tc>
      </w:tr>
      <w:tr w14:paraId="795AE582">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23D51D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输出粒度</w:t>
            </w:r>
          </w:p>
        </w:tc>
        <w:tc>
          <w:tcPr>
            <w:tcW w:w="86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72C004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组织（集团/产业/二级公司/车间）× 时间（日/月/年）× 介质三维交叉输出</w:t>
            </w:r>
          </w:p>
        </w:tc>
      </w:tr>
      <w:tr w14:paraId="5BC3F5B0">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81BD3A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介质维度</w:t>
            </w:r>
          </w:p>
        </w:tc>
        <w:tc>
          <w:tcPr>
            <w:tcW w:w="868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28F7A6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电（尖峰/高峰/平段/低谷分时段统计）、水、蒸汽、天然气、折标准煤合计</w:t>
            </w:r>
          </w:p>
        </w:tc>
      </w:tr>
      <w:tr w14:paraId="0B770C74">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3FB331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同比环比</w:t>
            </w:r>
          </w:p>
        </w:tc>
        <w:tc>
          <w:tcPr>
            <w:tcW w:w="86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A64C31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系统自动计算，手工录入带录入人与时间戳</w:t>
            </w:r>
          </w:p>
        </w:tc>
      </w:tr>
      <w:tr w14:paraId="28296415">
        <w:tblPrEx>
          <w:tblCellMar>
            <w:top w:w="0" w:type="dxa"/>
            <w:left w:w="108" w:type="dxa"/>
            <w:bottom w:w="0" w:type="dxa"/>
            <w:right w:w="108" w:type="dxa"/>
          </w:tblCellMar>
        </w:tblPrEx>
        <w:trPr>
          <w:jc w:val="center"/>
        </w:trPr>
        <w:tc>
          <w:tcPr>
            <w:tcW w:w="110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FBB266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导出</w:t>
            </w:r>
          </w:p>
        </w:tc>
        <w:tc>
          <w:tcPr>
            <w:tcW w:w="868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E74EFA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Excel/PDF 导出强制注入防伪动态水印（员工号、姓名、时间戳、哈希校验码）</w:t>
            </w:r>
          </w:p>
        </w:tc>
      </w:tr>
    </w:tbl>
    <w:p w14:paraId="2B99172F">
      <w:pPr>
        <w:spacing w:after="60"/>
        <w:rPr>
          <w:rFonts w:hint="eastAsia" w:ascii="宋体" w:hAnsi="宋体" w:eastAsia="宋体" w:cs="宋体"/>
          <w:i w:val="0"/>
          <w:iCs w:val="0"/>
          <w:sz w:val="24"/>
          <w:szCs w:val="24"/>
        </w:rPr>
      </w:pPr>
    </w:p>
    <w:p w14:paraId="6F0274AF">
      <w:pPr>
        <w:pStyle w:val="6"/>
        <w:numPr>
          <w:ilvl w:val="0"/>
          <w:numId w:val="10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661"/>
        <w:gridCol w:w="1916"/>
        <w:gridCol w:w="1175"/>
        <w:gridCol w:w="1400"/>
        <w:gridCol w:w="4632"/>
      </w:tblGrid>
      <w:tr w14:paraId="22A62A14">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4C1B3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BBBD5E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C7C3A4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140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DF48D7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463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320515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聚合滚算规则</w:t>
            </w:r>
          </w:p>
        </w:tc>
      </w:tr>
      <w:tr w14:paraId="62A02BB9">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CAC947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391BA7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统计周期标签</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4550ED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40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FA7287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日/月/年</w:t>
            </w:r>
          </w:p>
        </w:tc>
        <w:tc>
          <w:tcPr>
            <w:tcW w:w="463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BCCEAC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日报按 0 点截断，月报按自然月自然闭环</w:t>
            </w:r>
          </w:p>
        </w:tc>
      </w:tr>
      <w:tr w14:paraId="15BF6FF0">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20A7F1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EAAD26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组织节点名称</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072AFF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40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3DEF06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63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66E46A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集团/产业/二级公司/车间层级树</w:t>
            </w:r>
          </w:p>
        </w:tc>
      </w:tr>
      <w:tr w14:paraId="31CECAA1">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353C89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68B32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用电量总计</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C2461E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40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AA1319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w:t>
            </w:r>
          </w:p>
        </w:tc>
        <w:tc>
          <w:tcPr>
            <w:tcW w:w="463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3D1415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Σ (尖峰 + 高峰 + 平段 + 低谷)</w:t>
            </w:r>
          </w:p>
        </w:tc>
      </w:tr>
      <w:tr w14:paraId="25DD5A42">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A22C6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FADF12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自来水用量</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EB3383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40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E5CBC7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m³</w:t>
            </w:r>
          </w:p>
        </w:tc>
        <w:tc>
          <w:tcPr>
            <w:tcW w:w="463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CD282C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市政总表与自备井流量累加</w:t>
            </w:r>
          </w:p>
        </w:tc>
      </w:tr>
      <w:tr w14:paraId="6B6C842F">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4715A7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53935A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外购蒸汽量</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70EB17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40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C7A206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w:t>
            </w:r>
          </w:p>
        </w:tc>
        <w:tc>
          <w:tcPr>
            <w:tcW w:w="463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F5DE32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车间进汽流量计温压补偿积算</w:t>
            </w:r>
          </w:p>
        </w:tc>
      </w:tr>
      <w:tr w14:paraId="36A8335F">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BC7FB4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886F98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天然气消耗量</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D088EE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40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19E46E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m³</w:t>
            </w:r>
          </w:p>
        </w:tc>
        <w:tc>
          <w:tcPr>
            <w:tcW w:w="463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D7A307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燃气调压计量站流量计</w:t>
            </w:r>
          </w:p>
        </w:tc>
      </w:tr>
      <w:tr w14:paraId="49FAA24C">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9CCC65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6EBD82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折标准煤总能耗</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F30FF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40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795A6C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w:t>
            </w:r>
          </w:p>
        </w:tc>
        <w:tc>
          <w:tcPr>
            <w:tcW w:w="463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C44930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Σ (各介质消耗量 × 当量折标系数)</w:t>
            </w:r>
          </w:p>
        </w:tc>
      </w:tr>
      <w:tr w14:paraId="248FECDA">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5CE707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C13B3E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综合能源总成本</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BBC5C0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40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B965D8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万元</w:t>
            </w:r>
          </w:p>
        </w:tc>
        <w:tc>
          <w:tcPr>
            <w:tcW w:w="463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D82765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Σ (各介质实物量 × 现行能源单价)</w:t>
            </w:r>
          </w:p>
        </w:tc>
      </w:tr>
      <w:tr w14:paraId="45837C8F">
        <w:tblPrEx>
          <w:tblCellMar>
            <w:top w:w="0" w:type="dxa"/>
            <w:left w:w="108" w:type="dxa"/>
            <w:bottom w:w="0" w:type="dxa"/>
            <w:right w:w="108" w:type="dxa"/>
          </w:tblCellMar>
        </w:tblPrEx>
        <w:trPr>
          <w:jc w:val="center"/>
        </w:trPr>
        <w:tc>
          <w:tcPr>
            <w:tcW w:w="66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CEB1B9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19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1F1FA0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防伪水印哈希</w:t>
            </w:r>
          </w:p>
        </w:tc>
        <w:tc>
          <w:tcPr>
            <w:tcW w:w="117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CC7900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40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3722C8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SHA-256</w:t>
            </w:r>
          </w:p>
        </w:tc>
        <w:tc>
          <w:tcPr>
            <w:tcW w:w="463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326D6F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导出时强制生成，与文件内容绑定</w:t>
            </w:r>
          </w:p>
        </w:tc>
      </w:tr>
    </w:tbl>
    <w:p w14:paraId="50679025">
      <w:pPr>
        <w:spacing w:after="60"/>
        <w:rPr>
          <w:rFonts w:hint="eastAsia" w:ascii="宋体" w:hAnsi="宋体" w:eastAsia="宋体" w:cs="宋体"/>
          <w:i w:val="0"/>
          <w:iCs w:val="0"/>
          <w:sz w:val="24"/>
          <w:szCs w:val="24"/>
        </w:rPr>
      </w:pPr>
    </w:p>
    <w:p w14:paraId="0B8E529D">
      <w:pPr>
        <w:pStyle w:val="6"/>
        <w:numPr>
          <w:ilvl w:val="0"/>
          <w:numId w:val="10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5D17B46D">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2B8B7853">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Q_elec_total = Q_tip + Q_peak + Q_flat + Q_valley     用电量总计</w:t>
            </w:r>
          </w:p>
          <w:p w14:paraId="7B1D1B0D">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E_tce = Σ ( Q_media × k_media )                     折标准煤总能耗</w:t>
            </w:r>
          </w:p>
          <w:p w14:paraId="71E9570E">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MoM = ( V_t / V_{t-1} - 1 ) × 100%                   环比</w:t>
            </w:r>
          </w:p>
          <w:p w14:paraId="0B9B09FE">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YoY = ( V_t / V_{t-12} - 1 ) × 100%                  同比</w:t>
            </w:r>
          </w:p>
          <w:p w14:paraId="758BFE73">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Hash = SHA256( Content + EmpID + Timestamp )          防伪水印哈希</w:t>
            </w:r>
          </w:p>
        </w:tc>
      </w:tr>
    </w:tbl>
    <w:p w14:paraId="210398C8">
      <w:pPr>
        <w:spacing w:after="40"/>
        <w:rPr>
          <w:rFonts w:hint="eastAsia" w:ascii="宋体" w:hAnsi="宋体" w:eastAsia="宋体" w:cs="宋体"/>
          <w:i w:val="0"/>
          <w:iCs w:val="0"/>
          <w:sz w:val="24"/>
          <w:szCs w:val="24"/>
        </w:rPr>
      </w:pPr>
    </w:p>
    <w:p w14:paraId="56681A28">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w:t>
      </w:r>
      <w:r>
        <w:rPr>
          <w:rFonts w:ascii="Times New Roman" w:hAnsi="Times New Roman" w:eastAsia="宋体" w:cs="Times New Roman"/>
          <w:b w:val="0"/>
          <w:i w:val="0"/>
          <w:color w:val="0284C7"/>
          <w:sz w:val="24"/>
          <w:szCs w:val="24"/>
        </w:rPr>
        <w:t xml:space="preserve"> k_media </w:t>
      </w:r>
      <w:r>
        <w:rPr>
          <w:rFonts w:ascii="Times New Roman" w:hAnsi="Times New Roman" w:eastAsia="宋体" w:cs="Times New Roman"/>
          <w:i w:val="0"/>
          <w:color w:val="1F2937"/>
          <w:sz w:val="24"/>
          <w:szCs w:val="24"/>
        </w:rPr>
        <w:t xml:space="preserve"> 为介质折标准煤当量系数；同比环比均以百分比表示，基准值为 0 时显示 </w:t>
      </w:r>
      <w:r>
        <w:rPr>
          <w:rFonts w:ascii="Times New Roman" w:hAnsi="Times New Roman" w:eastAsia="宋体" w:cs="Times New Roman"/>
          <w:b w:val="0"/>
          <w:i w:val="0"/>
          <w:color w:val="0284C7"/>
          <w:sz w:val="24"/>
          <w:szCs w:val="24"/>
        </w:rPr>
        <w:t xml:space="preserve"> -- </w:t>
      </w:r>
      <w:r>
        <w:rPr>
          <w:rFonts w:ascii="Times New Roman" w:hAnsi="Times New Roman" w:eastAsia="宋体" w:cs="Times New Roman"/>
          <w:i w:val="0"/>
          <w:color w:val="1F2937"/>
          <w:sz w:val="24"/>
          <w:szCs w:val="24"/>
        </w:rPr>
        <w:t>。</w:t>
      </w:r>
    </w:p>
    <w:p w14:paraId="6857ABDB">
      <w:pPr>
        <w:pStyle w:val="6"/>
        <w:numPr>
          <w:ilvl w:val="0"/>
          <w:numId w:val="10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4812B2AD">
      <w:pPr>
        <w:pStyle w:val="19"/>
        <w:widowControl/>
        <w:numPr>
          <w:ilvl w:val="0"/>
          <w:numId w:val="11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汇总口径</w:t>
      </w:r>
      <w:r>
        <w:rPr>
          <w:rFonts w:ascii="Times New Roman" w:hAnsi="Times New Roman" w:eastAsia="宋体" w:cs="Times New Roman"/>
          <w:i w:val="0"/>
          <w:color w:val="1F2937"/>
          <w:sz w:val="24"/>
          <w:szCs w:val="24"/>
        </w:rPr>
        <w:t>：绝对量类字段逐级累加；比率与单耗类字段先汇总分子分母再计算。</w:t>
      </w:r>
    </w:p>
    <w:p w14:paraId="45C3881C">
      <w:pPr>
        <w:pStyle w:val="19"/>
        <w:widowControl/>
        <w:numPr>
          <w:ilvl w:val="0"/>
          <w:numId w:val="11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锁账口径</w:t>
      </w:r>
      <w:r>
        <w:rPr>
          <w:rFonts w:ascii="Times New Roman" w:hAnsi="Times New Roman" w:eastAsia="宋体" w:cs="Times New Roman"/>
          <w:i w:val="0"/>
          <w:color w:val="1F2937"/>
          <w:sz w:val="24"/>
          <w:szCs w:val="24"/>
        </w:rPr>
        <w:t>：已关账月度的报表数据冻结，导出时标注"已锁账"。</w:t>
      </w:r>
    </w:p>
    <w:p w14:paraId="17593164">
      <w:pPr>
        <w:pStyle w:val="19"/>
        <w:widowControl/>
        <w:numPr>
          <w:ilvl w:val="0"/>
          <w:numId w:val="11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水印口径</w:t>
      </w:r>
      <w:r>
        <w:rPr>
          <w:rFonts w:ascii="Times New Roman" w:hAnsi="Times New Roman" w:eastAsia="宋体" w:cs="Times New Roman"/>
          <w:i w:val="0"/>
          <w:color w:val="1F2937"/>
          <w:sz w:val="24"/>
          <w:szCs w:val="24"/>
        </w:rPr>
        <w:t>：任何导出行为强制注入水印，无豁免通道。</w:t>
      </w:r>
    </w:p>
    <w:p w14:paraId="0EAEB00A">
      <w:pPr>
        <w:pStyle w:val="19"/>
        <w:widowControl/>
        <w:numPr>
          <w:ilvl w:val="0"/>
          <w:numId w:val="11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舍入口径</w:t>
      </w:r>
      <w:r>
        <w:rPr>
          <w:rFonts w:ascii="Times New Roman" w:hAnsi="Times New Roman" w:eastAsia="宋体" w:cs="Times New Roman"/>
          <w:i w:val="0"/>
          <w:color w:val="1F2937"/>
          <w:sz w:val="24"/>
          <w:szCs w:val="24"/>
        </w:rPr>
        <w:t>：报表数值保留两位小数，汇总行按未舍入原值计算后再舍入，避免累计误差。</w:t>
      </w:r>
    </w:p>
    <w:p w14:paraId="50FAB004">
      <w:pPr>
        <w:pStyle w:val="6"/>
        <w:numPr>
          <w:ilvl w:val="0"/>
          <w:numId w:val="10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4CC1BE62">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4EF76B1F">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已锁账月度数据被修改：触发 </w:t>
            </w:r>
            <w:r>
              <w:rPr>
                <w:rFonts w:hint="eastAsia" w:ascii="宋体" w:hAnsi="宋体" w:eastAsia="宋体" w:cs="宋体"/>
                <w:b w:val="0"/>
                <w:i w:val="0"/>
                <w:iCs w:val="0"/>
                <w:color w:val="0284C7"/>
                <w:sz w:val="24"/>
                <w:szCs w:val="24"/>
              </w:rPr>
              <w:t xml:space="preserve"> E_SYS_ENTRY_ALREADY_LOCKED </w:t>
            </w:r>
            <w:r>
              <w:rPr>
                <w:rFonts w:hint="eastAsia" w:ascii="宋体" w:hAnsi="宋体" w:eastAsia="宋体" w:cs="宋体"/>
                <w:i w:val="0"/>
                <w:iCs w:val="0"/>
                <w:color w:val="1F2937"/>
                <w:sz w:val="24"/>
                <w:szCs w:val="24"/>
              </w:rPr>
              <w:t>，提示需 P1 集团高管特批。</w:t>
            </w:r>
          </w:p>
          <w:p w14:paraId="51038BEF">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导出失败：保留水印参数重试，不输出无水印文件。</w:t>
            </w:r>
          </w:p>
          <w:p w14:paraId="6236C36B">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除零兜底：同比环比基准值为 0 时显示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w:t>
            </w:r>
          </w:p>
          <w:p w14:paraId="77D165B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大数据量导出（如 10 万行）：异步生成并提供下载中心回链，【待补充】导出时限基线。</w:t>
            </w:r>
          </w:p>
        </w:tc>
      </w:tr>
    </w:tbl>
    <w:p w14:paraId="4FB8BB1F">
      <w:pPr>
        <w:spacing w:after="40"/>
        <w:rPr>
          <w:rFonts w:hint="eastAsia" w:ascii="宋体" w:hAnsi="宋体" w:eastAsia="宋体" w:cs="宋体"/>
          <w:i w:val="0"/>
          <w:iCs w:val="0"/>
          <w:sz w:val="24"/>
          <w:szCs w:val="24"/>
        </w:rPr>
      </w:pPr>
    </w:p>
    <w:p w14:paraId="23A0A661">
      <w:pPr>
        <w:pStyle w:val="6"/>
        <w:numPr>
          <w:ilvl w:val="0"/>
          <w:numId w:val="107"/>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7157556D">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6AC1901A">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用能统计报表三维交叉输出</w:t>
            </w:r>
          </w:p>
          <w:p w14:paraId="51BA2F80">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三维交叉与折标汇总</w:t>
            </w:r>
          </w:p>
          <w:p w14:paraId="54A25B7A">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园区当月已录入电、水、蒸汽、天然气四类介质数据</w:t>
            </w:r>
          </w:p>
          <w:p w14:paraId="5FF9DEE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系统生成月度用能报表</w:t>
            </w:r>
          </w:p>
          <w:p w14:paraId="680FA617">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报表按组织 × 时间 × 介质三维交叉输出</w:t>
            </w:r>
          </w:p>
          <w:p w14:paraId="6A15AE39">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折标准煤总能耗等于各介质消耗量乘以当量折标系数后求和</w:t>
            </w:r>
          </w:p>
          <w:p w14:paraId="1E4CFF1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用电量总计等于尖峰、高峰、平段、低谷四段之和</w:t>
            </w:r>
          </w:p>
          <w:p w14:paraId="0066B1B8">
            <w:pPr>
              <w:spacing w:before="0" w:after="20" w:line="264" w:lineRule="auto"/>
              <w:rPr>
                <w:rFonts w:hint="eastAsia" w:ascii="宋体" w:hAnsi="宋体" w:eastAsia="宋体" w:cs="宋体"/>
                <w:i w:val="0"/>
                <w:iCs w:val="0"/>
                <w:sz w:val="24"/>
                <w:szCs w:val="24"/>
              </w:rPr>
            </w:pPr>
          </w:p>
          <w:p w14:paraId="730C3620">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导出强制防伪水印</w:t>
            </w:r>
          </w:p>
          <w:p w14:paraId="17DF083C">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用户点击导出 Excel</w:t>
            </w:r>
          </w:p>
          <w:p w14:paraId="7D96CE58">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系统生成导出文件</w:t>
            </w:r>
          </w:p>
          <w:p w14:paraId="6F4D19C4">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文件内注入导出员工号、姓名、时间戳与哈希校验码</w:t>
            </w:r>
          </w:p>
          <w:p w14:paraId="5EA8343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不存在任何可绕过水印的导出通道</w:t>
            </w:r>
          </w:p>
          <w:p w14:paraId="00DD23B9">
            <w:pPr>
              <w:spacing w:before="0" w:after="20" w:line="264" w:lineRule="auto"/>
              <w:rPr>
                <w:rFonts w:hint="eastAsia" w:ascii="宋体" w:hAnsi="宋体" w:eastAsia="宋体" w:cs="宋体"/>
                <w:i w:val="0"/>
                <w:iCs w:val="0"/>
                <w:sz w:val="24"/>
                <w:szCs w:val="24"/>
              </w:rPr>
            </w:pPr>
          </w:p>
          <w:p w14:paraId="499CD16C">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锁账月度冻结</w:t>
            </w:r>
          </w:p>
          <w:p w14:paraId="3E85C438">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目标月度已完成财务关账</w:t>
            </w:r>
          </w:p>
          <w:p w14:paraId="1CA0D830">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用户尝试修改该月度的用能报表数据</w:t>
            </w:r>
          </w:p>
          <w:p w14:paraId="2F2D19BC">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系统返回 E_SYS_ENTRY_ALREADY_LOCKED</w:t>
            </w:r>
          </w:p>
          <w:p w14:paraId="2760669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提示需由 P1 集团高管特批</w:t>
            </w:r>
          </w:p>
        </w:tc>
      </w:tr>
    </w:tbl>
    <w:p w14:paraId="2AD35408">
      <w:pPr>
        <w:spacing w:after="40"/>
        <w:rPr>
          <w:rFonts w:hint="eastAsia" w:ascii="宋体" w:hAnsi="宋体" w:eastAsia="宋体" w:cs="宋体"/>
          <w:i w:val="0"/>
          <w:iCs w:val="0"/>
          <w:sz w:val="24"/>
          <w:szCs w:val="24"/>
        </w:rPr>
      </w:pPr>
    </w:p>
    <w:p w14:paraId="4BD5455A">
      <w:pPr>
        <w:pStyle w:val="5"/>
        <w:numPr>
          <w:ilvl w:val="0"/>
          <w:numId w:val="106"/>
        </w:numPr>
        <w:ind w:left="0" w:leftChars="0" w:firstLine="0" w:firstLineChars="0"/>
        <w:outlineLvl w:val="1"/>
        <w:rPr>
          <w:rFonts w:eastAsia="黑体"/>
          <w:b w:val="0"/>
          <w:bCs w:val="0"/>
          <w:sz w:val="30"/>
          <w:szCs w:val="24"/>
        </w:rPr>
      </w:pPr>
      <w:bookmarkStart w:id="34" w:name="_Toc18272"/>
      <w:r>
        <w:rPr>
          <w:rFonts w:ascii="Times New Roman" w:hAnsi="Times New Roman" w:eastAsia="黑体" w:cs="Times New Roman"/>
          <w:b w:val="0"/>
          <w:bCs w:val="0"/>
          <w:sz w:val="30"/>
          <w:szCs w:val="24"/>
        </w:rPr>
        <w:t>成本报表</w:t>
      </w:r>
      <w:bookmarkEnd w:id="34"/>
    </w:p>
    <w:p w14:paraId="294C3D15">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drawing>
          <wp:inline distT="0" distB="0" distL="114300" distR="114300">
            <wp:extent cx="5900420" cy="2925445"/>
            <wp:effectExtent l="0" t="0" r="5080" b="8255"/>
            <wp:docPr id="53"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17"/>
                    <pic:cNvPicPr>
                      <a:picLocks noChangeAspect="1"/>
                    </pic:cNvPicPr>
                  </pic:nvPicPr>
                  <pic:blipFill>
                    <a:blip r:embed="rId74"/>
                    <a:stretch>
                      <a:fillRect/>
                    </a:stretch>
                  </pic:blipFill>
                  <pic:spPr>
                    <a:xfrm>
                      <a:off x="0" y="0"/>
                      <a:ext cx="5900420" cy="2925445"/>
                    </a:xfrm>
                    <a:prstGeom prst="rect">
                      <a:avLst/>
                    </a:prstGeom>
                    <a:noFill/>
                    <a:ln>
                      <a:noFill/>
                    </a:ln>
                  </pic:spPr>
                </pic:pic>
              </a:graphicData>
            </a:graphic>
          </wp:inline>
        </w:drawing>
      </w:r>
    </w:p>
    <w:p w14:paraId="51EBACF1">
      <w:pPr>
        <w:pStyle w:val="6"/>
        <w:numPr>
          <w:ilvl w:val="0"/>
          <w:numId w:val="11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228C2F2E">
      <w:pPr>
        <w:pStyle w:val="19"/>
        <w:widowControl/>
        <w:numPr>
          <w:ilvl w:val="0"/>
          <w:numId w:val="11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：按电费构成与非电介质成本输出园区能源成本台账，单价取自能源价格管理最新生效版本。</w:t>
      </w:r>
    </w:p>
    <w:p w14:paraId="3CC406E2">
      <w:pPr>
        <w:pStyle w:val="19"/>
        <w:widowControl/>
        <w:numPr>
          <w:ilvl w:val="0"/>
          <w:numId w:val="11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：园区财务兼能碳核算专员、P2 园区能碳专员。</w:t>
      </w:r>
    </w:p>
    <w:p w14:paraId="5D8BB272">
      <w:pPr>
        <w:pStyle w:val="19"/>
        <w:widowControl/>
        <w:numPr>
          <w:ilvl w:val="0"/>
          <w:numId w:val="11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/monitor/report/cost </w:t>
      </w:r>
      <w:r>
        <w:rPr>
          <w:rFonts w:ascii="Times New Roman" w:hAnsi="Times New Roman" w:eastAsia="宋体" w:cs="Times New Roman"/>
          <w:i w:val="0"/>
          <w:color w:val="1F2937"/>
          <w:sz w:val="24"/>
          <w:szCs w:val="24"/>
        </w:rPr>
        <w:t>。</w:t>
      </w:r>
    </w:p>
    <w:p w14:paraId="6C0EC73D">
      <w:pPr>
        <w:pStyle w:val="19"/>
        <w:widowControl/>
        <w:numPr>
          <w:ilvl w:val="0"/>
          <w:numId w:val="11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：能源价格管理版本库、用能报表介质用量、基本电费计费方式配置。</w:t>
      </w:r>
    </w:p>
    <w:p w14:paraId="4DF44E1D">
      <w:pPr>
        <w:pStyle w:val="19"/>
        <w:widowControl/>
        <w:numPr>
          <w:ilvl w:val="0"/>
          <w:numId w:val="11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：财务对账依据、成本分析专题报告。</w:t>
      </w:r>
    </w:p>
    <w:p w14:paraId="75BF6FC7">
      <w:pPr>
        <w:pStyle w:val="6"/>
        <w:numPr>
          <w:ilvl w:val="0"/>
          <w:numId w:val="11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6572009D">
      <w:pPr>
        <w:pStyle w:val="19"/>
        <w:widowControl/>
        <w:numPr>
          <w:ilvl w:val="0"/>
          <w:numId w:val="11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：月度能源成本入账与对账场景，需按电费构成与非电介质成本分别出具台账，并与财务口径对账。</w:t>
      </w:r>
    </w:p>
    <w:p w14:paraId="030AF7B1">
      <w:pPr>
        <w:pStyle w:val="19"/>
        <w:widowControl/>
        <w:numPr>
          <w:ilvl w:val="0"/>
          <w:numId w:val="11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0C10FC4C">
      <w:pPr>
        <w:pStyle w:val="19"/>
        <w:widowControl/>
        <w:numPr>
          <w:ilvl w:val="0"/>
          <w:numId w:val="114"/>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园区财务兼能碳核算专员</w:t>
      </w:r>
      <w:r>
        <w:rPr>
          <w:rFonts w:ascii="Times New Roman" w:hAnsi="Times New Roman" w:eastAsia="宋体" w:cs="Times New Roman"/>
          <w:i w:val="0"/>
          <w:color w:val="1F2937"/>
          <w:sz w:val="24"/>
          <w:szCs w:val="24"/>
        </w:rPr>
        <w:t>，</w:t>
      </w:r>
    </w:p>
    <w:p w14:paraId="101123D8">
      <w:pPr>
        <w:pStyle w:val="19"/>
        <w:widowControl/>
        <w:numPr>
          <w:ilvl w:val="0"/>
          <w:numId w:val="114"/>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按电费构成与非电介质成本生成能源成本台账，单价自动取最新生效版本</w:t>
      </w:r>
      <w:r>
        <w:rPr>
          <w:rFonts w:ascii="Times New Roman" w:hAnsi="Times New Roman" w:eastAsia="宋体" w:cs="Times New Roman"/>
          <w:i w:val="0"/>
          <w:color w:val="1F2937"/>
          <w:sz w:val="24"/>
          <w:szCs w:val="24"/>
        </w:rPr>
        <w:t>，</w:t>
      </w:r>
    </w:p>
    <w:p w14:paraId="2D2D7245">
      <w:pPr>
        <w:pStyle w:val="19"/>
        <w:widowControl/>
        <w:numPr>
          <w:ilvl w:val="0"/>
          <w:numId w:val="114"/>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我能快速完成能源成本入账与财务对账，避免单价用错版本</w:t>
      </w:r>
      <w:r>
        <w:rPr>
          <w:rFonts w:ascii="Times New Roman" w:hAnsi="Times New Roman" w:eastAsia="宋体" w:cs="Times New Roman"/>
          <w:i w:val="0"/>
          <w:color w:val="1F2937"/>
          <w:sz w:val="24"/>
          <w:szCs w:val="24"/>
        </w:rPr>
        <w:t>。</w:t>
      </w:r>
    </w:p>
    <w:p w14:paraId="09C9BC19">
      <w:pPr>
        <w:pStyle w:val="6"/>
        <w:numPr>
          <w:ilvl w:val="0"/>
          <w:numId w:val="11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tbl>
      <w:tblPr>
        <w:tblStyle w:val="38"/>
        <w:tblW w:w="9784" w:type="dxa"/>
        <w:jc w:val="center"/>
        <w:tblLayout w:type="autofit"/>
        <w:tblCellMar>
          <w:top w:w="0" w:type="dxa"/>
          <w:left w:w="108" w:type="dxa"/>
          <w:bottom w:w="0" w:type="dxa"/>
          <w:right w:w="108" w:type="dxa"/>
        </w:tblCellMar>
      </w:tblPr>
      <w:tblGrid>
        <w:gridCol w:w="1880"/>
        <w:gridCol w:w="7904"/>
      </w:tblGrid>
      <w:tr w14:paraId="7D72F504">
        <w:tblPrEx>
          <w:tblCellMar>
            <w:top w:w="0" w:type="dxa"/>
            <w:left w:w="108" w:type="dxa"/>
            <w:bottom w:w="0" w:type="dxa"/>
            <w:right w:w="108" w:type="dxa"/>
          </w:tblCellMar>
        </w:tblPrEx>
        <w:trPr>
          <w:tblHeader/>
          <w:jc w:val="center"/>
        </w:trPr>
        <w:tc>
          <w:tcPr>
            <w:tcW w:w="188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0E8226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规则项</w:t>
            </w:r>
          </w:p>
        </w:tc>
        <w:tc>
          <w:tcPr>
            <w:tcW w:w="790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DAA579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规则明细</w:t>
            </w:r>
          </w:p>
        </w:tc>
      </w:tr>
      <w:tr w14:paraId="4AB95A77">
        <w:tblPrEx>
          <w:tblCellMar>
            <w:top w:w="0" w:type="dxa"/>
            <w:left w:w="108" w:type="dxa"/>
            <w:bottom w:w="0" w:type="dxa"/>
            <w:right w:w="108" w:type="dxa"/>
          </w:tblCellMar>
        </w:tblPrEx>
        <w:trPr>
          <w:jc w:val="center"/>
        </w:trPr>
        <w:tc>
          <w:tcPr>
            <w:tcW w:w="18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BE3FBE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电费构成</w:t>
            </w:r>
          </w:p>
        </w:tc>
        <w:tc>
          <w:tcPr>
            <w:tcW w:w="790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027785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尖峰/高峰/平时段/低谷时段电费、基本电费（按容量或最大需量）、功率因数调整电费、总用电成本、综合度电综合单价</w:t>
            </w:r>
          </w:p>
        </w:tc>
      </w:tr>
      <w:tr w14:paraId="7FC11DB0">
        <w:tblPrEx>
          <w:tblCellMar>
            <w:top w:w="0" w:type="dxa"/>
            <w:left w:w="108" w:type="dxa"/>
            <w:bottom w:w="0" w:type="dxa"/>
            <w:right w:w="108" w:type="dxa"/>
          </w:tblCellMar>
        </w:tblPrEx>
        <w:trPr>
          <w:jc w:val="center"/>
        </w:trPr>
        <w:tc>
          <w:tcPr>
            <w:tcW w:w="188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6809D1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非电介质成本</w:t>
            </w:r>
          </w:p>
        </w:tc>
        <w:tc>
          <w:tcPr>
            <w:tcW w:w="790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647C46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水/蒸汽/天然气等按用量 × 单价，单价取自能源价格管理最新生效版本</w:t>
            </w:r>
          </w:p>
        </w:tc>
      </w:tr>
      <w:tr w14:paraId="6D4245F2">
        <w:tblPrEx>
          <w:tblCellMar>
            <w:top w:w="0" w:type="dxa"/>
            <w:left w:w="108" w:type="dxa"/>
            <w:bottom w:w="0" w:type="dxa"/>
            <w:right w:w="108" w:type="dxa"/>
          </w:tblCellMar>
        </w:tblPrEx>
        <w:trPr>
          <w:jc w:val="center"/>
        </w:trPr>
        <w:tc>
          <w:tcPr>
            <w:tcW w:w="18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6B0B1F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力调预警</w:t>
            </w:r>
          </w:p>
        </w:tc>
        <w:tc>
          <w:tcPr>
            <w:tcW w:w="790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22A841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功率因数低于考核值 0.90 时预警提示（力调电费跟踪）</w:t>
            </w:r>
          </w:p>
        </w:tc>
      </w:tr>
      <w:tr w14:paraId="13D5990A">
        <w:tblPrEx>
          <w:tblCellMar>
            <w:top w:w="0" w:type="dxa"/>
            <w:left w:w="108" w:type="dxa"/>
            <w:bottom w:w="0" w:type="dxa"/>
            <w:right w:w="108" w:type="dxa"/>
          </w:tblCellMar>
        </w:tblPrEx>
        <w:trPr>
          <w:jc w:val="center"/>
        </w:trPr>
        <w:tc>
          <w:tcPr>
            <w:tcW w:w="188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F61E1C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导出</w:t>
            </w:r>
          </w:p>
        </w:tc>
        <w:tc>
          <w:tcPr>
            <w:tcW w:w="790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308533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同用能报表防伪水印规则</w:t>
            </w:r>
          </w:p>
        </w:tc>
      </w:tr>
    </w:tbl>
    <w:p w14:paraId="40189151">
      <w:pPr>
        <w:spacing w:after="60"/>
        <w:rPr>
          <w:rFonts w:hint="eastAsia" w:ascii="宋体" w:hAnsi="宋体" w:eastAsia="宋体" w:cs="宋体"/>
          <w:i w:val="0"/>
          <w:iCs w:val="0"/>
          <w:sz w:val="24"/>
          <w:szCs w:val="24"/>
        </w:rPr>
      </w:pPr>
    </w:p>
    <w:p w14:paraId="41F48E34">
      <w:pPr>
        <w:pStyle w:val="19"/>
        <w:widowControl/>
        <w:numPr>
          <w:ilvl w:val="0"/>
          <w:numId w:val="11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单价版本提示</w:t>
      </w:r>
      <w:r>
        <w:rPr>
          <w:rFonts w:ascii="Times New Roman" w:hAnsi="Times New Roman" w:eastAsia="宋体" w:cs="Times New Roman"/>
          <w:i w:val="0"/>
          <w:color w:val="1F2937"/>
          <w:sz w:val="24"/>
          <w:szCs w:val="24"/>
        </w:rPr>
        <w:t>：报表顶部标注本期所用电价与介质单价的版本号及生效日期。</w:t>
      </w:r>
    </w:p>
    <w:p w14:paraId="0C38D49F">
      <w:pPr>
        <w:pStyle w:val="19"/>
        <w:widowControl/>
        <w:numPr>
          <w:ilvl w:val="0"/>
          <w:numId w:val="11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跨期价差调整</w:t>
      </w:r>
      <w:r>
        <w:rPr>
          <w:rFonts w:ascii="Times New Roman" w:hAnsi="Times New Roman" w:eastAsia="宋体" w:cs="Times New Roman"/>
          <w:i w:val="0"/>
          <w:color w:val="1F2937"/>
          <w:sz w:val="24"/>
          <w:szCs w:val="24"/>
        </w:rPr>
        <w:t>：电费发生跨期价差的，一律在调整当期新增「电费跨期调整项」计入当期损益，历史月份报表数值保持不变；已锁账月份（错误码  E_SYS_ENTRY_ALREADY_LOCKED ）严禁被新配置参数追溯重算。</w:t>
      </w:r>
    </w:p>
    <w:p w14:paraId="314AA3DB">
      <w:pPr>
        <w:pStyle w:val="6"/>
        <w:numPr>
          <w:ilvl w:val="0"/>
          <w:numId w:val="11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661"/>
        <w:gridCol w:w="2171"/>
        <w:gridCol w:w="1175"/>
        <w:gridCol w:w="1175"/>
        <w:gridCol w:w="4602"/>
      </w:tblGrid>
      <w:tr w14:paraId="67D256A7">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45D3227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1F46C0C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056037E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AF57B9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460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452B5E6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61D55D1F">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BFE0D4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EB7567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尖峰时段电费</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6377AF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A4B044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元</w:t>
            </w:r>
          </w:p>
        </w:tc>
        <w:tc>
          <w:tcPr>
            <w:tcW w:w="460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E14DE9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Q_尖 × P_尖</w:t>
            </w:r>
            <w:r>
              <w:rPr>
                <w:rFonts w:hint="eastAsia" w:ascii="宋体" w:hAnsi="宋体" w:eastAsia="宋体" w:cs="宋体"/>
                <w:i w:val="0"/>
                <w:iCs w:val="0"/>
                <w:color w:val="1F2937"/>
                <w:sz w:val="24"/>
                <w:szCs w:val="24"/>
              </w:rPr>
              <w:t>，价格版本须标注</w:t>
            </w:r>
          </w:p>
        </w:tc>
      </w:tr>
      <w:tr w14:paraId="51872880">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020BB6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0019AE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高峰时段电费</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C4BCC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CDBBA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元</w:t>
            </w:r>
          </w:p>
        </w:tc>
        <w:tc>
          <w:tcPr>
            <w:tcW w:w="460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58E329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Q_峰 × P_峰</w:t>
            </w:r>
          </w:p>
        </w:tc>
      </w:tr>
      <w:tr w14:paraId="4C91A136">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F0A865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C361B5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平时段电费</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82EAA3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1D13F5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元</w:t>
            </w:r>
          </w:p>
        </w:tc>
        <w:tc>
          <w:tcPr>
            <w:tcW w:w="460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94245E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Q_平 × P_平</w:t>
            </w:r>
          </w:p>
        </w:tc>
      </w:tr>
      <w:tr w14:paraId="62DB1B92">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287593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3E5954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低谷时段电费</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0ED14E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B6104F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元</w:t>
            </w:r>
          </w:p>
        </w:tc>
        <w:tc>
          <w:tcPr>
            <w:tcW w:w="460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143F11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Q_谷 × P_谷</w:t>
            </w:r>
          </w:p>
        </w:tc>
      </w:tr>
      <w:tr w14:paraId="620BB42C">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790B52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168955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基本电费</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7F0945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1819A2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元</w:t>
            </w:r>
          </w:p>
        </w:tc>
        <w:tc>
          <w:tcPr>
            <w:tcW w:w="460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3E95E5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按容量或最大需量计费</w:t>
            </w:r>
          </w:p>
        </w:tc>
      </w:tr>
      <w:tr w14:paraId="3D37B6DE">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91815A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01F56C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功率因数调整电费</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CFD42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285241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元</w:t>
            </w:r>
          </w:p>
        </w:tc>
        <w:tc>
          <w:tcPr>
            <w:tcW w:w="460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A6D632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依据国家力率调整系数表</w:t>
            </w:r>
          </w:p>
        </w:tc>
      </w:tr>
      <w:tr w14:paraId="2E36504B">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F2A2C7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551FF9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总用电成本</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978AAE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D24802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万元</w:t>
            </w:r>
          </w:p>
        </w:tc>
        <w:tc>
          <w:tcPr>
            <w:tcW w:w="460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999306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Σ(分时电费) + 基本电费 ± 力调电费</w:t>
            </w:r>
          </w:p>
        </w:tc>
      </w:tr>
      <w:tr w14:paraId="4B090528">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7BC76C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DA0903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非电介质成本</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6293C0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65A24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万元</w:t>
            </w:r>
          </w:p>
        </w:tc>
        <w:tc>
          <w:tcPr>
            <w:tcW w:w="460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C54DB0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各介质用量 × 现行单价</w:t>
            </w:r>
          </w:p>
        </w:tc>
      </w:tr>
      <w:tr w14:paraId="7F57E3EE">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AF7413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7C6996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综合度电综合单价</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E1642F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CAAB8E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元/kWh</w:t>
            </w:r>
          </w:p>
        </w:tc>
        <w:tc>
          <w:tcPr>
            <w:tcW w:w="460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8DC8F8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总用能费用 / 总用能实物量</w:t>
            </w:r>
          </w:p>
        </w:tc>
      </w:tr>
      <w:tr w14:paraId="54BD0706">
        <w:tblPrEx>
          <w:tblCellMar>
            <w:top w:w="0" w:type="dxa"/>
            <w:left w:w="108" w:type="dxa"/>
            <w:bottom w:w="0" w:type="dxa"/>
            <w:right w:w="108" w:type="dxa"/>
          </w:tblCellMar>
        </w:tblPrEx>
        <w:trPr>
          <w:jc w:val="center"/>
        </w:trPr>
        <w:tc>
          <w:tcPr>
            <w:tcW w:w="66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FC8CB8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217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D89A92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单价版本号</w:t>
            </w:r>
          </w:p>
        </w:tc>
        <w:tc>
          <w:tcPr>
            <w:tcW w:w="117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20BA71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17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2030AD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60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D5E410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非空，标注生效起止日期</w:t>
            </w:r>
          </w:p>
        </w:tc>
      </w:tr>
    </w:tbl>
    <w:p w14:paraId="461C4BF3">
      <w:pPr>
        <w:spacing w:after="60"/>
        <w:rPr>
          <w:rFonts w:hint="eastAsia" w:ascii="宋体" w:hAnsi="宋体" w:eastAsia="宋体" w:cs="宋体"/>
          <w:i w:val="0"/>
          <w:iCs w:val="0"/>
          <w:sz w:val="24"/>
          <w:szCs w:val="24"/>
        </w:rPr>
      </w:pPr>
    </w:p>
    <w:p w14:paraId="7EE86CBA">
      <w:pPr>
        <w:pStyle w:val="6"/>
        <w:numPr>
          <w:ilvl w:val="0"/>
          <w:numId w:val="11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1178B85B">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5B9C6CCA">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Cost_tou = Σ ( Q_seg × P_seg )                        分时电度电费</w:t>
            </w:r>
          </w:p>
          <w:p w14:paraId="7D62374F">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Cost_total = Cost_tou + Cost_basic ± Cost_pf + Σ Cost_media</w:t>
            </w:r>
          </w:p>
          <w:p w14:paraId="085D72D0">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Unit_price = Cost_total / Σ Q_media                   综合度电综合单价</w:t>
            </w:r>
          </w:p>
          <w:p w14:paraId="177570A7">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Cost_media = Q_media × P_media                        非电介质成本</w:t>
            </w:r>
          </w:p>
        </w:tc>
      </w:tr>
    </w:tbl>
    <w:p w14:paraId="40A0CD2E">
      <w:pPr>
        <w:spacing w:after="40"/>
        <w:rPr>
          <w:rFonts w:hint="eastAsia" w:ascii="宋体" w:hAnsi="宋体" w:eastAsia="宋体" w:cs="宋体"/>
          <w:i w:val="0"/>
          <w:iCs w:val="0"/>
          <w:sz w:val="24"/>
          <w:szCs w:val="24"/>
        </w:rPr>
      </w:pPr>
    </w:p>
    <w:p w14:paraId="40686C4F">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：单价  </w:t>
      </w:r>
      <w:r>
        <w:rPr>
          <w:rFonts w:ascii="Times New Roman" w:hAnsi="Times New Roman" w:eastAsia="宋体" w:cs="Times New Roman"/>
          <w:b/>
          <w:i w:val="0"/>
          <w:color w:val="1E3A8A"/>
          <w:sz w:val="24"/>
          <w:szCs w:val="24"/>
        </w:rPr>
        <w:t>P_seg</w:t>
      </w:r>
      <w:r>
        <w:rPr>
          <w:rFonts w:ascii="Times New Roman" w:hAnsi="Times New Roman" w:eastAsia="宋体" w:cs="Times New Roman"/>
          <w:i w:val="0"/>
          <w:color w:val="1F2937"/>
          <w:sz w:val="24"/>
          <w:szCs w:val="24"/>
        </w:rPr>
        <w:t xml:space="preserve">  /  </w:t>
      </w:r>
      <w:r>
        <w:rPr>
          <w:rFonts w:ascii="Times New Roman" w:hAnsi="Times New Roman" w:eastAsia="宋体" w:cs="Times New Roman"/>
          <w:b/>
          <w:i w:val="0"/>
          <w:color w:val="1E3A8A"/>
          <w:sz w:val="24"/>
          <w:szCs w:val="24"/>
        </w:rPr>
        <w:t>P_media</w:t>
      </w:r>
      <w:r>
        <w:rPr>
          <w:rFonts w:ascii="Times New Roman" w:hAnsi="Times New Roman" w:eastAsia="宋体" w:cs="Times New Roman"/>
          <w:i w:val="0"/>
          <w:color w:val="1F2937"/>
          <w:sz w:val="24"/>
          <w:szCs w:val="24"/>
        </w:rPr>
        <w:t xml:space="preserve">  均取自与业务发生时间匹配的能源价格生效版本；跨期调整不得改写历史成本报表，仅允许在当期新增「电费跨期调整项」并留痕。</w:t>
      </w:r>
    </w:p>
    <w:p w14:paraId="0F27717D">
      <w:pPr>
        <w:pStyle w:val="6"/>
        <w:numPr>
          <w:ilvl w:val="0"/>
          <w:numId w:val="11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41EEA82F">
      <w:pPr>
        <w:pStyle w:val="19"/>
        <w:widowControl/>
        <w:numPr>
          <w:ilvl w:val="0"/>
          <w:numId w:val="11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单价口径</w:t>
      </w:r>
      <w:r>
        <w:rPr>
          <w:rFonts w:ascii="Times New Roman" w:hAnsi="Times New Roman" w:eastAsia="宋体" w:cs="Times New Roman"/>
          <w:i w:val="0"/>
          <w:color w:val="1F2937"/>
          <w:sz w:val="24"/>
          <w:szCs w:val="24"/>
        </w:rPr>
        <w:t>：单价版本随报表冻结，后续单价变更不影响已出报表。</w:t>
      </w:r>
    </w:p>
    <w:p w14:paraId="2DAA1962">
      <w:pPr>
        <w:pStyle w:val="19"/>
        <w:widowControl/>
        <w:numPr>
          <w:ilvl w:val="0"/>
          <w:numId w:val="11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电费口径</w:t>
      </w:r>
      <w:r>
        <w:rPr>
          <w:rFonts w:ascii="Times New Roman" w:hAnsi="Times New Roman" w:eastAsia="宋体" w:cs="Times New Roman"/>
          <w:i w:val="0"/>
          <w:color w:val="1F2937"/>
          <w:sz w:val="24"/>
          <w:szCs w:val="24"/>
        </w:rPr>
        <w:t>：基本电费计费方式与成本分析模块保持一致。</w:t>
      </w:r>
    </w:p>
    <w:p w14:paraId="365B5A54">
      <w:pPr>
        <w:pStyle w:val="19"/>
        <w:widowControl/>
        <w:numPr>
          <w:ilvl w:val="0"/>
          <w:numId w:val="11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力调口径</w:t>
      </w:r>
      <w:r>
        <w:rPr>
          <w:rFonts w:ascii="Times New Roman" w:hAnsi="Times New Roman" w:eastAsia="宋体" w:cs="Times New Roman"/>
          <w:i w:val="0"/>
          <w:color w:val="1F2937"/>
          <w:sz w:val="24"/>
          <w:szCs w:val="24"/>
        </w:rPr>
        <w:t>：功率因数低于 0.90 触发预警，报表中标注力调罚金方向。</w:t>
      </w:r>
    </w:p>
    <w:p w14:paraId="1127948F">
      <w:pPr>
        <w:pStyle w:val="19"/>
        <w:widowControl/>
        <w:numPr>
          <w:ilvl w:val="0"/>
          <w:numId w:val="11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对账口径</w:t>
      </w:r>
      <w:r>
        <w:rPr>
          <w:rFonts w:ascii="Times New Roman" w:hAnsi="Times New Roman" w:eastAsia="宋体" w:cs="Times New Roman"/>
          <w:i w:val="0"/>
          <w:color w:val="1F2937"/>
          <w:sz w:val="24"/>
          <w:szCs w:val="24"/>
        </w:rPr>
        <w:t>：报表须同时提供含税与不含税两列，便于与财务对账。</w:t>
      </w:r>
    </w:p>
    <w:p w14:paraId="360B671C">
      <w:pPr>
        <w:pStyle w:val="6"/>
        <w:numPr>
          <w:ilvl w:val="0"/>
          <w:numId w:val="11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560FBB31">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05DB25A3">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当期能源价格未配置：报表禁止生成，提示"待配置当期能源价格"。</w:t>
            </w:r>
          </w:p>
          <w:p w14:paraId="655FA699">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单价版本缺失：导出时阻断并标注缺失行。</w:t>
            </w:r>
          </w:p>
          <w:p w14:paraId="467A1DF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除零兜底：总用能实物量为 0 时综合度电单价显示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w:t>
            </w:r>
          </w:p>
          <w:p w14:paraId="7AE7C2DE">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已锁账月度：成本报表冻结，修改须走特批反冲。</w:t>
            </w:r>
          </w:p>
        </w:tc>
      </w:tr>
    </w:tbl>
    <w:p w14:paraId="0BECEBDA">
      <w:pPr>
        <w:spacing w:after="40"/>
        <w:rPr>
          <w:rFonts w:hint="eastAsia" w:ascii="宋体" w:hAnsi="宋体" w:eastAsia="宋体" w:cs="宋体"/>
          <w:i w:val="0"/>
          <w:iCs w:val="0"/>
          <w:sz w:val="24"/>
          <w:szCs w:val="24"/>
        </w:rPr>
      </w:pPr>
    </w:p>
    <w:p w14:paraId="1AECB470">
      <w:pPr>
        <w:pStyle w:val="6"/>
        <w:numPr>
          <w:ilvl w:val="0"/>
          <w:numId w:val="112"/>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3A0187DC">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025BB29A">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能源成本报表</w:t>
            </w:r>
          </w:p>
          <w:p w14:paraId="7AC24A7E">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电费构成完整输出</w:t>
            </w:r>
          </w:p>
          <w:p w14:paraId="74710AB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园区当期已配置分时电价与基本电费计费方式</w:t>
            </w:r>
          </w:p>
          <w:p w14:paraId="66AA530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系统生成月度成本报表</w:t>
            </w:r>
          </w:p>
          <w:p w14:paraId="03161ACF">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报表输出尖峰、高峰、平时段、低谷电费、基本电费、功率因数调整电费与总用电成本</w:t>
            </w:r>
          </w:p>
          <w:p w14:paraId="0321769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综合度电综合单价 = 总用能费用 ÷ 总用能实物量</w:t>
            </w:r>
          </w:p>
          <w:p w14:paraId="488D8319">
            <w:pPr>
              <w:spacing w:before="0" w:after="20" w:line="264" w:lineRule="auto"/>
              <w:rPr>
                <w:rFonts w:hint="eastAsia" w:ascii="宋体" w:hAnsi="宋体" w:eastAsia="宋体" w:cs="宋体"/>
                <w:i w:val="0"/>
                <w:iCs w:val="0"/>
                <w:sz w:val="24"/>
                <w:szCs w:val="24"/>
              </w:rPr>
            </w:pPr>
          </w:p>
          <w:p w14:paraId="719B3529">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单价版本随表冻结</w:t>
            </w:r>
          </w:p>
          <w:p w14:paraId="43680FE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某月度成本报表已生成并锁定单价版本</w:t>
            </w:r>
          </w:p>
          <w:p w14:paraId="1BA1C669">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后续能源价格发生变更</w:t>
            </w:r>
          </w:p>
          <w:p w14:paraId="49C85AD9">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已生成报表的单价保持不变</w:t>
            </w:r>
          </w:p>
          <w:p w14:paraId="2800C688">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报表顶部仍标注原单价版本号与生效日期</w:t>
            </w:r>
          </w:p>
        </w:tc>
      </w:tr>
    </w:tbl>
    <w:p w14:paraId="2028FAD6">
      <w:pPr>
        <w:spacing w:after="40"/>
        <w:rPr>
          <w:rFonts w:hint="eastAsia" w:ascii="宋体" w:hAnsi="宋体" w:eastAsia="宋体" w:cs="宋体"/>
          <w:i w:val="0"/>
          <w:iCs w:val="0"/>
          <w:sz w:val="24"/>
          <w:szCs w:val="24"/>
        </w:rPr>
      </w:pPr>
    </w:p>
    <w:p w14:paraId="70E0F45C">
      <w:pPr>
        <w:pStyle w:val="5"/>
        <w:numPr>
          <w:ilvl w:val="0"/>
          <w:numId w:val="106"/>
        </w:numPr>
        <w:ind w:left="0" w:leftChars="0" w:firstLine="0" w:firstLineChars="0"/>
        <w:outlineLvl w:val="1"/>
        <w:rPr>
          <w:rFonts w:eastAsia="黑体"/>
          <w:b w:val="0"/>
          <w:bCs w:val="0"/>
          <w:sz w:val="30"/>
          <w:szCs w:val="24"/>
        </w:rPr>
      </w:pPr>
      <w:bookmarkStart w:id="35" w:name="_Toc22933"/>
      <w:r>
        <w:rPr>
          <w:rFonts w:ascii="Times New Roman" w:hAnsi="Times New Roman" w:eastAsia="黑体" w:cs="Times New Roman"/>
          <w:b w:val="0"/>
          <w:bCs w:val="0"/>
          <w:sz w:val="30"/>
          <w:szCs w:val="24"/>
        </w:rPr>
        <w:t>单耗报表</w:t>
      </w:r>
      <w:bookmarkEnd w:id="35"/>
    </w:p>
    <w:p w14:paraId="201D0B46">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drawing>
          <wp:inline distT="0" distB="0" distL="114300" distR="114300">
            <wp:extent cx="5900420" cy="2925445"/>
            <wp:effectExtent l="0" t="0" r="5080" b="8255"/>
            <wp:docPr id="61"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18"/>
                    <pic:cNvPicPr>
                      <a:picLocks noChangeAspect="1"/>
                    </pic:cNvPicPr>
                  </pic:nvPicPr>
                  <pic:blipFill>
                    <a:blip r:embed="rId75"/>
                    <a:stretch>
                      <a:fillRect/>
                    </a:stretch>
                  </pic:blipFill>
                  <pic:spPr>
                    <a:xfrm>
                      <a:off x="0" y="0"/>
                      <a:ext cx="5900420" cy="2925445"/>
                    </a:xfrm>
                    <a:prstGeom prst="rect">
                      <a:avLst/>
                    </a:prstGeom>
                    <a:noFill/>
                    <a:ln>
                      <a:noFill/>
                    </a:ln>
                  </pic:spPr>
                </pic:pic>
              </a:graphicData>
            </a:graphic>
          </wp:inline>
        </w:drawing>
      </w:r>
    </w:p>
    <w:p w14:paraId="6970784A">
      <w:pPr>
        <w:pStyle w:val="6"/>
        <w:numPr>
          <w:ilvl w:val="0"/>
          <w:numId w:val="11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1B077449">
      <w:pPr>
        <w:pStyle w:val="19"/>
        <w:widowControl/>
        <w:numPr>
          <w:ilvl w:val="0"/>
          <w:numId w:val="11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：按产业分母隔离规则输出单位产品能耗，细化到产品型号，支撑能效对标与准入核查。</w:t>
      </w:r>
    </w:p>
    <w:p w14:paraId="6816DD98">
      <w:pPr>
        <w:pStyle w:val="19"/>
        <w:widowControl/>
        <w:numPr>
          <w:ilvl w:val="0"/>
          <w:numId w:val="11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：P2 园区能碳专员、制造车间主任。</w:t>
      </w:r>
    </w:p>
    <w:p w14:paraId="48CC4E62">
      <w:pPr>
        <w:pStyle w:val="19"/>
        <w:widowControl/>
        <w:numPr>
          <w:ilvl w:val="0"/>
          <w:numId w:val="11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/monitor/report/unit-consumption </w:t>
      </w:r>
      <w:r>
        <w:rPr>
          <w:rFonts w:ascii="Times New Roman" w:hAnsi="Times New Roman" w:eastAsia="宋体" w:cs="Times New Roman"/>
          <w:i w:val="0"/>
          <w:color w:val="1F2937"/>
          <w:sz w:val="24"/>
          <w:szCs w:val="24"/>
        </w:rPr>
        <w:t>。</w:t>
      </w:r>
    </w:p>
    <w:p w14:paraId="04D014BF">
      <w:pPr>
        <w:pStyle w:val="19"/>
        <w:widowControl/>
        <w:numPr>
          <w:ilvl w:val="0"/>
          <w:numId w:val="11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：单位产品能耗核算结果、MES 报工产量、国家准入基准值。</w:t>
      </w:r>
    </w:p>
    <w:p w14:paraId="1783A753">
      <w:pPr>
        <w:pStyle w:val="19"/>
        <w:widowControl/>
        <w:numPr>
          <w:ilvl w:val="0"/>
          <w:numId w:val="11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：能效对标核查材料、节能技改立项依据。</w:t>
      </w:r>
    </w:p>
    <w:p w14:paraId="2B2FEAE7">
      <w:pPr>
        <w:pStyle w:val="6"/>
        <w:numPr>
          <w:ilvl w:val="0"/>
          <w:numId w:val="11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72C6FA79">
      <w:pPr>
        <w:pStyle w:val="19"/>
        <w:widowControl/>
        <w:numPr>
          <w:ilvl w:val="0"/>
          <w:numId w:val="11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：季度能效对标与准入核查场景，需按产业口径分别出具单耗报表，逐型号列示同比环比与准入偏差。</w:t>
      </w:r>
    </w:p>
    <w:p w14:paraId="412B478C">
      <w:pPr>
        <w:pStyle w:val="19"/>
        <w:widowControl/>
        <w:numPr>
          <w:ilvl w:val="0"/>
          <w:numId w:val="11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5A4F9091">
      <w:pPr>
        <w:pStyle w:val="19"/>
        <w:widowControl/>
        <w:numPr>
          <w:ilvl w:val="0"/>
          <w:numId w:val="119"/>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制造车间主任</w:t>
      </w:r>
      <w:r>
        <w:rPr>
          <w:rFonts w:ascii="Times New Roman" w:hAnsi="Times New Roman" w:eastAsia="宋体" w:cs="Times New Roman"/>
          <w:i w:val="0"/>
          <w:color w:val="1F2937"/>
          <w:sz w:val="24"/>
          <w:szCs w:val="24"/>
        </w:rPr>
        <w:t>，</w:t>
      </w:r>
    </w:p>
    <w:p w14:paraId="254CBF0B">
      <w:pPr>
        <w:pStyle w:val="19"/>
        <w:widowControl/>
        <w:numPr>
          <w:ilvl w:val="0"/>
          <w:numId w:val="119"/>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按产业与产品型号导出单位产品能耗报表，含同比、环比与准入基准偏差列</w:t>
      </w:r>
      <w:r>
        <w:rPr>
          <w:rFonts w:ascii="Times New Roman" w:hAnsi="Times New Roman" w:eastAsia="宋体" w:cs="Times New Roman"/>
          <w:i w:val="0"/>
          <w:color w:val="1F2937"/>
          <w:sz w:val="24"/>
          <w:szCs w:val="24"/>
        </w:rPr>
        <w:t>，</w:t>
      </w:r>
    </w:p>
    <w:p w14:paraId="00A5B62D">
      <w:pPr>
        <w:pStyle w:val="19"/>
        <w:widowControl/>
        <w:numPr>
          <w:ilvl w:val="0"/>
          <w:numId w:val="119"/>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我能为能效对标与准入核查提供标准化数据支撑</w:t>
      </w:r>
      <w:r>
        <w:rPr>
          <w:rFonts w:ascii="Times New Roman" w:hAnsi="Times New Roman" w:eastAsia="宋体" w:cs="Times New Roman"/>
          <w:i w:val="0"/>
          <w:color w:val="1F2937"/>
          <w:sz w:val="24"/>
          <w:szCs w:val="24"/>
        </w:rPr>
        <w:t>。</w:t>
      </w:r>
    </w:p>
    <w:p w14:paraId="3E087949">
      <w:pPr>
        <w:pStyle w:val="19"/>
        <w:widowControl/>
        <w:numPr>
          <w:ilvl w:val="0"/>
          <w:numId w:val="119"/>
        </w:numPr>
        <w:ind w:left="0" w:leftChars="0" w:firstLine="482" w:firstLineChars="0"/>
        <w:rPr>
          <w:rFonts w:eastAsia="宋体"/>
          <w:b/>
          <w:i w:val="0"/>
          <w:color w:val="0284C7"/>
          <w:sz w:val="24"/>
          <w:szCs w:val="24"/>
        </w:rPr>
      </w:pPr>
    </w:p>
    <w:p w14:paraId="4D42ACA2">
      <w:pPr>
        <w:pStyle w:val="6"/>
        <w:numPr>
          <w:ilvl w:val="0"/>
          <w:numId w:val="11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tbl>
      <w:tblPr>
        <w:tblStyle w:val="38"/>
        <w:tblW w:w="9784" w:type="dxa"/>
        <w:jc w:val="center"/>
        <w:tblLayout w:type="autofit"/>
        <w:tblCellMar>
          <w:top w:w="0" w:type="dxa"/>
          <w:left w:w="108" w:type="dxa"/>
          <w:bottom w:w="0" w:type="dxa"/>
          <w:right w:w="108" w:type="dxa"/>
        </w:tblCellMar>
      </w:tblPr>
      <w:tblGrid>
        <w:gridCol w:w="1886"/>
        <w:gridCol w:w="7898"/>
      </w:tblGrid>
      <w:tr w14:paraId="46F5E64A">
        <w:tblPrEx>
          <w:tblCellMar>
            <w:top w:w="0" w:type="dxa"/>
            <w:left w:w="108" w:type="dxa"/>
            <w:bottom w:w="0" w:type="dxa"/>
            <w:right w:w="108" w:type="dxa"/>
          </w:tblCellMar>
        </w:tblPrEx>
        <w:trPr>
          <w:tblHeader/>
          <w:jc w:val="center"/>
        </w:trPr>
        <w:tc>
          <w:tcPr>
            <w:tcW w:w="188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86E801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规则项</w:t>
            </w:r>
          </w:p>
        </w:tc>
        <w:tc>
          <w:tcPr>
            <w:tcW w:w="789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9E6DCE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规则明细</w:t>
            </w:r>
          </w:p>
        </w:tc>
      </w:tr>
      <w:tr w14:paraId="528D3AB8">
        <w:tblPrEx>
          <w:tblCellMar>
            <w:top w:w="0" w:type="dxa"/>
            <w:left w:w="108" w:type="dxa"/>
            <w:bottom w:w="0" w:type="dxa"/>
            <w:right w:w="108" w:type="dxa"/>
          </w:tblCellMar>
        </w:tblPrEx>
        <w:trPr>
          <w:jc w:val="center"/>
        </w:trPr>
        <w:tc>
          <w:tcPr>
            <w:tcW w:w="188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FC7558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产业分母隔离</w:t>
            </w:r>
          </w:p>
        </w:tc>
        <w:tc>
          <w:tcPr>
            <w:tcW w:w="7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8C3732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变压器按 kVA / 万kVA 汇算；线缆按 km·mm² 汇算，严禁跨产业混算</w:t>
            </w:r>
          </w:p>
        </w:tc>
      </w:tr>
      <w:tr w14:paraId="7E1CAEF1">
        <w:tblPrEx>
          <w:tblCellMar>
            <w:top w:w="0" w:type="dxa"/>
            <w:left w:w="108" w:type="dxa"/>
            <w:bottom w:w="0" w:type="dxa"/>
            <w:right w:w="108" w:type="dxa"/>
          </w:tblCellMar>
        </w:tblPrEx>
        <w:trPr>
          <w:jc w:val="center"/>
        </w:trPr>
        <w:tc>
          <w:tcPr>
            <w:tcW w:w="188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8C025A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输出指标</w:t>
            </w:r>
          </w:p>
        </w:tc>
        <w:tc>
          <w:tcPr>
            <w:tcW w:w="789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C5376F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单位产品综合能耗 / 电耗 / 蒸汽消耗 / 天然气消耗 / 水耗 5 项，细化到产品型号</w:t>
            </w:r>
          </w:p>
        </w:tc>
      </w:tr>
      <w:tr w14:paraId="722AFEF1">
        <w:tblPrEx>
          <w:tblCellMar>
            <w:top w:w="0" w:type="dxa"/>
            <w:left w:w="108" w:type="dxa"/>
            <w:bottom w:w="0" w:type="dxa"/>
            <w:right w:w="108" w:type="dxa"/>
          </w:tblCellMar>
        </w:tblPrEx>
        <w:trPr>
          <w:jc w:val="center"/>
        </w:trPr>
        <w:tc>
          <w:tcPr>
            <w:tcW w:w="188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D009AB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对比列</w:t>
            </w:r>
          </w:p>
        </w:tc>
        <w:tc>
          <w:tcPr>
            <w:tcW w:w="7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CFC6CE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同比、环比、与准入基准偏差</w:t>
            </w:r>
          </w:p>
        </w:tc>
      </w:tr>
      <w:tr w14:paraId="657C121E">
        <w:tblPrEx>
          <w:tblCellMar>
            <w:top w:w="0" w:type="dxa"/>
            <w:left w:w="108" w:type="dxa"/>
            <w:bottom w:w="0" w:type="dxa"/>
            <w:right w:w="108" w:type="dxa"/>
          </w:tblCellMar>
        </w:tblPrEx>
        <w:trPr>
          <w:jc w:val="center"/>
        </w:trPr>
        <w:tc>
          <w:tcPr>
            <w:tcW w:w="188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E0ADF0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除零拦截</w:t>
            </w:r>
          </w:p>
        </w:tc>
        <w:tc>
          <w:tcPr>
            <w:tcW w:w="789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9FACF7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月产量为 0 时单耗显示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，严禁 NaN 或白屏</w:t>
            </w:r>
          </w:p>
        </w:tc>
      </w:tr>
    </w:tbl>
    <w:p w14:paraId="253BDA97">
      <w:pPr>
        <w:spacing w:after="60"/>
        <w:rPr>
          <w:rFonts w:hint="eastAsia" w:ascii="宋体" w:hAnsi="宋体" w:eastAsia="宋体" w:cs="宋体"/>
          <w:i w:val="0"/>
          <w:iCs w:val="0"/>
          <w:sz w:val="24"/>
          <w:szCs w:val="24"/>
        </w:rPr>
      </w:pPr>
    </w:p>
    <w:p w14:paraId="20868288">
      <w:pPr>
        <w:pStyle w:val="19"/>
        <w:widowControl/>
        <w:numPr>
          <w:ilvl w:val="0"/>
          <w:numId w:val="12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产业分离呈现</w:t>
      </w:r>
      <w:r>
        <w:rPr>
          <w:rFonts w:ascii="Times New Roman" w:hAnsi="Times New Roman" w:eastAsia="宋体" w:cs="Times New Roman"/>
          <w:i w:val="0"/>
          <w:color w:val="1F2937"/>
          <w:sz w:val="24"/>
          <w:szCs w:val="24"/>
        </w:rPr>
        <w:t>：变压器与线缆单耗在报表中以两个独立区块呈现，不共用列。</w:t>
      </w:r>
    </w:p>
    <w:p w14:paraId="752AF640">
      <w:pPr>
        <w:pStyle w:val="19"/>
        <w:widowControl/>
        <w:numPr>
          <w:ilvl w:val="0"/>
          <w:numId w:val="12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型号级下钻</w:t>
      </w:r>
      <w:r>
        <w:rPr>
          <w:rFonts w:ascii="Times New Roman" w:hAnsi="Times New Roman" w:eastAsia="宋体" w:cs="Times New Roman"/>
          <w:i w:val="0"/>
          <w:color w:val="1F2937"/>
          <w:sz w:val="24"/>
          <w:szCs w:val="24"/>
        </w:rPr>
        <w:t>：支持从产品大类下钻至规格型号级明细行。</w:t>
      </w:r>
    </w:p>
    <w:p w14:paraId="5694F7EB">
      <w:pPr>
        <w:pStyle w:val="6"/>
        <w:numPr>
          <w:ilvl w:val="0"/>
          <w:numId w:val="11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35"/>
        <w:gridCol w:w="1620"/>
        <w:gridCol w:w="1317"/>
        <w:gridCol w:w="2693"/>
        <w:gridCol w:w="3319"/>
      </w:tblGrid>
      <w:tr w14:paraId="12AA24CB">
        <w:tblPrEx>
          <w:tblCellMar>
            <w:top w:w="0" w:type="dxa"/>
            <w:left w:w="108" w:type="dxa"/>
            <w:bottom w:w="0" w:type="dxa"/>
            <w:right w:w="108" w:type="dxa"/>
          </w:tblCellMar>
        </w:tblPrEx>
        <w:trPr>
          <w:jc w:val="center"/>
        </w:trPr>
        <w:tc>
          <w:tcPr>
            <w:tcW w:w="83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3BBA75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2F32D9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31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25E4BE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949CE2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331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E894F0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6814A7B3">
        <w:tblPrEx>
          <w:tblCellMar>
            <w:top w:w="0" w:type="dxa"/>
            <w:left w:w="108" w:type="dxa"/>
            <w:bottom w:w="0" w:type="dxa"/>
            <w:right w:w="108" w:type="dxa"/>
          </w:tblCellMar>
        </w:tblPrEx>
        <w:trPr>
          <w:jc w:val="center"/>
        </w:trPr>
        <w:tc>
          <w:tcPr>
            <w:tcW w:w="8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D3BE7F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ADDB90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产业分类</w:t>
            </w:r>
          </w:p>
        </w:tc>
        <w:tc>
          <w:tcPr>
            <w:tcW w:w="13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AB8A1C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8F7579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变压器/线缆</w:t>
            </w:r>
          </w:p>
        </w:tc>
        <w:tc>
          <w:tcPr>
            <w:tcW w:w="331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6FC5E0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决定分母量纲，禁止跨产业同列</w:t>
            </w:r>
          </w:p>
        </w:tc>
      </w:tr>
      <w:tr w14:paraId="33AC3496">
        <w:tblPrEx>
          <w:tblCellMar>
            <w:top w:w="0" w:type="dxa"/>
            <w:left w:w="108" w:type="dxa"/>
            <w:bottom w:w="0" w:type="dxa"/>
            <w:right w:w="108" w:type="dxa"/>
          </w:tblCellMar>
        </w:tblPrEx>
        <w:trPr>
          <w:jc w:val="center"/>
        </w:trPr>
        <w:tc>
          <w:tcPr>
            <w:tcW w:w="8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B518C4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6AD936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产品大类</w:t>
            </w:r>
          </w:p>
        </w:tc>
        <w:tc>
          <w:tcPr>
            <w:tcW w:w="13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8E7303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8E0885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1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8FAA88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变压器按高压/中低压/干变；线缆按拉丝/交联/其他</w:t>
            </w:r>
          </w:p>
        </w:tc>
      </w:tr>
      <w:tr w14:paraId="10258930">
        <w:tblPrEx>
          <w:tblCellMar>
            <w:top w:w="0" w:type="dxa"/>
            <w:left w:w="108" w:type="dxa"/>
            <w:bottom w:w="0" w:type="dxa"/>
            <w:right w:w="108" w:type="dxa"/>
          </w:tblCellMar>
        </w:tblPrEx>
        <w:trPr>
          <w:jc w:val="center"/>
        </w:trPr>
        <w:tc>
          <w:tcPr>
            <w:tcW w:w="8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020DCE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7B390F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产品规格型号</w:t>
            </w:r>
          </w:p>
        </w:tc>
        <w:tc>
          <w:tcPr>
            <w:tcW w:w="13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5B49E2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AC34F4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1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263B88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ERP 物料主数据编码</w:t>
            </w:r>
          </w:p>
        </w:tc>
      </w:tr>
      <w:tr w14:paraId="2FEC31CC">
        <w:tblPrEx>
          <w:tblCellMar>
            <w:top w:w="0" w:type="dxa"/>
            <w:left w:w="108" w:type="dxa"/>
            <w:bottom w:w="0" w:type="dxa"/>
            <w:right w:w="108" w:type="dxa"/>
          </w:tblCellMar>
        </w:tblPrEx>
        <w:trPr>
          <w:jc w:val="center"/>
        </w:trPr>
        <w:tc>
          <w:tcPr>
            <w:tcW w:w="8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0EF087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77659E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合格品产量</w:t>
            </w:r>
          </w:p>
        </w:tc>
        <w:tc>
          <w:tcPr>
            <w:tcW w:w="13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7FCEE8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B5D6BF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kVA 或 km·mm²</w:t>
            </w:r>
          </w:p>
        </w:tc>
        <w:tc>
          <w:tcPr>
            <w:tcW w:w="331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61B95E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0，为 0 时单耗显示 </w:t>
            </w:r>
            <w:r>
              <w:rPr>
                <w:rFonts w:hint="eastAsia" w:ascii="宋体" w:hAnsi="宋体" w:eastAsia="宋体" w:cs="宋体"/>
                <w:b w:val="0"/>
                <w:i w:val="0"/>
                <w:iCs w:val="0"/>
                <w:color w:val="0284C7"/>
                <w:sz w:val="24"/>
                <w:szCs w:val="24"/>
              </w:rPr>
              <w:t xml:space="preserve"> -- </w:t>
            </w:r>
          </w:p>
        </w:tc>
      </w:tr>
      <w:tr w14:paraId="105E207F">
        <w:tblPrEx>
          <w:tblCellMar>
            <w:top w:w="0" w:type="dxa"/>
            <w:left w:w="108" w:type="dxa"/>
            <w:bottom w:w="0" w:type="dxa"/>
            <w:right w:w="108" w:type="dxa"/>
          </w:tblCellMar>
        </w:tblPrEx>
        <w:trPr>
          <w:jc w:val="center"/>
        </w:trPr>
        <w:tc>
          <w:tcPr>
            <w:tcW w:w="8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780C18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A4F322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单位产品综合能耗</w:t>
            </w:r>
          </w:p>
        </w:tc>
        <w:tc>
          <w:tcPr>
            <w:tcW w:w="13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F5A1A6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4B3C32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tce/万kVA 或 tce/万km·mm²</w:t>
            </w:r>
          </w:p>
        </w:tc>
        <w:tc>
          <w:tcPr>
            <w:tcW w:w="331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2B5262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E / M</w:t>
            </w:r>
          </w:p>
        </w:tc>
      </w:tr>
      <w:tr w14:paraId="7FF0F297">
        <w:tblPrEx>
          <w:tblCellMar>
            <w:top w:w="0" w:type="dxa"/>
            <w:left w:w="108" w:type="dxa"/>
            <w:bottom w:w="0" w:type="dxa"/>
            <w:right w:w="108" w:type="dxa"/>
          </w:tblCellMar>
        </w:tblPrEx>
        <w:trPr>
          <w:jc w:val="center"/>
        </w:trPr>
        <w:tc>
          <w:tcPr>
            <w:tcW w:w="8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851207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525046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单位产品电耗</w:t>
            </w:r>
          </w:p>
        </w:tc>
        <w:tc>
          <w:tcPr>
            <w:tcW w:w="13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FDAFD9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914215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kWh/kVA 或 kWh/km·mm²</w:t>
            </w:r>
          </w:p>
        </w:tc>
        <w:tc>
          <w:tcPr>
            <w:tcW w:w="331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4DC529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Q_电 / M</w:t>
            </w:r>
          </w:p>
        </w:tc>
      </w:tr>
      <w:tr w14:paraId="376FB2D3">
        <w:tblPrEx>
          <w:tblCellMar>
            <w:top w:w="0" w:type="dxa"/>
            <w:left w:w="108" w:type="dxa"/>
            <w:bottom w:w="0" w:type="dxa"/>
            <w:right w:w="108" w:type="dxa"/>
          </w:tblCellMar>
        </w:tblPrEx>
        <w:trPr>
          <w:jc w:val="center"/>
        </w:trPr>
        <w:tc>
          <w:tcPr>
            <w:tcW w:w="8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AFB86F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B4B51E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单位产品蒸汽消耗</w:t>
            </w:r>
          </w:p>
        </w:tc>
        <w:tc>
          <w:tcPr>
            <w:tcW w:w="13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8C23A3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F6FBFD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GJ/kVA 或 GJ/km·mm²</w:t>
            </w:r>
          </w:p>
        </w:tc>
        <w:tc>
          <w:tcPr>
            <w:tcW w:w="331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3100BA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Q_汽 / M</w:t>
            </w:r>
          </w:p>
        </w:tc>
      </w:tr>
      <w:tr w14:paraId="310BBDD0">
        <w:tblPrEx>
          <w:tblCellMar>
            <w:top w:w="0" w:type="dxa"/>
            <w:left w:w="108" w:type="dxa"/>
            <w:bottom w:w="0" w:type="dxa"/>
            <w:right w:w="108" w:type="dxa"/>
          </w:tblCellMar>
        </w:tblPrEx>
        <w:trPr>
          <w:jc w:val="center"/>
        </w:trPr>
        <w:tc>
          <w:tcPr>
            <w:tcW w:w="8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8E29BB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A5619A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单位产品天然气消耗</w:t>
            </w:r>
          </w:p>
        </w:tc>
        <w:tc>
          <w:tcPr>
            <w:tcW w:w="13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9BEBEA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127905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m³/kVA 或 m³/km·mm²</w:t>
            </w:r>
          </w:p>
        </w:tc>
        <w:tc>
          <w:tcPr>
            <w:tcW w:w="331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BA6C8C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Q_气 / M</w:t>
            </w:r>
          </w:p>
        </w:tc>
      </w:tr>
      <w:tr w14:paraId="6D925B92">
        <w:tblPrEx>
          <w:tblCellMar>
            <w:top w:w="0" w:type="dxa"/>
            <w:left w:w="108" w:type="dxa"/>
            <w:bottom w:w="0" w:type="dxa"/>
            <w:right w:w="108" w:type="dxa"/>
          </w:tblCellMar>
        </w:tblPrEx>
        <w:trPr>
          <w:jc w:val="center"/>
        </w:trPr>
        <w:tc>
          <w:tcPr>
            <w:tcW w:w="8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EF6DA2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1ADE7A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单位产品水耗</w:t>
            </w:r>
          </w:p>
        </w:tc>
        <w:tc>
          <w:tcPr>
            <w:tcW w:w="13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A74F0E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55D9C5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t/kVA 或 t/km·mm²</w:t>
            </w:r>
          </w:p>
        </w:tc>
        <w:tc>
          <w:tcPr>
            <w:tcW w:w="331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54F3F6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Q_水 / M</w:t>
            </w:r>
          </w:p>
        </w:tc>
      </w:tr>
      <w:tr w14:paraId="72413CC0">
        <w:tblPrEx>
          <w:tblCellMar>
            <w:top w:w="0" w:type="dxa"/>
            <w:left w:w="108" w:type="dxa"/>
            <w:bottom w:w="0" w:type="dxa"/>
            <w:right w:w="108" w:type="dxa"/>
          </w:tblCellMar>
        </w:tblPrEx>
        <w:trPr>
          <w:jc w:val="center"/>
        </w:trPr>
        <w:tc>
          <w:tcPr>
            <w:tcW w:w="8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02E941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162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6694FE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与准入基准偏差</w:t>
            </w:r>
          </w:p>
        </w:tc>
        <w:tc>
          <w:tcPr>
            <w:tcW w:w="13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525F77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269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8E4EAB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同单耗单位</w:t>
            </w:r>
          </w:p>
        </w:tc>
        <w:tc>
          <w:tcPr>
            <w:tcW w:w="331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552267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本期单耗 − 国家准入先进值</w:t>
            </w:r>
          </w:p>
        </w:tc>
      </w:tr>
    </w:tbl>
    <w:p w14:paraId="3370A754">
      <w:pPr>
        <w:spacing w:after="60"/>
        <w:rPr>
          <w:rFonts w:hint="eastAsia" w:ascii="宋体" w:hAnsi="宋体" w:eastAsia="宋体" w:cs="宋体"/>
          <w:i w:val="0"/>
          <w:iCs w:val="0"/>
          <w:sz w:val="24"/>
          <w:szCs w:val="24"/>
        </w:rPr>
      </w:pPr>
    </w:p>
    <w:p w14:paraId="3F92C90E">
      <w:pPr>
        <w:pStyle w:val="6"/>
        <w:numPr>
          <w:ilvl w:val="0"/>
          <w:numId w:val="11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5BDE72FD">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34E9F97D">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 xml:space="preserve">e = E / M                                     </w:t>
            </w:r>
            <w:r>
              <w:rPr>
                <w:rFonts w:hint="eastAsia" w:ascii="宋体" w:hAnsi="宋体" w:eastAsia="宋体" w:cs="宋体"/>
                <w:b/>
                <w:i w:val="0"/>
                <w:iCs w:val="0"/>
                <w:color w:val="1E3A8A"/>
                <w:sz w:val="24"/>
                <w:szCs w:val="24"/>
                <w:lang w:val="en-US" w:eastAsia="zh-CN"/>
              </w:rPr>
              <w:t xml:space="preserve"> </w:t>
            </w:r>
            <w:r>
              <w:rPr>
                <w:rFonts w:hint="eastAsia" w:ascii="宋体" w:hAnsi="宋体" w:eastAsia="宋体" w:cs="宋体"/>
                <w:b/>
                <w:i w:val="0"/>
                <w:iCs w:val="0"/>
                <w:color w:val="1E3A8A"/>
                <w:sz w:val="24"/>
                <w:szCs w:val="24"/>
              </w:rPr>
              <w:t>单位产品综合能耗</w:t>
            </w:r>
          </w:p>
          <w:p w14:paraId="10C4D8C3">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 xml:space="preserve">q_media = Q_media / M                         </w:t>
            </w:r>
            <w:r>
              <w:rPr>
                <w:rFonts w:hint="eastAsia" w:ascii="宋体" w:hAnsi="宋体" w:eastAsia="宋体" w:cs="宋体"/>
                <w:b/>
                <w:i w:val="0"/>
                <w:iCs w:val="0"/>
                <w:color w:val="1E3A8A"/>
                <w:sz w:val="24"/>
                <w:szCs w:val="24"/>
                <w:lang w:val="en-US" w:eastAsia="zh-CN"/>
              </w:rPr>
              <w:t xml:space="preserve"> </w:t>
            </w:r>
            <w:r>
              <w:rPr>
                <w:rFonts w:hint="eastAsia" w:ascii="宋体" w:hAnsi="宋体" w:eastAsia="宋体" w:cs="宋体"/>
                <w:b/>
                <w:i w:val="0"/>
                <w:iCs w:val="0"/>
                <w:color w:val="1E3A8A"/>
                <w:sz w:val="24"/>
                <w:szCs w:val="24"/>
              </w:rPr>
              <w:t>单位产品各介质消耗</w:t>
            </w:r>
          </w:p>
          <w:p w14:paraId="1B97F4CC">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MoM = ( e_t - e_{t-1} ) / e_{t-1} × 100%      环比</w:t>
            </w:r>
          </w:p>
          <w:p w14:paraId="7168EE1D">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YoY = ( e_t - e_{t-12} ) / e_{t-12} × 100%    同比</w:t>
            </w:r>
          </w:p>
          <w:p w14:paraId="2D415EEB">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 xml:space="preserve">Gap = e_t - Benchmark_admission               </w:t>
            </w:r>
            <w:r>
              <w:rPr>
                <w:rFonts w:hint="eastAsia" w:ascii="宋体" w:hAnsi="宋体" w:eastAsia="宋体" w:cs="宋体"/>
                <w:b/>
                <w:i w:val="0"/>
                <w:iCs w:val="0"/>
                <w:color w:val="1E3A8A"/>
                <w:sz w:val="24"/>
                <w:szCs w:val="24"/>
                <w:lang w:val="en-US" w:eastAsia="zh-CN"/>
              </w:rPr>
              <w:t xml:space="preserve"> </w:t>
            </w:r>
            <w:r>
              <w:rPr>
                <w:rFonts w:hint="eastAsia" w:ascii="宋体" w:hAnsi="宋体" w:eastAsia="宋体" w:cs="宋体"/>
                <w:b/>
                <w:i w:val="0"/>
                <w:iCs w:val="0"/>
                <w:color w:val="1E3A8A"/>
                <w:sz w:val="24"/>
                <w:szCs w:val="24"/>
              </w:rPr>
              <w:t>与准入基准偏差</w:t>
            </w:r>
          </w:p>
          <w:p w14:paraId="617B3FC6">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Guard: M = 0 → "--"                           除零拦截</w:t>
            </w:r>
          </w:p>
        </w:tc>
      </w:tr>
    </w:tbl>
    <w:p w14:paraId="559F8B5C">
      <w:pPr>
        <w:spacing w:after="40"/>
        <w:rPr>
          <w:rFonts w:hint="eastAsia" w:ascii="宋体" w:hAnsi="宋体" w:eastAsia="宋体" w:cs="宋体"/>
          <w:i w:val="0"/>
          <w:iCs w:val="0"/>
          <w:sz w:val="24"/>
          <w:szCs w:val="24"/>
        </w:rPr>
      </w:pPr>
    </w:p>
    <w:p w14:paraId="2C82F279">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w:t>
      </w:r>
      <w:r>
        <w:rPr>
          <w:rFonts w:ascii="Times New Roman" w:hAnsi="Times New Roman" w:eastAsia="宋体" w:cs="Times New Roman"/>
          <w:b w:val="0"/>
          <w:i w:val="0"/>
          <w:color w:val="0284C7"/>
          <w:sz w:val="24"/>
          <w:szCs w:val="24"/>
        </w:rPr>
        <w:t xml:space="preserve"> M </w:t>
      </w:r>
      <w:r>
        <w:rPr>
          <w:rFonts w:ascii="Times New Roman" w:hAnsi="Times New Roman" w:eastAsia="宋体" w:cs="Times New Roman"/>
          <w:i w:val="0"/>
          <w:color w:val="1F2937"/>
          <w:sz w:val="24"/>
          <w:szCs w:val="24"/>
        </w:rPr>
        <w:t xml:space="preserve"> 为当期合格品产量，变压器以 kVA / 万 kVA、线缆以 km·mm² / 万 km·mm² 计量；变量纲随产业分类严格隔离。</w:t>
      </w:r>
    </w:p>
    <w:p w14:paraId="6C20C199">
      <w:pPr>
        <w:pStyle w:val="6"/>
        <w:numPr>
          <w:ilvl w:val="0"/>
          <w:numId w:val="11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33F4F0D5">
      <w:pPr>
        <w:pStyle w:val="19"/>
        <w:widowControl/>
        <w:numPr>
          <w:ilvl w:val="0"/>
          <w:numId w:val="12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分母孔径铁律</w:t>
      </w:r>
      <w:r>
        <w:rPr>
          <w:rFonts w:ascii="Times New Roman" w:hAnsi="Times New Roman" w:eastAsia="宋体" w:cs="Times New Roman"/>
          <w:i w:val="0"/>
          <w:color w:val="1F2937"/>
          <w:sz w:val="24"/>
          <w:szCs w:val="24"/>
        </w:rPr>
        <w:t>：变压器以 kVA/万 kVA 汇算，线缆以 km·mm² 汇算，严禁跨产业混算。</w:t>
      </w:r>
    </w:p>
    <w:p w14:paraId="10FB8F8A">
      <w:pPr>
        <w:pStyle w:val="19"/>
        <w:widowControl/>
        <w:numPr>
          <w:ilvl w:val="0"/>
          <w:numId w:val="12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对比口径</w:t>
      </w:r>
      <w:r>
        <w:rPr>
          <w:rFonts w:ascii="Times New Roman" w:hAnsi="Times New Roman" w:eastAsia="宋体" w:cs="Times New Roman"/>
          <w:i w:val="0"/>
          <w:color w:val="1F2937"/>
          <w:sz w:val="24"/>
          <w:szCs w:val="24"/>
        </w:rPr>
        <w:t>：同比为同型号去年同期，环比为同型号上月。</w:t>
      </w:r>
    </w:p>
    <w:p w14:paraId="3C1A59F1">
      <w:pPr>
        <w:pStyle w:val="19"/>
        <w:widowControl/>
        <w:numPr>
          <w:ilvl w:val="0"/>
          <w:numId w:val="12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偏差口径</w:t>
      </w:r>
      <w:r>
        <w:rPr>
          <w:rFonts w:ascii="Times New Roman" w:hAnsi="Times New Roman" w:eastAsia="宋体" w:cs="Times New Roman"/>
          <w:i w:val="0"/>
          <w:color w:val="1F2937"/>
          <w:sz w:val="24"/>
          <w:szCs w:val="24"/>
        </w:rPr>
        <w:t>：与准入基准偏差基于国家准入先进值计算。</w:t>
      </w:r>
    </w:p>
    <w:p w14:paraId="5CA8153B">
      <w:pPr>
        <w:pStyle w:val="19"/>
        <w:widowControl/>
        <w:numPr>
          <w:ilvl w:val="0"/>
          <w:numId w:val="12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状态口径</w:t>
      </w:r>
      <w:r>
        <w:rPr>
          <w:rFonts w:ascii="Times New Roman" w:hAnsi="Times New Roman" w:eastAsia="宋体" w:cs="Times New Roman"/>
          <w:i w:val="0"/>
          <w:color w:val="1F2937"/>
          <w:sz w:val="24"/>
          <w:szCs w:val="24"/>
        </w:rPr>
        <w:t>：按标杆值/基准值三色判定。</w:t>
      </w:r>
    </w:p>
    <w:p w14:paraId="58498416">
      <w:pPr>
        <w:pStyle w:val="6"/>
        <w:numPr>
          <w:ilvl w:val="0"/>
          <w:numId w:val="11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34892B7C">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229CF598">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月产量为 0：单耗显示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，严禁 NaN 或白屏。</w:t>
            </w:r>
          </w:p>
          <w:p w14:paraId="42417F48">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产业分母混算：数据库与导出层强约束，禁止混编同列。</w:t>
            </w:r>
          </w:p>
          <w:p w14:paraId="7A2A7862">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准入基准值缺失：偏差列留空并标注"基准待配置"，不以 0 代替。</w:t>
            </w:r>
          </w:p>
          <w:p w14:paraId="19084248">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无工序单位：单耗工序区块输出"暂无相关工序！"。</w:t>
            </w:r>
          </w:p>
        </w:tc>
      </w:tr>
    </w:tbl>
    <w:p w14:paraId="4408431A">
      <w:pPr>
        <w:spacing w:after="40"/>
        <w:rPr>
          <w:rFonts w:hint="eastAsia" w:ascii="宋体" w:hAnsi="宋体" w:eastAsia="宋体" w:cs="宋体"/>
          <w:i w:val="0"/>
          <w:iCs w:val="0"/>
          <w:sz w:val="24"/>
          <w:szCs w:val="24"/>
        </w:rPr>
      </w:pPr>
    </w:p>
    <w:p w14:paraId="3935B647">
      <w:pPr>
        <w:pStyle w:val="6"/>
        <w:numPr>
          <w:ilvl w:val="0"/>
          <w:numId w:val="117"/>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774D199D">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2C80DAB1">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单耗报表产业隔离输出</w:t>
            </w:r>
          </w:p>
          <w:p w14:paraId="420572D5">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分母隔离与除零拦截</w:t>
            </w:r>
          </w:p>
          <w:p w14:paraId="44DEC67F">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报表包含变压器与线缆两类产业的单耗数据</w:t>
            </w:r>
          </w:p>
          <w:p w14:paraId="4E8F2AEB">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系统生成单耗报表</w:t>
            </w:r>
          </w:p>
          <w:p w14:paraId="6DB14FB4">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变压器单耗以 tce/万kVA 呈现，线缆单耗以 tce/万km·mm² 呈现</w:t>
            </w:r>
          </w:p>
          <w:p w14:paraId="2D281AC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两类产业分别独立成区块且不共用统计列</w:t>
            </w:r>
          </w:p>
          <w:p w14:paraId="25B8BDCF">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某型号月产量为 0 时其单耗显示为 "--"</w:t>
            </w:r>
          </w:p>
          <w:p w14:paraId="440EC804">
            <w:pPr>
              <w:spacing w:before="0" w:after="20" w:line="264" w:lineRule="auto"/>
              <w:rPr>
                <w:rFonts w:hint="eastAsia" w:ascii="宋体" w:hAnsi="宋体" w:eastAsia="宋体" w:cs="宋体"/>
                <w:i w:val="0"/>
                <w:iCs w:val="0"/>
                <w:sz w:val="24"/>
                <w:szCs w:val="24"/>
              </w:rPr>
            </w:pPr>
          </w:p>
          <w:p w14:paraId="5DD46973">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型号级下钻</w:t>
            </w:r>
          </w:p>
          <w:p w14:paraId="6BCFE930">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用户在报表中选中变压器高压产线大类</w:t>
            </w:r>
          </w:p>
          <w:p w14:paraId="7B56DAF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执行下钻操作</w:t>
            </w:r>
          </w:p>
          <w:p w14:paraId="667D4E18">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明细展开至各规格型号级单耗行</w:t>
            </w:r>
          </w:p>
          <w:p w14:paraId="6AF6D78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每行含同比、环比与准入基准偏差列</w:t>
            </w:r>
          </w:p>
        </w:tc>
      </w:tr>
    </w:tbl>
    <w:p w14:paraId="59F85BDE">
      <w:pPr>
        <w:pStyle w:val="4"/>
        <w:numPr>
          <w:ilvl w:val="0"/>
          <w:numId w:val="15"/>
        </w:numPr>
        <w:topLinePunct w:val="0"/>
        <w:ind w:left="0" w:leftChars="0" w:firstLine="0" w:firstLineChars="0"/>
        <w:outlineLvl w:val="0"/>
        <w:rPr>
          <w:rFonts w:hint="eastAsia" w:eastAsia="黑体"/>
          <w:b w:val="0"/>
          <w:bCs w:val="0"/>
          <w:sz w:val="30"/>
          <w:szCs w:val="32"/>
        </w:rPr>
      </w:pPr>
      <w:bookmarkStart w:id="36" w:name="_Toc9191"/>
      <w:r>
        <w:rPr>
          <w:rFonts w:hint="eastAsia" w:cs="Times New Roman"/>
          <w:b w:val="0"/>
          <w:bCs w:val="0"/>
          <w:sz w:val="30"/>
          <w:szCs w:val="32"/>
          <w:lang w:val="en-US" w:eastAsia="zh-CN"/>
        </w:rPr>
        <w:t>企业基础信息</w:t>
      </w:r>
      <w:bookmarkEnd w:id="36"/>
    </w:p>
    <w:p w14:paraId="4EA01BBA">
      <w:pPr>
        <w:pStyle w:val="5"/>
        <w:numPr>
          <w:ilvl w:val="0"/>
          <w:numId w:val="122"/>
        </w:numPr>
        <w:ind w:left="0" w:leftChars="0" w:firstLine="0" w:firstLineChars="0"/>
        <w:outlineLvl w:val="1"/>
        <w:rPr>
          <w:rFonts w:eastAsia="黑体"/>
          <w:b w:val="0"/>
          <w:bCs w:val="0"/>
          <w:sz w:val="30"/>
          <w:szCs w:val="24"/>
        </w:rPr>
      </w:pPr>
      <w:bookmarkStart w:id="37" w:name="_Toc10576"/>
      <w:r>
        <w:rPr>
          <w:rFonts w:hint="eastAsia" w:cs="Times New Roman"/>
          <w:b w:val="0"/>
          <w:bCs w:val="0"/>
          <w:sz w:val="30"/>
          <w:szCs w:val="24"/>
          <w:lang w:val="en-US" w:eastAsia="zh-CN"/>
        </w:rPr>
        <w:t>企业基础信息</w:t>
      </w:r>
      <w:bookmarkEnd w:id="37"/>
    </w:p>
    <w:p w14:paraId="5021A0ED">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drawing>
          <wp:inline distT="0" distB="0" distL="114300" distR="114300">
            <wp:extent cx="5900420" cy="2925445"/>
            <wp:effectExtent l="0" t="0" r="5080" b="8255"/>
            <wp:docPr id="63"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19"/>
                    <pic:cNvPicPr>
                      <a:picLocks noChangeAspect="1"/>
                    </pic:cNvPicPr>
                  </pic:nvPicPr>
                  <pic:blipFill>
                    <a:blip r:embed="rId76"/>
                    <a:stretch>
                      <a:fillRect/>
                    </a:stretch>
                  </pic:blipFill>
                  <pic:spPr>
                    <a:xfrm>
                      <a:off x="0" y="0"/>
                      <a:ext cx="5900420" cy="2925445"/>
                    </a:xfrm>
                    <a:prstGeom prst="rect">
                      <a:avLst/>
                    </a:prstGeom>
                    <a:noFill/>
                    <a:ln>
                      <a:noFill/>
                    </a:ln>
                  </pic:spPr>
                </pic:pic>
              </a:graphicData>
            </a:graphic>
          </wp:inline>
        </w:drawing>
      </w:r>
    </w:p>
    <w:p w14:paraId="253DADDB">
      <w:pPr>
        <w:pStyle w:val="6"/>
        <w:numPr>
          <w:ilvl w:val="0"/>
          <w:numId w:val="12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358A0810">
      <w:pPr>
        <w:pStyle w:val="19"/>
        <w:widowControl/>
        <w:numPr>
          <w:ilvl w:val="0"/>
          <w:numId w:val="12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：专为车间统计员 (P3) 打造的高效数据录入中枢，解决基层离线生产台账人工录入痛点。</w:t>
      </w:r>
    </w:p>
    <w:p w14:paraId="688B0F0C">
      <w:pPr>
        <w:pStyle w:val="19"/>
        <w:widowControl/>
        <w:numPr>
          <w:ilvl w:val="0"/>
          <w:numId w:val="12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：P3 车间填报员。</w:t>
      </w:r>
    </w:p>
    <w:p w14:paraId="3EC771AB">
      <w:pPr>
        <w:pStyle w:val="19"/>
        <w:widowControl/>
        <w:numPr>
          <w:ilvl w:val="0"/>
          <w:numId w:val="12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/monitor/basic/data-entry </w:t>
      </w:r>
      <w:r>
        <w:rPr>
          <w:rFonts w:ascii="Times New Roman" w:hAnsi="Times New Roman" w:eastAsia="宋体" w:cs="Times New Roman"/>
          <w:i w:val="0"/>
          <w:color w:val="1F2937"/>
          <w:sz w:val="24"/>
          <w:szCs w:val="24"/>
        </w:rPr>
        <w:t xml:space="preserve">；标签页 </w:t>
      </w:r>
      <w:r>
        <w:rPr>
          <w:rFonts w:ascii="Times New Roman" w:hAnsi="Times New Roman" w:eastAsia="宋体" w:cs="Times New Roman"/>
          <w:b w:val="0"/>
          <w:i w:val="0"/>
          <w:color w:val="0284C7"/>
          <w:sz w:val="24"/>
          <w:szCs w:val="24"/>
        </w:rPr>
        <w:t xml:space="preserve"> /production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/energy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/album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/milestone </w:t>
      </w:r>
      <w:r>
        <w:rPr>
          <w:rFonts w:ascii="Times New Roman" w:hAnsi="Times New Roman" w:eastAsia="宋体" w:cs="Times New Roman"/>
          <w:i w:val="0"/>
          <w:color w:val="1F2937"/>
          <w:sz w:val="24"/>
          <w:szCs w:val="24"/>
        </w:rPr>
        <w:t>。</w:t>
      </w:r>
    </w:p>
    <w:p w14:paraId="3A1DB2D6">
      <w:pPr>
        <w:pStyle w:val="19"/>
        <w:widowControl/>
        <w:numPr>
          <w:ilvl w:val="0"/>
          <w:numId w:val="12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：六级组织架构主数据、关键工序对应表白名单、产品规格型号字典、月度锁账状态。</w:t>
      </w:r>
    </w:p>
    <w:p w14:paraId="0A42EEF4">
      <w:pPr>
        <w:pStyle w:val="19"/>
        <w:widowControl/>
        <w:numPr>
          <w:ilvl w:val="0"/>
          <w:numId w:val="12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：指标管控分子分母原始数据、单耗报表产量数据、相册与大事记展示素材。</w:t>
      </w:r>
    </w:p>
    <w:p w14:paraId="44C2BB6B">
      <w:pPr>
        <w:pStyle w:val="6"/>
        <w:numPr>
          <w:ilvl w:val="0"/>
          <w:numId w:val="12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3534C579">
      <w:pPr>
        <w:pStyle w:val="19"/>
        <w:widowControl/>
        <w:numPr>
          <w:ilvl w:val="0"/>
          <w:numId w:val="12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：车间统计员在月末集中录入当月产品产量、能源消耗、园区相册与大事记四类基层数据，需保证高密快速且防错。</w:t>
      </w:r>
    </w:p>
    <w:p w14:paraId="022CC37D">
      <w:pPr>
        <w:pStyle w:val="19"/>
        <w:widowControl/>
        <w:numPr>
          <w:ilvl w:val="0"/>
          <w:numId w:val="12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69F3D7FA">
      <w:pPr>
        <w:pStyle w:val="19"/>
        <w:widowControl/>
        <w:numPr>
          <w:ilvl w:val="0"/>
          <w:numId w:val="125"/>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车间填报员 (Persona P3)</w:t>
      </w:r>
      <w:r>
        <w:rPr>
          <w:rFonts w:ascii="Times New Roman" w:hAnsi="Times New Roman" w:eastAsia="宋体" w:cs="Times New Roman"/>
          <w:i w:val="0"/>
          <w:color w:val="1F2937"/>
          <w:sz w:val="24"/>
          <w:szCs w:val="24"/>
        </w:rPr>
        <w:t>，</w:t>
      </w:r>
    </w:p>
    <w:p w14:paraId="75203ACA">
      <w:pPr>
        <w:pStyle w:val="19"/>
        <w:widowControl/>
        <w:numPr>
          <w:ilvl w:val="0"/>
          <w:numId w:val="125"/>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在四个标签页中快速录入产量、能耗、相册与大事记，并由系统自动校验单位与数值合法性</w:t>
      </w:r>
      <w:r>
        <w:rPr>
          <w:rFonts w:ascii="Times New Roman" w:hAnsi="Times New Roman" w:eastAsia="宋体" w:cs="Times New Roman"/>
          <w:i w:val="0"/>
          <w:color w:val="1F2937"/>
          <w:sz w:val="24"/>
          <w:szCs w:val="24"/>
        </w:rPr>
        <w:t>，</w:t>
      </w:r>
    </w:p>
    <w:p w14:paraId="146973A5">
      <w:pPr>
        <w:pStyle w:val="19"/>
        <w:widowControl/>
        <w:numPr>
          <w:ilvl w:val="0"/>
          <w:numId w:val="125"/>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我能高效完成月度基层数据上报且不因录错导致核算失真</w:t>
      </w:r>
      <w:r>
        <w:rPr>
          <w:rFonts w:ascii="Times New Roman" w:hAnsi="Times New Roman" w:eastAsia="宋体" w:cs="Times New Roman"/>
          <w:i w:val="0"/>
          <w:color w:val="1F2937"/>
          <w:sz w:val="24"/>
          <w:szCs w:val="24"/>
        </w:rPr>
        <w:t>。</w:t>
      </w:r>
    </w:p>
    <w:p w14:paraId="5C3EBA7C">
      <w:pPr>
        <w:pStyle w:val="6"/>
        <w:numPr>
          <w:ilvl w:val="0"/>
          <w:numId w:val="12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08FE9400">
      <w:pPr>
        <w:pStyle w:val="19"/>
        <w:widowControl/>
        <w:ind w:firstLine="482" w:firstLineChars="200"/>
        <w:outlineLvl w:val="3"/>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四大核心工作台（标签页划分）：</w:t>
      </w:r>
    </w:p>
    <w:p w14:paraId="1DCF4165">
      <w:pPr>
        <w:pStyle w:val="7"/>
        <w:numPr>
          <w:ilvl w:val="0"/>
          <w:numId w:val="126"/>
        </w:numPr>
        <w:ind w:left="0" w:leftChars="0" w:firstLine="0" w:firstLineChars="0"/>
        <w:rPr>
          <w:rFonts w:eastAsia="黑体"/>
          <w:b w:val="0"/>
          <w:bCs/>
          <w:sz w:val="28"/>
          <w:szCs w:val="28"/>
        </w:rPr>
      </w:pPr>
      <w:r>
        <w:rPr>
          <w:rFonts w:ascii="Times New Roman" w:hAnsi="Times New Roman" w:eastAsia="黑体" w:cs="Times New Roman"/>
          <w:b w:val="0"/>
          <w:bCs/>
          <w:sz w:val="28"/>
          <w:szCs w:val="28"/>
        </w:rPr>
        <w:t>Tab 1：产品产量录入</w:t>
      </w:r>
    </w:p>
    <w:p w14:paraId="26E6428A">
      <w:pPr>
        <w:pStyle w:val="19"/>
        <w:widowControl/>
        <w:numPr>
          <w:ilvl w:val="0"/>
          <w:numId w:val="127"/>
        </w:numPr>
        <w:ind w:left="0" w:leftChars="0" w:firstLine="482" w:firstLineChars="0"/>
        <w:rPr>
          <w:rFonts w:eastAsia="宋体"/>
          <w:b/>
          <w:i w:val="0"/>
          <w:color w:val="1E3A8A"/>
          <w:sz w:val="24"/>
          <w:szCs w:val="24"/>
        </w:rPr>
      </w:pPr>
      <w:r>
        <w:rPr>
          <w:rFonts w:ascii="Times New Roman" w:hAnsi="Times New Roman" w:eastAsia="宋体" w:cs="Times New Roman"/>
          <w:b/>
          <w:i w:val="0"/>
          <w:color w:val="1E3A8A"/>
          <w:sz w:val="24"/>
          <w:szCs w:val="24"/>
        </w:rPr>
        <w:t>布局与跨行合并</w:t>
      </w:r>
      <w:r>
        <w:rPr>
          <w:rFonts w:ascii="Times New Roman" w:hAnsi="Times New Roman" w:eastAsia="宋体" w:cs="Times New Roman"/>
          <w:i w:val="0"/>
          <w:color w:val="1F2937"/>
          <w:sz w:val="24"/>
          <w:szCs w:val="24"/>
        </w:rPr>
        <w:t>：同生产单位、同工序的跨行单元格自动合并居中。</w:t>
      </w:r>
    </w:p>
    <w:p w14:paraId="0BD3FA8C">
      <w:pPr>
        <w:pStyle w:val="19"/>
        <w:widowControl/>
        <w:numPr>
          <w:ilvl w:val="0"/>
          <w:numId w:val="127"/>
        </w:numPr>
        <w:ind w:left="0" w:leftChars="0" w:firstLine="482" w:firstLineChars="0"/>
        <w:rPr>
          <w:rFonts w:eastAsia="宋体"/>
          <w:b/>
          <w:i w:val="0"/>
          <w:color w:val="1E3A8A"/>
          <w:sz w:val="24"/>
          <w:szCs w:val="24"/>
        </w:rPr>
      </w:pPr>
      <w:r>
        <w:rPr>
          <w:rFonts w:ascii="Times New Roman" w:hAnsi="Times New Roman" w:eastAsia="宋体" w:cs="Times New Roman"/>
          <w:b/>
          <w:i w:val="0"/>
          <w:color w:val="1E3A8A"/>
          <w:sz w:val="24"/>
          <w:szCs w:val="24"/>
        </w:rPr>
        <w:t>单位自适应联动</w:t>
      </w:r>
      <w:r>
        <w:rPr>
          <w:rFonts w:ascii="Times New Roman" w:hAnsi="Times New Roman" w:eastAsia="宋体" w:cs="Times New Roman"/>
          <w:i w:val="0"/>
          <w:color w:val="1F2937"/>
          <w:sz w:val="24"/>
          <w:szCs w:val="24"/>
        </w:rPr>
        <w:t>：选择变压器产品单位自动锁定为台/kVA；选择线缆自动联动为 km·mm²。</w:t>
      </w:r>
    </w:p>
    <w:p w14:paraId="0CF12D8D">
      <w:pPr>
        <w:pStyle w:val="19"/>
        <w:widowControl/>
        <w:numPr>
          <w:ilvl w:val="0"/>
          <w:numId w:val="127"/>
        </w:numPr>
        <w:ind w:left="0" w:leftChars="0" w:firstLine="482" w:firstLineChars="0"/>
        <w:rPr>
          <w:rFonts w:eastAsia="宋体"/>
          <w:b/>
          <w:i w:val="0"/>
          <w:color w:val="1E3A8A"/>
          <w:sz w:val="24"/>
          <w:szCs w:val="24"/>
        </w:rPr>
      </w:pPr>
      <w:r>
        <w:rPr>
          <w:rFonts w:ascii="Times New Roman" w:hAnsi="Times New Roman" w:eastAsia="宋体" w:cs="Times New Roman"/>
          <w:b/>
          <w:i w:val="0"/>
          <w:color w:val="1E3A8A"/>
          <w:sz w:val="24"/>
          <w:szCs w:val="24"/>
        </w:rPr>
        <w:t>防错校验</w:t>
      </w:r>
      <w:r>
        <w:rPr>
          <w:rFonts w:ascii="Times New Roman" w:hAnsi="Times New Roman" w:eastAsia="宋体" w:cs="Times New Roman"/>
          <w:i w:val="0"/>
          <w:color w:val="1F2937"/>
          <w:sz w:val="24"/>
          <w:szCs w:val="24"/>
        </w:rPr>
        <w:t xml:space="preserve">：产量输入必须 ≥ 0，录入负数即时触发 </w:t>
      </w:r>
      <w:r>
        <w:rPr>
          <w:rFonts w:ascii="Times New Roman" w:hAnsi="Times New Roman" w:eastAsia="宋体" w:cs="Times New Roman"/>
          <w:b w:val="0"/>
          <w:i w:val="0"/>
          <w:color w:val="0284C7"/>
          <w:sz w:val="24"/>
          <w:szCs w:val="24"/>
        </w:rPr>
        <w:t xml:space="preserve"> E_VAL_ENERGY_NEGATIVE </w:t>
      </w:r>
      <w:r>
        <w:rPr>
          <w:rFonts w:ascii="Times New Roman" w:hAnsi="Times New Roman" w:eastAsia="宋体" w:cs="Times New Roman"/>
          <w:i w:val="0"/>
          <w:color w:val="1F2937"/>
          <w:sz w:val="24"/>
          <w:szCs w:val="24"/>
        </w:rPr>
        <w:t xml:space="preserve"> 阻断。</w:t>
      </w:r>
    </w:p>
    <w:p w14:paraId="0809562B">
      <w:pPr>
        <w:pStyle w:val="7"/>
        <w:numPr>
          <w:ilvl w:val="0"/>
          <w:numId w:val="126"/>
        </w:numPr>
        <w:ind w:left="0" w:leftChars="0" w:firstLine="0" w:firstLineChars="0"/>
        <w:rPr>
          <w:rFonts w:eastAsia="黑体"/>
          <w:b w:val="0"/>
          <w:bCs/>
          <w:sz w:val="28"/>
          <w:szCs w:val="28"/>
        </w:rPr>
      </w:pPr>
      <w:r>
        <w:rPr>
          <w:rFonts w:ascii="Times New Roman" w:hAnsi="Times New Roman" w:eastAsia="黑体" w:cs="Times New Roman"/>
          <w:b w:val="0"/>
          <w:bCs/>
          <w:sz w:val="28"/>
          <w:szCs w:val="28"/>
        </w:rPr>
        <w:t>Tab 2：能源消耗录入</w:t>
      </w:r>
    </w:p>
    <w:p w14:paraId="13B51B47">
      <w:pPr>
        <w:pStyle w:val="19"/>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color w:val="1F2937"/>
          <w:sz w:val="24"/>
          <w:szCs w:val="24"/>
        </w:rPr>
        <w:t>结构与 Tab 1 严格 100% 同构，按电力、水资源、天然气、蒸汽四介质分组合并展示。支持起码、止码输入自动计算实物量，并带非负拦截校验。</w:t>
      </w:r>
    </w:p>
    <w:p w14:paraId="77380A56">
      <w:pPr>
        <w:pStyle w:val="7"/>
        <w:numPr>
          <w:ilvl w:val="0"/>
          <w:numId w:val="126"/>
        </w:numPr>
        <w:ind w:left="0" w:leftChars="0" w:firstLine="0" w:firstLineChars="0"/>
        <w:rPr>
          <w:rFonts w:eastAsia="黑体"/>
          <w:b w:val="0"/>
          <w:bCs/>
          <w:sz w:val="28"/>
          <w:szCs w:val="28"/>
        </w:rPr>
      </w:pPr>
      <w:r>
        <w:rPr>
          <w:rFonts w:ascii="Times New Roman" w:hAnsi="Times New Roman" w:eastAsia="黑体" w:cs="Times New Roman"/>
          <w:b w:val="0"/>
          <w:bCs/>
          <w:sz w:val="28"/>
          <w:szCs w:val="28"/>
        </w:rPr>
        <w:t>Tab 3：园区相册维护 与 Tab 4：园区大事记维护</w:t>
      </w:r>
    </w:p>
    <w:p w14:paraId="662A8AC9">
      <w:pPr>
        <w:pStyle w:val="19"/>
        <w:widowControl/>
        <w:numPr>
          <w:ilvl w:val="0"/>
          <w:numId w:val="12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园区相册维护</w:t>
      </w:r>
      <w:r>
        <w:rPr>
          <w:rFonts w:ascii="Times New Roman" w:hAnsi="Times New Roman" w:eastAsia="宋体" w:cs="Times New Roman"/>
          <w:i w:val="0"/>
          <w:color w:val="1F2937"/>
          <w:sz w:val="24"/>
          <w:szCs w:val="24"/>
        </w:rPr>
        <w:t>：支持各基地实景高清图上传（限制 10MB，JPG/PNG/WEBP），配置相册标题、拍摄日期、展示排序与轮播激活开关。</w:t>
      </w:r>
    </w:p>
    <w:p w14:paraId="023DD2EE">
      <w:pPr>
        <w:pStyle w:val="19"/>
        <w:widowControl/>
        <w:numPr>
          <w:ilvl w:val="0"/>
          <w:numId w:val="12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园区大事记维护</w:t>
      </w:r>
      <w:r>
        <w:rPr>
          <w:rFonts w:ascii="Times New Roman" w:hAnsi="Times New Roman" w:eastAsia="宋体" w:cs="Times New Roman"/>
          <w:i w:val="0"/>
          <w:color w:val="1F2937"/>
          <w:sz w:val="24"/>
          <w:szCs w:val="24"/>
        </w:rPr>
        <w:t>：时间轴节点式录入里程碑事件（如光伏全容量并网、获批国家级零碳工厂等），支持事件标题、发生日期、详细描述与荣誉徽章配置。</w:t>
      </w:r>
    </w:p>
    <w:p w14:paraId="4FB598C4">
      <w:pPr>
        <w:pStyle w:val="19"/>
        <w:widowControl/>
        <w:rPr>
          <w:rFonts w:ascii="Times New Roman" w:hAnsi="Times New Roman" w:eastAsia="宋体" w:cs="Times New Roman"/>
          <w:i w:val="0"/>
          <w:color w:val="1F2937"/>
          <w:sz w:val="24"/>
          <w:szCs w:val="24"/>
        </w:rPr>
      </w:pPr>
      <w:r>
        <w:rPr>
          <w:rFonts w:ascii="Times New Roman" w:hAnsi="Times New Roman" w:eastAsia="宋体" w:cs="Times New Roman"/>
          <w:b/>
          <w:i w:val="0"/>
          <w:color w:val="1E3A8A"/>
          <w:sz w:val="24"/>
          <w:szCs w:val="24"/>
        </w:rPr>
        <w:t>通用交互规则</w:t>
      </w:r>
      <w:r>
        <w:rPr>
          <w:rFonts w:ascii="Times New Roman" w:hAnsi="Times New Roman" w:eastAsia="宋体" w:cs="Times New Roman"/>
          <w:i w:val="0"/>
          <w:color w:val="1F2937"/>
          <w:sz w:val="24"/>
          <w:szCs w:val="24"/>
        </w:rPr>
        <w:t>：提交采用幂等 Token 防刷；已关账月度数据禁止录入，输入框整体置灰。</w:t>
      </w:r>
    </w:p>
    <w:p w14:paraId="27BE3BAA">
      <w:pPr>
        <w:pStyle w:val="19"/>
        <w:widowControl/>
        <w:rPr>
          <w:rFonts w:ascii="Times New Roman" w:hAnsi="Times New Roman" w:eastAsia="宋体" w:cs="Times New Roman"/>
          <w:i w:val="0"/>
          <w:color w:val="1F2937"/>
          <w:sz w:val="24"/>
          <w:szCs w:val="24"/>
        </w:rPr>
      </w:pPr>
    </w:p>
    <w:p w14:paraId="5265E0B6">
      <w:pPr>
        <w:pStyle w:val="19"/>
        <w:widowControl/>
        <w:ind w:left="0" w:leftChars="0" w:firstLine="0" w:firstLineChars="0"/>
        <w:rPr>
          <w:rFonts w:hint="default" w:ascii="Times New Roman" w:hAnsi="Times New Roman" w:eastAsia="宋体" w:cs="Times New Roman"/>
          <w:i w:val="0"/>
          <w:color w:val="1F2937"/>
          <w:sz w:val="24"/>
          <w:szCs w:val="24"/>
          <w:lang w:val="en-US" w:eastAsia="zh-CN"/>
        </w:rPr>
      </w:pPr>
      <w:r>
        <w:rPr>
          <w:rFonts w:hint="eastAsia" w:cs="Times New Roman"/>
          <w:i w:val="0"/>
          <w:color w:val="1F2937"/>
          <w:sz w:val="24"/>
          <w:szCs w:val="24"/>
          <w:lang w:val="en-US" w:eastAsia="zh-CN"/>
        </w:rPr>
        <w:t>申报数据：</w:t>
      </w:r>
      <w:r>
        <w:rPr>
          <w:rFonts w:hint="eastAsia" w:cs="Times New Roman"/>
          <w:i w:val="0"/>
          <w:color w:val="1F2937"/>
          <w:sz w:val="24"/>
          <w:szCs w:val="24"/>
          <w:lang w:val="en-US" w:eastAsia="zh-CN"/>
        </w:rPr>
        <w:br w:type="textWrapping"/>
      </w:r>
      <w:r>
        <w:drawing>
          <wp:inline distT="0" distB="0" distL="114300" distR="114300">
            <wp:extent cx="5906770" cy="3542665"/>
            <wp:effectExtent l="0" t="0" r="17780" b="635"/>
            <wp:docPr id="139"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93"/>
                    <pic:cNvPicPr>
                      <a:picLocks noChangeAspect="1"/>
                    </pic:cNvPicPr>
                  </pic:nvPicPr>
                  <pic:blipFill>
                    <a:blip r:embed="rId77"/>
                    <a:stretch>
                      <a:fillRect/>
                    </a:stretch>
                  </pic:blipFill>
                  <pic:spPr>
                    <a:xfrm>
                      <a:off x="0" y="0"/>
                      <a:ext cx="5906770" cy="3542665"/>
                    </a:xfrm>
                    <a:prstGeom prst="rect">
                      <a:avLst/>
                    </a:prstGeom>
                    <a:noFill/>
                    <a:ln>
                      <a:noFill/>
                    </a:ln>
                  </pic:spPr>
                </pic:pic>
              </a:graphicData>
            </a:graphic>
          </wp:inline>
        </w:drawing>
      </w:r>
    </w:p>
    <w:p w14:paraId="4F834F29">
      <w:pPr>
        <w:pStyle w:val="6"/>
        <w:numPr>
          <w:ilvl w:val="0"/>
          <w:numId w:val="12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p w14:paraId="1F56F71C">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Tab 1：产品产量录入</w:t>
      </w:r>
    </w:p>
    <w:tbl>
      <w:tblPr>
        <w:tblStyle w:val="38"/>
        <w:tblW w:w="10517" w:type="dxa"/>
        <w:jc w:val="center"/>
        <w:tblLayout w:type="autofit"/>
        <w:tblCellMar>
          <w:top w:w="0" w:type="dxa"/>
          <w:left w:w="108" w:type="dxa"/>
          <w:bottom w:w="0" w:type="dxa"/>
          <w:right w:w="108" w:type="dxa"/>
        </w:tblCellMar>
      </w:tblPr>
      <w:tblGrid>
        <w:gridCol w:w="817"/>
        <w:gridCol w:w="1177"/>
        <w:gridCol w:w="1299"/>
        <w:gridCol w:w="1656"/>
        <w:gridCol w:w="2592"/>
        <w:gridCol w:w="2976"/>
      </w:tblGrid>
      <w:tr w14:paraId="492FA988">
        <w:tblPrEx>
          <w:tblCellMar>
            <w:top w:w="0" w:type="dxa"/>
            <w:left w:w="108" w:type="dxa"/>
            <w:bottom w:w="0" w:type="dxa"/>
            <w:right w:w="108" w:type="dxa"/>
          </w:tblCellMar>
        </w:tblPrEx>
        <w:trPr>
          <w:tblHeade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F94E3C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82FD2D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29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929DDF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165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C78527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单位</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9242E2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界面控件</w:t>
            </w:r>
          </w:p>
        </w:tc>
        <w:tc>
          <w:tcPr>
            <w:tcW w:w="297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41092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21A6BCB1">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98E5E8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75CC96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生产单位名称</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A1D6C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6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137FC6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31A436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下拉级联选择器</w:t>
            </w:r>
          </w:p>
        </w:tc>
        <w:tc>
          <w:tcPr>
            <w:tcW w:w="29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698978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必须在六级组织架构有效生产基地内</w:t>
            </w:r>
          </w:p>
        </w:tc>
      </w:tr>
      <w:tr w14:paraId="6673CB95">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93E9CB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06FCB0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生产涉及工序</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B55E21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6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24DA59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EB6E49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下拉级联选择器</w:t>
            </w:r>
          </w:p>
        </w:tc>
        <w:tc>
          <w:tcPr>
            <w:tcW w:w="297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861E85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严格受控于《关键工序对应表》白名单</w:t>
            </w:r>
          </w:p>
        </w:tc>
      </w:tr>
      <w:tr w14:paraId="62C5DF53">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DB0608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12E504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产品大类分类</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A4947F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6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CD16C0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变压器/线缆</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F5F9BC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单选 Radio</w:t>
            </w:r>
          </w:p>
        </w:tc>
        <w:tc>
          <w:tcPr>
            <w:tcW w:w="29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A0E9C7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决定规格型号联动字典</w:t>
            </w:r>
          </w:p>
        </w:tc>
      </w:tr>
      <w:tr w14:paraId="3DA6376E">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D08B37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4A25B0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产品规格型号</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058E5D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6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534A47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624E3B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文本输入/模糊匹配</w:t>
            </w:r>
          </w:p>
        </w:tc>
        <w:tc>
          <w:tcPr>
            <w:tcW w:w="297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3D55D8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非空，最长 64 字符</w:t>
            </w:r>
          </w:p>
        </w:tc>
      </w:tr>
      <w:tr w14:paraId="03875CC8">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C3E313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B513A5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产品产量数值</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244B80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6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BDA898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自适应</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55223A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数字输入框 (Number)</w:t>
            </w:r>
          </w:p>
        </w:tc>
        <w:tc>
          <w:tcPr>
            <w:tcW w:w="29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1A431F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必须 ≥ 0.00，录入负数前端即时拦截</w:t>
            </w:r>
          </w:p>
        </w:tc>
      </w:tr>
      <w:tr w14:paraId="263DA0C8">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FDEE0F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75A8EE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录入填报人员</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EA650F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6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C53A22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13071D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系统登录态自动带出</w:t>
            </w:r>
          </w:p>
        </w:tc>
        <w:tc>
          <w:tcPr>
            <w:tcW w:w="297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BE4DE3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只读禁用，记录员工真实工号</w:t>
            </w:r>
          </w:p>
        </w:tc>
      </w:tr>
      <w:tr w14:paraId="32D0D93C">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6669E1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94D910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统计核算月份</w:t>
            </w:r>
          </w:p>
        </w:tc>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2C32BA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Date</w:t>
            </w:r>
          </w:p>
        </w:tc>
        <w:tc>
          <w:tcPr>
            <w:tcW w:w="16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C077D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YYYY-MM</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964EA1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月份选择器 (MonthPicker)</w:t>
            </w:r>
          </w:p>
        </w:tc>
        <w:tc>
          <w:tcPr>
            <w:tcW w:w="29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7283D4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不可晚于当前月，关账后禁止填报</w:t>
            </w:r>
          </w:p>
        </w:tc>
      </w:tr>
      <w:tr w14:paraId="666E3AB8">
        <w:tblPrEx>
          <w:tblCellMar>
            <w:top w:w="0" w:type="dxa"/>
            <w:left w:w="108" w:type="dxa"/>
            <w:bottom w:w="0" w:type="dxa"/>
            <w:right w:w="108" w:type="dxa"/>
          </w:tblCellMar>
        </w:tblPrEx>
        <w:trPr>
          <w:jc w:val="center"/>
        </w:trPr>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107770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117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986B96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起码 / 止码</w:t>
            </w:r>
          </w:p>
        </w:tc>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473B41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6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FC216C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表计单位</w:t>
            </w:r>
          </w:p>
        </w:tc>
        <w:tc>
          <w:tcPr>
            <w:tcW w:w="259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0D9A5E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数字输入框</w:t>
            </w:r>
          </w:p>
        </w:tc>
        <w:tc>
          <w:tcPr>
            <w:tcW w:w="297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B2AC70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止码 ≥ 起码，否则拦截</w:t>
            </w:r>
          </w:p>
        </w:tc>
      </w:tr>
    </w:tbl>
    <w:p w14:paraId="7784B77E">
      <w:pPr>
        <w:spacing w:after="60"/>
        <w:rPr>
          <w:rFonts w:hint="eastAsia" w:ascii="宋体" w:hAnsi="宋体" w:eastAsia="宋体" w:cs="宋体"/>
          <w:i w:val="0"/>
          <w:iCs w:val="0"/>
          <w:sz w:val="24"/>
          <w:szCs w:val="24"/>
        </w:rPr>
      </w:pPr>
    </w:p>
    <w:p w14:paraId="7707A898">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Tab 3 / Tab 4：相册与大事记</w:t>
      </w:r>
    </w:p>
    <w:tbl>
      <w:tblPr>
        <w:tblStyle w:val="38"/>
        <w:tblW w:w="9784" w:type="dxa"/>
        <w:jc w:val="center"/>
        <w:tblLayout w:type="autofit"/>
        <w:tblCellMar>
          <w:top w:w="0" w:type="dxa"/>
          <w:left w:w="108" w:type="dxa"/>
          <w:bottom w:w="0" w:type="dxa"/>
          <w:right w:w="108" w:type="dxa"/>
        </w:tblCellMar>
      </w:tblPr>
      <w:tblGrid>
        <w:gridCol w:w="749"/>
        <w:gridCol w:w="1913"/>
        <w:gridCol w:w="1331"/>
        <w:gridCol w:w="1592"/>
        <w:gridCol w:w="4199"/>
      </w:tblGrid>
      <w:tr w14:paraId="6274256D">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6ED2B6E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1212646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6D47953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07308EA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单位</w:t>
            </w:r>
          </w:p>
        </w:tc>
        <w:tc>
          <w:tcPr>
            <w:tcW w:w="419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2E40A72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1F645F9C">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DD8C08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426566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相册标题</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E56405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ED9BB2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8847BD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非空，最长 64 字符</w:t>
            </w:r>
          </w:p>
        </w:tc>
      </w:tr>
      <w:tr w14:paraId="2EC201A8">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106194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102937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实景图片附件</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D7A23E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File</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CCDB20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CFE4C6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限制 10MB，格式 JPG/PNG/WEBP</w:t>
            </w:r>
          </w:p>
        </w:tc>
      </w:tr>
      <w:tr w14:paraId="362E2199">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4DB974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246BFB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拍摄日期</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A6CEFE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Date</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289FF4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YYYY-MM-DD</w:t>
            </w:r>
          </w:p>
        </w:tc>
        <w:tc>
          <w:tcPr>
            <w:tcW w:w="41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1135F8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不得晚于当前日期</w:t>
            </w:r>
          </w:p>
        </w:tc>
      </w:tr>
      <w:tr w14:paraId="3BFAFB06">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1D7D95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8AB7E6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展示排序</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F0784F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Integer</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6901AE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568892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正整数，同相册内唯一</w:t>
            </w:r>
          </w:p>
        </w:tc>
      </w:tr>
      <w:tr w14:paraId="0A925012">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F5390D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8D291B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轮播激活开关</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4ADE95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Boolean</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E1A604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1F2767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单园区最多激活 10 张</w:t>
            </w:r>
          </w:p>
        </w:tc>
      </w:tr>
      <w:tr w14:paraId="095F776F">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F161F7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7DE677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事件标题</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D616EC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FB83F2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76D717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非空，最长 128 字符</w:t>
            </w:r>
          </w:p>
        </w:tc>
      </w:tr>
      <w:tr w14:paraId="1545BE8B">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070A73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0DB45A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发生日期</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F701B4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Date</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A7ECE1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YYYY-MM-DD</w:t>
            </w:r>
          </w:p>
        </w:tc>
        <w:tc>
          <w:tcPr>
            <w:tcW w:w="41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076CCD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不得晚于当前日期</w:t>
            </w:r>
          </w:p>
        </w:tc>
      </w:tr>
      <w:tr w14:paraId="4FDAFBE7">
        <w:tblPrEx>
          <w:tblCellMar>
            <w:top w:w="0" w:type="dxa"/>
            <w:left w:w="108" w:type="dxa"/>
            <w:bottom w:w="0" w:type="dxa"/>
            <w:right w:w="108" w:type="dxa"/>
          </w:tblCellMar>
        </w:tblPrEx>
        <w:trPr>
          <w:jc w:val="center"/>
        </w:trPr>
        <w:tc>
          <w:tcPr>
            <w:tcW w:w="74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4A90F8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191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79123F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荣誉徽章配置</w:t>
            </w:r>
          </w:p>
        </w:tc>
        <w:tc>
          <w:tcPr>
            <w:tcW w:w="133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77AEBE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59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8E835A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610E53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国家级/省级/集团级/无</w:t>
            </w:r>
          </w:p>
        </w:tc>
      </w:tr>
    </w:tbl>
    <w:p w14:paraId="096571F7">
      <w:pPr>
        <w:spacing w:after="60"/>
        <w:rPr>
          <w:rFonts w:hint="eastAsia" w:ascii="宋体" w:hAnsi="宋体" w:eastAsia="宋体" w:cs="宋体"/>
          <w:i w:val="0"/>
          <w:iCs w:val="0"/>
          <w:sz w:val="24"/>
          <w:szCs w:val="24"/>
        </w:rPr>
      </w:pPr>
    </w:p>
    <w:p w14:paraId="49131597">
      <w:pPr>
        <w:pStyle w:val="6"/>
        <w:numPr>
          <w:ilvl w:val="0"/>
          <w:numId w:val="12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62CA7262">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207B891E">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Q_actual = ( Meter_end - Meter_start ) × Ratio     实物量 =（止码 − 起码）× 倍率</w:t>
            </w:r>
          </w:p>
          <w:p w14:paraId="59AA7294">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Guard: Meter_end &gt;= Meter_start                     止码校验</w:t>
            </w:r>
          </w:p>
          <w:p w14:paraId="6E9996FE">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Guard: Q_prod &gt;= 0                                  产量非负校验</w:t>
            </w:r>
          </w:p>
          <w:p w14:paraId="58DB75F1">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Guard: Month &lt;= CurrentMonth                        月份上限校验</w:t>
            </w:r>
          </w:p>
          <w:p w14:paraId="39C39369">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Idempotent = Token( empID + month + rowNo )         提交幂等键</w:t>
            </w:r>
          </w:p>
        </w:tc>
      </w:tr>
    </w:tbl>
    <w:p w14:paraId="79693A7F">
      <w:pPr>
        <w:spacing w:after="40"/>
        <w:rPr>
          <w:rFonts w:hint="eastAsia" w:ascii="宋体" w:hAnsi="宋体" w:eastAsia="宋体" w:cs="宋体"/>
          <w:i w:val="0"/>
          <w:iCs w:val="0"/>
          <w:sz w:val="24"/>
          <w:szCs w:val="24"/>
        </w:rPr>
      </w:pPr>
    </w:p>
    <w:p w14:paraId="52D504EF">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w:t>
      </w:r>
      <w:r>
        <w:rPr>
          <w:rFonts w:ascii="Times New Roman" w:hAnsi="Times New Roman" w:eastAsia="宋体" w:cs="Times New Roman"/>
          <w:b w:val="0"/>
          <w:i w:val="0"/>
          <w:color w:val="0284C7"/>
          <w:sz w:val="24"/>
          <w:szCs w:val="24"/>
        </w:rPr>
        <w:t xml:space="preserve"> Ratio </w:t>
      </w:r>
      <w:r>
        <w:rPr>
          <w:rFonts w:ascii="Times New Roman" w:hAnsi="Times New Roman" w:eastAsia="宋体" w:cs="Times New Roman"/>
          <w:i w:val="0"/>
          <w:color w:val="1F2937"/>
          <w:sz w:val="24"/>
          <w:szCs w:val="24"/>
        </w:rPr>
        <w:t xml:space="preserve"> 为表计倍率；</w:t>
      </w:r>
      <w:r>
        <w:rPr>
          <w:rFonts w:ascii="Times New Roman" w:hAnsi="Times New Roman" w:eastAsia="宋体" w:cs="Times New Roman"/>
          <w:b w:val="0"/>
          <w:i w:val="0"/>
          <w:color w:val="0284C7"/>
          <w:sz w:val="24"/>
          <w:szCs w:val="24"/>
        </w:rPr>
        <w:t xml:space="preserve"> Q_prod </w:t>
      </w:r>
      <w:r>
        <w:rPr>
          <w:rFonts w:ascii="Times New Roman" w:hAnsi="Times New Roman" w:eastAsia="宋体" w:cs="Times New Roman"/>
          <w:i w:val="0"/>
          <w:color w:val="1F2937"/>
          <w:sz w:val="24"/>
          <w:szCs w:val="24"/>
        </w:rPr>
        <w:t xml:space="preserve"> 为产品产量；幂等键由填报人工号、统计月份与行号组合生成，保证同一条记录重复提交仅入库一次。</w:t>
      </w:r>
    </w:p>
    <w:p w14:paraId="26FEF8B0">
      <w:pPr>
        <w:pStyle w:val="6"/>
        <w:numPr>
          <w:ilvl w:val="0"/>
          <w:numId w:val="12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6C518CDB">
      <w:pPr>
        <w:pStyle w:val="19"/>
        <w:widowControl/>
        <w:numPr>
          <w:ilvl w:val="0"/>
          <w:numId w:val="12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单位口径</w:t>
      </w:r>
      <w:r>
        <w:rPr>
          <w:rFonts w:ascii="Times New Roman" w:hAnsi="Times New Roman" w:eastAsia="宋体" w:cs="Times New Roman"/>
          <w:i w:val="0"/>
          <w:color w:val="1F2937"/>
          <w:sz w:val="24"/>
          <w:szCs w:val="24"/>
        </w:rPr>
        <w:t>：单位自适应由产品大类决定，用户不可手动改写。</w:t>
      </w:r>
    </w:p>
    <w:p w14:paraId="5D06BF9E">
      <w:pPr>
        <w:pStyle w:val="19"/>
        <w:widowControl/>
        <w:numPr>
          <w:ilvl w:val="0"/>
          <w:numId w:val="12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工序口径</w:t>
      </w:r>
      <w:r>
        <w:rPr>
          <w:rFonts w:ascii="Times New Roman" w:hAnsi="Times New Roman" w:eastAsia="宋体" w:cs="Times New Roman"/>
          <w:i w:val="0"/>
          <w:color w:val="1F2937"/>
          <w:sz w:val="24"/>
          <w:szCs w:val="24"/>
        </w:rPr>
        <w:t>：工序下拉严格受控于《关键工序对应表》白名单，非白名单工序不可选。</w:t>
      </w:r>
    </w:p>
    <w:p w14:paraId="03564DA4">
      <w:pPr>
        <w:pStyle w:val="19"/>
        <w:widowControl/>
        <w:numPr>
          <w:ilvl w:val="0"/>
          <w:numId w:val="12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月份口径</w:t>
      </w:r>
      <w:r>
        <w:rPr>
          <w:rFonts w:ascii="Times New Roman" w:hAnsi="Times New Roman" w:eastAsia="宋体" w:cs="Times New Roman"/>
          <w:i w:val="0"/>
          <w:color w:val="1F2937"/>
          <w:sz w:val="24"/>
          <w:szCs w:val="24"/>
        </w:rPr>
        <w:t>：统计核算月份不可晚于当前月；关账后输入整体置灰。</w:t>
      </w:r>
    </w:p>
    <w:p w14:paraId="2F2E81ED">
      <w:pPr>
        <w:pStyle w:val="19"/>
        <w:widowControl/>
        <w:numPr>
          <w:ilvl w:val="0"/>
          <w:numId w:val="12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流转口径</w:t>
      </w:r>
      <w:r>
        <w:rPr>
          <w:rFonts w:ascii="Times New Roman" w:hAnsi="Times New Roman" w:eastAsia="宋体" w:cs="Times New Roman"/>
          <w:i w:val="0"/>
          <w:color w:val="1F2937"/>
          <w:sz w:val="24"/>
          <w:szCs w:val="24"/>
        </w:rPr>
        <w:t>：空白 → 录入中 → 已暂存 → 已提交 → 已入账 → 锁账。</w:t>
      </w:r>
    </w:p>
    <w:p w14:paraId="6DDDB44E">
      <w:pPr>
        <w:pStyle w:val="6"/>
        <w:numPr>
          <w:ilvl w:val="0"/>
          <w:numId w:val="12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76C97C7E">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4D7C0F44">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产量录入负数：触发 </w:t>
            </w:r>
            <w:r>
              <w:rPr>
                <w:rFonts w:hint="eastAsia" w:ascii="宋体" w:hAnsi="宋体" w:eastAsia="宋体" w:cs="宋体"/>
                <w:b w:val="0"/>
                <w:i w:val="0"/>
                <w:iCs w:val="0"/>
                <w:color w:val="0284C7"/>
                <w:sz w:val="24"/>
                <w:szCs w:val="24"/>
              </w:rPr>
              <w:t xml:space="preserve"> E_VAL_PROD_QTY_NEGATIVE </w:t>
            </w:r>
            <w:r>
              <w:rPr>
                <w:rFonts w:hint="eastAsia" w:ascii="宋体" w:hAnsi="宋体" w:eastAsia="宋体" w:cs="宋体"/>
                <w:i w:val="0"/>
                <w:iCs w:val="0"/>
                <w:color w:val="1F2937"/>
                <w:sz w:val="24"/>
                <w:szCs w:val="24"/>
              </w:rPr>
              <w:t>，前端红框高亮并阻断提交。</w:t>
            </w:r>
          </w:p>
          <w:p w14:paraId="7F51E962">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能源消耗录入负数：触发 </w:t>
            </w:r>
            <w:r>
              <w:rPr>
                <w:rFonts w:hint="eastAsia" w:ascii="宋体" w:hAnsi="宋体" w:eastAsia="宋体" w:cs="宋体"/>
                <w:b w:val="0"/>
                <w:i w:val="0"/>
                <w:iCs w:val="0"/>
                <w:color w:val="0284C7"/>
                <w:sz w:val="24"/>
                <w:szCs w:val="24"/>
              </w:rPr>
              <w:t xml:space="preserve"> E_VAL_ENERGY_NEGATIVE </w:t>
            </w:r>
            <w:r>
              <w:rPr>
                <w:rFonts w:hint="eastAsia" w:ascii="宋体" w:hAnsi="宋体" w:eastAsia="宋体" w:cs="宋体"/>
                <w:i w:val="0"/>
                <w:iCs w:val="0"/>
                <w:color w:val="1F2937"/>
                <w:sz w:val="24"/>
                <w:szCs w:val="24"/>
              </w:rPr>
              <w:t>，同样即时拦截。</w:t>
            </w:r>
          </w:p>
          <w:p w14:paraId="52422647">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止码小于起码：前端即时拦截，禁止发送请求。</w:t>
            </w:r>
          </w:p>
          <w:p w14:paraId="4EC6A4FE">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- 100ms 内连续点击提交 3 次：触发 </w:t>
            </w:r>
            <w:r>
              <w:rPr>
                <w:rFonts w:hint="eastAsia" w:ascii="宋体" w:hAnsi="宋体" w:eastAsia="宋体" w:cs="宋体"/>
                <w:b w:val="0"/>
                <w:i w:val="0"/>
                <w:iCs w:val="0"/>
                <w:color w:val="0284C7"/>
                <w:sz w:val="24"/>
                <w:szCs w:val="24"/>
              </w:rPr>
              <w:t xml:space="preserve"> E_SYS_CONCURRENCY_LOCK </w:t>
            </w:r>
            <w:r>
              <w:rPr>
                <w:rFonts w:hint="eastAsia" w:ascii="宋体" w:hAnsi="宋体" w:eastAsia="宋体" w:cs="宋体"/>
                <w:i w:val="0"/>
                <w:iCs w:val="0"/>
                <w:color w:val="1F2937"/>
                <w:sz w:val="24"/>
                <w:szCs w:val="24"/>
              </w:rPr>
              <w:t>，仅首笔入库并提示防刷。</w:t>
            </w:r>
          </w:p>
          <w:p w14:paraId="0C74D8D8">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已关账月度：触发 </w:t>
            </w:r>
            <w:r>
              <w:rPr>
                <w:rFonts w:hint="eastAsia" w:ascii="宋体" w:hAnsi="宋体" w:eastAsia="宋体" w:cs="宋体"/>
                <w:b w:val="0"/>
                <w:i w:val="0"/>
                <w:iCs w:val="0"/>
                <w:color w:val="0284C7"/>
                <w:sz w:val="24"/>
                <w:szCs w:val="24"/>
              </w:rPr>
              <w:t xml:space="preserve"> E_SYS_ENTRY_ALREADY_LOCKED </w:t>
            </w:r>
            <w:r>
              <w:rPr>
                <w:rFonts w:hint="eastAsia" w:ascii="宋体" w:hAnsi="宋体" w:eastAsia="宋体" w:cs="宋体"/>
                <w:i w:val="0"/>
                <w:iCs w:val="0"/>
                <w:color w:val="1F2937"/>
                <w:sz w:val="24"/>
                <w:szCs w:val="24"/>
              </w:rPr>
              <w:t>，提示需 P1 集团高管特批。</w:t>
            </w:r>
          </w:p>
          <w:p w14:paraId="31B961CC">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相册图片超过 10MB 或格式不符：上传即时拒绝并提示支持格式。</w:t>
            </w:r>
          </w:p>
        </w:tc>
      </w:tr>
    </w:tbl>
    <w:p w14:paraId="2D75BFDD">
      <w:pPr>
        <w:spacing w:after="40"/>
        <w:rPr>
          <w:rFonts w:hint="eastAsia" w:ascii="宋体" w:hAnsi="宋体" w:eastAsia="宋体" w:cs="宋体"/>
          <w:i w:val="0"/>
          <w:iCs w:val="0"/>
          <w:sz w:val="24"/>
          <w:szCs w:val="24"/>
        </w:rPr>
      </w:pPr>
    </w:p>
    <w:p w14:paraId="272C276A">
      <w:pPr>
        <w:pStyle w:val="6"/>
        <w:numPr>
          <w:ilvl w:val="0"/>
          <w:numId w:val="123"/>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4B81AF13">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5F57FDB5">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基层数据录入工作台</w:t>
            </w:r>
          </w:p>
          <w:p w14:paraId="614F818E">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非负防错校验</w:t>
            </w:r>
          </w:p>
          <w:p w14:paraId="3CE9020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车间填报员在 Tab 1 产品产量录入页</w:t>
            </w:r>
          </w:p>
          <w:p w14:paraId="1B8C637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在生产单位与工序已选中的行内输入产量 -500</w:t>
            </w:r>
          </w:p>
          <w:p w14:paraId="137BB974">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输入框即时红框高亮并阻断表单提交</w:t>
            </w:r>
          </w:p>
          <w:p w14:paraId="0FFFC84B">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返回 E_VAL_PROD_QTY_NEGATIVE</w:t>
            </w:r>
          </w:p>
          <w:p w14:paraId="4F40185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请求未被发送至服务端</w:t>
            </w:r>
          </w:p>
          <w:p w14:paraId="5CB53DBC">
            <w:pPr>
              <w:spacing w:before="0" w:after="20" w:line="264" w:lineRule="auto"/>
              <w:rPr>
                <w:rFonts w:hint="eastAsia" w:ascii="宋体" w:hAnsi="宋体" w:eastAsia="宋体" w:cs="宋体"/>
                <w:i w:val="0"/>
                <w:iCs w:val="0"/>
                <w:sz w:val="24"/>
                <w:szCs w:val="24"/>
              </w:rPr>
            </w:pPr>
          </w:p>
          <w:p w14:paraId="3AE914A2">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提交并发防刷</w:t>
            </w:r>
          </w:p>
          <w:p w14:paraId="19279F9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填报员已填写完整的一行产量数据</w:t>
            </w:r>
          </w:p>
          <w:p w14:paraId="106BF039">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在 100 毫秒内快速连续点击提交按钮 3 次</w:t>
            </w:r>
          </w:p>
          <w:p w14:paraId="743F5941">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仅首笔交易成功入库</w:t>
            </w:r>
          </w:p>
          <w:p w14:paraId="4AFA83B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其余请求返回 E_SYS_CONCURRENCY_LOCK 并提示勿重复提交</w:t>
            </w:r>
          </w:p>
          <w:p w14:paraId="330C8A00">
            <w:pPr>
              <w:spacing w:before="0" w:after="20" w:line="264" w:lineRule="auto"/>
              <w:rPr>
                <w:rFonts w:hint="eastAsia" w:ascii="宋体" w:hAnsi="宋体" w:eastAsia="宋体" w:cs="宋体"/>
                <w:i w:val="0"/>
                <w:iCs w:val="0"/>
                <w:sz w:val="24"/>
                <w:szCs w:val="24"/>
              </w:rPr>
            </w:pPr>
          </w:p>
          <w:p w14:paraId="0185A550">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单位自适应联动</w:t>
            </w:r>
          </w:p>
          <w:p w14:paraId="673CF3E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填报员在产品大类分类中选择"线缆"</w:t>
            </w:r>
          </w:p>
          <w:p w14:paraId="2C5226A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页面完成联动刷新</w:t>
            </w:r>
          </w:p>
          <w:p w14:paraId="1E412C1D">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产品产量单位自动切换为 km·mm²</w:t>
            </w:r>
          </w:p>
          <w:p w14:paraId="0BDBEED9">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单位字段不可手动改写</w:t>
            </w:r>
          </w:p>
          <w:p w14:paraId="3BAAF0F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填报员改选"变压器"</w:t>
            </w:r>
          </w:p>
          <w:p w14:paraId="701E78C0">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单位自动切换为台 / kVA</w:t>
            </w:r>
          </w:p>
          <w:p w14:paraId="7D3EE591">
            <w:pPr>
              <w:spacing w:before="0" w:after="20" w:line="264" w:lineRule="auto"/>
              <w:rPr>
                <w:rFonts w:hint="eastAsia" w:ascii="宋体" w:hAnsi="宋体" w:eastAsia="宋体" w:cs="宋体"/>
                <w:i w:val="0"/>
                <w:iCs w:val="0"/>
                <w:sz w:val="24"/>
                <w:szCs w:val="24"/>
              </w:rPr>
            </w:pPr>
          </w:p>
          <w:p w14:paraId="58DB8346">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关账月度禁止填报</w:t>
            </w:r>
          </w:p>
          <w:p w14:paraId="399A052B">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目标统计核算月份已完成财务关账</w:t>
            </w:r>
          </w:p>
          <w:p w14:paraId="36E386F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填报员尝试在该月份录入产量数据</w:t>
            </w:r>
          </w:p>
          <w:p w14:paraId="483EA04D">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输入控件整体置灰并禁止填写</w:t>
            </w:r>
          </w:p>
          <w:p w14:paraId="32467E4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若强行提交则返回 E_SYS_ENTRY_ALREADY_LOCKED</w:t>
            </w:r>
          </w:p>
        </w:tc>
      </w:tr>
    </w:tbl>
    <w:p w14:paraId="17E44595">
      <w:pPr>
        <w:spacing w:after="40"/>
        <w:rPr>
          <w:rFonts w:hint="eastAsia" w:ascii="宋体" w:hAnsi="宋体" w:eastAsia="宋体" w:cs="宋体"/>
          <w:i w:val="0"/>
          <w:iCs w:val="0"/>
          <w:sz w:val="24"/>
          <w:szCs w:val="24"/>
        </w:rPr>
      </w:pPr>
    </w:p>
    <w:p w14:paraId="65860A16">
      <w:pPr>
        <w:pStyle w:val="5"/>
        <w:numPr>
          <w:ilvl w:val="0"/>
          <w:numId w:val="122"/>
        </w:numPr>
        <w:ind w:left="0" w:leftChars="0" w:firstLine="0" w:firstLineChars="0"/>
        <w:outlineLvl w:val="1"/>
        <w:rPr>
          <w:rFonts w:eastAsia="黑体"/>
          <w:b w:val="0"/>
          <w:bCs w:val="0"/>
          <w:sz w:val="30"/>
          <w:szCs w:val="24"/>
        </w:rPr>
      </w:pPr>
      <w:bookmarkStart w:id="38" w:name="_Toc30311"/>
      <w:r>
        <w:rPr>
          <w:rFonts w:hint="eastAsia"/>
          <w:b w:val="0"/>
          <w:bCs w:val="0"/>
          <w:sz w:val="30"/>
          <w:szCs w:val="24"/>
          <w:lang w:val="en-US" w:eastAsia="zh-CN"/>
        </w:rPr>
        <w:t>零碳工厂信息</w:t>
      </w:r>
      <w:bookmarkEnd w:id="38"/>
    </w:p>
    <w:p w14:paraId="1F54EE2D">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drawing>
          <wp:inline distT="0" distB="0" distL="114300" distR="114300">
            <wp:extent cx="5900420" cy="2925445"/>
            <wp:effectExtent l="0" t="0" r="5080" b="8255"/>
            <wp:docPr id="64"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20"/>
                    <pic:cNvPicPr>
                      <a:picLocks noChangeAspect="1"/>
                    </pic:cNvPicPr>
                  </pic:nvPicPr>
                  <pic:blipFill>
                    <a:blip r:embed="rId78"/>
                    <a:stretch>
                      <a:fillRect/>
                    </a:stretch>
                  </pic:blipFill>
                  <pic:spPr>
                    <a:xfrm>
                      <a:off x="0" y="0"/>
                      <a:ext cx="5900420" cy="2925445"/>
                    </a:xfrm>
                    <a:prstGeom prst="rect">
                      <a:avLst/>
                    </a:prstGeom>
                    <a:noFill/>
                    <a:ln>
                      <a:noFill/>
                    </a:ln>
                  </pic:spPr>
                </pic:pic>
              </a:graphicData>
            </a:graphic>
          </wp:inline>
        </w:drawing>
      </w:r>
    </w:p>
    <w:p w14:paraId="154452A7">
      <w:pPr>
        <w:pStyle w:val="6"/>
        <w:numPr>
          <w:ilvl w:val="0"/>
          <w:numId w:val="13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212CBD08">
      <w:pPr>
        <w:pStyle w:val="19"/>
        <w:widowControl/>
        <w:numPr>
          <w:ilvl w:val="0"/>
          <w:numId w:val="13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：承载能源价格管理与折标系数管理两大基础参数，实现峰平谷分时电价阶梯版本化维护与国家标准当量/等价折标系数审计留痕。</w:t>
      </w:r>
    </w:p>
    <w:p w14:paraId="0B816626">
      <w:pPr>
        <w:pStyle w:val="19"/>
        <w:widowControl/>
        <w:numPr>
          <w:ilvl w:val="0"/>
          <w:numId w:val="13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：P2 园区能碳专员（维护）、PM（审批）。</w:t>
      </w:r>
    </w:p>
    <w:p w14:paraId="546D59B6">
      <w:pPr>
        <w:pStyle w:val="19"/>
        <w:widowControl/>
        <w:numPr>
          <w:ilvl w:val="0"/>
          <w:numId w:val="13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/monitor/basic/config </w:t>
      </w:r>
      <w:r>
        <w:rPr>
          <w:rFonts w:ascii="Times New Roman" w:hAnsi="Times New Roman" w:eastAsia="宋体" w:cs="Times New Roman"/>
          <w:i w:val="0"/>
          <w:color w:val="1F2937"/>
          <w:sz w:val="24"/>
          <w:szCs w:val="24"/>
        </w:rPr>
        <w:t xml:space="preserve">；子页 </w:t>
      </w:r>
      <w:r>
        <w:rPr>
          <w:rFonts w:ascii="Times New Roman" w:hAnsi="Times New Roman" w:eastAsia="宋体" w:cs="Times New Roman"/>
          <w:b w:val="0"/>
          <w:i w:val="0"/>
          <w:color w:val="0284C7"/>
          <w:sz w:val="24"/>
          <w:szCs w:val="24"/>
        </w:rPr>
        <w:t xml:space="preserve"> /price </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/coefficient </w:t>
      </w:r>
      <w:r>
        <w:rPr>
          <w:rFonts w:ascii="Times New Roman" w:hAnsi="Times New Roman" w:eastAsia="宋体" w:cs="Times New Roman"/>
          <w:i w:val="0"/>
          <w:color w:val="1F2937"/>
          <w:sz w:val="24"/>
          <w:szCs w:val="24"/>
        </w:rPr>
        <w:t>。</w:t>
      </w:r>
    </w:p>
    <w:p w14:paraId="34FB891A">
      <w:pPr>
        <w:pStyle w:val="19"/>
        <w:widowControl/>
        <w:numPr>
          <w:ilvl w:val="0"/>
          <w:numId w:val="13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：国家电网分时电价政策文件、GB/T 2589 标准文本。</w:t>
      </w:r>
    </w:p>
    <w:p w14:paraId="3B5B2626">
      <w:pPr>
        <w:pStyle w:val="19"/>
        <w:widowControl/>
        <w:numPr>
          <w:ilvl w:val="0"/>
          <w:numId w:val="13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：全平台成本类、折标类计算的统一参数源。</w:t>
      </w:r>
    </w:p>
    <w:p w14:paraId="05053A79">
      <w:pPr>
        <w:pStyle w:val="6"/>
        <w:numPr>
          <w:ilvl w:val="0"/>
          <w:numId w:val="13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190741D8">
      <w:pPr>
        <w:pStyle w:val="19"/>
        <w:widowControl/>
        <w:numPr>
          <w:ilvl w:val="0"/>
          <w:numId w:val="13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：电价政策调整或国家标准更新时，需版本化维护参数并保证历史核算口径不被污染。</w:t>
      </w:r>
    </w:p>
    <w:p w14:paraId="34D7696E">
      <w:pPr>
        <w:pStyle w:val="19"/>
        <w:widowControl/>
        <w:numPr>
          <w:ilvl w:val="0"/>
          <w:numId w:val="13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6284920F">
      <w:pPr>
        <w:pStyle w:val="19"/>
        <w:widowControl/>
        <w:numPr>
          <w:ilvl w:val="0"/>
          <w:numId w:val="132"/>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园区能碳专员 (Persona P2)</w:t>
      </w:r>
      <w:r>
        <w:rPr>
          <w:rFonts w:ascii="Times New Roman" w:hAnsi="Times New Roman" w:eastAsia="宋体" w:cs="Times New Roman"/>
          <w:i w:val="0"/>
          <w:color w:val="1F2937"/>
          <w:sz w:val="24"/>
          <w:szCs w:val="24"/>
        </w:rPr>
        <w:t>，</w:t>
      </w:r>
    </w:p>
    <w:p w14:paraId="5AF27C0E">
      <w:pPr>
        <w:pStyle w:val="19"/>
        <w:widowControl/>
        <w:numPr>
          <w:ilvl w:val="0"/>
          <w:numId w:val="132"/>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版本化维护分时电价阶梯与折标系数，并明确系数变更对历史核算的影响策略</w:t>
      </w:r>
      <w:r>
        <w:rPr>
          <w:rFonts w:ascii="Times New Roman" w:hAnsi="Times New Roman" w:eastAsia="宋体" w:cs="Times New Roman"/>
          <w:i w:val="0"/>
          <w:color w:val="1F2937"/>
          <w:sz w:val="24"/>
          <w:szCs w:val="24"/>
        </w:rPr>
        <w:t>，</w:t>
      </w:r>
    </w:p>
    <w:p w14:paraId="130FC69E">
      <w:pPr>
        <w:pStyle w:val="19"/>
        <w:widowControl/>
        <w:numPr>
          <w:ilvl w:val="0"/>
          <w:numId w:val="132"/>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我能保证参数变更可追溯、历史报表口径不被追溯性污染</w:t>
      </w:r>
      <w:r>
        <w:rPr>
          <w:rFonts w:ascii="Times New Roman" w:hAnsi="Times New Roman" w:eastAsia="宋体" w:cs="Times New Roman"/>
          <w:i w:val="0"/>
          <w:color w:val="1F2937"/>
          <w:sz w:val="24"/>
          <w:szCs w:val="24"/>
        </w:rPr>
        <w:t>。</w:t>
      </w:r>
    </w:p>
    <w:p w14:paraId="32899B71">
      <w:pPr>
        <w:pStyle w:val="6"/>
        <w:numPr>
          <w:ilvl w:val="0"/>
          <w:numId w:val="13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3D555062">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能源价格管理（细化框架）：</w:t>
      </w:r>
    </w:p>
    <w:p w14:paraId="1DA4B4C1">
      <w:pPr>
        <w:pStyle w:val="19"/>
        <w:widowControl/>
        <w:numPr>
          <w:ilvl w:val="0"/>
          <w:numId w:val="133"/>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维护尖/峰/平/谷分时电价阶梯版本（生效起止日期、各时段价格、基本电费计费方式：按容量或最大需量）；版本化维护，历史版本可查、变更留痕。</w:t>
      </w:r>
    </w:p>
    <w:p w14:paraId="1334B0CB">
      <w:pPr>
        <w:pStyle w:val="19"/>
        <w:widowControl/>
        <w:numPr>
          <w:ilvl w:val="0"/>
          <w:numId w:val="133"/>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字段字典与审批流：能源价格与折标系数均采用版本化字段字典管理（见下方两张字段字典），新增、变更、废止一律经统一工作流引擎审批后生效。</w:t>
      </w:r>
    </w:p>
    <w:p w14:paraId="4E8CF71B">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能源价格管理 · 字段字典：</w:t>
      </w:r>
    </w:p>
    <w:tbl>
      <w:tblPr>
        <w:tblStyle w:val="38"/>
        <w:tblW w:w="9784" w:type="dxa"/>
        <w:jc w:val="center"/>
        <w:tblLayout w:type="autofit"/>
        <w:tblCellMar>
          <w:top w:w="0" w:type="dxa"/>
          <w:left w:w="108" w:type="dxa"/>
          <w:bottom w:w="0" w:type="dxa"/>
          <w:right w:w="108" w:type="dxa"/>
        </w:tblCellMar>
      </w:tblPr>
      <w:tblGrid>
        <w:gridCol w:w="2087"/>
        <w:gridCol w:w="2349"/>
        <w:gridCol w:w="5348"/>
      </w:tblGrid>
      <w:tr w14:paraId="7512FEE9">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E88F90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7E7B9D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534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1FA8346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说明</w:t>
            </w:r>
          </w:p>
        </w:tc>
      </w:tr>
      <w:tr w14:paraId="07F44122">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AA04D8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介质/时段</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555DE0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534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2AF337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电-尖/峰/平/谷；水/蒸汽/天然气按计量周期</w:t>
            </w:r>
          </w:p>
        </w:tc>
      </w:tr>
      <w:tr w14:paraId="3AEFCCD3">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9D338F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单价</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D35D1E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534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ACB0C7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元/kWh、元/m³、元/t</w:t>
            </w:r>
          </w:p>
        </w:tc>
      </w:tr>
      <w:tr w14:paraId="661587D0">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CF78D1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计费方式</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5DD285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534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C7BEAC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基本电费按容量或最大需量</w:t>
            </w:r>
          </w:p>
        </w:tc>
      </w:tr>
      <w:tr w14:paraId="311D87DC">
        <w:tblPrEx>
          <w:tblCellMar>
            <w:top w:w="0" w:type="dxa"/>
            <w:left w:w="108" w:type="dxa"/>
            <w:bottom w:w="0" w:type="dxa"/>
            <w:right w:w="108" w:type="dxa"/>
          </w:tblCellMar>
        </w:tblPrEx>
        <w:trPr>
          <w:jc w:val="center"/>
        </w:trPr>
        <w:tc>
          <w:tcPr>
            <w:tcW w:w="208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9F7032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生效起止/版本号</w:t>
            </w:r>
          </w:p>
        </w:tc>
        <w:tc>
          <w:tcPr>
            <w:tcW w:w="234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6CFAE9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DateTime / String</w:t>
            </w:r>
          </w:p>
        </w:tc>
        <w:tc>
          <w:tcPr>
            <w:tcW w:w="534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3E61B0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版本化维护，历史版本可查、变更留痕</w:t>
            </w:r>
          </w:p>
        </w:tc>
      </w:tr>
    </w:tbl>
    <w:p w14:paraId="0158EA09">
      <w:pPr>
        <w:spacing w:after="60"/>
        <w:rPr>
          <w:rFonts w:hint="eastAsia" w:ascii="宋体" w:hAnsi="宋体" w:eastAsia="宋体" w:cs="宋体"/>
          <w:i w:val="0"/>
          <w:iCs w:val="0"/>
          <w:sz w:val="24"/>
          <w:szCs w:val="24"/>
        </w:rPr>
      </w:pPr>
    </w:p>
    <w:p w14:paraId="19E1EE1D">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折标系数管理 · 字段字典：</w:t>
      </w:r>
    </w:p>
    <w:tbl>
      <w:tblPr>
        <w:tblStyle w:val="38"/>
        <w:tblW w:w="9784" w:type="dxa"/>
        <w:jc w:val="center"/>
        <w:tblLayout w:type="autofit"/>
        <w:tblCellMar>
          <w:top w:w="0" w:type="dxa"/>
          <w:left w:w="108" w:type="dxa"/>
          <w:bottom w:w="0" w:type="dxa"/>
          <w:right w:w="108" w:type="dxa"/>
        </w:tblCellMar>
      </w:tblPr>
      <w:tblGrid>
        <w:gridCol w:w="1636"/>
        <w:gridCol w:w="1399"/>
        <w:gridCol w:w="6749"/>
      </w:tblGrid>
      <w:tr w14:paraId="2B0A3524">
        <w:tblPrEx>
          <w:tblCellMar>
            <w:top w:w="0" w:type="dxa"/>
            <w:left w:w="108" w:type="dxa"/>
            <w:bottom w:w="0" w:type="dxa"/>
            <w:right w:w="108" w:type="dxa"/>
          </w:tblCellMar>
        </w:tblPrEx>
        <w:trPr>
          <w:tblHeader/>
          <w:jc w:val="center"/>
        </w:trPr>
        <w:tc>
          <w:tcPr>
            <w:tcW w:w="163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17EA78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w:t>
            </w:r>
          </w:p>
        </w:tc>
        <w:tc>
          <w:tcPr>
            <w:tcW w:w="139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ECFFA5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674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D9748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说明</w:t>
            </w:r>
          </w:p>
        </w:tc>
      </w:tr>
      <w:tr w14:paraId="13052153">
        <w:tblPrEx>
          <w:tblCellMar>
            <w:top w:w="0" w:type="dxa"/>
            <w:left w:w="108" w:type="dxa"/>
            <w:bottom w:w="0" w:type="dxa"/>
            <w:right w:w="108" w:type="dxa"/>
          </w:tblCellMar>
        </w:tblPrEx>
        <w:trPr>
          <w:jc w:val="center"/>
        </w:trPr>
        <w:tc>
          <w:tcPr>
            <w:tcW w:w="16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153B15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介质</w:t>
            </w:r>
          </w:p>
        </w:tc>
        <w:tc>
          <w:tcPr>
            <w:tcW w:w="13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35AB7B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674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8DB173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电/水/蒸汽/天然气/油等</w:t>
            </w:r>
          </w:p>
        </w:tc>
      </w:tr>
      <w:tr w14:paraId="154A1369">
        <w:tblPrEx>
          <w:tblCellMar>
            <w:top w:w="0" w:type="dxa"/>
            <w:left w:w="108" w:type="dxa"/>
            <w:bottom w:w="0" w:type="dxa"/>
            <w:right w:w="108" w:type="dxa"/>
          </w:tblCellMar>
        </w:tblPrEx>
        <w:trPr>
          <w:jc w:val="center"/>
        </w:trPr>
        <w:tc>
          <w:tcPr>
            <w:tcW w:w="16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6DEE86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当量 / 等价系数</w:t>
            </w:r>
          </w:p>
        </w:tc>
        <w:tc>
          <w:tcPr>
            <w:tcW w:w="13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0F7351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674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360C5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引用 GB/T 2589 等国家标准</w:t>
            </w:r>
          </w:p>
        </w:tc>
      </w:tr>
      <w:tr w14:paraId="733DACCA">
        <w:tblPrEx>
          <w:tblCellMar>
            <w:top w:w="0" w:type="dxa"/>
            <w:left w:w="108" w:type="dxa"/>
            <w:bottom w:w="0" w:type="dxa"/>
            <w:right w:w="108" w:type="dxa"/>
          </w:tblCellMar>
        </w:tblPrEx>
        <w:trPr>
          <w:jc w:val="center"/>
        </w:trPr>
        <w:tc>
          <w:tcPr>
            <w:tcW w:w="16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62C737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版本与审计</w:t>
            </w:r>
          </w:p>
        </w:tc>
        <w:tc>
          <w:tcPr>
            <w:tcW w:w="13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7368CF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674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B806B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版本化维护，记录修改人、时间、依据标准；系数变更对历史核算的影响策略固定为「生效时间切片锁定（严格生效日机制）」或「追溯补差调整（财务调账机制）」二选一，且为必填项</w:t>
            </w:r>
          </w:p>
        </w:tc>
      </w:tr>
    </w:tbl>
    <w:p w14:paraId="7800194E">
      <w:pPr>
        <w:spacing w:after="60"/>
        <w:rPr>
          <w:rFonts w:hint="eastAsia" w:ascii="宋体" w:hAnsi="宋体" w:eastAsia="宋体" w:cs="宋体"/>
          <w:i w:val="0"/>
          <w:iCs w:val="0"/>
          <w:sz w:val="24"/>
          <w:szCs w:val="24"/>
        </w:rPr>
      </w:pPr>
    </w:p>
    <w:p w14:paraId="7479CF57">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审批流</w:t>
      </w:r>
      <w:r>
        <w:rPr>
          <w:rFonts w:ascii="Times New Roman" w:hAnsi="Times New Roman" w:eastAsia="宋体" w:cs="Times New Roman"/>
          <w:i w:val="0"/>
          <w:color w:val="1F2937"/>
          <w:sz w:val="24"/>
          <w:szCs w:val="24"/>
        </w:rPr>
        <w:t>：能源价格与折标系数的新增 / 变更 / 废止须由 P2 园区能碳专员提交、PM 审批后生效；审批流程归属第八章统一工作流引擎，审批未通过的版本保持「待审」状态且不可被核算引擎引用。</w:t>
      </w:r>
    </w:p>
    <w:p w14:paraId="350D3184">
      <w:pPr>
        <w:pStyle w:val="6"/>
        <w:numPr>
          <w:ilvl w:val="0"/>
          <w:numId w:val="13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93"/>
        <w:gridCol w:w="1854"/>
        <w:gridCol w:w="1777"/>
        <w:gridCol w:w="1861"/>
        <w:gridCol w:w="3399"/>
      </w:tblGrid>
      <w:tr w14:paraId="23621001">
        <w:tblPrEx>
          <w:tblCellMar>
            <w:top w:w="0" w:type="dxa"/>
            <w:left w:w="108" w:type="dxa"/>
            <w:bottom w:w="0" w:type="dxa"/>
            <w:right w:w="108" w:type="dxa"/>
          </w:tblCellMar>
        </w:tblPrEx>
        <w:trPr>
          <w:tblHeader/>
          <w:jc w:val="center"/>
        </w:trPr>
        <w:tc>
          <w:tcPr>
            <w:tcW w:w="89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3D17BA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185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A8D72F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77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22BE29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186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107777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339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5CA50B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586B248D">
        <w:tblPrEx>
          <w:tblCellMar>
            <w:top w:w="0" w:type="dxa"/>
            <w:left w:w="108" w:type="dxa"/>
            <w:bottom w:w="0" w:type="dxa"/>
            <w:right w:w="108" w:type="dxa"/>
          </w:tblCellMar>
        </w:tblPrEx>
        <w:trPr>
          <w:jc w:val="center"/>
        </w:trPr>
        <w:tc>
          <w:tcPr>
            <w:tcW w:w="89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3DFBEE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185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1014FD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参数类型</w:t>
            </w:r>
          </w:p>
        </w:tc>
        <w:tc>
          <w:tcPr>
            <w:tcW w:w="177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E8B41E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86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91FCE9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972CF0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能源价格 / 折标系数</w:t>
            </w:r>
          </w:p>
        </w:tc>
      </w:tr>
      <w:tr w14:paraId="132C0275">
        <w:tblPrEx>
          <w:tblCellMar>
            <w:top w:w="0" w:type="dxa"/>
            <w:left w:w="108" w:type="dxa"/>
            <w:bottom w:w="0" w:type="dxa"/>
            <w:right w:w="108" w:type="dxa"/>
          </w:tblCellMar>
        </w:tblPrEx>
        <w:trPr>
          <w:jc w:val="center"/>
        </w:trPr>
        <w:tc>
          <w:tcPr>
            <w:tcW w:w="89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3F4E6E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185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140492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介质或时段</w:t>
            </w:r>
          </w:p>
        </w:tc>
        <w:tc>
          <w:tcPr>
            <w:tcW w:w="177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C9DCA2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86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D40E32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FCCED3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电-尖/峰/平/谷；水/蒸汽/天然气/油</w:t>
            </w:r>
          </w:p>
        </w:tc>
      </w:tr>
      <w:tr w14:paraId="725441F5">
        <w:tblPrEx>
          <w:tblCellMar>
            <w:top w:w="0" w:type="dxa"/>
            <w:left w:w="108" w:type="dxa"/>
            <w:bottom w:w="0" w:type="dxa"/>
            <w:right w:w="108" w:type="dxa"/>
          </w:tblCellMar>
        </w:tblPrEx>
        <w:trPr>
          <w:jc w:val="center"/>
        </w:trPr>
        <w:tc>
          <w:tcPr>
            <w:tcW w:w="89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D0156E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185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831DB3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参数数值</w:t>
            </w:r>
          </w:p>
        </w:tc>
        <w:tc>
          <w:tcPr>
            <w:tcW w:w="177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F8281B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86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6D0544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元/kWh、tce/单位 等</w:t>
            </w:r>
          </w:p>
        </w:tc>
        <w:tc>
          <w:tcPr>
            <w:tcW w:w="33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9829C7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&gt; 0，不允许录入负数或零</w:t>
            </w:r>
          </w:p>
        </w:tc>
      </w:tr>
      <w:tr w14:paraId="47122FCC">
        <w:tblPrEx>
          <w:tblCellMar>
            <w:top w:w="0" w:type="dxa"/>
            <w:left w:w="108" w:type="dxa"/>
            <w:bottom w:w="0" w:type="dxa"/>
            <w:right w:w="108" w:type="dxa"/>
          </w:tblCellMar>
        </w:tblPrEx>
        <w:trPr>
          <w:jc w:val="center"/>
        </w:trPr>
        <w:tc>
          <w:tcPr>
            <w:tcW w:w="89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90D9F6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185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05DFFD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版本号</w:t>
            </w:r>
          </w:p>
        </w:tc>
        <w:tc>
          <w:tcPr>
            <w:tcW w:w="177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67E21D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86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AD1EA5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C88F17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唯一，格式 </w:t>
            </w:r>
            <w:r>
              <w:rPr>
                <w:rFonts w:hint="eastAsia" w:ascii="宋体" w:hAnsi="宋体" w:eastAsia="宋体" w:cs="宋体"/>
                <w:b w:val="0"/>
                <w:i w:val="0"/>
                <w:iCs w:val="0"/>
                <w:color w:val="0284C7"/>
                <w:sz w:val="24"/>
                <w:szCs w:val="24"/>
              </w:rPr>
              <w:t xml:space="preserve"> v&lt;年&gt;.&lt;序号&gt; </w:t>
            </w:r>
          </w:p>
        </w:tc>
      </w:tr>
      <w:tr w14:paraId="27F41620">
        <w:tblPrEx>
          <w:tblCellMar>
            <w:top w:w="0" w:type="dxa"/>
            <w:left w:w="108" w:type="dxa"/>
            <w:bottom w:w="0" w:type="dxa"/>
            <w:right w:w="108" w:type="dxa"/>
          </w:tblCellMar>
        </w:tblPrEx>
        <w:trPr>
          <w:jc w:val="center"/>
        </w:trPr>
        <w:tc>
          <w:tcPr>
            <w:tcW w:w="89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1ACD10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185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A39CB1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生效开始日期</w:t>
            </w:r>
          </w:p>
        </w:tc>
        <w:tc>
          <w:tcPr>
            <w:tcW w:w="177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28F599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Date</w:t>
            </w:r>
          </w:p>
        </w:tc>
        <w:tc>
          <w:tcPr>
            <w:tcW w:w="186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2FBC5E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YYYY-MM-DD</w:t>
            </w:r>
          </w:p>
        </w:tc>
        <w:tc>
          <w:tcPr>
            <w:tcW w:w="33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B5DDCA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新版本不得与在效版本区间重叠</w:t>
            </w:r>
          </w:p>
        </w:tc>
      </w:tr>
      <w:tr w14:paraId="561B831C">
        <w:tblPrEx>
          <w:tblCellMar>
            <w:top w:w="0" w:type="dxa"/>
            <w:left w:w="108" w:type="dxa"/>
            <w:bottom w:w="0" w:type="dxa"/>
            <w:right w:w="108" w:type="dxa"/>
          </w:tblCellMar>
        </w:tblPrEx>
        <w:trPr>
          <w:jc w:val="center"/>
        </w:trPr>
        <w:tc>
          <w:tcPr>
            <w:tcW w:w="89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9AE9E0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185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70DBBF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生效结束日期</w:t>
            </w:r>
          </w:p>
        </w:tc>
        <w:tc>
          <w:tcPr>
            <w:tcW w:w="177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9189BE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Date</w:t>
            </w:r>
          </w:p>
        </w:tc>
        <w:tc>
          <w:tcPr>
            <w:tcW w:w="186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373C27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YYYY-MM-DD</w:t>
            </w:r>
          </w:p>
        </w:tc>
        <w:tc>
          <w:tcPr>
            <w:tcW w:w="33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3D9E80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晚于生效开始日期</w:t>
            </w:r>
          </w:p>
        </w:tc>
      </w:tr>
      <w:tr w14:paraId="67E4B2D4">
        <w:tblPrEx>
          <w:tblCellMar>
            <w:top w:w="0" w:type="dxa"/>
            <w:left w:w="108" w:type="dxa"/>
            <w:bottom w:w="0" w:type="dxa"/>
            <w:right w:w="108" w:type="dxa"/>
          </w:tblCellMar>
        </w:tblPrEx>
        <w:trPr>
          <w:jc w:val="center"/>
        </w:trPr>
        <w:tc>
          <w:tcPr>
            <w:tcW w:w="89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8CBCC0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185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3841DF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依据标准</w:t>
            </w:r>
          </w:p>
        </w:tc>
        <w:tc>
          <w:tcPr>
            <w:tcW w:w="177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623075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86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43BD17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A9E3CD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折标系数须引用 GB/T 2589 等国家标准</w:t>
            </w:r>
          </w:p>
        </w:tc>
      </w:tr>
      <w:tr w14:paraId="29FC6E28">
        <w:tblPrEx>
          <w:tblCellMar>
            <w:top w:w="0" w:type="dxa"/>
            <w:left w:w="108" w:type="dxa"/>
            <w:bottom w:w="0" w:type="dxa"/>
            <w:right w:w="108" w:type="dxa"/>
          </w:tblCellMar>
        </w:tblPrEx>
        <w:trPr>
          <w:jc w:val="center"/>
        </w:trPr>
        <w:tc>
          <w:tcPr>
            <w:tcW w:w="89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FE2701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185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4AE2E0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变更影响策略</w:t>
            </w:r>
          </w:p>
        </w:tc>
        <w:tc>
          <w:tcPr>
            <w:tcW w:w="177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2939DA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86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E23A8D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A1F8B7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生效时间切片锁定（严格生效日）/ 追溯补差调整（财务调账），二选一必填</w:t>
            </w:r>
          </w:p>
        </w:tc>
      </w:tr>
      <w:tr w14:paraId="52F12434">
        <w:tblPrEx>
          <w:tblCellMar>
            <w:top w:w="0" w:type="dxa"/>
            <w:left w:w="108" w:type="dxa"/>
            <w:bottom w:w="0" w:type="dxa"/>
            <w:right w:w="108" w:type="dxa"/>
          </w:tblCellMar>
        </w:tblPrEx>
        <w:trPr>
          <w:jc w:val="center"/>
        </w:trPr>
        <w:tc>
          <w:tcPr>
            <w:tcW w:w="89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F17192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185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91145C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修改人 / 修改时间</w:t>
            </w:r>
          </w:p>
        </w:tc>
        <w:tc>
          <w:tcPr>
            <w:tcW w:w="177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B1E96F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 / DateTime</w:t>
            </w:r>
          </w:p>
        </w:tc>
        <w:tc>
          <w:tcPr>
            <w:tcW w:w="186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01D80F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AFA008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系统自动记录，不可修改</w:t>
            </w:r>
          </w:p>
        </w:tc>
      </w:tr>
      <w:tr w14:paraId="11960162">
        <w:tblPrEx>
          <w:tblCellMar>
            <w:top w:w="0" w:type="dxa"/>
            <w:left w:w="108" w:type="dxa"/>
            <w:bottom w:w="0" w:type="dxa"/>
            <w:right w:w="108" w:type="dxa"/>
          </w:tblCellMar>
        </w:tblPrEx>
        <w:trPr>
          <w:jc w:val="center"/>
        </w:trPr>
        <w:tc>
          <w:tcPr>
            <w:tcW w:w="89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7E36D4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185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F6C7F2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审批状态</w:t>
            </w:r>
          </w:p>
        </w:tc>
        <w:tc>
          <w:tcPr>
            <w:tcW w:w="177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CB2B86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86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644540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D03234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草稿 / 待审 / 生效中 / 已废止</w:t>
            </w:r>
          </w:p>
        </w:tc>
      </w:tr>
    </w:tbl>
    <w:p w14:paraId="36B43110">
      <w:pPr>
        <w:spacing w:after="60"/>
        <w:rPr>
          <w:rFonts w:hint="eastAsia" w:ascii="宋体" w:hAnsi="宋体" w:eastAsia="宋体" w:cs="宋体"/>
          <w:i w:val="0"/>
          <w:iCs w:val="0"/>
          <w:sz w:val="24"/>
          <w:szCs w:val="24"/>
        </w:rPr>
      </w:pPr>
    </w:p>
    <w:p w14:paraId="5261C4C6">
      <w:pPr>
        <w:pStyle w:val="6"/>
        <w:numPr>
          <w:ilvl w:val="0"/>
          <w:numId w:val="13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01EC368B">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52D67C37">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Cost = Q × P_version( t )                          按业务发生时间匹配对应生效版本单价</w:t>
            </w:r>
          </w:p>
          <w:p w14:paraId="374F2D7C">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E_tce = Q_media × k_version( t )                          按介质匹配对应生效版本折标系数</w:t>
            </w:r>
          </w:p>
          <w:p w14:paraId="48FF8DDB">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Guard: [ from_new , to_new ] ∩ [ from_old , to_old ] = ∅                          生效区间不可重叠</w:t>
            </w:r>
          </w:p>
          <w:p w14:paraId="709D7030">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Strategy = 切片锁定 ? Lock_by_Effective_Date : Adjust_in_Current_Period                          变更影响机制二选一</w:t>
            </w:r>
          </w:p>
        </w:tc>
      </w:tr>
    </w:tbl>
    <w:p w14:paraId="01549E29">
      <w:pPr>
        <w:spacing w:after="40"/>
        <w:rPr>
          <w:rFonts w:hint="eastAsia" w:ascii="宋体" w:hAnsi="宋体" w:eastAsia="宋体" w:cs="宋体"/>
          <w:i w:val="0"/>
          <w:iCs w:val="0"/>
          <w:sz w:val="24"/>
          <w:szCs w:val="24"/>
        </w:rPr>
      </w:pPr>
    </w:p>
    <w:p w14:paraId="1FEE8399">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w:t>
      </w:r>
      <w:r>
        <w:rPr>
          <w:rFonts w:ascii="Times New Roman" w:hAnsi="Times New Roman" w:eastAsia="宋体" w:cs="Times New Roman"/>
          <w:b/>
          <w:i w:val="0"/>
          <w:color w:val="1E3A8A"/>
          <w:sz w:val="24"/>
          <w:szCs w:val="24"/>
        </w:rPr>
        <w:t>P_version(t)</w:t>
      </w:r>
      <w:r>
        <w:rPr>
          <w:rFonts w:ascii="Times New Roman" w:hAnsi="Times New Roman" w:eastAsia="宋体" w:cs="Times New Roman"/>
          <w:i w:val="0"/>
          <w:color w:val="1F2937"/>
          <w:sz w:val="24"/>
          <w:szCs w:val="24"/>
        </w:rPr>
        <w:t xml:space="preserve">  与  </w:t>
      </w:r>
      <w:r>
        <w:rPr>
          <w:rFonts w:ascii="Times New Roman" w:hAnsi="Times New Roman" w:eastAsia="宋体" w:cs="Times New Roman"/>
          <w:b/>
          <w:i w:val="0"/>
          <w:color w:val="1E3A8A"/>
          <w:sz w:val="24"/>
          <w:szCs w:val="24"/>
        </w:rPr>
        <w:t>k_version(t)</w:t>
      </w:r>
      <w:r>
        <w:rPr>
          <w:rFonts w:ascii="Times New Roman" w:hAnsi="Times New Roman" w:eastAsia="宋体" w:cs="Times New Roman"/>
          <w:i w:val="0"/>
          <w:color w:val="1F2937"/>
          <w:sz w:val="24"/>
          <w:szCs w:val="24"/>
        </w:rPr>
        <w:t xml:space="preserve">  为按业务发生时间匹配的版本化参数；版本生效区间严格有序且不可重叠。变更影响策略为必填项，仅允许以下两种受控机制之一：① </w:t>
      </w:r>
      <w:r>
        <w:rPr>
          <w:rFonts w:ascii="Times New Roman" w:hAnsi="Times New Roman" w:eastAsia="宋体" w:cs="Times New Roman"/>
          <w:b/>
          <w:i w:val="0"/>
          <w:color w:val="1E3A8A"/>
          <w:sz w:val="24"/>
          <w:szCs w:val="24"/>
        </w:rPr>
        <w:t>生效时间切片锁定（严格生效日机制）</w:t>
      </w:r>
      <w:r>
        <w:rPr>
          <w:rFonts w:ascii="Times New Roman" w:hAnsi="Times New Roman" w:eastAsia="宋体" w:cs="Times New Roman"/>
          <w:i w:val="0"/>
          <w:color w:val="1F2937"/>
          <w:sz w:val="24"/>
          <w:szCs w:val="24"/>
        </w:rPr>
        <w:t xml:space="preserve">——历史月份核算强绑定业务发生当时生效的价格 / 因子版本，已锁账月份严禁被新配置参数追溯重算；② </w:t>
      </w:r>
      <w:r>
        <w:rPr>
          <w:rFonts w:ascii="Times New Roman" w:hAnsi="Times New Roman" w:eastAsia="宋体" w:cs="Times New Roman"/>
          <w:b/>
          <w:i w:val="0"/>
          <w:color w:val="1E3A8A"/>
          <w:sz w:val="24"/>
          <w:szCs w:val="24"/>
        </w:rPr>
        <w:t>追溯补差调整（财务调账机制）</w:t>
      </w:r>
      <w:r>
        <w:rPr>
          <w:rFonts w:ascii="Times New Roman" w:hAnsi="Times New Roman" w:eastAsia="宋体" w:cs="Times New Roman"/>
          <w:i w:val="0"/>
          <w:color w:val="1F2937"/>
          <w:sz w:val="24"/>
          <w:szCs w:val="24"/>
        </w:rPr>
        <w:t>——电网政策发生追溯性退补电费时，统一在当期新增「电费跨期调整项」计入当期损益，严禁倒改历史报表月份。</w:t>
      </w:r>
    </w:p>
    <w:p w14:paraId="4709B6A3">
      <w:pPr>
        <w:pStyle w:val="6"/>
        <w:numPr>
          <w:ilvl w:val="0"/>
          <w:numId w:val="13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2147DE67">
      <w:pPr>
        <w:pStyle w:val="19"/>
        <w:widowControl/>
        <w:numPr>
          <w:ilvl w:val="0"/>
          <w:numId w:val="13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版本口径</w:t>
      </w:r>
      <w:r>
        <w:rPr>
          <w:rFonts w:ascii="Times New Roman" w:hAnsi="Times New Roman" w:eastAsia="宋体" w:cs="Times New Roman"/>
          <w:i w:val="0"/>
          <w:color w:val="1F2937"/>
          <w:sz w:val="24"/>
          <w:szCs w:val="24"/>
        </w:rPr>
        <w:t>：任何计算均按业务发生时间匹配当时生效版本，严禁使用"当前版本"倒推历史。</w:t>
      </w:r>
    </w:p>
    <w:p w14:paraId="529E317F">
      <w:pPr>
        <w:pStyle w:val="19"/>
        <w:widowControl/>
        <w:numPr>
          <w:ilvl w:val="0"/>
          <w:numId w:val="13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审计口径</w:t>
      </w:r>
      <w:r>
        <w:rPr>
          <w:rFonts w:ascii="Times New Roman" w:hAnsi="Times New Roman" w:eastAsia="宋体" w:cs="Times New Roman"/>
          <w:i w:val="0"/>
          <w:color w:val="1F2937"/>
          <w:sz w:val="24"/>
          <w:szCs w:val="24"/>
        </w:rPr>
        <w:t>：新增/变更/废止全程留痕（修改人、时间、依据标准）。</w:t>
      </w:r>
    </w:p>
    <w:p w14:paraId="355E414B">
      <w:pPr>
        <w:pStyle w:val="19"/>
        <w:widowControl/>
        <w:numPr>
          <w:ilvl w:val="0"/>
          <w:numId w:val="13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影响口径</w:t>
      </w:r>
      <w:r>
        <w:rPr>
          <w:rFonts w:ascii="Times New Roman" w:hAnsi="Times New Roman" w:eastAsia="宋体" w:cs="Times New Roman"/>
          <w:i w:val="0"/>
          <w:color w:val="1F2937"/>
          <w:sz w:val="24"/>
          <w:szCs w:val="24"/>
        </w:rPr>
        <w:t>：系数变更须显式选择「生效时间切片锁定」或「追溯补差调整」，不得默认；选择追溯补差调整的，仅在当期生成「电费跨期调整项」，不倒改历史报表。</w:t>
      </w:r>
    </w:p>
    <w:p w14:paraId="71BB94C6">
      <w:pPr>
        <w:pStyle w:val="19"/>
        <w:widowControl/>
        <w:numPr>
          <w:ilvl w:val="0"/>
          <w:numId w:val="13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审批口径</w:t>
      </w:r>
      <w:r>
        <w:rPr>
          <w:rFonts w:ascii="Times New Roman" w:hAnsi="Times New Roman" w:eastAsia="宋体" w:cs="Times New Roman"/>
          <w:i w:val="0"/>
          <w:color w:val="1F2937"/>
          <w:sz w:val="24"/>
          <w:szCs w:val="24"/>
        </w:rPr>
        <w:t>：未经审核的参数不得生效。</w:t>
      </w:r>
    </w:p>
    <w:p w14:paraId="21A1983F">
      <w:pPr>
        <w:pStyle w:val="6"/>
        <w:numPr>
          <w:ilvl w:val="0"/>
          <w:numId w:val="13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344DEC60">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3179CE85">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新版本生效区间与在效版本重叠：前端即时拦截并阻断保存。</w:t>
            </w:r>
          </w:p>
          <w:p w14:paraId="2AE9A4CD">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参数数值为 0 或负数：触发 </w:t>
            </w:r>
            <w:r>
              <w:rPr>
                <w:rFonts w:hint="eastAsia" w:ascii="宋体" w:hAnsi="宋体" w:eastAsia="宋体" w:cs="宋体"/>
                <w:b w:val="0"/>
                <w:i w:val="0"/>
                <w:iCs w:val="0"/>
                <w:color w:val="0284C7"/>
                <w:sz w:val="24"/>
                <w:szCs w:val="24"/>
              </w:rPr>
              <w:t xml:space="preserve"> E_VAL_ENERGY_NEGATIVE </w:t>
            </w:r>
            <w:r>
              <w:rPr>
                <w:rFonts w:hint="eastAsia" w:ascii="宋体" w:hAnsi="宋体" w:eastAsia="宋体" w:cs="宋体"/>
                <w:i w:val="0"/>
                <w:iCs w:val="0"/>
                <w:color w:val="1F2937"/>
                <w:sz w:val="24"/>
                <w:szCs w:val="24"/>
              </w:rPr>
              <w:t xml:space="preserve"> 类校验拦截。</w:t>
            </w:r>
          </w:p>
          <w:p w14:paraId="2B481261">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变更影响策略未选择：保存按钮置灰。</w:t>
            </w:r>
          </w:p>
          <w:p w14:paraId="531C42C8">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未审批参数被引用：核算引擎忽略该版本并触发 </w:t>
            </w:r>
            <w:r>
              <w:rPr>
                <w:rFonts w:hint="eastAsia" w:ascii="宋体" w:hAnsi="宋体" w:eastAsia="宋体" w:cs="宋体"/>
                <w:b w:val="0"/>
                <w:i w:val="0"/>
                <w:iCs w:val="0"/>
                <w:color w:val="0284C7"/>
                <w:sz w:val="24"/>
                <w:szCs w:val="24"/>
              </w:rPr>
              <w:t xml:space="preserve"> E_VAL_FACTOR_EXPIRED </w:t>
            </w:r>
            <w:r>
              <w:rPr>
                <w:rFonts w:hint="eastAsia" w:ascii="宋体" w:hAnsi="宋体" w:eastAsia="宋体" w:cs="宋体"/>
                <w:i w:val="0"/>
                <w:iCs w:val="0"/>
                <w:color w:val="1F2937"/>
                <w:sz w:val="24"/>
                <w:szCs w:val="24"/>
              </w:rPr>
              <w:t xml:space="preserve"> 类告警。</w:t>
            </w:r>
          </w:p>
        </w:tc>
      </w:tr>
    </w:tbl>
    <w:p w14:paraId="17E27AA4">
      <w:pPr>
        <w:spacing w:after="40"/>
        <w:rPr>
          <w:rFonts w:hint="eastAsia" w:ascii="宋体" w:hAnsi="宋体" w:eastAsia="宋体" w:cs="宋体"/>
          <w:i w:val="0"/>
          <w:iCs w:val="0"/>
          <w:sz w:val="24"/>
          <w:szCs w:val="24"/>
        </w:rPr>
      </w:pPr>
    </w:p>
    <w:p w14:paraId="240E0AA7">
      <w:pPr>
        <w:pStyle w:val="6"/>
        <w:numPr>
          <w:ilvl w:val="0"/>
          <w:numId w:val="130"/>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1C05D3D4">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5F9C8FA5">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生效区间不可重叠</w:t>
            </w:r>
          </w:p>
          <w:p w14:paraId="28B739C5">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Given 某介质折标系数已存在生效区间为 2026-01-01 至 2026-06-30 的版本</w:t>
            </w:r>
          </w:p>
          <w:p w14:paraId="1F029C8A">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When 维护人员新增一个生效开始日期落在该区间内的新版本</w:t>
            </w:r>
          </w:p>
          <w:p w14:paraId="63C142C1">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Then 前端即时拦截并阻断保存</w:t>
            </w:r>
          </w:p>
          <w:p w14:paraId="20C727EB">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And 页面提示生效区间不可重叠</w:t>
            </w:r>
          </w:p>
          <w:p w14:paraId="686F9667">
            <w:pPr>
              <w:spacing w:before="0" w:after="20" w:line="264" w:lineRule="auto"/>
              <w:rPr>
                <w:rFonts w:hint="eastAsia" w:ascii="宋体" w:hAnsi="宋体" w:eastAsia="宋体" w:cs="宋体"/>
                <w:i w:val="0"/>
                <w:iCs w:val="0"/>
                <w:sz w:val="24"/>
                <w:szCs w:val="24"/>
              </w:rPr>
            </w:pPr>
          </w:p>
          <w:p w14:paraId="148E3DD2">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已锁账月份不被新参数追溯重算</w:t>
            </w:r>
          </w:p>
          <w:p w14:paraId="1EADD68B">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Given 2026 年 3 月的成本报表已按当时生效的电价版本生成并完成锁账</w:t>
            </w:r>
          </w:p>
          <w:p w14:paraId="36D1AF11">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When 维护人员新增一个 2026-07-01 起生效的新电价版本</w:t>
            </w:r>
          </w:p>
          <w:p w14:paraId="6B7C0B09">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Then 2026 年 3 月的报表数值保持不变</w:t>
            </w:r>
          </w:p>
          <w:p w14:paraId="7E5210BD">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And 系统按业务发生时间匹配当时生效版本，不使用当前版本倒推历史</w:t>
            </w:r>
          </w:p>
          <w:p w14:paraId="73F6B517">
            <w:pPr>
              <w:spacing w:before="0" w:after="20" w:line="264" w:lineRule="auto"/>
              <w:rPr>
                <w:rFonts w:hint="eastAsia" w:ascii="宋体" w:hAnsi="宋体" w:eastAsia="宋体" w:cs="宋体"/>
                <w:i w:val="0"/>
                <w:iCs w:val="0"/>
                <w:sz w:val="24"/>
                <w:szCs w:val="24"/>
              </w:rPr>
            </w:pPr>
          </w:p>
          <w:p w14:paraId="678E311B">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变更影响策略必选</w:t>
            </w:r>
          </w:p>
          <w:p w14:paraId="48DF16ED">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Given 维护人员修改某折标系数数值</w:t>
            </w:r>
          </w:p>
          <w:p w14:paraId="1DB2120B">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When 未选择变更影响策略即点击保存</w:t>
            </w:r>
          </w:p>
          <w:p w14:paraId="1ECC9567">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Then 保存按钮保持置灰不可点击</w:t>
            </w:r>
          </w:p>
          <w:p w14:paraId="6A4A7A4C">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And 页面强制要求在"生效时间切片锁定"与"追溯补差调整"之间做出选择</w:t>
            </w:r>
          </w:p>
          <w:p w14:paraId="784F7826">
            <w:pPr>
              <w:spacing w:before="0" w:after="20" w:line="264" w:lineRule="auto"/>
              <w:rPr>
                <w:rFonts w:hint="eastAsia" w:ascii="宋体" w:hAnsi="宋体" w:eastAsia="宋体" w:cs="宋体"/>
                <w:i w:val="0"/>
                <w:iCs w:val="0"/>
                <w:sz w:val="24"/>
                <w:szCs w:val="24"/>
              </w:rPr>
            </w:pPr>
          </w:p>
          <w:p w14:paraId="228FBAB7">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追溯性退补电费在当期调账</w:t>
            </w:r>
          </w:p>
          <w:p w14:paraId="2946A165">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Given 电网出具追溯性退补电费通知且涉及已锁账的 2026 年 5 月</w:t>
            </w:r>
          </w:p>
          <w:p w14:paraId="48C19771">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When 财务发起跨期价差调整</w:t>
            </w:r>
          </w:p>
          <w:p w14:paraId="675C594D">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Then 系统在调整当期新增一条"电费跨期调整项"</w:t>
            </w:r>
          </w:p>
          <w:p w14:paraId="0B8CF005">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And 2026 年 5 月历史报表数值保持不变</w:t>
            </w:r>
          </w:p>
        </w:tc>
      </w:tr>
    </w:tbl>
    <w:p w14:paraId="1258A30B">
      <w:pPr>
        <w:spacing w:after="40"/>
        <w:rPr>
          <w:rFonts w:hint="eastAsia" w:ascii="宋体" w:hAnsi="宋体" w:eastAsia="宋体" w:cs="宋体"/>
          <w:i w:val="0"/>
          <w:iCs w:val="0"/>
          <w:sz w:val="24"/>
          <w:szCs w:val="24"/>
        </w:rPr>
      </w:pPr>
    </w:p>
    <w:p w14:paraId="0FDFA90F">
      <w:pPr>
        <w:rPr>
          <w:rFonts w:hint="eastAsia" w:ascii="宋体" w:hAnsi="宋体" w:eastAsia="宋体" w:cs="宋体"/>
          <w:i w:val="0"/>
          <w:iCs w:val="0"/>
          <w:sz w:val="24"/>
          <w:szCs w:val="24"/>
        </w:rPr>
      </w:pPr>
      <w:r>
        <w:rPr>
          <w:rFonts w:hint="eastAsia" w:ascii="宋体" w:hAnsi="宋体" w:eastAsia="宋体" w:cs="宋体"/>
          <w:i w:val="0"/>
          <w:iCs w:val="0"/>
          <w:sz w:val="24"/>
          <w:szCs w:val="24"/>
        </w:rPr>
        <w:br w:type="page"/>
      </w:r>
    </w:p>
    <w:p w14:paraId="23915943">
      <w:pPr>
        <w:pStyle w:val="3"/>
        <w:numPr>
          <w:ilvl w:val="0"/>
          <w:numId w:val="7"/>
        </w:numPr>
        <w:ind w:left="0" w:leftChars="0" w:firstLine="0" w:firstLineChars="0"/>
        <w:rPr>
          <w:rFonts w:eastAsia="黑体"/>
          <w:b w:val="0"/>
          <w:bCs w:val="0"/>
          <w:sz w:val="32"/>
          <w:szCs w:val="44"/>
        </w:rPr>
      </w:pPr>
      <w:bookmarkStart w:id="39" w:name="_Toc6112"/>
      <w:r>
        <w:rPr>
          <w:rFonts w:ascii="Times New Roman" w:hAnsi="Times New Roman" w:eastAsia="黑体" w:cs="Times New Roman"/>
          <w:b w:val="0"/>
          <w:bCs w:val="0"/>
          <w:sz w:val="32"/>
          <w:szCs w:val="44"/>
        </w:rPr>
        <w:t>产品碳足迹集采中心功能需求规格</w:t>
      </w:r>
      <w:bookmarkEnd w:id="39"/>
    </w:p>
    <w:p w14:paraId="417EE830">
      <w:pPr>
        <w:pStyle w:val="19"/>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color w:val="1F2937"/>
          <w:sz w:val="24"/>
          <w:szCs w:val="24"/>
        </w:rPr>
        <w:t>本章</w:t>
      </w:r>
      <w:r>
        <w:rPr>
          <w:rFonts w:hint="eastAsia" w:ascii="Times New Roman" w:hAnsi="Times New Roman" w:eastAsia="宋体" w:cs="Times New Roman"/>
          <w:b w:val="0"/>
          <w:bCs w:val="0"/>
          <w:i w:val="0"/>
          <w:color w:val="1F2937"/>
          <w:sz w:val="24"/>
          <w:szCs w:val="24"/>
          <w:lang w:eastAsia="zh-CN"/>
        </w:rPr>
        <w:t>严格按照</w:t>
      </w:r>
      <w:r>
        <w:rPr>
          <w:rFonts w:ascii="Times New Roman" w:hAnsi="Times New Roman" w:eastAsia="宋体" w:cs="Times New Roman"/>
          <w:b w:val="0"/>
          <w:bCs w:val="0"/>
          <w:i w:val="0"/>
          <w:color w:val="1F2937"/>
          <w:sz w:val="24"/>
          <w:szCs w:val="24"/>
        </w:rPr>
        <w:t>系统切换</w:t>
      </w:r>
      <w:r>
        <w:rPr>
          <w:rFonts w:hint="eastAsia" w:ascii="Times New Roman" w:hAnsi="Times New Roman" w:eastAsia="宋体" w:cs="Times New Roman"/>
          <w:b w:val="0"/>
          <w:bCs w:val="0"/>
          <w:i w:val="0"/>
          <w:color w:val="1F2937"/>
          <w:sz w:val="24"/>
          <w:szCs w:val="24"/>
          <w:lang w:eastAsia="zh-CN"/>
        </w:rPr>
        <w:t>到</w:t>
      </w:r>
      <w:r>
        <w:rPr>
          <w:rFonts w:ascii="Times New Roman" w:hAnsi="Times New Roman" w:eastAsia="宋体" w:cs="Times New Roman"/>
          <w:b w:val="0"/>
          <w:bCs w:val="0"/>
          <w:i w:val="0"/>
          <w:color w:val="1F2937"/>
          <w:sz w:val="24"/>
          <w:szCs w:val="24"/>
        </w:rPr>
        <w:t>【产品碳足迹集采中心】</w:t>
      </w:r>
      <w:r>
        <w:rPr>
          <w:rFonts w:hint="eastAsia" w:ascii="Times New Roman" w:hAnsi="Times New Roman" w:eastAsia="宋体" w:cs="Times New Roman"/>
          <w:b w:val="0"/>
          <w:bCs w:val="0"/>
          <w:i w:val="0"/>
          <w:color w:val="1F2937"/>
          <w:sz w:val="24"/>
          <w:szCs w:val="24"/>
          <w:lang w:eastAsia="zh-CN"/>
        </w:rPr>
        <w:t>后</w:t>
      </w:r>
      <w:r>
        <w:rPr>
          <w:rFonts w:ascii="Times New Roman" w:hAnsi="Times New Roman" w:eastAsia="宋体" w:cs="Times New Roman"/>
          <w:b w:val="0"/>
          <w:bCs w:val="0"/>
          <w:i w:val="0"/>
          <w:color w:val="1F2937"/>
          <w:sz w:val="24"/>
          <w:szCs w:val="24"/>
        </w:rPr>
        <w:t>的6大一级主导航</w:t>
      </w:r>
      <w:r>
        <w:rPr>
          <w:rFonts w:hint="eastAsia" w:ascii="Times New Roman" w:hAnsi="Times New Roman" w:eastAsia="宋体" w:cs="Times New Roman"/>
          <w:b w:val="0"/>
          <w:bCs w:val="0"/>
          <w:i w:val="0"/>
          <w:color w:val="1F2937"/>
          <w:sz w:val="24"/>
          <w:szCs w:val="24"/>
          <w:lang w:eastAsia="zh-CN"/>
        </w:rPr>
        <w:t>分层</w:t>
      </w:r>
      <w:r>
        <w:rPr>
          <w:rFonts w:ascii="Times New Roman" w:hAnsi="Times New Roman" w:eastAsia="宋体" w:cs="Times New Roman"/>
          <w:b w:val="0"/>
          <w:bCs w:val="0"/>
          <w:i w:val="0"/>
          <w:color w:val="1F2937"/>
          <w:sz w:val="24"/>
          <w:szCs w:val="24"/>
        </w:rPr>
        <w:t>展开，全面</w:t>
      </w:r>
      <w:r>
        <w:rPr>
          <w:rFonts w:hint="eastAsia" w:ascii="Times New Roman" w:hAnsi="Times New Roman" w:eastAsia="宋体" w:cs="Times New Roman"/>
          <w:b w:val="0"/>
          <w:bCs w:val="0"/>
          <w:i w:val="0"/>
          <w:color w:val="1F2937"/>
          <w:sz w:val="24"/>
          <w:szCs w:val="24"/>
          <w:lang w:eastAsia="zh-CN"/>
        </w:rPr>
        <w:t>覆盖</w:t>
      </w:r>
      <w:r>
        <w:rPr>
          <w:rFonts w:ascii="Times New Roman" w:hAnsi="Times New Roman" w:eastAsia="宋体" w:cs="Times New Roman"/>
          <w:b w:val="0"/>
          <w:bCs w:val="0"/>
          <w:i w:val="0"/>
          <w:color w:val="1F2937"/>
          <w:sz w:val="24"/>
          <w:szCs w:val="24"/>
        </w:rPr>
        <w:t>产品全生命周期LCA建模、ISO 14067认证、二维码数字碳标签</w:t>
      </w:r>
      <w:r>
        <w:rPr>
          <w:rFonts w:hint="eastAsia" w:ascii="Times New Roman" w:hAnsi="Times New Roman" w:eastAsia="宋体" w:cs="Times New Roman"/>
          <w:b w:val="0"/>
          <w:bCs w:val="0"/>
          <w:i w:val="0"/>
          <w:color w:val="1F2937"/>
          <w:sz w:val="24"/>
          <w:szCs w:val="24"/>
          <w:lang w:eastAsia="zh-CN"/>
        </w:rPr>
        <w:t>以及</w:t>
      </w:r>
      <w:r>
        <w:rPr>
          <w:rFonts w:ascii="Times New Roman" w:hAnsi="Times New Roman" w:eastAsia="宋体" w:cs="Times New Roman"/>
          <w:b w:val="0"/>
          <w:bCs w:val="0"/>
          <w:i w:val="0"/>
          <w:color w:val="1F2937"/>
          <w:sz w:val="24"/>
          <w:szCs w:val="24"/>
        </w:rPr>
        <w:t>欧盟CBAM关税申报</w:t>
      </w:r>
      <w:r>
        <w:rPr>
          <w:rFonts w:hint="eastAsia" w:cs="Times New Roman"/>
          <w:b w:val="0"/>
          <w:bCs w:val="0"/>
          <w:i w:val="0"/>
          <w:color w:val="1F2937"/>
          <w:sz w:val="24"/>
          <w:szCs w:val="24"/>
          <w:lang w:eastAsia="zh-CN"/>
        </w:rPr>
        <w:t>的相关需求</w:t>
      </w:r>
      <w:r>
        <w:rPr>
          <w:rFonts w:ascii="Times New Roman" w:hAnsi="Times New Roman" w:eastAsia="宋体" w:cs="Times New Roman"/>
          <w:b w:val="0"/>
          <w:bCs w:val="0"/>
          <w:i w:val="0"/>
          <w:color w:val="1F2937"/>
          <w:sz w:val="24"/>
          <w:szCs w:val="24"/>
        </w:rPr>
        <w:t>。本章</w:t>
      </w:r>
      <w:r>
        <w:rPr>
          <w:rFonts w:hint="eastAsia" w:cs="Times New Roman"/>
          <w:b w:val="0"/>
          <w:bCs w:val="0"/>
          <w:i w:val="0"/>
          <w:color w:val="1F2937"/>
          <w:sz w:val="24"/>
          <w:szCs w:val="24"/>
          <w:lang w:eastAsia="zh-CN"/>
        </w:rPr>
        <w:t>的</w:t>
      </w:r>
      <w:r>
        <w:rPr>
          <w:rFonts w:ascii="Times New Roman" w:hAnsi="Times New Roman" w:eastAsia="宋体" w:cs="Times New Roman"/>
          <w:b w:val="0"/>
          <w:bCs w:val="0"/>
          <w:i w:val="0"/>
          <w:color w:val="1F2937"/>
          <w:sz w:val="24"/>
          <w:szCs w:val="24"/>
        </w:rPr>
        <w:t>功能权限矩阵</w:t>
      </w:r>
      <w:r>
        <w:rPr>
          <w:rFonts w:hint="eastAsia" w:ascii="Times New Roman" w:hAnsi="Times New Roman" w:eastAsia="宋体" w:cs="Times New Roman"/>
          <w:b w:val="0"/>
          <w:bCs w:val="0"/>
          <w:i w:val="0"/>
          <w:color w:val="1F2937"/>
          <w:sz w:val="24"/>
          <w:szCs w:val="24"/>
          <w:lang w:eastAsia="zh-CN"/>
        </w:rPr>
        <w:t>可参见</w:t>
      </w:r>
      <w:r>
        <w:rPr>
          <w:rFonts w:ascii="Times New Roman" w:hAnsi="Times New Roman" w:eastAsia="宋体" w:cs="Times New Roman"/>
          <w:b w:val="0"/>
          <w:bCs w:val="0"/>
          <w:i w:val="0"/>
          <w:color w:val="1F2937"/>
          <w:sz w:val="24"/>
          <w:szCs w:val="24"/>
        </w:rPr>
        <w:t>附录E（P4 LCA工程师 / P5 报关专家 / P6 外部审计机构），北极星指标（NSM）</w:t>
      </w:r>
      <w:r>
        <w:rPr>
          <w:rFonts w:hint="eastAsia" w:ascii="Times New Roman" w:hAnsi="Times New Roman" w:eastAsia="宋体" w:cs="Times New Roman"/>
          <w:b w:val="0"/>
          <w:bCs w:val="0"/>
          <w:i w:val="0"/>
          <w:color w:val="1F2937"/>
          <w:sz w:val="24"/>
          <w:szCs w:val="24"/>
          <w:lang w:eastAsia="zh-CN"/>
        </w:rPr>
        <w:t>详见</w:t>
      </w:r>
      <w:r>
        <w:rPr>
          <w:rFonts w:ascii="Times New Roman" w:hAnsi="Times New Roman" w:eastAsia="宋体" w:cs="Times New Roman"/>
          <w:b w:val="0"/>
          <w:bCs w:val="0"/>
          <w:i w:val="0"/>
          <w:color w:val="1F2937"/>
          <w:sz w:val="24"/>
          <w:szCs w:val="24"/>
        </w:rPr>
        <w:t>附录F，验收用例</w:t>
      </w:r>
      <w:r>
        <w:rPr>
          <w:rFonts w:hint="eastAsia" w:ascii="Times New Roman" w:hAnsi="Times New Roman" w:eastAsia="宋体" w:cs="Times New Roman"/>
          <w:b w:val="0"/>
          <w:bCs w:val="0"/>
          <w:i w:val="0"/>
          <w:color w:val="1F2937"/>
          <w:sz w:val="24"/>
          <w:szCs w:val="24"/>
          <w:lang w:eastAsia="zh-CN"/>
        </w:rPr>
        <w:t>放在</w:t>
      </w:r>
      <w:r>
        <w:rPr>
          <w:rFonts w:ascii="Times New Roman" w:hAnsi="Times New Roman" w:eastAsia="宋体" w:cs="Times New Roman"/>
          <w:b w:val="0"/>
          <w:bCs w:val="0"/>
          <w:i w:val="0"/>
          <w:color w:val="1F2937"/>
          <w:sz w:val="24"/>
          <w:szCs w:val="24"/>
        </w:rPr>
        <w:t>第十一章Gherkin准则</w:t>
      </w:r>
      <w:r>
        <w:rPr>
          <w:rFonts w:hint="eastAsia" w:cs="Times New Roman"/>
          <w:b w:val="0"/>
          <w:bCs w:val="0"/>
          <w:i w:val="0"/>
          <w:color w:val="1F2937"/>
          <w:sz w:val="24"/>
          <w:szCs w:val="24"/>
          <w:lang w:eastAsia="zh-CN"/>
        </w:rPr>
        <w:t>部分</w:t>
      </w:r>
      <w:r>
        <w:rPr>
          <w:rFonts w:ascii="Times New Roman" w:hAnsi="Times New Roman" w:eastAsia="宋体" w:cs="Times New Roman"/>
          <w:b w:val="0"/>
          <w:bCs w:val="0"/>
          <w:i w:val="0"/>
          <w:color w:val="1F2937"/>
          <w:sz w:val="24"/>
          <w:szCs w:val="24"/>
        </w:rPr>
        <w:t>；LCA / CBAM</w:t>
      </w:r>
      <w:r>
        <w:rPr>
          <w:rFonts w:hint="eastAsia" w:ascii="Times New Roman" w:hAnsi="Times New Roman" w:eastAsia="宋体" w:cs="Times New Roman"/>
          <w:b w:val="0"/>
          <w:bCs w:val="0"/>
          <w:i w:val="0"/>
          <w:color w:val="1F2937"/>
          <w:sz w:val="24"/>
          <w:szCs w:val="24"/>
          <w:lang w:eastAsia="zh-CN"/>
        </w:rPr>
        <w:t>相关的</w:t>
      </w:r>
      <w:r>
        <w:rPr>
          <w:rFonts w:ascii="Times New Roman" w:hAnsi="Times New Roman" w:eastAsia="宋体" w:cs="Times New Roman"/>
          <w:b w:val="0"/>
          <w:bCs w:val="0"/>
          <w:i w:val="0"/>
          <w:color w:val="1F2937"/>
          <w:sz w:val="24"/>
          <w:szCs w:val="24"/>
        </w:rPr>
        <w:t>错误码</w:t>
      </w:r>
      <w:r>
        <w:rPr>
          <w:rFonts w:hint="eastAsia" w:ascii="Times New Roman" w:hAnsi="Times New Roman" w:eastAsia="宋体" w:cs="Times New Roman"/>
          <w:b w:val="0"/>
          <w:bCs w:val="0"/>
          <w:i w:val="0"/>
          <w:color w:val="1F2937"/>
          <w:sz w:val="24"/>
          <w:szCs w:val="24"/>
          <w:lang w:eastAsia="zh-CN"/>
        </w:rPr>
        <w:t>可查阅</w:t>
      </w:r>
      <w:r>
        <w:rPr>
          <w:rFonts w:ascii="Times New Roman" w:hAnsi="Times New Roman" w:eastAsia="宋体" w:cs="Times New Roman"/>
          <w:b w:val="0"/>
          <w:bCs w:val="0"/>
          <w:i w:val="0"/>
          <w:color w:val="1F2937"/>
          <w:sz w:val="24"/>
          <w:szCs w:val="24"/>
        </w:rPr>
        <w:t>第五章</w:t>
      </w:r>
      <w:r>
        <w:rPr>
          <w:rFonts w:hint="eastAsia" w:ascii="Times New Roman" w:hAnsi="Times New Roman" w:eastAsia="宋体" w:cs="Times New Roman"/>
          <w:b w:val="0"/>
          <w:bCs w:val="0"/>
          <w:i w:val="0"/>
          <w:color w:val="1F2937"/>
          <w:sz w:val="24"/>
          <w:szCs w:val="24"/>
          <w:lang w:eastAsia="zh-CN"/>
        </w:rPr>
        <w:t>“</w:t>
      </w:r>
      <w:r>
        <w:rPr>
          <w:rFonts w:ascii="Times New Roman" w:hAnsi="Times New Roman" w:eastAsia="宋体" w:cs="Times New Roman"/>
          <w:b w:val="0"/>
          <w:bCs w:val="0"/>
          <w:i w:val="0"/>
          <w:color w:val="1F2937"/>
          <w:sz w:val="24"/>
          <w:szCs w:val="24"/>
        </w:rPr>
        <w:t>标准化错误码字典</w:t>
      </w:r>
      <w:r>
        <w:rPr>
          <w:rFonts w:hint="eastAsia" w:ascii="Times New Roman" w:hAnsi="Times New Roman" w:eastAsia="宋体" w:cs="Times New Roman"/>
          <w:b w:val="0"/>
          <w:bCs w:val="0"/>
          <w:i w:val="0"/>
          <w:color w:val="1F2937"/>
          <w:sz w:val="24"/>
          <w:szCs w:val="24"/>
          <w:lang w:eastAsia="zh-CN"/>
        </w:rPr>
        <w:t>”</w:t>
      </w:r>
      <w:r>
        <w:rPr>
          <w:rFonts w:ascii="Times New Roman" w:hAnsi="Times New Roman" w:eastAsia="宋体" w:cs="Times New Roman"/>
          <w:b w:val="0"/>
          <w:bCs w:val="0"/>
          <w:i w:val="0"/>
          <w:color w:val="1F2937"/>
          <w:sz w:val="24"/>
          <w:szCs w:val="24"/>
        </w:rPr>
        <w:t>。</w:t>
      </w:r>
    </w:p>
    <w:p w14:paraId="5B45C204">
      <w:pPr>
        <w:pStyle w:val="4"/>
        <w:numPr>
          <w:ilvl w:val="0"/>
          <w:numId w:val="135"/>
        </w:numPr>
        <w:topLinePunct w:val="0"/>
        <w:ind w:left="0" w:leftChars="0" w:firstLine="0" w:firstLineChars="0"/>
        <w:outlineLvl w:val="0"/>
        <w:rPr>
          <w:rFonts w:hint="eastAsia" w:eastAsia="黑体"/>
          <w:b w:val="0"/>
          <w:bCs w:val="0"/>
          <w:sz w:val="30"/>
          <w:szCs w:val="32"/>
        </w:rPr>
      </w:pPr>
      <w:bookmarkStart w:id="40" w:name="_Toc30505"/>
      <w:r>
        <w:rPr>
          <w:rFonts w:ascii="Times New Roman" w:hAnsi="Times New Roman" w:eastAsia="黑体" w:cs="Times New Roman"/>
          <w:b w:val="0"/>
          <w:bCs w:val="0"/>
          <w:sz w:val="30"/>
          <w:szCs w:val="32"/>
        </w:rPr>
        <w:t>对外示范窗口</w:t>
      </w:r>
      <w:bookmarkEnd w:id="40"/>
    </w:p>
    <w:p w14:paraId="39BCBB03">
      <w:pPr>
        <w:pStyle w:val="5"/>
        <w:numPr>
          <w:ilvl w:val="0"/>
          <w:numId w:val="136"/>
        </w:numPr>
        <w:ind w:left="0" w:leftChars="0" w:firstLine="0" w:firstLineChars="0"/>
        <w:outlineLvl w:val="1"/>
        <w:rPr>
          <w:rFonts w:ascii="Times New Roman" w:hAnsi="Times New Roman" w:eastAsia="黑体" w:cs="Times New Roman"/>
          <w:b w:val="0"/>
          <w:bCs w:val="0"/>
          <w:sz w:val="30"/>
          <w:szCs w:val="24"/>
        </w:rPr>
      </w:pPr>
      <w:bookmarkStart w:id="41" w:name="_Toc13410"/>
      <w:r>
        <w:rPr>
          <w:rFonts w:ascii="Times New Roman" w:hAnsi="Times New Roman" w:eastAsia="黑体" w:cs="Times New Roman"/>
          <w:b w:val="0"/>
          <w:bCs w:val="0"/>
          <w:sz w:val="30"/>
          <w:szCs w:val="24"/>
        </w:rPr>
        <w:t>碳足迹总览驾驶舱</w:t>
      </w:r>
      <w:bookmarkEnd w:id="41"/>
    </w:p>
    <w:p w14:paraId="6E6010F6">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drawing>
          <wp:inline distT="0" distB="0" distL="114300" distR="114300">
            <wp:extent cx="5900420" cy="2925445"/>
            <wp:effectExtent l="0" t="0" r="5080" b="8255"/>
            <wp:docPr id="65"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21"/>
                    <pic:cNvPicPr>
                      <a:picLocks noChangeAspect="1"/>
                    </pic:cNvPicPr>
                  </pic:nvPicPr>
                  <pic:blipFill>
                    <a:blip r:embed="rId79"/>
                    <a:stretch>
                      <a:fillRect/>
                    </a:stretch>
                  </pic:blipFill>
                  <pic:spPr>
                    <a:xfrm>
                      <a:off x="0" y="0"/>
                      <a:ext cx="5900420" cy="2925445"/>
                    </a:xfrm>
                    <a:prstGeom prst="rect">
                      <a:avLst/>
                    </a:prstGeom>
                    <a:noFill/>
                    <a:ln>
                      <a:noFill/>
                    </a:ln>
                  </pic:spPr>
                </pic:pic>
              </a:graphicData>
            </a:graphic>
          </wp:inline>
        </w:drawing>
      </w:r>
    </w:p>
    <w:p w14:paraId="3CBDAEDB">
      <w:pPr>
        <w:pStyle w:val="6"/>
        <w:numPr>
          <w:ilvl w:val="0"/>
          <w:numId w:val="13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7645DB96">
      <w:pPr>
        <w:pStyle w:val="19"/>
        <w:widowControl/>
        <w:numPr>
          <w:ilvl w:val="0"/>
          <w:numId w:val="13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：面向国际客户、海外驻华使节及欧盟碳关税审查专员的高端碳驾驶舱，全屏呈现主力出口产品 LCA 碳足迹全景桑基图、防伪二维码数字碳标签、绿电消纳减碳成果与 CBAM 关税节省测算总览。</w:t>
      </w:r>
    </w:p>
    <w:p w14:paraId="54C9BC5C">
      <w:pPr>
        <w:pStyle w:val="19"/>
        <w:widowControl/>
        <w:numPr>
          <w:ilvl w:val="0"/>
          <w:numId w:val="13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：P4 碳核算工程师（运维）、P5 报关与关税专家（讲解）、P6 外部独立审计机构（核验）。</w:t>
      </w:r>
    </w:p>
    <w:p w14:paraId="2D9AD46D">
      <w:pPr>
        <w:pStyle w:val="19"/>
        <w:widowControl/>
        <w:numPr>
          <w:ilvl w:val="0"/>
          <w:numId w:val="13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/carbon-footprint/demo </w:t>
      </w:r>
      <w:r>
        <w:rPr>
          <w:rFonts w:ascii="Times New Roman" w:hAnsi="Times New Roman" w:eastAsia="宋体" w:cs="Times New Roman"/>
          <w:i w:val="0"/>
          <w:color w:val="1F2937"/>
          <w:sz w:val="24"/>
          <w:szCs w:val="24"/>
        </w:rPr>
        <w:t>。</w:t>
      </w:r>
    </w:p>
    <w:p w14:paraId="6132D06E">
      <w:pPr>
        <w:pStyle w:val="19"/>
        <w:widowControl/>
        <w:numPr>
          <w:ilvl w:val="0"/>
          <w:numId w:val="13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：LCA 核算引擎结果、数字碳标签、绿电消纳数据、CBAM 关税模拟结果。</w:t>
      </w:r>
    </w:p>
    <w:p w14:paraId="50808176">
      <w:pPr>
        <w:pStyle w:val="19"/>
        <w:widowControl/>
        <w:numPr>
          <w:ilvl w:val="0"/>
          <w:numId w:val="13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：对外脱敏展示快照、二维码查验演示入口。</w:t>
      </w:r>
    </w:p>
    <w:p w14:paraId="1B05598C">
      <w:pPr>
        <w:pStyle w:val="6"/>
        <w:numPr>
          <w:ilvl w:val="0"/>
          <w:numId w:val="13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1B46A406">
      <w:pPr>
        <w:pStyle w:val="19"/>
        <w:widowControl/>
        <w:numPr>
          <w:ilvl w:val="0"/>
          <w:numId w:val="13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：国际客户验厂与欧盟合规审查场景，需以可视化方式证明产品碳足迹的核算边界、数据来源与第三方认证有效性。</w:t>
      </w:r>
    </w:p>
    <w:p w14:paraId="633F8923">
      <w:pPr>
        <w:pStyle w:val="19"/>
        <w:widowControl/>
        <w:numPr>
          <w:ilvl w:val="0"/>
          <w:numId w:val="13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0F77CEED">
      <w:pPr>
        <w:pStyle w:val="19"/>
        <w:widowControl/>
        <w:numPr>
          <w:ilvl w:val="0"/>
          <w:numId w:val="139"/>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碳核算与认证工程师 (Persona P4)</w:t>
      </w:r>
      <w:r>
        <w:rPr>
          <w:rFonts w:ascii="Times New Roman" w:hAnsi="Times New Roman" w:eastAsia="宋体" w:cs="Times New Roman"/>
          <w:i w:val="0"/>
          <w:color w:val="1F2937"/>
          <w:sz w:val="24"/>
          <w:szCs w:val="24"/>
        </w:rPr>
        <w:t>，</w:t>
      </w:r>
    </w:p>
    <w:p w14:paraId="1A887562">
      <w:pPr>
        <w:pStyle w:val="19"/>
        <w:widowControl/>
        <w:numPr>
          <w:ilvl w:val="0"/>
          <w:numId w:val="139"/>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在对外示范驾驶舱全屏展示产品 LCA 五阶段碳排构成、可扫码验证的数字碳标签与 CBAM 关税节省测算</w:t>
      </w:r>
      <w:r>
        <w:rPr>
          <w:rFonts w:ascii="Times New Roman" w:hAnsi="Times New Roman" w:eastAsia="宋体" w:cs="Times New Roman"/>
          <w:i w:val="0"/>
          <w:color w:val="1F2937"/>
          <w:sz w:val="24"/>
          <w:szCs w:val="24"/>
        </w:rPr>
        <w:t>，</w:t>
      </w:r>
    </w:p>
    <w:p w14:paraId="2C15A2FF">
      <w:pPr>
        <w:pStyle w:val="19"/>
        <w:widowControl/>
        <w:numPr>
          <w:ilvl w:val="0"/>
          <w:numId w:val="139"/>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我能以权威可视化证据赢得国际客户与欧盟审查专员的信任</w:t>
      </w:r>
      <w:r>
        <w:rPr>
          <w:rFonts w:ascii="Times New Roman" w:hAnsi="Times New Roman" w:eastAsia="宋体" w:cs="Times New Roman"/>
          <w:i w:val="0"/>
          <w:color w:val="1F2937"/>
          <w:sz w:val="24"/>
          <w:szCs w:val="24"/>
        </w:rPr>
        <w:t>。</w:t>
      </w:r>
    </w:p>
    <w:p w14:paraId="63789662">
      <w:pPr>
        <w:pStyle w:val="6"/>
        <w:numPr>
          <w:ilvl w:val="0"/>
          <w:numId w:val="13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26484E76">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核心展示要素：</w:t>
      </w:r>
    </w:p>
    <w:p w14:paraId="5906B4B8">
      <w:pPr>
        <w:pStyle w:val="19"/>
        <w:widowControl/>
        <w:numPr>
          <w:ilvl w:val="0"/>
          <w:numId w:val="14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LCA 碳足迹全景桑基图</w:t>
      </w:r>
      <w:r>
        <w:rPr>
          <w:rFonts w:ascii="Times New Roman" w:hAnsi="Times New Roman" w:eastAsia="宋体" w:cs="Times New Roman"/>
          <w:i w:val="0"/>
          <w:color w:val="1F2937"/>
          <w:sz w:val="24"/>
          <w:szCs w:val="24"/>
        </w:rPr>
        <w:t>：以五阶段（原材料获取 / 上游运输 / 制造加工 / 试验检测 / 包装出厂）流向呈现单台产品碳足迹构成。</w:t>
      </w:r>
    </w:p>
    <w:p w14:paraId="477FE3FC">
      <w:pPr>
        <w:pStyle w:val="19"/>
        <w:widowControl/>
        <w:numPr>
          <w:ilvl w:val="0"/>
          <w:numId w:val="14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防伪二维码数字碳标签</w:t>
      </w:r>
      <w:r>
        <w:rPr>
          <w:rFonts w:ascii="Times New Roman" w:hAnsi="Times New Roman" w:eastAsia="宋体" w:cs="Times New Roman"/>
          <w:i w:val="0"/>
          <w:color w:val="1F2937"/>
          <w:sz w:val="24"/>
          <w:szCs w:val="24"/>
        </w:rPr>
        <w:t>：展示 EPC 编码与防伪签名哈希，支持现场扫码弹窗查验。</w:t>
      </w:r>
    </w:p>
    <w:p w14:paraId="6F50ED3A">
      <w:pPr>
        <w:pStyle w:val="19"/>
        <w:widowControl/>
        <w:numPr>
          <w:ilvl w:val="0"/>
          <w:numId w:val="14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绿电消纳减碳量化成果</w:t>
      </w:r>
      <w:r>
        <w:rPr>
          <w:rFonts w:ascii="Times New Roman" w:hAnsi="Times New Roman" w:eastAsia="宋体" w:cs="Times New Roman"/>
          <w:i w:val="0"/>
          <w:color w:val="1F2937"/>
          <w:sz w:val="24"/>
          <w:szCs w:val="24"/>
        </w:rPr>
        <w:t>：展示光伏自发自用减排量与等效植树量。</w:t>
      </w:r>
    </w:p>
    <w:p w14:paraId="6C6E5651">
      <w:pPr>
        <w:pStyle w:val="19"/>
        <w:widowControl/>
        <w:numPr>
          <w:ilvl w:val="0"/>
          <w:numId w:val="14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CBAM 关税节省测算总览</w:t>
      </w:r>
      <w:r>
        <w:rPr>
          <w:rFonts w:ascii="Times New Roman" w:hAnsi="Times New Roman" w:eastAsia="宋体" w:cs="Times New Roman"/>
          <w:i w:val="0"/>
          <w:color w:val="1F2937"/>
          <w:sz w:val="24"/>
          <w:szCs w:val="24"/>
        </w:rPr>
        <w:t>：展示累计关税节省金额与国内碳成本抵扣情况。</w:t>
      </w:r>
    </w:p>
    <w:p w14:paraId="43F49504">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交互与刷新规则：</w:t>
      </w:r>
    </w:p>
    <w:p w14:paraId="6E547016">
      <w:pPr>
        <w:pStyle w:val="19"/>
        <w:widowControl/>
        <w:numPr>
          <w:ilvl w:val="0"/>
          <w:numId w:val="14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全屏轮播</w:t>
      </w:r>
      <w:r>
        <w:rPr>
          <w:rFonts w:ascii="Times New Roman" w:hAnsi="Times New Roman" w:eastAsia="宋体" w:cs="Times New Roman"/>
          <w:i w:val="0"/>
          <w:color w:val="1F2937"/>
          <w:sz w:val="24"/>
          <w:szCs w:val="24"/>
        </w:rPr>
        <w:t>：面向参观与验收场景默认全屏自动轮播，关键指标卡循环展示，支持手动切换与暂停（轮播周期固定为 30 秒，可按大屏场景配置为 15 / 30 / 60 秒三档）。</w:t>
      </w:r>
    </w:p>
    <w:p w14:paraId="67962568">
      <w:pPr>
        <w:pStyle w:val="19"/>
        <w:widowControl/>
        <w:numPr>
          <w:ilvl w:val="0"/>
          <w:numId w:val="14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据点下钻</w:t>
      </w:r>
      <w:r>
        <w:rPr>
          <w:rFonts w:ascii="Times New Roman" w:hAnsi="Times New Roman" w:eastAsia="宋体" w:cs="Times New Roman"/>
          <w:i w:val="0"/>
          <w:color w:val="1F2937"/>
          <w:sz w:val="24"/>
          <w:szCs w:val="24"/>
        </w:rPr>
        <w:t>：点击桑基图节点或标签卡，下钻至实景数据库对应物料/产品明细。</w:t>
      </w:r>
    </w:p>
    <w:p w14:paraId="3F7B6313">
      <w:pPr>
        <w:pStyle w:val="19"/>
        <w:widowControl/>
        <w:numPr>
          <w:ilvl w:val="0"/>
          <w:numId w:val="14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二维码查验演示</w:t>
      </w:r>
      <w:r>
        <w:rPr>
          <w:rFonts w:ascii="Times New Roman" w:hAnsi="Times New Roman" w:eastAsia="宋体" w:cs="Times New Roman"/>
          <w:i w:val="0"/>
          <w:color w:val="1F2937"/>
          <w:sz w:val="24"/>
          <w:szCs w:val="24"/>
        </w:rPr>
        <w:t>：扫码弹窗呈现 EPC 编码、防伪签名哈希与溯源链摘要（详见三、3 数字碳标签）。</w:t>
      </w:r>
    </w:p>
    <w:p w14:paraId="6871FD4A">
      <w:pPr>
        <w:pStyle w:val="19"/>
        <w:widowControl/>
        <w:numPr>
          <w:ilvl w:val="0"/>
          <w:numId w:val="14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刷新策略</w:t>
      </w:r>
      <w:r>
        <w:rPr>
          <w:rFonts w:ascii="Times New Roman" w:hAnsi="Times New Roman" w:eastAsia="宋体" w:cs="Times New Roman"/>
          <w:i w:val="0"/>
          <w:color w:val="1F2937"/>
          <w:sz w:val="24"/>
          <w:szCs w:val="24"/>
        </w:rPr>
        <w:t>：LCA 指标按日结刷新（T+1 日 06:00 前完成），欧盟碳价按小时级联动刷新（滞后超过 4 小时自动标注「碳价滞后」并降级至最近一次有效值）。</w:t>
      </w:r>
    </w:p>
    <w:p w14:paraId="43C23325">
      <w:pPr>
        <w:pStyle w:val="19"/>
        <w:widowControl/>
        <w:numPr>
          <w:ilvl w:val="0"/>
          <w:numId w:val="14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对外展示脱敏规则与白名单</w:t>
      </w:r>
      <w:r>
        <w:rPr>
          <w:rFonts w:ascii="Times New Roman" w:hAnsi="Times New Roman" w:eastAsia="宋体" w:cs="Times New Roman"/>
          <w:i w:val="0"/>
          <w:color w:val="1F2937"/>
          <w:sz w:val="24"/>
          <w:szCs w:val="24"/>
        </w:rPr>
        <w:t>：对外展示数据统一执行字段白名单裁剪，仅开放碳足迹结果值、绿电消纳占比与认证状态，隐藏工艺配方、采购单价、人员信息与成本构成；白名单由 PM 审批后生效，变更全程留痕。</w:t>
      </w:r>
    </w:p>
    <w:p w14:paraId="1415680A">
      <w:pPr>
        <w:pStyle w:val="6"/>
        <w:numPr>
          <w:ilvl w:val="0"/>
          <w:numId w:val="13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68"/>
        <w:gridCol w:w="2255"/>
        <w:gridCol w:w="1350"/>
        <w:gridCol w:w="1972"/>
        <w:gridCol w:w="3339"/>
      </w:tblGrid>
      <w:tr w14:paraId="0909291E">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0F2090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33EF96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3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08FC04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197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AB8ED3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333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0CAF8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数据来源与核算逻辑</w:t>
            </w:r>
          </w:p>
        </w:tc>
      </w:tr>
      <w:tr w14:paraId="12FC319A">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CA0235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A1DC0D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单台产品全生命周期碳排</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0F1C6A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50B9FB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kgCO2e/台 或 kgCO2e/km</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9820E9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LCA 5 大阶段排放滚算累加</w:t>
            </w:r>
          </w:p>
        </w:tc>
      </w:tr>
      <w:tr w14:paraId="63B52391">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176923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804144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原材料获取阶段碳排占比</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E29774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F63854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00B490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(E_{原材料} / E_{总碳足迹}) × 100%</w:t>
            </w:r>
          </w:p>
        </w:tc>
      </w:tr>
      <w:tr w14:paraId="1ECDCB57">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C2A57B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5159EC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制造加工阶段碳排占比</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CB0DF3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3CB6D3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D2C27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(E_{加工} / E_{总碳足迹}) × 100%</w:t>
            </w:r>
          </w:p>
        </w:tc>
      </w:tr>
      <w:tr w14:paraId="061CB9C3">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B56DDF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09BAB1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绿电消纳贡献减排量</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EB5C7E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061262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kgCO2e</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C6BF22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光伏自发自用量 × 区域电网碳因子</w:t>
            </w:r>
          </w:p>
        </w:tc>
      </w:tr>
      <w:tr w14:paraId="73056D14">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072407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D6D4C7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CBAM 关税累计节省金额</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65A372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FDB599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€（欧元）</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7E2534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已抵扣国内碳成本折算节省关税</w:t>
            </w:r>
          </w:p>
        </w:tc>
      </w:tr>
      <w:tr w14:paraId="61B0F2D9">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CC9E58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A8956F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防伪数字验真哈希</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25D9A4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A06159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SHA-256</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6D972B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产品批次 + 认证机构私钥数字签名</w:t>
            </w:r>
          </w:p>
        </w:tc>
      </w:tr>
      <w:tr w14:paraId="0D522CBB">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06F30A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CB5CAE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 EPC 编码</w:t>
            </w:r>
          </w:p>
        </w:tc>
        <w:tc>
          <w:tcPr>
            <w:tcW w:w="13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1AE694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91CA7C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800102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全球产品电子代码，唯一</w:t>
            </w:r>
          </w:p>
        </w:tc>
      </w:tr>
      <w:tr w14:paraId="5F2A3066">
        <w:tblPrEx>
          <w:tblCellMar>
            <w:top w:w="0" w:type="dxa"/>
            <w:left w:w="108" w:type="dxa"/>
            <w:bottom w:w="0" w:type="dxa"/>
            <w:right w:w="108" w:type="dxa"/>
          </w:tblCellMar>
        </w:tblPrEx>
        <w:trPr>
          <w:jc w:val="center"/>
        </w:trPr>
        <w:tc>
          <w:tcPr>
            <w:tcW w:w="8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FE733D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22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F7F89B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认证机构名称</w:t>
            </w:r>
          </w:p>
        </w:tc>
        <w:tc>
          <w:tcPr>
            <w:tcW w:w="13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F2F11D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88620B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3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584481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SGS / TÜV 南德 / 中国方圆</w:t>
            </w:r>
          </w:p>
        </w:tc>
      </w:tr>
    </w:tbl>
    <w:p w14:paraId="6102E8A0">
      <w:pPr>
        <w:spacing w:after="60"/>
        <w:rPr>
          <w:rFonts w:hint="eastAsia" w:ascii="宋体" w:hAnsi="宋体" w:eastAsia="宋体" w:cs="宋体"/>
          <w:i w:val="0"/>
          <w:iCs w:val="0"/>
          <w:sz w:val="24"/>
          <w:szCs w:val="24"/>
        </w:rPr>
      </w:pPr>
    </w:p>
    <w:p w14:paraId="004620A1">
      <w:pPr>
        <w:pStyle w:val="6"/>
        <w:numPr>
          <w:ilvl w:val="0"/>
          <w:numId w:val="13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3985E1F1">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53109F6E">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E_PCF = E_raw + E_trans + E_manuf + E_test + E_pack   单台产品全生命周期碳足迹</w:t>
            </w:r>
          </w:p>
          <w:p w14:paraId="164FC6C8">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R_stage = E_stage / E_PCF × 100%                     各阶段碳排占比</w:t>
            </w:r>
          </w:p>
          <w:p w14:paraId="1FBE06D9">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Save_CBAM = Export_Qty × Embedded_Carbon × ( Price_EU_ETS - Price_Domestic )</w:t>
            </w:r>
          </w:p>
          <w:p w14:paraId="108EC740">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Hash_sign = SIGN_SHA256( BatchNo + PrivateKey_CA )    防伪签名哈希</w:t>
            </w:r>
          </w:p>
        </w:tc>
      </w:tr>
    </w:tbl>
    <w:p w14:paraId="0638C117">
      <w:pPr>
        <w:spacing w:after="40"/>
        <w:rPr>
          <w:rFonts w:hint="eastAsia" w:ascii="宋体" w:hAnsi="宋体" w:eastAsia="宋体" w:cs="宋体"/>
          <w:i w:val="0"/>
          <w:iCs w:val="0"/>
          <w:sz w:val="24"/>
          <w:szCs w:val="24"/>
        </w:rPr>
      </w:pPr>
    </w:p>
    <w:p w14:paraId="781DC275">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五阶段碳排定义详见本章三、2 LCA 核算引擎；</w:t>
      </w:r>
      <w:r>
        <w:rPr>
          <w:rFonts w:ascii="Times New Roman" w:hAnsi="Times New Roman" w:eastAsia="宋体" w:cs="Times New Roman"/>
          <w:b w:val="0"/>
          <w:i w:val="0"/>
          <w:color w:val="0284C7"/>
          <w:sz w:val="24"/>
          <w:szCs w:val="24"/>
        </w:rPr>
        <w:t xml:space="preserve"> Price_EU_ETS </w:t>
      </w:r>
      <w:r>
        <w:rPr>
          <w:rFonts w:ascii="Times New Roman" w:hAnsi="Times New Roman" w:eastAsia="宋体" w:cs="Times New Roman"/>
          <w:i w:val="0"/>
          <w:color w:val="1F2937"/>
          <w:sz w:val="24"/>
          <w:szCs w:val="24"/>
        </w:rPr>
        <w:t xml:space="preserve"> 为欧洲能源交易所碳配额结算均价；</w:t>
      </w:r>
      <w:r>
        <w:rPr>
          <w:rFonts w:ascii="Times New Roman" w:hAnsi="Times New Roman" w:eastAsia="宋体" w:cs="Times New Roman"/>
          <w:b w:val="0"/>
          <w:i w:val="0"/>
          <w:color w:val="0284C7"/>
          <w:sz w:val="24"/>
          <w:szCs w:val="24"/>
        </w:rPr>
        <w:t xml:space="preserve"> Price_Domestic </w:t>
      </w:r>
      <w:r>
        <w:rPr>
          <w:rFonts w:ascii="Times New Roman" w:hAnsi="Times New Roman" w:eastAsia="宋体" w:cs="Times New Roman"/>
          <w:i w:val="0"/>
          <w:color w:val="1F2937"/>
          <w:sz w:val="24"/>
          <w:szCs w:val="24"/>
        </w:rPr>
        <w:t xml:space="preserve"> 为国内已支付碳成本折算价。</w:t>
      </w:r>
    </w:p>
    <w:p w14:paraId="2FA0D389">
      <w:pPr>
        <w:pStyle w:val="6"/>
        <w:numPr>
          <w:ilvl w:val="0"/>
          <w:numId w:val="13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3ACC2F9F">
      <w:pPr>
        <w:pStyle w:val="19"/>
        <w:widowControl/>
        <w:numPr>
          <w:ilvl w:val="0"/>
          <w:numId w:val="14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边界口径</w:t>
      </w:r>
      <w:r>
        <w:rPr>
          <w:rFonts w:ascii="Times New Roman" w:hAnsi="Times New Roman" w:eastAsia="宋体" w:cs="Times New Roman"/>
          <w:i w:val="0"/>
          <w:color w:val="1F2937"/>
          <w:sz w:val="24"/>
          <w:szCs w:val="24"/>
        </w:rPr>
        <w:t>：对外展示统一采用 Cradle-to-Gate（摇篮到大门）边界，并在页面明确标注。</w:t>
      </w:r>
    </w:p>
    <w:p w14:paraId="77E76009">
      <w:pPr>
        <w:pStyle w:val="19"/>
        <w:widowControl/>
        <w:numPr>
          <w:ilvl w:val="0"/>
          <w:numId w:val="14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数据脱敏口径</w:t>
      </w:r>
      <w:r>
        <w:rPr>
          <w:rFonts w:ascii="Times New Roman" w:hAnsi="Times New Roman" w:eastAsia="宋体" w:cs="Times New Roman"/>
          <w:i w:val="0"/>
          <w:color w:val="1F2937"/>
          <w:sz w:val="24"/>
          <w:szCs w:val="24"/>
        </w:rPr>
        <w:t>：对外展示版本按白名单裁剪字段，不呈现供应商名称、工艺配方等 L2 以上敏感信息。</w:t>
      </w:r>
    </w:p>
    <w:p w14:paraId="3654EC5C">
      <w:pPr>
        <w:pStyle w:val="19"/>
        <w:widowControl/>
        <w:numPr>
          <w:ilvl w:val="0"/>
          <w:numId w:val="14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时效口径</w:t>
      </w:r>
      <w:r>
        <w:rPr>
          <w:rFonts w:ascii="Times New Roman" w:hAnsi="Times New Roman" w:eastAsia="宋体" w:cs="Times New Roman"/>
          <w:i w:val="0"/>
          <w:color w:val="1F2937"/>
          <w:sz w:val="24"/>
          <w:szCs w:val="24"/>
        </w:rPr>
        <w:t>：页面底部常驻展示数据截止时间与因子版本号。</w:t>
      </w:r>
    </w:p>
    <w:p w14:paraId="6BA00DFC">
      <w:pPr>
        <w:pStyle w:val="19"/>
        <w:widowControl/>
        <w:numPr>
          <w:ilvl w:val="0"/>
          <w:numId w:val="14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口径一致性</w:t>
      </w:r>
      <w:r>
        <w:rPr>
          <w:rFonts w:ascii="Times New Roman" w:hAnsi="Times New Roman" w:eastAsia="宋体" w:cs="Times New Roman"/>
          <w:i w:val="0"/>
          <w:color w:val="1F2937"/>
          <w:sz w:val="24"/>
          <w:szCs w:val="24"/>
        </w:rPr>
        <w:t>：对外展示的碳足迹数值必须与已签发认证报告完全一致，不允许展示草稿态数据。</w:t>
      </w:r>
    </w:p>
    <w:p w14:paraId="524F9B8C">
      <w:pPr>
        <w:pStyle w:val="6"/>
        <w:numPr>
          <w:ilvl w:val="0"/>
          <w:numId w:val="13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555468E4">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24D53D9F">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仅可展示状态为"已认证 / 已发布"的 LCA 报告数据，草稿与送审态数据一律不上屏。</w:t>
            </w:r>
          </w:p>
          <w:p w14:paraId="3A6A2C03">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对外展示不得包含未脱敏的供应商名称、工艺配方等敏感字段。</w:t>
            </w:r>
          </w:p>
          <w:p w14:paraId="2839BF66">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欧盟碳价超 24 小时未同步：触发 </w:t>
            </w:r>
            <w:r>
              <w:rPr>
                <w:rFonts w:hint="eastAsia" w:ascii="宋体" w:hAnsi="宋体" w:eastAsia="宋体" w:cs="宋体"/>
                <w:b w:val="0"/>
                <w:i w:val="0"/>
                <w:iCs w:val="0"/>
                <w:color w:val="0284C7"/>
                <w:sz w:val="24"/>
                <w:szCs w:val="24"/>
              </w:rPr>
              <w:t xml:space="preserve"> E_EXT_ETS_PRICE_STALE </w:t>
            </w:r>
            <w:r>
              <w:rPr>
                <w:rFonts w:hint="eastAsia" w:ascii="宋体" w:hAnsi="宋体" w:eastAsia="宋体" w:cs="宋体"/>
                <w:i w:val="0"/>
                <w:iCs w:val="0"/>
                <w:color w:val="1F2937"/>
                <w:sz w:val="24"/>
                <w:szCs w:val="24"/>
              </w:rPr>
              <w:t>，页面标黄并标注价格时间戳。</w:t>
            </w:r>
          </w:p>
          <w:p w14:paraId="5DD4B06D">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二维码签名校验失败：弹窗标注"验真失败"并不展示溯源明细。</w:t>
            </w:r>
          </w:p>
          <w:p w14:paraId="40B224D5">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无已签发报告的产品：入口不出现，不显示空白占位。</w:t>
            </w:r>
          </w:p>
        </w:tc>
      </w:tr>
    </w:tbl>
    <w:p w14:paraId="4D748162">
      <w:pPr>
        <w:spacing w:after="40"/>
        <w:rPr>
          <w:rFonts w:hint="eastAsia" w:ascii="宋体" w:hAnsi="宋体" w:eastAsia="宋体" w:cs="宋体"/>
          <w:i w:val="0"/>
          <w:iCs w:val="0"/>
          <w:sz w:val="24"/>
          <w:szCs w:val="24"/>
        </w:rPr>
      </w:pPr>
    </w:p>
    <w:p w14:paraId="7E6E09CD">
      <w:pPr>
        <w:pStyle w:val="6"/>
        <w:numPr>
          <w:ilvl w:val="0"/>
          <w:numId w:val="137"/>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74AE3A39">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08FFFAC1">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对外示范窗口碳足迹驾驶舱</w:t>
            </w:r>
          </w:p>
          <w:p w14:paraId="3117BB3D">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仅展示已认证数据</w:t>
            </w:r>
          </w:p>
          <w:p w14:paraId="5892210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系统内存在草稿态、送审态与已认证态三种 LCA 报告</w:t>
            </w:r>
          </w:p>
          <w:p w14:paraId="75B5779B">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对外示范驾驶舱渲染 LCA 碳足迹全景桑基图</w:t>
            </w:r>
          </w:p>
          <w:p w14:paraId="2D58FFD1">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仅呈现状态为"已认证"或"已发布"的报告数据</w:t>
            </w:r>
          </w:p>
          <w:p w14:paraId="38A069F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草稿态与送审态数据不入屏</w:t>
            </w:r>
          </w:p>
          <w:p w14:paraId="556303E4">
            <w:pPr>
              <w:spacing w:before="0" w:after="20" w:line="264" w:lineRule="auto"/>
              <w:rPr>
                <w:rFonts w:hint="eastAsia" w:ascii="宋体" w:hAnsi="宋体" w:eastAsia="宋体" w:cs="宋体"/>
                <w:i w:val="0"/>
                <w:iCs w:val="0"/>
                <w:sz w:val="24"/>
                <w:szCs w:val="24"/>
              </w:rPr>
            </w:pPr>
          </w:p>
          <w:p w14:paraId="72936343">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二维码验真演示</w:t>
            </w:r>
          </w:p>
          <w:p w14:paraId="44505DFB">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某产品数字碳标签已由认证机构签发</w:t>
            </w:r>
          </w:p>
          <w:p w14:paraId="6EFDCFE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参观者扫码触发查验弹窗</w:t>
            </w:r>
          </w:p>
          <w:p w14:paraId="480AC4CC">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弹窗呈现 EPC 编码、防伪签名哈希与溯源链摘要</w:t>
            </w:r>
          </w:p>
          <w:p w14:paraId="4004B39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签名校验失败时标注"验真失败"且不展示溯源明细</w:t>
            </w:r>
          </w:p>
          <w:p w14:paraId="12C5D291">
            <w:pPr>
              <w:spacing w:before="0" w:after="20" w:line="264" w:lineRule="auto"/>
              <w:rPr>
                <w:rFonts w:hint="eastAsia" w:ascii="宋体" w:hAnsi="宋体" w:eastAsia="宋体" w:cs="宋体"/>
                <w:i w:val="0"/>
                <w:iCs w:val="0"/>
                <w:sz w:val="24"/>
                <w:szCs w:val="24"/>
              </w:rPr>
            </w:pPr>
          </w:p>
          <w:p w14:paraId="5DC77A51">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碳价滞后的客观提示</w:t>
            </w:r>
          </w:p>
          <w:p w14:paraId="6CA736D3">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欧洲能源交易所 ETS 价格超过 24 小时未同步</w:t>
            </w:r>
          </w:p>
          <w:p w14:paraId="5D7EED5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页面渲染 CBAM 关税节省测算总览</w:t>
            </w:r>
          </w:p>
          <w:p w14:paraId="398CB693">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结果上方以黄色提示框注明碳价滞后并展示价格时间戳</w:t>
            </w:r>
          </w:p>
          <w:p w14:paraId="2889E581">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返回 E_EXT_ETS_PRICE_STALE</w:t>
            </w:r>
          </w:p>
        </w:tc>
      </w:tr>
    </w:tbl>
    <w:p w14:paraId="5578F86A">
      <w:pPr>
        <w:spacing w:after="40"/>
        <w:rPr>
          <w:rFonts w:hint="eastAsia" w:ascii="宋体" w:hAnsi="宋体" w:eastAsia="宋体" w:cs="宋体"/>
          <w:i w:val="0"/>
          <w:iCs w:val="0"/>
          <w:sz w:val="24"/>
          <w:szCs w:val="24"/>
        </w:rPr>
      </w:pPr>
    </w:p>
    <w:p w14:paraId="61235EAF">
      <w:pPr>
        <w:pStyle w:val="4"/>
        <w:numPr>
          <w:ilvl w:val="0"/>
          <w:numId w:val="135"/>
        </w:numPr>
        <w:topLinePunct w:val="0"/>
        <w:ind w:left="0" w:leftChars="0" w:firstLine="0" w:firstLineChars="0"/>
        <w:outlineLvl w:val="0"/>
        <w:rPr>
          <w:rFonts w:hint="eastAsia" w:eastAsia="黑体"/>
          <w:b w:val="0"/>
          <w:bCs w:val="0"/>
          <w:sz w:val="30"/>
          <w:szCs w:val="32"/>
        </w:rPr>
      </w:pPr>
      <w:bookmarkStart w:id="42" w:name="_Toc14569"/>
      <w:r>
        <w:rPr>
          <w:rFonts w:ascii="Times New Roman" w:hAnsi="Times New Roman" w:eastAsia="黑体" w:cs="Times New Roman"/>
          <w:b w:val="0"/>
          <w:bCs w:val="0"/>
          <w:sz w:val="30"/>
          <w:szCs w:val="32"/>
        </w:rPr>
        <w:t>多维分析</w:t>
      </w:r>
      <w:bookmarkEnd w:id="42"/>
    </w:p>
    <w:p w14:paraId="06C8EC8B">
      <w:pPr>
        <w:pStyle w:val="5"/>
        <w:numPr>
          <w:ilvl w:val="0"/>
          <w:numId w:val="142"/>
        </w:numPr>
        <w:ind w:left="0" w:leftChars="0" w:firstLine="0" w:firstLineChars="0"/>
        <w:outlineLvl w:val="1"/>
        <w:rPr>
          <w:rFonts w:eastAsia="黑体"/>
          <w:b w:val="0"/>
          <w:bCs w:val="0"/>
          <w:sz w:val="30"/>
          <w:szCs w:val="24"/>
        </w:rPr>
      </w:pPr>
      <w:bookmarkStart w:id="43" w:name="_Toc20078"/>
      <w:r>
        <w:rPr>
          <w:rFonts w:ascii="Times New Roman" w:hAnsi="Times New Roman" w:eastAsia="黑体" w:cs="Times New Roman"/>
          <w:b w:val="0"/>
          <w:bCs w:val="0"/>
          <w:sz w:val="30"/>
          <w:szCs w:val="24"/>
        </w:rPr>
        <w:t>横向对比</w:t>
      </w:r>
      <w:bookmarkEnd w:id="43"/>
    </w:p>
    <w:p w14:paraId="50F1CA14">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drawing>
          <wp:inline distT="0" distB="0" distL="114300" distR="114300">
            <wp:extent cx="5900420" cy="2925445"/>
            <wp:effectExtent l="0" t="0" r="5080" b="8255"/>
            <wp:docPr id="66"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22"/>
                    <pic:cNvPicPr>
                      <a:picLocks noChangeAspect="1"/>
                    </pic:cNvPicPr>
                  </pic:nvPicPr>
                  <pic:blipFill>
                    <a:blip r:embed="rId80"/>
                    <a:stretch>
                      <a:fillRect/>
                    </a:stretch>
                  </pic:blipFill>
                  <pic:spPr>
                    <a:xfrm>
                      <a:off x="0" y="0"/>
                      <a:ext cx="5900420" cy="2925445"/>
                    </a:xfrm>
                    <a:prstGeom prst="rect">
                      <a:avLst/>
                    </a:prstGeom>
                    <a:noFill/>
                    <a:ln>
                      <a:noFill/>
                    </a:ln>
                  </pic:spPr>
                </pic:pic>
              </a:graphicData>
            </a:graphic>
          </wp:inline>
        </w:drawing>
      </w:r>
    </w:p>
    <w:p w14:paraId="26FC4F4B">
      <w:pPr>
        <w:pStyle w:val="6"/>
        <w:numPr>
          <w:ilvl w:val="0"/>
          <w:numId w:val="14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346A75C2">
      <w:pPr>
        <w:pStyle w:val="19"/>
        <w:widowControl/>
        <w:numPr>
          <w:ilvl w:val="0"/>
          <w:numId w:val="14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：支持不同生产基地生产的同规格产品按五大阶段横向对标，挖掘各基地工艺工序降碳潜力。</w:t>
      </w:r>
    </w:p>
    <w:p w14:paraId="77CCF29C">
      <w:pPr>
        <w:pStyle w:val="19"/>
        <w:widowControl/>
        <w:numPr>
          <w:ilvl w:val="0"/>
          <w:numId w:val="14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：P4 碳核算工程师、P2 园区能碳专员。</w:t>
      </w:r>
    </w:p>
    <w:p w14:paraId="62F61F85">
      <w:pPr>
        <w:pStyle w:val="19"/>
        <w:widowControl/>
        <w:numPr>
          <w:ilvl w:val="0"/>
          <w:numId w:val="14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/carbon-footprint/analysis/compare </w:t>
      </w:r>
      <w:r>
        <w:rPr>
          <w:rFonts w:ascii="Times New Roman" w:hAnsi="Times New Roman" w:eastAsia="宋体" w:cs="Times New Roman"/>
          <w:i w:val="0"/>
          <w:color w:val="1F2937"/>
          <w:sz w:val="24"/>
          <w:szCs w:val="24"/>
        </w:rPr>
        <w:t>。</w:t>
      </w:r>
    </w:p>
    <w:p w14:paraId="051A79B8">
      <w:pPr>
        <w:pStyle w:val="19"/>
        <w:widowControl/>
        <w:numPr>
          <w:ilvl w:val="0"/>
          <w:numId w:val="14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：LCA 核算引擎结果、产品 BOM、经营单位主数据、销售订单与生产计划。</w:t>
      </w:r>
    </w:p>
    <w:p w14:paraId="6B622F5D">
      <w:pPr>
        <w:pStyle w:val="19"/>
        <w:widowControl/>
        <w:numPr>
          <w:ilvl w:val="0"/>
          <w:numId w:val="14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：基地降碳改进清单、碳热点分析输入。</w:t>
      </w:r>
    </w:p>
    <w:p w14:paraId="6C7FFA19">
      <w:pPr>
        <w:pStyle w:val="6"/>
        <w:numPr>
          <w:ilvl w:val="0"/>
          <w:numId w:val="14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42F84533">
      <w:pPr>
        <w:pStyle w:val="19"/>
        <w:widowControl/>
        <w:numPr>
          <w:ilvl w:val="0"/>
          <w:numId w:val="14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：集团层面比较沈变厂与衡变厂同型号 220kV 油浸式变压器的碳足迹差异，定位工艺工序降碳空间。</w:t>
      </w:r>
    </w:p>
    <w:p w14:paraId="47FA7879">
      <w:pPr>
        <w:pStyle w:val="19"/>
        <w:widowControl/>
        <w:numPr>
          <w:ilvl w:val="0"/>
          <w:numId w:val="14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16DC5FF8">
      <w:pPr>
        <w:pStyle w:val="19"/>
        <w:widowControl/>
        <w:numPr>
          <w:ilvl w:val="0"/>
          <w:numId w:val="145"/>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碳核算与认证工程师 (Persona P4)</w:t>
      </w:r>
      <w:r>
        <w:rPr>
          <w:rFonts w:ascii="Times New Roman" w:hAnsi="Times New Roman" w:eastAsia="宋体" w:cs="Times New Roman"/>
          <w:i w:val="0"/>
          <w:color w:val="1F2937"/>
          <w:sz w:val="24"/>
          <w:szCs w:val="24"/>
        </w:rPr>
        <w:t>，</w:t>
      </w:r>
    </w:p>
    <w:p w14:paraId="4E517880">
      <w:pPr>
        <w:pStyle w:val="19"/>
        <w:widowControl/>
        <w:numPr>
          <w:ilvl w:val="0"/>
          <w:numId w:val="145"/>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选择同规格产品按五大阶段横向对标各生产基地的单位产品碳足迹并下钻至主材与工序构成</w:t>
      </w:r>
      <w:r>
        <w:rPr>
          <w:rFonts w:ascii="Times New Roman" w:hAnsi="Times New Roman" w:eastAsia="宋体" w:cs="Times New Roman"/>
          <w:i w:val="0"/>
          <w:color w:val="1F2937"/>
          <w:sz w:val="24"/>
          <w:szCs w:val="24"/>
        </w:rPr>
        <w:t>，</w:t>
      </w:r>
    </w:p>
    <w:p w14:paraId="63C90728">
      <w:pPr>
        <w:pStyle w:val="19"/>
        <w:widowControl/>
        <w:numPr>
          <w:ilvl w:val="0"/>
          <w:numId w:val="145"/>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我能精准定位各基地的工艺降碳潜力并推动横向最佳实践复制</w:t>
      </w:r>
      <w:r>
        <w:rPr>
          <w:rFonts w:ascii="Times New Roman" w:hAnsi="Times New Roman" w:eastAsia="宋体" w:cs="Times New Roman"/>
          <w:i w:val="0"/>
          <w:color w:val="1F2937"/>
          <w:sz w:val="24"/>
          <w:szCs w:val="24"/>
        </w:rPr>
        <w:t>。</w:t>
      </w:r>
    </w:p>
    <w:p w14:paraId="5D7B222D">
      <w:pPr>
        <w:pStyle w:val="6"/>
        <w:numPr>
          <w:ilvl w:val="0"/>
          <w:numId w:val="14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71F1E431">
      <w:pPr>
        <w:pStyle w:val="19"/>
        <w:widowControl/>
        <w:numPr>
          <w:ilvl w:val="0"/>
          <w:numId w:val="14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业务级联筛选器</w:t>
      </w:r>
      <w:r>
        <w:rPr>
          <w:rFonts w:ascii="Times New Roman" w:hAnsi="Times New Roman" w:eastAsia="宋体" w:cs="Times New Roman"/>
          <w:i w:val="0"/>
          <w:color w:val="1F2937"/>
          <w:sz w:val="24"/>
          <w:szCs w:val="24"/>
        </w:rPr>
        <w:t>：产业 → 产线 → 产品类别 → 产品型号（可搜索 ComboBox）→ 经营单位 → 销售订单 → 生产计划；上级变更逐级重置下级到首项。</w:t>
      </w:r>
    </w:p>
    <w:p w14:paraId="03E3BCE3">
      <w:pPr>
        <w:pStyle w:val="19"/>
        <w:widowControl/>
        <w:numPr>
          <w:ilvl w:val="0"/>
          <w:numId w:val="14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特征量（feature）</w:t>
      </w:r>
      <w:r>
        <w:rPr>
          <w:rFonts w:ascii="Times New Roman" w:hAnsi="Times New Roman" w:eastAsia="宋体" w:cs="Times New Roman"/>
          <w:i w:val="0"/>
          <w:color w:val="1F2937"/>
          <w:sz w:val="24"/>
          <w:szCs w:val="24"/>
        </w:rPr>
        <w:t>：变压器按 kVA、电缆按 km、开关按 台/间隔，单位产品碳足迹以 kgCO2/特征量 表达，保证跨型号可比。</w:t>
      </w:r>
    </w:p>
    <w:p w14:paraId="16068FB6">
      <w:pPr>
        <w:pStyle w:val="19"/>
        <w:widowControl/>
        <w:numPr>
          <w:ilvl w:val="0"/>
          <w:numId w:val="14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重点指标区</w:t>
      </w:r>
      <w:r>
        <w:rPr>
          <w:rFonts w:ascii="Times New Roman" w:hAnsi="Times New Roman" w:eastAsia="宋体" w:cs="Times New Roman"/>
          <w:i w:val="0"/>
          <w:color w:val="1F2937"/>
          <w:sz w:val="24"/>
          <w:szCs w:val="24"/>
        </w:rPr>
        <w:t>：3 张 KpiCard（对比经营单位数、生产总数、单位产品碳足迹均值）。</w:t>
      </w:r>
    </w:p>
    <w:p w14:paraId="5846B34E">
      <w:pPr>
        <w:pStyle w:val="19"/>
        <w:widowControl/>
        <w:numPr>
          <w:ilvl w:val="0"/>
          <w:numId w:val="14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主对比图</w:t>
      </w:r>
      <w:r>
        <w:rPr>
          <w:rFonts w:ascii="Times New Roman" w:hAnsi="Times New Roman" w:eastAsia="宋体" w:cs="Times New Roman"/>
          <w:i w:val="0"/>
          <w:color w:val="1F2937"/>
          <w:sz w:val="24"/>
          <w:szCs w:val="24"/>
        </w:rPr>
        <w:t>：BarBenchmark 横向对比各经营单位单位产品碳足迹，基准线为虚线，超基准柱标红，达标柱主色。</w:t>
      </w:r>
    </w:p>
    <w:p w14:paraId="4A871900">
      <w:pPr>
        <w:pStyle w:val="19"/>
        <w:widowControl/>
        <w:numPr>
          <w:ilvl w:val="0"/>
          <w:numId w:val="14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经营单位排名表</w:t>
      </w:r>
      <w:r>
        <w:rPr>
          <w:rFonts w:ascii="Times New Roman" w:hAnsi="Times New Roman" w:eastAsia="宋体" w:cs="Times New Roman"/>
          <w:i w:val="0"/>
          <w:color w:val="1F2937"/>
          <w:sz w:val="24"/>
          <w:szCs w:val="24"/>
        </w:rPr>
        <w:t>：按单位产品碳足迹升序，第 1 名挂 Award 标杆徽标；项目公司行置灰且不计入排名序号；每行右侧"下钻"。</w:t>
      </w:r>
    </w:p>
    <w:p w14:paraId="70974532">
      <w:pPr>
        <w:pStyle w:val="19"/>
        <w:widowControl/>
        <w:numPr>
          <w:ilvl w:val="0"/>
          <w:numId w:val="14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下钻弹窗（Modal）</w:t>
      </w:r>
      <w:r>
        <w:rPr>
          <w:rFonts w:ascii="Times New Roman" w:hAnsi="Times New Roman" w:eastAsia="宋体" w:cs="Times New Roman"/>
          <w:i w:val="0"/>
          <w:color w:val="1F2937"/>
          <w:sz w:val="24"/>
          <w:szCs w:val="24"/>
        </w:rPr>
        <w:t>：标题 = 型号 + 经营单位；内容含 ① 生命周期构成 Donut（原材料/生产/运输…）② 主材碳排条形 ③ 工序碳排条形 ④ 该单位该型号销售订单列表（客户/数量/单台 tCO2/拆分生产计划标签）；底部"碳足迹详情"跳转实景数据库 / 碳足迹核算。</w:t>
      </w:r>
    </w:p>
    <w:p w14:paraId="30DEDD77">
      <w:pPr>
        <w:pStyle w:val="6"/>
        <w:numPr>
          <w:ilvl w:val="0"/>
          <w:numId w:val="14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82"/>
        <w:gridCol w:w="2106"/>
        <w:gridCol w:w="1365"/>
        <w:gridCol w:w="1635"/>
        <w:gridCol w:w="3796"/>
      </w:tblGrid>
      <w:tr w14:paraId="62AEA626">
        <w:tblPrEx>
          <w:tblCellMar>
            <w:top w:w="0" w:type="dxa"/>
            <w:left w:w="108" w:type="dxa"/>
            <w:bottom w:w="0" w:type="dxa"/>
            <w:right w:w="108" w:type="dxa"/>
          </w:tblCellMar>
        </w:tblPrEx>
        <w:trPr>
          <w:jc w:val="center"/>
        </w:trPr>
        <w:tc>
          <w:tcPr>
            <w:tcW w:w="88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25D53A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210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257A0F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36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70035F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F24A37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379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1C90B0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28C84052">
        <w:tblPrEx>
          <w:tblCellMar>
            <w:top w:w="0" w:type="dxa"/>
            <w:left w:w="108" w:type="dxa"/>
            <w:bottom w:w="0" w:type="dxa"/>
            <w:right w:w="108" w:type="dxa"/>
          </w:tblCellMar>
        </w:tblPrEx>
        <w:trPr>
          <w:jc w:val="center"/>
        </w:trPr>
        <w:tc>
          <w:tcPr>
            <w:tcW w:w="8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2A7BDD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21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7DAD4D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产业分类</w:t>
            </w:r>
          </w:p>
        </w:tc>
        <w:tc>
          <w:tcPr>
            <w:tcW w:w="136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4D87E7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F3CA20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79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34F272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变压器/线缆/开关，决定特征量口径</w:t>
            </w:r>
          </w:p>
        </w:tc>
      </w:tr>
      <w:tr w14:paraId="5FFCF85D">
        <w:tblPrEx>
          <w:tblCellMar>
            <w:top w:w="0" w:type="dxa"/>
            <w:left w:w="108" w:type="dxa"/>
            <w:bottom w:w="0" w:type="dxa"/>
            <w:right w:w="108" w:type="dxa"/>
          </w:tblCellMar>
        </w:tblPrEx>
        <w:trPr>
          <w:jc w:val="center"/>
        </w:trPr>
        <w:tc>
          <w:tcPr>
            <w:tcW w:w="8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B588B3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210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799BAC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产品型号</w:t>
            </w:r>
          </w:p>
        </w:tc>
        <w:tc>
          <w:tcPr>
            <w:tcW w:w="136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E07F0E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95D40A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79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FC8C66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ERP/PLM 物料主数据编码，非空</w:t>
            </w:r>
          </w:p>
        </w:tc>
      </w:tr>
      <w:tr w14:paraId="112FB517">
        <w:tblPrEx>
          <w:tblCellMar>
            <w:top w:w="0" w:type="dxa"/>
            <w:left w:w="108" w:type="dxa"/>
            <w:bottom w:w="0" w:type="dxa"/>
            <w:right w:w="108" w:type="dxa"/>
          </w:tblCellMar>
        </w:tblPrEx>
        <w:trPr>
          <w:jc w:val="center"/>
        </w:trPr>
        <w:tc>
          <w:tcPr>
            <w:tcW w:w="8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B4013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21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07C651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经营单位</w:t>
            </w:r>
          </w:p>
        </w:tc>
        <w:tc>
          <w:tcPr>
            <w:tcW w:w="136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4B1A37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FBB136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79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2CAEB4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六级组织架构经营单位节点</w:t>
            </w:r>
          </w:p>
        </w:tc>
      </w:tr>
      <w:tr w14:paraId="16A08AFB">
        <w:tblPrEx>
          <w:tblCellMar>
            <w:top w:w="0" w:type="dxa"/>
            <w:left w:w="108" w:type="dxa"/>
            <w:bottom w:w="0" w:type="dxa"/>
            <w:right w:w="108" w:type="dxa"/>
          </w:tblCellMar>
        </w:tblPrEx>
        <w:trPr>
          <w:jc w:val="center"/>
        </w:trPr>
        <w:tc>
          <w:tcPr>
            <w:tcW w:w="8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4A7828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210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EAB5BE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特征量数值</w:t>
            </w:r>
          </w:p>
        </w:tc>
        <w:tc>
          <w:tcPr>
            <w:tcW w:w="136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4E0CB4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3C16B1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kVA / km / 台</w:t>
            </w:r>
          </w:p>
        </w:tc>
        <w:tc>
          <w:tcPr>
            <w:tcW w:w="379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BFFD2D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&gt; 0，作为单位产品碳足迹分母</w:t>
            </w:r>
          </w:p>
        </w:tc>
      </w:tr>
      <w:tr w14:paraId="5DC703E0">
        <w:tblPrEx>
          <w:tblCellMar>
            <w:top w:w="0" w:type="dxa"/>
            <w:left w:w="108" w:type="dxa"/>
            <w:bottom w:w="0" w:type="dxa"/>
            <w:right w:w="108" w:type="dxa"/>
          </w:tblCellMar>
        </w:tblPrEx>
        <w:trPr>
          <w:jc w:val="center"/>
        </w:trPr>
        <w:tc>
          <w:tcPr>
            <w:tcW w:w="8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05A436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21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2D2359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单位产品碳足迹</w:t>
            </w:r>
          </w:p>
        </w:tc>
        <w:tc>
          <w:tcPr>
            <w:tcW w:w="136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0E6FCE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CAA771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kgCO2/特征量</w:t>
            </w:r>
          </w:p>
        </w:tc>
        <w:tc>
          <w:tcPr>
            <w:tcW w:w="379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C5DA45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E_{PCF} / Feature</w:t>
            </w:r>
            <w:r>
              <w:rPr>
                <w:rFonts w:hint="eastAsia" w:ascii="宋体" w:hAnsi="宋体" w:eastAsia="宋体" w:cs="宋体"/>
                <w:i w:val="0"/>
                <w:iCs w:val="0"/>
                <w:color w:val="1F2937"/>
                <w:sz w:val="24"/>
                <w:szCs w:val="24"/>
              </w:rPr>
              <w:t xml:space="preserve">，分母为 0 显示 </w:t>
            </w:r>
            <w:r>
              <w:rPr>
                <w:rFonts w:hint="eastAsia" w:ascii="宋体" w:hAnsi="宋体" w:eastAsia="宋体" w:cs="宋体"/>
                <w:b w:val="0"/>
                <w:i w:val="0"/>
                <w:iCs w:val="0"/>
                <w:color w:val="0284C7"/>
                <w:sz w:val="24"/>
                <w:szCs w:val="24"/>
              </w:rPr>
              <w:t xml:space="preserve"> -- </w:t>
            </w:r>
          </w:p>
        </w:tc>
      </w:tr>
      <w:tr w14:paraId="33AB818B">
        <w:tblPrEx>
          <w:tblCellMar>
            <w:top w:w="0" w:type="dxa"/>
            <w:left w:w="108" w:type="dxa"/>
            <w:bottom w:w="0" w:type="dxa"/>
            <w:right w:w="108" w:type="dxa"/>
          </w:tblCellMar>
        </w:tblPrEx>
        <w:trPr>
          <w:jc w:val="center"/>
        </w:trPr>
        <w:tc>
          <w:tcPr>
            <w:tcW w:w="8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4E769A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210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05A8D2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单位产品碳足迹均值</w:t>
            </w:r>
          </w:p>
        </w:tc>
        <w:tc>
          <w:tcPr>
            <w:tcW w:w="136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70341E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D02064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kgCO2/特征量</w:t>
            </w:r>
          </w:p>
        </w:tc>
        <w:tc>
          <w:tcPr>
            <w:tcW w:w="379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B0C455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所选范围内算术平均，空集显示 </w:t>
            </w:r>
            <w:r>
              <w:rPr>
                <w:rFonts w:hint="eastAsia" w:ascii="宋体" w:hAnsi="宋体" w:eastAsia="宋体" w:cs="宋体"/>
                <w:b w:val="0"/>
                <w:i w:val="0"/>
                <w:iCs w:val="0"/>
                <w:color w:val="0284C7"/>
                <w:sz w:val="24"/>
                <w:szCs w:val="24"/>
              </w:rPr>
              <w:t xml:space="preserve"> -- </w:t>
            </w:r>
          </w:p>
        </w:tc>
      </w:tr>
      <w:tr w14:paraId="17B68063">
        <w:tblPrEx>
          <w:tblCellMar>
            <w:top w:w="0" w:type="dxa"/>
            <w:left w:w="108" w:type="dxa"/>
            <w:bottom w:w="0" w:type="dxa"/>
            <w:right w:w="108" w:type="dxa"/>
          </w:tblCellMar>
        </w:tblPrEx>
        <w:trPr>
          <w:jc w:val="center"/>
        </w:trPr>
        <w:tc>
          <w:tcPr>
            <w:tcW w:w="8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B8C118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21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E232AE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基准值</w:t>
            </w:r>
          </w:p>
        </w:tc>
        <w:tc>
          <w:tcPr>
            <w:tcW w:w="136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C8F80E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9F7F82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kgCO2/特征量</w:t>
            </w:r>
          </w:p>
        </w:tc>
        <w:tc>
          <w:tcPr>
            <w:tcW w:w="379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DA3954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取自基准管理配置</w:t>
            </w:r>
          </w:p>
        </w:tc>
      </w:tr>
      <w:tr w14:paraId="085761BA">
        <w:tblPrEx>
          <w:tblCellMar>
            <w:top w:w="0" w:type="dxa"/>
            <w:left w:w="108" w:type="dxa"/>
            <w:bottom w:w="0" w:type="dxa"/>
            <w:right w:w="108" w:type="dxa"/>
          </w:tblCellMar>
        </w:tblPrEx>
        <w:trPr>
          <w:jc w:val="center"/>
        </w:trPr>
        <w:tc>
          <w:tcPr>
            <w:tcW w:w="8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CB2B39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210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352EE1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达标状态</w:t>
            </w:r>
          </w:p>
        </w:tc>
        <w:tc>
          <w:tcPr>
            <w:tcW w:w="136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5B1BF3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3E381E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79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B01567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达标（主色）/ 超基准（红色）</w:t>
            </w:r>
          </w:p>
        </w:tc>
      </w:tr>
      <w:tr w14:paraId="732C4EB2">
        <w:tblPrEx>
          <w:tblCellMar>
            <w:top w:w="0" w:type="dxa"/>
            <w:left w:w="108" w:type="dxa"/>
            <w:bottom w:w="0" w:type="dxa"/>
            <w:right w:w="108" w:type="dxa"/>
          </w:tblCellMar>
        </w:tblPrEx>
        <w:trPr>
          <w:jc w:val="center"/>
        </w:trPr>
        <w:tc>
          <w:tcPr>
            <w:tcW w:w="88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349535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21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E6C5B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销售订单数量</w:t>
            </w:r>
          </w:p>
        </w:tc>
        <w:tc>
          <w:tcPr>
            <w:tcW w:w="136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2228B7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AFD7A8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台 / km</w:t>
            </w:r>
          </w:p>
        </w:tc>
        <w:tc>
          <w:tcPr>
            <w:tcW w:w="379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959C39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关联销售订单实际数量</w:t>
            </w:r>
          </w:p>
        </w:tc>
      </w:tr>
      <w:tr w14:paraId="1EA4A89F">
        <w:tblPrEx>
          <w:tblCellMar>
            <w:top w:w="0" w:type="dxa"/>
            <w:left w:w="108" w:type="dxa"/>
            <w:bottom w:w="0" w:type="dxa"/>
            <w:right w:w="108" w:type="dxa"/>
          </w:tblCellMar>
        </w:tblPrEx>
        <w:trPr>
          <w:jc w:val="center"/>
        </w:trPr>
        <w:tc>
          <w:tcPr>
            <w:tcW w:w="88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9CF110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210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5D9CEA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项目公司标识</w:t>
            </w:r>
          </w:p>
        </w:tc>
        <w:tc>
          <w:tcPr>
            <w:tcW w:w="136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770040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Boolean</w:t>
            </w:r>
          </w:p>
        </w:tc>
        <w:tc>
          <w:tcPr>
            <w:tcW w:w="16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674772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79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F94954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为真时该行置灰且不计入排名</w:t>
            </w:r>
          </w:p>
        </w:tc>
      </w:tr>
    </w:tbl>
    <w:p w14:paraId="0CF3077D">
      <w:pPr>
        <w:spacing w:after="60"/>
        <w:rPr>
          <w:rFonts w:hint="eastAsia" w:ascii="宋体" w:hAnsi="宋体" w:eastAsia="宋体" w:cs="宋体"/>
          <w:i w:val="0"/>
          <w:iCs w:val="0"/>
          <w:sz w:val="24"/>
          <w:szCs w:val="24"/>
        </w:rPr>
      </w:pPr>
    </w:p>
    <w:p w14:paraId="0B102A31">
      <w:pPr>
        <w:spacing w:after="60"/>
        <w:rPr>
          <w:rFonts w:hint="eastAsia" w:ascii="宋体" w:hAnsi="宋体" w:eastAsia="宋体" w:cs="宋体"/>
          <w:i w:val="0"/>
          <w:iCs w:val="0"/>
          <w:sz w:val="24"/>
          <w:szCs w:val="24"/>
        </w:rPr>
      </w:pPr>
    </w:p>
    <w:p w14:paraId="3C4A3CFD">
      <w:pPr>
        <w:pStyle w:val="6"/>
        <w:numPr>
          <w:ilvl w:val="0"/>
          <w:numId w:val="14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08FE8C20">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4F616B59">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CF_unit = E_PCF / Feature                                 单位产品碳足迹</w:t>
            </w:r>
          </w:p>
          <w:p w14:paraId="5491E867">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R_stage = E_stage / E_PCF × 100%                          各阶段构成占比</w:t>
            </w:r>
          </w:p>
          <w:p w14:paraId="24C32F49">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Mean_unit = Σ CF_unit,i / N                               单位产品碳足迹均值</w:t>
            </w:r>
          </w:p>
          <w:p w14:paraId="72010478">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Status = CF_unit &lt;= Benchmark ? 达标 : 超基准              达标判定</w:t>
            </w:r>
          </w:p>
        </w:tc>
      </w:tr>
    </w:tbl>
    <w:p w14:paraId="1B8DB53C">
      <w:pPr>
        <w:spacing w:after="40"/>
        <w:rPr>
          <w:rFonts w:hint="eastAsia" w:ascii="宋体" w:hAnsi="宋体" w:eastAsia="宋体" w:cs="宋体"/>
          <w:i w:val="0"/>
          <w:iCs w:val="0"/>
          <w:sz w:val="24"/>
          <w:szCs w:val="24"/>
        </w:rPr>
      </w:pPr>
    </w:p>
    <w:p w14:paraId="21E845CF">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w:t>
      </w:r>
      <w:r>
        <w:rPr>
          <w:rFonts w:ascii="Times New Roman" w:hAnsi="Times New Roman" w:eastAsia="宋体" w:cs="Times New Roman"/>
          <w:b w:val="0"/>
          <w:i w:val="0"/>
          <w:color w:val="0284C7"/>
          <w:sz w:val="24"/>
          <w:szCs w:val="24"/>
        </w:rPr>
        <w:t xml:space="preserve"> Feature </w:t>
      </w:r>
      <w:r>
        <w:rPr>
          <w:rFonts w:ascii="Times New Roman" w:hAnsi="Times New Roman" w:eastAsia="宋体" w:cs="Times New Roman"/>
          <w:i w:val="0"/>
          <w:color w:val="1F2937"/>
          <w:sz w:val="24"/>
          <w:szCs w:val="24"/>
        </w:rPr>
        <w:t xml:space="preserve"> 为特征量（变压器 kVA、电缆 km、开关 台/间隔）；</w:t>
      </w:r>
      <w:r>
        <w:rPr>
          <w:rFonts w:ascii="Times New Roman" w:hAnsi="Times New Roman" w:eastAsia="宋体" w:cs="Times New Roman"/>
          <w:b w:val="0"/>
          <w:i w:val="0"/>
          <w:color w:val="0284C7"/>
          <w:sz w:val="24"/>
          <w:szCs w:val="24"/>
        </w:rPr>
        <w:t xml:space="preserve"> E_PCF </w:t>
      </w:r>
      <w:r>
        <w:rPr>
          <w:rFonts w:ascii="Times New Roman" w:hAnsi="Times New Roman" w:eastAsia="宋体" w:cs="Times New Roman"/>
          <w:i w:val="0"/>
          <w:color w:val="1F2937"/>
          <w:sz w:val="24"/>
          <w:szCs w:val="24"/>
        </w:rPr>
        <w:t xml:space="preserve"> 为该单位该型号的单台全生命周期碳足迹。</w:t>
      </w:r>
    </w:p>
    <w:p w14:paraId="207BB16A">
      <w:pPr>
        <w:pStyle w:val="6"/>
        <w:numPr>
          <w:ilvl w:val="0"/>
          <w:numId w:val="14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49BDCDBA">
      <w:pPr>
        <w:pStyle w:val="19"/>
        <w:widowControl/>
        <w:numPr>
          <w:ilvl w:val="0"/>
          <w:numId w:val="14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可比口径</w:t>
      </w:r>
      <w:r>
        <w:rPr>
          <w:rFonts w:ascii="Times New Roman" w:hAnsi="Times New Roman" w:eastAsia="宋体" w:cs="Times New Roman"/>
          <w:i w:val="0"/>
          <w:color w:val="1F2937"/>
          <w:sz w:val="24"/>
          <w:szCs w:val="24"/>
        </w:rPr>
        <w:t>：所有对比必须在同一特征量口径下进行，严禁跨特征量（如 kVA 与 km）直接对比。</w:t>
      </w:r>
    </w:p>
    <w:p w14:paraId="2F88FED2">
      <w:pPr>
        <w:pStyle w:val="19"/>
        <w:widowControl/>
        <w:numPr>
          <w:ilvl w:val="0"/>
          <w:numId w:val="14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基准口径</w:t>
      </w:r>
      <w:r>
        <w:rPr>
          <w:rFonts w:ascii="Times New Roman" w:hAnsi="Times New Roman" w:eastAsia="宋体" w:cs="Times New Roman"/>
          <w:i w:val="0"/>
          <w:color w:val="1F2937"/>
          <w:sz w:val="24"/>
          <w:szCs w:val="24"/>
        </w:rPr>
        <w:t>：基准线取自基准管理配置，超基准柱标红。</w:t>
      </w:r>
    </w:p>
    <w:p w14:paraId="6D197E35">
      <w:pPr>
        <w:pStyle w:val="19"/>
        <w:widowControl/>
        <w:numPr>
          <w:ilvl w:val="0"/>
          <w:numId w:val="14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排名口径</w:t>
      </w:r>
      <w:r>
        <w:rPr>
          <w:rFonts w:ascii="Times New Roman" w:hAnsi="Times New Roman" w:eastAsia="宋体" w:cs="Times New Roman"/>
          <w:i w:val="0"/>
          <w:color w:val="1F2937"/>
          <w:sz w:val="24"/>
          <w:szCs w:val="24"/>
        </w:rPr>
        <w:t>：按单位产品碳足迹升序排名，第 1 名为低碳标杆；项目公司行置灰且不计入排名序号。</w:t>
      </w:r>
    </w:p>
    <w:p w14:paraId="5D14D410">
      <w:pPr>
        <w:pStyle w:val="19"/>
        <w:widowControl/>
        <w:numPr>
          <w:ilvl w:val="0"/>
          <w:numId w:val="14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筛级口径</w:t>
      </w:r>
      <w:r>
        <w:rPr>
          <w:rFonts w:ascii="Times New Roman" w:hAnsi="Times New Roman" w:eastAsia="宋体" w:cs="Times New Roman"/>
          <w:i w:val="0"/>
          <w:color w:val="1F2937"/>
          <w:sz w:val="24"/>
          <w:szCs w:val="24"/>
        </w:rPr>
        <w:t>：上级筛选变更时逐级重置下级到首项，避免残留无效组合。</w:t>
      </w:r>
    </w:p>
    <w:p w14:paraId="109B6DB8">
      <w:pPr>
        <w:pStyle w:val="6"/>
        <w:numPr>
          <w:ilvl w:val="0"/>
          <w:numId w:val="14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29983ABF">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3C086B8E">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特征量为 0 或缺失：单位产品碳足迹显示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，该实体不参与排名与均值计算。</w:t>
            </w:r>
          </w:p>
          <w:p w14:paraId="3432C40D">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筛选组合无数据：主对比图与排名表输出客观空态"当前条件下无可比数据"，不显示空白占位卡片。</w:t>
            </w:r>
          </w:p>
          <w:p w14:paraId="1349904E">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跨特征量对比：前端禁止（下拉互斥），后端 API 拒绝混合特征量请求。</w:t>
            </w:r>
          </w:p>
          <w:p w14:paraId="4175B919">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项目公司：强制置灰并排除排名统计。</w:t>
            </w:r>
          </w:p>
        </w:tc>
      </w:tr>
    </w:tbl>
    <w:p w14:paraId="1B565982">
      <w:pPr>
        <w:spacing w:after="40"/>
        <w:rPr>
          <w:rFonts w:hint="eastAsia" w:ascii="宋体" w:hAnsi="宋体" w:eastAsia="宋体" w:cs="宋体"/>
          <w:i w:val="0"/>
          <w:iCs w:val="0"/>
          <w:sz w:val="24"/>
          <w:szCs w:val="24"/>
        </w:rPr>
      </w:pPr>
    </w:p>
    <w:p w14:paraId="425806EB">
      <w:pPr>
        <w:pStyle w:val="6"/>
        <w:numPr>
          <w:ilvl w:val="0"/>
          <w:numId w:val="143"/>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4DBCF7F3">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025DE5F6">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碳排横向对比分析</w:t>
            </w:r>
          </w:p>
          <w:p w14:paraId="70D0C93D">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级联筛选器逐级重置</w:t>
            </w:r>
          </w:p>
          <w:p w14:paraId="3951E04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用户已在级联筛选器中选定"变压器产业 / 高压产线 / 220kV 油浸式变压器"</w:t>
            </w:r>
          </w:p>
          <w:p w14:paraId="3F719B5F">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用户将产业改为"线缆产业"</w:t>
            </w:r>
          </w:p>
          <w:p w14:paraId="4CD24066">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产线、产品类别、产品型号、经营单位等下级筛选器逐级重置到首项</w:t>
            </w:r>
          </w:p>
          <w:p w14:paraId="19BC8EDA">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主对比图与排名表同步刷新</w:t>
            </w:r>
          </w:p>
          <w:p w14:paraId="1EF889B1">
            <w:pPr>
              <w:spacing w:before="0" w:after="20" w:line="264" w:lineRule="auto"/>
              <w:rPr>
                <w:rFonts w:hint="eastAsia" w:ascii="宋体" w:hAnsi="宋体" w:eastAsia="宋体" w:cs="宋体"/>
                <w:i w:val="0"/>
                <w:iCs w:val="0"/>
                <w:sz w:val="24"/>
                <w:szCs w:val="24"/>
              </w:rPr>
            </w:pPr>
          </w:p>
          <w:p w14:paraId="4E14921D">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项目公司排除排名</w:t>
            </w:r>
          </w:p>
          <w:p w14:paraId="6FAE970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对比范围中包含项目公司</w:t>
            </w:r>
          </w:p>
          <w:p w14:paraId="445CF8F9">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系统生成经营单位排名表</w:t>
            </w:r>
          </w:p>
          <w:p w14:paraId="4EC7CF88">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项目公司行置灰且不计入排名序号</w:t>
            </w:r>
          </w:p>
          <w:p w14:paraId="60C01C89">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不参与单位产品碳足迹均值计算</w:t>
            </w:r>
          </w:p>
          <w:p w14:paraId="3EA4206A">
            <w:pPr>
              <w:spacing w:before="0" w:after="20" w:line="264" w:lineRule="auto"/>
              <w:rPr>
                <w:rFonts w:hint="eastAsia" w:ascii="宋体" w:hAnsi="宋体" w:eastAsia="宋体" w:cs="宋体"/>
                <w:i w:val="0"/>
                <w:iCs w:val="0"/>
                <w:sz w:val="24"/>
                <w:szCs w:val="24"/>
              </w:rPr>
            </w:pPr>
          </w:p>
          <w:p w14:paraId="6DE07AFE">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特征量为零安全兜底</w:t>
            </w:r>
          </w:p>
          <w:p w14:paraId="4E133FC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某经营单位某型号产品的特征量数值缺失</w:t>
            </w:r>
          </w:p>
          <w:p w14:paraId="086A558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页面渲染该行的单位产品碳足迹</w:t>
            </w:r>
          </w:p>
          <w:p w14:paraId="17786815">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该值显示为 "--"</w:t>
            </w:r>
          </w:p>
          <w:p w14:paraId="05AF32DA">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该行不参与降序排名与均值统计</w:t>
            </w:r>
          </w:p>
        </w:tc>
      </w:tr>
    </w:tbl>
    <w:p w14:paraId="304D430B">
      <w:pPr>
        <w:spacing w:after="40"/>
        <w:rPr>
          <w:rFonts w:hint="eastAsia" w:ascii="宋体" w:hAnsi="宋体" w:eastAsia="宋体" w:cs="宋体"/>
          <w:i w:val="0"/>
          <w:iCs w:val="0"/>
          <w:sz w:val="24"/>
          <w:szCs w:val="24"/>
        </w:rPr>
      </w:pPr>
    </w:p>
    <w:p w14:paraId="435205D0">
      <w:pPr>
        <w:pStyle w:val="5"/>
        <w:numPr>
          <w:ilvl w:val="0"/>
          <w:numId w:val="142"/>
        </w:numPr>
        <w:ind w:left="0" w:leftChars="0" w:firstLine="0" w:firstLineChars="0"/>
        <w:outlineLvl w:val="1"/>
        <w:rPr>
          <w:rFonts w:eastAsia="黑体"/>
          <w:b w:val="0"/>
          <w:bCs w:val="0"/>
          <w:sz w:val="30"/>
          <w:szCs w:val="24"/>
        </w:rPr>
      </w:pPr>
      <w:bookmarkStart w:id="44" w:name="_Toc23937"/>
      <w:r>
        <w:rPr>
          <w:rFonts w:ascii="Times New Roman" w:hAnsi="Times New Roman" w:eastAsia="黑体" w:cs="Times New Roman"/>
          <w:b w:val="0"/>
          <w:bCs w:val="0"/>
          <w:sz w:val="30"/>
          <w:szCs w:val="24"/>
        </w:rPr>
        <w:t>纵向</w:t>
      </w:r>
      <w:r>
        <w:rPr>
          <w:rFonts w:hint="eastAsia" w:cs="Times New Roman"/>
          <w:b w:val="0"/>
          <w:bCs w:val="0"/>
          <w:sz w:val="30"/>
          <w:szCs w:val="24"/>
          <w:lang w:val="en-US" w:eastAsia="zh-CN"/>
        </w:rPr>
        <w:t>对比</w:t>
      </w:r>
      <w:bookmarkEnd w:id="44"/>
    </w:p>
    <w:p w14:paraId="244118AD">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drawing>
          <wp:inline distT="0" distB="0" distL="114300" distR="114300">
            <wp:extent cx="5900420" cy="2925445"/>
            <wp:effectExtent l="0" t="0" r="5080" b="8255"/>
            <wp:docPr id="67"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23"/>
                    <pic:cNvPicPr>
                      <a:picLocks noChangeAspect="1"/>
                    </pic:cNvPicPr>
                  </pic:nvPicPr>
                  <pic:blipFill>
                    <a:blip r:embed="rId81"/>
                    <a:stretch>
                      <a:fillRect/>
                    </a:stretch>
                  </pic:blipFill>
                  <pic:spPr>
                    <a:xfrm>
                      <a:off x="0" y="0"/>
                      <a:ext cx="5900420" cy="2925445"/>
                    </a:xfrm>
                    <a:prstGeom prst="rect">
                      <a:avLst/>
                    </a:prstGeom>
                    <a:noFill/>
                    <a:ln>
                      <a:noFill/>
                    </a:ln>
                  </pic:spPr>
                </pic:pic>
              </a:graphicData>
            </a:graphic>
          </wp:inline>
        </w:drawing>
      </w:r>
    </w:p>
    <w:p w14:paraId="27195640">
      <w:pPr>
        <w:pStyle w:val="6"/>
        <w:numPr>
          <w:ilvl w:val="0"/>
          <w:numId w:val="14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7D1A5ACF">
      <w:pPr>
        <w:pStyle w:val="19"/>
        <w:widowControl/>
        <w:numPr>
          <w:ilvl w:val="0"/>
          <w:numId w:val="14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：按批次号追踪同一产品历年碳足迹演变趋势，提供原材料替代、绿电消纳提升及工艺优化的敏感性归因瀑布图。</w:t>
      </w:r>
    </w:p>
    <w:p w14:paraId="42571D17">
      <w:pPr>
        <w:pStyle w:val="19"/>
        <w:widowControl/>
        <w:numPr>
          <w:ilvl w:val="0"/>
          <w:numId w:val="14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：P4 碳核算工程师、技改项目经理。</w:t>
      </w:r>
    </w:p>
    <w:p w14:paraId="71219C10">
      <w:pPr>
        <w:pStyle w:val="19"/>
        <w:widowControl/>
        <w:numPr>
          <w:ilvl w:val="0"/>
          <w:numId w:val="14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/carbon-footprint/analysis/ranking </w:t>
      </w:r>
      <w:r>
        <w:rPr>
          <w:rFonts w:ascii="Times New Roman" w:hAnsi="Times New Roman" w:eastAsia="宋体" w:cs="Times New Roman"/>
          <w:i w:val="0"/>
          <w:color w:val="1F2937"/>
          <w:sz w:val="24"/>
          <w:szCs w:val="24"/>
        </w:rPr>
        <w:t>。</w:t>
      </w:r>
    </w:p>
    <w:p w14:paraId="759C4010">
      <w:pPr>
        <w:pStyle w:val="19"/>
        <w:widowControl/>
        <w:numPr>
          <w:ilvl w:val="0"/>
          <w:numId w:val="14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：批次级 LCA 核算结果、生产计划与销售订单、原材料替换记录。</w:t>
      </w:r>
    </w:p>
    <w:p w14:paraId="44583EE9">
      <w:pPr>
        <w:pStyle w:val="19"/>
        <w:widowControl/>
        <w:numPr>
          <w:ilvl w:val="0"/>
          <w:numId w:val="14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：减碳路径建议、技改立项依据。</w:t>
      </w:r>
    </w:p>
    <w:p w14:paraId="465D9A17">
      <w:pPr>
        <w:pStyle w:val="6"/>
        <w:numPr>
          <w:ilvl w:val="0"/>
          <w:numId w:val="14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740E3985">
      <w:pPr>
        <w:pStyle w:val="19"/>
        <w:widowControl/>
        <w:numPr>
          <w:ilvl w:val="0"/>
          <w:numId w:val="15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：追踪某主力型号变压器近 3 年碳足迹下降路径，量化高磁感取向硅钢片替代与绿电接入各自的贡献度。</w:t>
      </w:r>
    </w:p>
    <w:p w14:paraId="63CBA23C">
      <w:pPr>
        <w:pStyle w:val="19"/>
        <w:widowControl/>
        <w:numPr>
          <w:ilvl w:val="0"/>
          <w:numId w:val="15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4E2FD851">
      <w:pPr>
        <w:pStyle w:val="19"/>
        <w:widowControl/>
        <w:numPr>
          <w:ilvl w:val="0"/>
          <w:numId w:val="150"/>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碳核算与认证工程师 (Persona P4)</w:t>
      </w:r>
      <w:r>
        <w:rPr>
          <w:rFonts w:ascii="Times New Roman" w:hAnsi="Times New Roman" w:eastAsia="宋体" w:cs="Times New Roman"/>
          <w:i w:val="0"/>
          <w:color w:val="1F2937"/>
          <w:sz w:val="24"/>
          <w:szCs w:val="24"/>
        </w:rPr>
        <w:t>，</w:t>
      </w:r>
    </w:p>
    <w:p w14:paraId="1262B508">
      <w:pPr>
        <w:pStyle w:val="19"/>
        <w:widowControl/>
        <w:numPr>
          <w:ilvl w:val="0"/>
          <w:numId w:val="150"/>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按批次追踪同型号产品碳足迹演变，并以瀑布图量化各减碳举措的贡献度</w:t>
      </w:r>
      <w:r>
        <w:rPr>
          <w:rFonts w:ascii="Times New Roman" w:hAnsi="Times New Roman" w:eastAsia="宋体" w:cs="Times New Roman"/>
          <w:i w:val="0"/>
          <w:color w:val="1F2937"/>
          <w:sz w:val="24"/>
          <w:szCs w:val="24"/>
        </w:rPr>
        <w:t>，</w:t>
      </w:r>
    </w:p>
    <w:p w14:paraId="3FCAFA43">
      <w:pPr>
        <w:pStyle w:val="19"/>
        <w:widowControl/>
        <w:numPr>
          <w:ilvl w:val="0"/>
          <w:numId w:val="150"/>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我能识别最有效的减碳路径并复制到其他产线</w:t>
      </w:r>
      <w:r>
        <w:rPr>
          <w:rFonts w:ascii="Times New Roman" w:hAnsi="Times New Roman" w:eastAsia="宋体" w:cs="Times New Roman"/>
          <w:i w:val="0"/>
          <w:color w:val="1F2937"/>
          <w:sz w:val="24"/>
          <w:szCs w:val="24"/>
        </w:rPr>
        <w:t>。</w:t>
      </w:r>
    </w:p>
    <w:p w14:paraId="45A0DCCC">
      <w:pPr>
        <w:pStyle w:val="6"/>
        <w:numPr>
          <w:ilvl w:val="0"/>
          <w:numId w:val="14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0B63DF2B">
      <w:pPr>
        <w:pStyle w:val="19"/>
        <w:widowControl/>
        <w:numPr>
          <w:ilvl w:val="0"/>
          <w:numId w:val="15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左侧经营单位组织树</w:t>
      </w:r>
      <w:r>
        <w:rPr>
          <w:rFonts w:ascii="Times New Roman" w:hAnsi="Times New Roman" w:eastAsia="宋体" w:cs="Times New Roman"/>
          <w:i w:val="0"/>
          <w:color w:val="1F2937"/>
          <w:sz w:val="24"/>
          <w:szCs w:val="24"/>
        </w:rPr>
        <w:t>：集团 → 板块 → 经营单位，可展开/收起；项目公司置灰；点击切换 scope（默认"全部经营单位" = 跨单位均值）。</w:t>
      </w:r>
    </w:p>
    <w:p w14:paraId="7EE865FA">
      <w:pPr>
        <w:pStyle w:val="19"/>
        <w:widowControl/>
        <w:numPr>
          <w:ilvl w:val="0"/>
          <w:numId w:val="15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级联筛选</w:t>
      </w:r>
      <w:r>
        <w:rPr>
          <w:rFonts w:ascii="Times New Roman" w:hAnsi="Times New Roman" w:eastAsia="宋体" w:cs="Times New Roman"/>
          <w:i w:val="0"/>
          <w:color w:val="1F2937"/>
          <w:sz w:val="24"/>
          <w:szCs w:val="24"/>
        </w:rPr>
        <w:t>：产业 / 产线 / 类别 / 时间。</w:t>
      </w:r>
    </w:p>
    <w:p w14:paraId="39D9F2F6">
      <w:pPr>
        <w:pStyle w:val="19"/>
        <w:widowControl/>
        <w:numPr>
          <w:ilvl w:val="0"/>
          <w:numId w:val="15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重点指标区</w:t>
      </w:r>
      <w:r>
        <w:rPr>
          <w:rFonts w:ascii="Times New Roman" w:hAnsi="Times New Roman" w:eastAsia="宋体" w:cs="Times New Roman"/>
          <w:i w:val="0"/>
          <w:color w:val="1F2937"/>
          <w:sz w:val="24"/>
          <w:szCs w:val="24"/>
        </w:rPr>
        <w:t>：3 张 KpiCard（型号数量、生产总数、单位产品碳足迹均值，随 scope 重算）。</w:t>
      </w:r>
    </w:p>
    <w:p w14:paraId="1A36A312">
      <w:pPr>
        <w:pStyle w:val="19"/>
        <w:widowControl/>
        <w:numPr>
          <w:ilvl w:val="0"/>
          <w:numId w:val="15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红榜 Top5 / 黑榜 Top5</w:t>
      </w:r>
      <w:r>
        <w:rPr>
          <w:rFonts w:ascii="Times New Roman" w:hAnsi="Times New Roman" w:eastAsia="宋体" w:cs="Times New Roman"/>
          <w:i w:val="0"/>
          <w:color w:val="1F2937"/>
          <w:sz w:val="24"/>
          <w:szCs w:val="24"/>
        </w:rPr>
        <w:t>：型号按单位产品碳足迹升序，前 n 入红榜（低碳标杆），后 n 入黑榜（改进对象）；红榜第 1 挂 Award、黑榜第 1 挂 TriangleAlert。</w:t>
      </w:r>
    </w:p>
    <w:p w14:paraId="754E84B3">
      <w:pPr>
        <w:pStyle w:val="19"/>
        <w:widowControl/>
        <w:numPr>
          <w:ilvl w:val="0"/>
          <w:numId w:val="15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点击榜单卡片下钻（Modal）</w:t>
      </w:r>
      <w:r>
        <w:rPr>
          <w:rFonts w:ascii="Times New Roman" w:hAnsi="Times New Roman" w:eastAsia="宋体" w:cs="Times New Roman"/>
          <w:i w:val="0"/>
          <w:color w:val="1F2937"/>
          <w:sz w:val="24"/>
          <w:szCs w:val="24"/>
        </w:rPr>
        <w:t>：各生产计划单台碳足迹对比条形（同型号不同生产计划 = 不同时间生产的横向对比）+ 销售订单及拆分生产计划表。</w:t>
      </w:r>
    </w:p>
    <w:p w14:paraId="30878C12">
      <w:pPr>
        <w:pStyle w:val="19"/>
        <w:widowControl/>
        <w:numPr>
          <w:ilvl w:val="0"/>
          <w:numId w:val="15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场景定位</w:t>
      </w:r>
      <w:r>
        <w:rPr>
          <w:rFonts w:ascii="Times New Roman" w:hAnsi="Times New Roman" w:eastAsia="宋体" w:cs="Times New Roman"/>
          <w:i w:val="0"/>
          <w:color w:val="1F2937"/>
          <w:sz w:val="24"/>
          <w:szCs w:val="24"/>
        </w:rPr>
        <w:t>：按组织范围对同类别各型号做红黑榜，锁定改进对象。</w:t>
      </w:r>
    </w:p>
    <w:p w14:paraId="6479C57C">
      <w:pPr>
        <w:pStyle w:val="19"/>
        <w:widowControl/>
        <w:numPr>
          <w:ilvl w:val="0"/>
          <w:numId w:val="15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归因瀑布图</w:t>
      </w:r>
      <w:r>
        <w:rPr>
          <w:rFonts w:ascii="Times New Roman" w:hAnsi="Times New Roman" w:eastAsia="宋体" w:cs="Times New Roman"/>
          <w:i w:val="0"/>
          <w:color w:val="1F2937"/>
          <w:sz w:val="24"/>
          <w:szCs w:val="24"/>
        </w:rPr>
        <w:t>：以瀑布图形呈现原材料替代、绿电接入、工艺优化等因素对碳足迹变动的贡献量与贡献率。</w:t>
      </w:r>
    </w:p>
    <w:p w14:paraId="56244E3B">
      <w:pPr>
        <w:pStyle w:val="6"/>
        <w:numPr>
          <w:ilvl w:val="0"/>
          <w:numId w:val="14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91"/>
        <w:gridCol w:w="2030"/>
        <w:gridCol w:w="1373"/>
        <w:gridCol w:w="1480"/>
        <w:gridCol w:w="4010"/>
      </w:tblGrid>
      <w:tr w14:paraId="4B41067F">
        <w:tblPrEx>
          <w:tblCellMar>
            <w:top w:w="0" w:type="dxa"/>
            <w:left w:w="108" w:type="dxa"/>
            <w:bottom w:w="0" w:type="dxa"/>
            <w:right w:w="108" w:type="dxa"/>
          </w:tblCellMar>
        </w:tblPrEx>
        <w:trPr>
          <w:jc w:val="center"/>
        </w:trPr>
        <w:tc>
          <w:tcPr>
            <w:tcW w:w="89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8BDEEA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203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135FF4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37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10F503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148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69CB72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400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E475DE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201F8895">
        <w:tblPrEx>
          <w:tblCellMar>
            <w:top w:w="0" w:type="dxa"/>
            <w:left w:w="108" w:type="dxa"/>
            <w:bottom w:w="0" w:type="dxa"/>
            <w:right w:w="108" w:type="dxa"/>
          </w:tblCellMar>
        </w:tblPrEx>
        <w:trPr>
          <w:jc w:val="center"/>
        </w:trPr>
        <w:tc>
          <w:tcPr>
            <w:tcW w:w="89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796CAB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203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19A1A0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产品型号</w:t>
            </w:r>
          </w:p>
        </w:tc>
        <w:tc>
          <w:tcPr>
            <w:tcW w:w="137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078BED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4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C060EE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00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F42A9E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唯一主数据编码</w:t>
            </w:r>
          </w:p>
        </w:tc>
      </w:tr>
      <w:tr w14:paraId="757FE82C">
        <w:tblPrEx>
          <w:tblCellMar>
            <w:top w:w="0" w:type="dxa"/>
            <w:left w:w="108" w:type="dxa"/>
            <w:bottom w:w="0" w:type="dxa"/>
            <w:right w:w="108" w:type="dxa"/>
          </w:tblCellMar>
        </w:tblPrEx>
        <w:trPr>
          <w:jc w:val="center"/>
        </w:trPr>
        <w:tc>
          <w:tcPr>
            <w:tcW w:w="89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9B2ECF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203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7AF391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生产批次流水号</w:t>
            </w:r>
          </w:p>
        </w:tc>
        <w:tc>
          <w:tcPr>
            <w:tcW w:w="137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D16ECD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48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90C2DB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00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F308F0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MES 制造工单流水号</w:t>
            </w:r>
          </w:p>
        </w:tc>
      </w:tr>
      <w:tr w14:paraId="048F2B3F">
        <w:tblPrEx>
          <w:tblCellMar>
            <w:top w:w="0" w:type="dxa"/>
            <w:left w:w="108" w:type="dxa"/>
            <w:bottom w:w="0" w:type="dxa"/>
            <w:right w:w="108" w:type="dxa"/>
          </w:tblCellMar>
        </w:tblPrEx>
        <w:trPr>
          <w:jc w:val="center"/>
        </w:trPr>
        <w:tc>
          <w:tcPr>
            <w:tcW w:w="89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C960F2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203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6D9E83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生产计划标识</w:t>
            </w:r>
          </w:p>
        </w:tc>
        <w:tc>
          <w:tcPr>
            <w:tcW w:w="137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9506B8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4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49F389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00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6BF87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同一型号下按时间拆分的生产计划</w:t>
            </w:r>
          </w:p>
        </w:tc>
      </w:tr>
      <w:tr w14:paraId="7944E406">
        <w:tblPrEx>
          <w:tblCellMar>
            <w:top w:w="0" w:type="dxa"/>
            <w:left w:w="108" w:type="dxa"/>
            <w:bottom w:w="0" w:type="dxa"/>
            <w:right w:w="108" w:type="dxa"/>
          </w:tblCellMar>
        </w:tblPrEx>
        <w:trPr>
          <w:jc w:val="center"/>
        </w:trPr>
        <w:tc>
          <w:tcPr>
            <w:tcW w:w="89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DBCCAF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203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544665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单位产品碳足迹</w:t>
            </w:r>
          </w:p>
        </w:tc>
        <w:tc>
          <w:tcPr>
            <w:tcW w:w="137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32B023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48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9B90F7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kgCO2e/特征量</w:t>
            </w:r>
          </w:p>
        </w:tc>
        <w:tc>
          <w:tcPr>
            <w:tcW w:w="400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C335A2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0，空值显示 </w:t>
            </w:r>
            <w:r>
              <w:rPr>
                <w:rFonts w:hint="eastAsia" w:ascii="宋体" w:hAnsi="宋体" w:eastAsia="宋体" w:cs="宋体"/>
                <w:b w:val="0"/>
                <w:i w:val="0"/>
                <w:iCs w:val="0"/>
                <w:color w:val="0284C7"/>
                <w:sz w:val="24"/>
                <w:szCs w:val="24"/>
              </w:rPr>
              <w:t xml:space="preserve"> -- </w:t>
            </w:r>
          </w:p>
        </w:tc>
      </w:tr>
      <w:tr w14:paraId="25D0E2CB">
        <w:tblPrEx>
          <w:tblCellMar>
            <w:top w:w="0" w:type="dxa"/>
            <w:left w:w="108" w:type="dxa"/>
            <w:bottom w:w="0" w:type="dxa"/>
            <w:right w:w="108" w:type="dxa"/>
          </w:tblCellMar>
        </w:tblPrEx>
        <w:trPr>
          <w:jc w:val="center"/>
        </w:trPr>
        <w:tc>
          <w:tcPr>
            <w:tcW w:w="89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492F71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203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698F25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碳足迹变动量</w:t>
            </w:r>
          </w:p>
        </w:tc>
        <w:tc>
          <w:tcPr>
            <w:tcW w:w="137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F0AB38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4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B91D92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kgCO2e/特征量</w:t>
            </w:r>
          </w:p>
        </w:tc>
        <w:tc>
          <w:tcPr>
            <w:tcW w:w="400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3DC69D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本期 − 基期，可正可负</w:t>
            </w:r>
          </w:p>
        </w:tc>
      </w:tr>
      <w:tr w14:paraId="3207E953">
        <w:tblPrEx>
          <w:tblCellMar>
            <w:top w:w="0" w:type="dxa"/>
            <w:left w:w="108" w:type="dxa"/>
            <w:bottom w:w="0" w:type="dxa"/>
            <w:right w:w="108" w:type="dxa"/>
          </w:tblCellMar>
        </w:tblPrEx>
        <w:trPr>
          <w:jc w:val="center"/>
        </w:trPr>
        <w:tc>
          <w:tcPr>
            <w:tcW w:w="89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E90FA0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203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DADCE1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归因贡献率</w:t>
            </w:r>
          </w:p>
        </w:tc>
        <w:tc>
          <w:tcPr>
            <w:tcW w:w="137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8C9C9D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48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10956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00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2A2E27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各因素贡献量 / 总变动量 × 100%</w:t>
            </w:r>
          </w:p>
        </w:tc>
      </w:tr>
      <w:tr w14:paraId="5397C319">
        <w:tblPrEx>
          <w:tblCellMar>
            <w:top w:w="0" w:type="dxa"/>
            <w:left w:w="108" w:type="dxa"/>
            <w:bottom w:w="0" w:type="dxa"/>
            <w:right w:w="108" w:type="dxa"/>
          </w:tblCellMar>
        </w:tblPrEx>
        <w:trPr>
          <w:jc w:val="center"/>
        </w:trPr>
        <w:tc>
          <w:tcPr>
            <w:tcW w:w="89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6A8E50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203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98FA01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红榜排名</w:t>
            </w:r>
          </w:p>
        </w:tc>
        <w:tc>
          <w:tcPr>
            <w:tcW w:w="137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65D459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Integer</w:t>
            </w:r>
          </w:p>
        </w:tc>
        <w:tc>
          <w:tcPr>
            <w:tcW w:w="14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1DCC9E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名次</w:t>
            </w:r>
          </w:p>
        </w:tc>
        <w:tc>
          <w:tcPr>
            <w:tcW w:w="400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FB9E54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升序取前 5，第 1 名挂标杆徽标</w:t>
            </w:r>
          </w:p>
        </w:tc>
      </w:tr>
      <w:tr w14:paraId="403B3F21">
        <w:tblPrEx>
          <w:tblCellMar>
            <w:top w:w="0" w:type="dxa"/>
            <w:left w:w="108" w:type="dxa"/>
            <w:bottom w:w="0" w:type="dxa"/>
            <w:right w:w="108" w:type="dxa"/>
          </w:tblCellMar>
        </w:tblPrEx>
        <w:trPr>
          <w:jc w:val="center"/>
        </w:trPr>
        <w:tc>
          <w:tcPr>
            <w:tcW w:w="89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F7BF5B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203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9D66B7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黑榜排名</w:t>
            </w:r>
          </w:p>
        </w:tc>
        <w:tc>
          <w:tcPr>
            <w:tcW w:w="137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ACFFF2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Integer</w:t>
            </w:r>
          </w:p>
        </w:tc>
        <w:tc>
          <w:tcPr>
            <w:tcW w:w="148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F16BA7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名次</w:t>
            </w:r>
          </w:p>
        </w:tc>
        <w:tc>
          <w:tcPr>
            <w:tcW w:w="400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3A709A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升序取后 5，第 1 名挂警示徽标</w:t>
            </w:r>
          </w:p>
        </w:tc>
      </w:tr>
      <w:tr w14:paraId="7B68A82D">
        <w:tblPrEx>
          <w:tblCellMar>
            <w:top w:w="0" w:type="dxa"/>
            <w:left w:w="108" w:type="dxa"/>
            <w:bottom w:w="0" w:type="dxa"/>
            <w:right w:w="108" w:type="dxa"/>
          </w:tblCellMar>
        </w:tblPrEx>
        <w:trPr>
          <w:jc w:val="center"/>
        </w:trPr>
        <w:tc>
          <w:tcPr>
            <w:tcW w:w="89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0FCF4B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203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CED9B6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组织范围（scope）</w:t>
            </w:r>
          </w:p>
        </w:tc>
        <w:tc>
          <w:tcPr>
            <w:tcW w:w="137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F67D72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4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97D9DF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00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933558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具体经营单位 / 全部经营单位（跨单位均值）</w:t>
            </w:r>
          </w:p>
        </w:tc>
      </w:tr>
    </w:tbl>
    <w:p w14:paraId="1D4E3FCE">
      <w:pPr>
        <w:spacing w:after="60"/>
        <w:rPr>
          <w:rFonts w:hint="eastAsia" w:ascii="宋体" w:hAnsi="宋体" w:eastAsia="宋体" w:cs="宋体"/>
          <w:i w:val="0"/>
          <w:iCs w:val="0"/>
          <w:sz w:val="24"/>
          <w:szCs w:val="24"/>
        </w:rPr>
      </w:pPr>
    </w:p>
    <w:p w14:paraId="6FA0F738">
      <w:pPr>
        <w:pStyle w:val="6"/>
        <w:numPr>
          <w:ilvl w:val="0"/>
          <w:numId w:val="14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66477CE2">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390973F7">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ΔCF = CF_t - CF_base                             碳足迹变动量</w:t>
            </w:r>
          </w:p>
          <w:p w14:paraId="713B6112">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Con_i = ΔCF_i / ΔCF × 100%                     各因素归因贡献率</w:t>
            </w:r>
          </w:p>
          <w:p w14:paraId="73BA16F0">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CF_scope_all = Σ CF_unit,i / N                   跨单位均值</w:t>
            </w:r>
          </w:p>
          <w:p w14:paraId="548EFD13">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Top_red = ORDER_BY( CF_unit ) ASC LIMIT 5         红榜（低碳标杆）</w:t>
            </w:r>
          </w:p>
          <w:p w14:paraId="06338365">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Top_black = ORDER_BY( CF_unit ) DESC LIMIT 5      黑榜（改进对象）</w:t>
            </w:r>
          </w:p>
        </w:tc>
      </w:tr>
    </w:tbl>
    <w:p w14:paraId="2C6D282B">
      <w:pPr>
        <w:spacing w:after="40"/>
        <w:rPr>
          <w:rFonts w:hint="eastAsia" w:ascii="宋体" w:hAnsi="宋体" w:eastAsia="宋体" w:cs="宋体"/>
          <w:i w:val="0"/>
          <w:iCs w:val="0"/>
          <w:sz w:val="24"/>
          <w:szCs w:val="24"/>
        </w:rPr>
      </w:pPr>
    </w:p>
    <w:p w14:paraId="0FC4E395">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w:t>
      </w:r>
      <w:r>
        <w:rPr>
          <w:rFonts w:ascii="Times New Roman" w:hAnsi="Times New Roman" w:eastAsia="宋体" w:cs="Times New Roman"/>
          <w:b w:val="0"/>
          <w:i w:val="0"/>
          <w:color w:val="0284C7"/>
          <w:sz w:val="24"/>
          <w:szCs w:val="24"/>
        </w:rPr>
        <w:t xml:space="preserve"> ΔCF_i </w:t>
      </w:r>
      <w:r>
        <w:rPr>
          <w:rFonts w:ascii="Times New Roman" w:hAnsi="Times New Roman" w:eastAsia="宋体" w:cs="Times New Roman"/>
          <w:i w:val="0"/>
          <w:color w:val="1F2937"/>
          <w:sz w:val="24"/>
          <w:szCs w:val="24"/>
        </w:rPr>
        <w:t xml:space="preserve"> 为第 i 项减碳举措（原材料替代、绿电接入、工艺优化）带来的碳足迹变化量；归因贡献率之和应为 100%，偏差超 ±1% 提示归因不完整。</w:t>
      </w:r>
    </w:p>
    <w:p w14:paraId="2F766CF1">
      <w:pPr>
        <w:pStyle w:val="6"/>
        <w:numPr>
          <w:ilvl w:val="0"/>
          <w:numId w:val="14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2B7004D8">
      <w:pPr>
        <w:pStyle w:val="19"/>
        <w:widowControl/>
        <w:numPr>
          <w:ilvl w:val="0"/>
          <w:numId w:val="15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时间口径</w:t>
      </w:r>
      <w:r>
        <w:rPr>
          <w:rFonts w:ascii="Times New Roman" w:hAnsi="Times New Roman" w:eastAsia="宋体" w:cs="Times New Roman"/>
          <w:i w:val="0"/>
          <w:color w:val="1F2937"/>
          <w:sz w:val="24"/>
          <w:szCs w:val="24"/>
        </w:rPr>
        <w:t>：纵向追溯以生产批次时间轴为准，不以销售订单时间为准。</w:t>
      </w:r>
    </w:p>
    <w:p w14:paraId="66D51FF4">
      <w:pPr>
        <w:pStyle w:val="19"/>
        <w:widowControl/>
        <w:numPr>
          <w:ilvl w:val="0"/>
          <w:numId w:val="15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均值口径</w:t>
      </w:r>
      <w:r>
        <w:rPr>
          <w:rFonts w:ascii="Times New Roman" w:hAnsi="Times New Roman" w:eastAsia="宋体" w:cs="Times New Roman"/>
          <w:i w:val="0"/>
          <w:color w:val="1F2937"/>
          <w:sz w:val="24"/>
          <w:szCs w:val="24"/>
        </w:rPr>
        <w:t>：scope 为"全部经营单位"时采用跨单位算术平均，非加权。</w:t>
      </w:r>
    </w:p>
    <w:p w14:paraId="408C0D49">
      <w:pPr>
        <w:pStyle w:val="19"/>
        <w:widowControl/>
        <w:numPr>
          <w:ilvl w:val="0"/>
          <w:numId w:val="15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红黑榜口径</w:t>
      </w:r>
      <w:r>
        <w:rPr>
          <w:rFonts w:ascii="Times New Roman" w:hAnsi="Times New Roman" w:eastAsia="宋体" w:cs="Times New Roman"/>
          <w:i w:val="0"/>
          <w:color w:val="1F2937"/>
          <w:sz w:val="24"/>
          <w:szCs w:val="24"/>
        </w:rPr>
        <w:t>：红黑榜基于同类别内各型号升序排序，前 5 与后 5，型号数少于 10 时不重复上榜。</w:t>
      </w:r>
    </w:p>
    <w:p w14:paraId="183BA9D9">
      <w:pPr>
        <w:pStyle w:val="19"/>
        <w:widowControl/>
        <w:numPr>
          <w:ilvl w:val="0"/>
          <w:numId w:val="15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归因口径</w:t>
      </w:r>
      <w:r>
        <w:rPr>
          <w:rFonts w:ascii="Times New Roman" w:hAnsi="Times New Roman" w:eastAsia="宋体" w:cs="Times New Roman"/>
          <w:i w:val="0"/>
          <w:color w:val="1F2937"/>
          <w:sz w:val="24"/>
          <w:szCs w:val="24"/>
        </w:rPr>
        <w:t>：归因须完整覆盖全部减碳举措，贡献率之和强制配平至 100%。</w:t>
      </w:r>
    </w:p>
    <w:p w14:paraId="6AB4D60A">
      <w:pPr>
        <w:pStyle w:val="6"/>
        <w:numPr>
          <w:ilvl w:val="0"/>
          <w:numId w:val="148"/>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667FE8DF">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317C21FE">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同型号历史批次少于 2 个：不绘制归因瀑布图，输出客观提示"历史批次不足，暂不支持归因"。</w:t>
            </w:r>
          </w:p>
          <w:p w14:paraId="06129C37">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归属贡献率之和不等于 100%：标注"归因待补充"并列出未归因残差。</w:t>
            </w:r>
          </w:p>
          <w:p w14:paraId="437FBA09">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项目公司：置灰且不参与红黑榜。</w:t>
            </w:r>
          </w:p>
          <w:p w14:paraId="14FD721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除零兜底：总变动量为 0 时贡献率显示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w:t>
            </w:r>
          </w:p>
        </w:tc>
      </w:tr>
    </w:tbl>
    <w:p w14:paraId="6BCA6FF7">
      <w:pPr>
        <w:spacing w:after="40"/>
        <w:rPr>
          <w:rFonts w:hint="eastAsia" w:ascii="宋体" w:hAnsi="宋体" w:eastAsia="宋体" w:cs="宋体"/>
          <w:i w:val="0"/>
          <w:iCs w:val="0"/>
          <w:sz w:val="24"/>
          <w:szCs w:val="24"/>
        </w:rPr>
      </w:pPr>
    </w:p>
    <w:p w14:paraId="394D55FC">
      <w:pPr>
        <w:pStyle w:val="6"/>
        <w:numPr>
          <w:ilvl w:val="0"/>
          <w:numId w:val="148"/>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074B4271">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084D879F">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碳排纵向追溯与归因分析</w:t>
            </w:r>
          </w:p>
          <w:p w14:paraId="443CD990">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归因贡献率配平</w:t>
            </w:r>
          </w:p>
          <w:p w14:paraId="04016F6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某型号变压器存在两个及以上生产批次的碳足迹数据</w:t>
            </w:r>
          </w:p>
          <w:p w14:paraId="3D3DE290">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系统生成减碳归因瀑布图</w:t>
            </w:r>
          </w:p>
          <w:p w14:paraId="72617311">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各因素贡献率之和等于 100%</w:t>
            </w:r>
          </w:p>
          <w:p w14:paraId="1500E7FA">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偏差超过 ±1% 时标注"归因待补充"并列出未归因残差</w:t>
            </w:r>
          </w:p>
          <w:p w14:paraId="3A8A34BF">
            <w:pPr>
              <w:spacing w:before="0" w:after="20" w:line="264" w:lineRule="auto"/>
              <w:rPr>
                <w:rFonts w:hint="eastAsia" w:ascii="宋体" w:hAnsi="宋体" w:eastAsia="宋体" w:cs="宋体"/>
                <w:i w:val="0"/>
                <w:iCs w:val="0"/>
                <w:sz w:val="24"/>
                <w:szCs w:val="24"/>
              </w:rPr>
            </w:pPr>
          </w:p>
          <w:p w14:paraId="381DBD91">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红黑榜不重复上榜</w:t>
            </w:r>
          </w:p>
          <w:p w14:paraId="17AA5403">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同类别内共有 6 个产品型号</w:t>
            </w:r>
          </w:p>
          <w:p w14:paraId="4F625CC0">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系统生成红榜 Top5 与黑榜 Top5</w:t>
            </w:r>
          </w:p>
          <w:p w14:paraId="0A88FC50">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同一型号不同时出现在红榜与黑榜中</w:t>
            </w:r>
          </w:p>
          <w:p w14:paraId="114C1CE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红榜第 1 名挂 Award 徽标、黑榜第 1 名挂 TriangleAlert 徽标</w:t>
            </w:r>
          </w:p>
          <w:p w14:paraId="178DB680">
            <w:pPr>
              <w:spacing w:before="0" w:after="20" w:line="264" w:lineRule="auto"/>
              <w:rPr>
                <w:rFonts w:hint="eastAsia" w:ascii="宋体" w:hAnsi="宋体" w:eastAsia="宋体" w:cs="宋体"/>
                <w:i w:val="0"/>
                <w:iCs w:val="0"/>
                <w:sz w:val="24"/>
                <w:szCs w:val="24"/>
              </w:rPr>
            </w:pPr>
          </w:p>
          <w:p w14:paraId="45A62C36">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历史批次不足的处理</w:t>
            </w:r>
          </w:p>
          <w:p w14:paraId="27F7F78C">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某型号仅有 1 个生产批次的碳足迹数据</w:t>
            </w:r>
          </w:p>
          <w:p w14:paraId="1FA8894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用户请求查看归因瀑布图</w:t>
            </w:r>
          </w:p>
          <w:p w14:paraId="066F34BA">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不绘制瀑布图并输出"历史批次不足，暂不支持归因"</w:t>
            </w:r>
          </w:p>
          <w:p w14:paraId="16E2BB8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页面不显示空白图表容器</w:t>
            </w:r>
          </w:p>
        </w:tc>
      </w:tr>
    </w:tbl>
    <w:p w14:paraId="188330CC">
      <w:pPr>
        <w:spacing w:after="40"/>
        <w:rPr>
          <w:rFonts w:hint="eastAsia" w:ascii="宋体" w:hAnsi="宋体" w:eastAsia="宋体" w:cs="宋体"/>
          <w:i w:val="0"/>
          <w:iCs w:val="0"/>
          <w:sz w:val="24"/>
          <w:szCs w:val="24"/>
        </w:rPr>
      </w:pPr>
    </w:p>
    <w:p w14:paraId="7E8EB1C9">
      <w:pPr>
        <w:pStyle w:val="4"/>
        <w:numPr>
          <w:ilvl w:val="0"/>
          <w:numId w:val="135"/>
        </w:numPr>
        <w:topLinePunct w:val="0"/>
        <w:ind w:left="0" w:leftChars="0" w:firstLine="0" w:firstLineChars="0"/>
        <w:outlineLvl w:val="0"/>
        <w:rPr>
          <w:rFonts w:hint="eastAsia" w:eastAsia="黑体"/>
          <w:b w:val="0"/>
          <w:bCs w:val="0"/>
          <w:sz w:val="30"/>
          <w:szCs w:val="32"/>
        </w:rPr>
      </w:pPr>
      <w:bookmarkStart w:id="45" w:name="_Toc22158"/>
      <w:r>
        <w:rPr>
          <w:rFonts w:ascii="Times New Roman" w:hAnsi="Times New Roman" w:eastAsia="黑体" w:cs="Times New Roman"/>
          <w:b w:val="0"/>
          <w:bCs w:val="0"/>
          <w:sz w:val="30"/>
          <w:szCs w:val="32"/>
        </w:rPr>
        <w:t>实景数据库与碳足迹核算</w:t>
      </w:r>
      <w:bookmarkEnd w:id="45"/>
    </w:p>
    <w:p w14:paraId="64D449FD">
      <w:pPr>
        <w:pStyle w:val="5"/>
        <w:numPr>
          <w:ilvl w:val="0"/>
          <w:numId w:val="153"/>
        </w:numPr>
        <w:ind w:left="0" w:leftChars="0" w:firstLine="0" w:firstLineChars="0"/>
        <w:outlineLvl w:val="1"/>
        <w:rPr>
          <w:rFonts w:eastAsia="黑体"/>
          <w:b w:val="0"/>
          <w:bCs w:val="0"/>
          <w:sz w:val="30"/>
          <w:szCs w:val="24"/>
        </w:rPr>
      </w:pPr>
      <w:bookmarkStart w:id="46" w:name="_Toc30983"/>
      <w:r>
        <w:rPr>
          <w:rFonts w:ascii="Times New Roman" w:hAnsi="Times New Roman" w:eastAsia="黑体" w:cs="Times New Roman"/>
          <w:b w:val="0"/>
          <w:bCs w:val="0"/>
          <w:sz w:val="30"/>
          <w:szCs w:val="24"/>
        </w:rPr>
        <w:t>实景数据库</w:t>
      </w:r>
      <w:bookmarkEnd w:id="46"/>
    </w:p>
    <w:p w14:paraId="63C76D9A">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drawing>
          <wp:inline distT="0" distB="0" distL="114300" distR="114300">
            <wp:extent cx="5900420" cy="2925445"/>
            <wp:effectExtent l="0" t="0" r="5080" b="8255"/>
            <wp:docPr id="68"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24"/>
                    <pic:cNvPicPr>
                      <a:picLocks noChangeAspect="1"/>
                    </pic:cNvPicPr>
                  </pic:nvPicPr>
                  <pic:blipFill>
                    <a:blip r:embed="rId82"/>
                    <a:stretch>
                      <a:fillRect/>
                    </a:stretch>
                  </pic:blipFill>
                  <pic:spPr>
                    <a:xfrm>
                      <a:off x="0" y="0"/>
                      <a:ext cx="5900420" cy="2925445"/>
                    </a:xfrm>
                    <a:prstGeom prst="rect">
                      <a:avLst/>
                    </a:prstGeom>
                    <a:noFill/>
                    <a:ln>
                      <a:noFill/>
                    </a:ln>
                  </pic:spPr>
                </pic:pic>
              </a:graphicData>
            </a:graphic>
          </wp:inline>
        </w:drawing>
      </w:r>
    </w:p>
    <w:p w14:paraId="143BD801">
      <w:pPr>
        <w:pStyle w:val="6"/>
        <w:numPr>
          <w:ilvl w:val="0"/>
          <w:numId w:val="154"/>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4756D9C1">
      <w:pPr>
        <w:pStyle w:val="19"/>
        <w:widowControl/>
        <w:numPr>
          <w:ilvl w:val="0"/>
          <w:numId w:val="15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：汇聚硅钢片、电解铜、变压器油、绝缘纸板、结构钢材等重点原材料本土实测碳排放因子图谱，每个物料节点均具备完整的供应链溯源链条、实测检测报告附件与第三方认证声明编号。</w:t>
      </w:r>
    </w:p>
    <w:p w14:paraId="7F86C474">
      <w:pPr>
        <w:pStyle w:val="19"/>
        <w:widowControl/>
        <w:numPr>
          <w:ilvl w:val="0"/>
          <w:numId w:val="15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：P4 碳核算工程师（主维护）、P6 外部独立审计机构（只读核验）。</w:t>
      </w:r>
    </w:p>
    <w:p w14:paraId="5979702A">
      <w:pPr>
        <w:pStyle w:val="19"/>
        <w:widowControl/>
        <w:numPr>
          <w:ilvl w:val="0"/>
          <w:numId w:val="15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/carbon-footprint/database/realscene </w:t>
      </w:r>
      <w:r>
        <w:rPr>
          <w:rFonts w:ascii="Times New Roman" w:hAnsi="Times New Roman" w:eastAsia="宋体" w:cs="Times New Roman"/>
          <w:i w:val="0"/>
          <w:color w:val="1F2937"/>
          <w:sz w:val="24"/>
          <w:szCs w:val="24"/>
        </w:rPr>
        <w:t>。</w:t>
      </w:r>
    </w:p>
    <w:p w14:paraId="486D6355">
      <w:pPr>
        <w:pStyle w:val="19"/>
        <w:widowControl/>
        <w:numPr>
          <w:ilvl w:val="0"/>
          <w:numId w:val="15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：供应商检测报告、第三方认证声明、因子库匹配结果。</w:t>
      </w:r>
    </w:p>
    <w:p w14:paraId="21661C91">
      <w:pPr>
        <w:pStyle w:val="19"/>
        <w:widowControl/>
        <w:numPr>
          <w:ilvl w:val="0"/>
          <w:numId w:val="15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：LCA 核算引擎的物料因子输入、CBAM 隐含碳核算底数。</w:t>
      </w:r>
    </w:p>
    <w:p w14:paraId="79F084A6">
      <w:pPr>
        <w:pStyle w:val="6"/>
        <w:numPr>
          <w:ilvl w:val="0"/>
          <w:numId w:val="154"/>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190CF7EC">
      <w:pPr>
        <w:pStyle w:val="19"/>
        <w:widowControl/>
        <w:numPr>
          <w:ilvl w:val="0"/>
          <w:numId w:val="15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：碳核算工程师需为高磁感取向硅钢片等高碳主材建立本土实测因子档案，并附具完整溯源证据以支撑第三方认证。</w:t>
      </w:r>
    </w:p>
    <w:p w14:paraId="029B899B">
      <w:pPr>
        <w:pStyle w:val="19"/>
        <w:widowControl/>
        <w:numPr>
          <w:ilvl w:val="0"/>
          <w:numId w:val="15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74E7D87D">
      <w:pPr>
        <w:pStyle w:val="19"/>
        <w:widowControl/>
        <w:numPr>
          <w:ilvl w:val="0"/>
          <w:numId w:val="156"/>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碳核算与认证工程师 (Persona P4)</w:t>
      </w:r>
      <w:r>
        <w:rPr>
          <w:rFonts w:ascii="Times New Roman" w:hAnsi="Times New Roman" w:eastAsia="宋体" w:cs="Times New Roman"/>
          <w:i w:val="0"/>
          <w:color w:val="1F2937"/>
          <w:sz w:val="24"/>
          <w:szCs w:val="24"/>
        </w:rPr>
        <w:t>，</w:t>
      </w:r>
    </w:p>
    <w:p w14:paraId="293C5805">
      <w:pPr>
        <w:pStyle w:val="19"/>
        <w:widowControl/>
        <w:numPr>
          <w:ilvl w:val="0"/>
          <w:numId w:val="156"/>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在实景数据库中按物料维护本土实测碳因子并关联供应链溯源链条与检测报告附件</w:t>
      </w:r>
      <w:r>
        <w:rPr>
          <w:rFonts w:ascii="Times New Roman" w:hAnsi="Times New Roman" w:eastAsia="宋体" w:cs="Times New Roman"/>
          <w:i w:val="0"/>
          <w:color w:val="1F2937"/>
          <w:sz w:val="24"/>
          <w:szCs w:val="24"/>
        </w:rPr>
        <w:t>，</w:t>
      </w:r>
    </w:p>
    <w:p w14:paraId="32D9BE9E">
      <w:pPr>
        <w:pStyle w:val="19"/>
        <w:widowControl/>
        <w:numPr>
          <w:ilvl w:val="0"/>
          <w:numId w:val="156"/>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LCA 核算所引用的每一项因子都可被第三方审计追溯至原始证据</w:t>
      </w:r>
      <w:r>
        <w:rPr>
          <w:rFonts w:ascii="Times New Roman" w:hAnsi="Times New Roman" w:eastAsia="宋体" w:cs="Times New Roman"/>
          <w:i w:val="0"/>
          <w:color w:val="1F2937"/>
          <w:sz w:val="24"/>
          <w:szCs w:val="24"/>
        </w:rPr>
        <w:t>。</w:t>
      </w:r>
    </w:p>
    <w:p w14:paraId="336290D9">
      <w:pPr>
        <w:pStyle w:val="6"/>
        <w:numPr>
          <w:ilvl w:val="0"/>
          <w:numId w:val="154"/>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7FC5D3D4">
      <w:pPr>
        <w:pStyle w:val="19"/>
        <w:widowControl/>
        <w:numPr>
          <w:ilvl w:val="0"/>
          <w:numId w:val="15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物料节点结构</w:t>
      </w:r>
      <w:r>
        <w:rPr>
          <w:rFonts w:ascii="Times New Roman" w:hAnsi="Times New Roman" w:eastAsia="宋体" w:cs="Times New Roman"/>
          <w:i w:val="0"/>
          <w:color w:val="1F2937"/>
          <w:sz w:val="24"/>
          <w:szCs w:val="24"/>
        </w:rPr>
        <w:t>：每节点包含物料编码、名称、规格、实测因子值、检测报告附件、第三方认证声明编号、供应链溯源链条（供应商 → 生产地 → 运输方式与距离）。</w:t>
      </w:r>
    </w:p>
    <w:p w14:paraId="46A15F9D">
      <w:pPr>
        <w:pStyle w:val="19"/>
        <w:widowControl/>
        <w:numPr>
          <w:ilvl w:val="0"/>
          <w:numId w:val="15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检索与筛选</w:t>
      </w:r>
      <w:r>
        <w:rPr>
          <w:rFonts w:ascii="Times New Roman" w:hAnsi="Times New Roman" w:eastAsia="宋体" w:cs="Times New Roman"/>
          <w:i w:val="0"/>
          <w:color w:val="1F2937"/>
          <w:sz w:val="24"/>
          <w:szCs w:val="24"/>
        </w:rPr>
        <w:t>：支持按物料大类（金属 / 绝缘材料 / 化工辅料 / 包装材料）、因子来源（实测 / Ecoinvent / CLCD）、有效期状态筛选。</w:t>
      </w:r>
    </w:p>
    <w:p w14:paraId="3D7570E4">
      <w:pPr>
        <w:pStyle w:val="19"/>
        <w:widowControl/>
        <w:numPr>
          <w:ilvl w:val="0"/>
          <w:numId w:val="15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溯源链条可视化</w:t>
      </w:r>
      <w:r>
        <w:rPr>
          <w:rFonts w:ascii="Times New Roman" w:hAnsi="Times New Roman" w:eastAsia="宋体" w:cs="Times New Roman"/>
          <w:i w:val="0"/>
          <w:color w:val="1F2937"/>
          <w:sz w:val="24"/>
          <w:szCs w:val="24"/>
        </w:rPr>
        <w:t>：以链路图呈现从供应商到工厂的完整溯源路径，节点可点击查看佐证文件。</w:t>
      </w:r>
    </w:p>
    <w:p w14:paraId="53C70B14">
      <w:pPr>
        <w:pStyle w:val="19"/>
        <w:widowControl/>
        <w:numPr>
          <w:ilvl w:val="0"/>
          <w:numId w:val="15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因子匹配优先级展示</w:t>
      </w:r>
      <w:r>
        <w:rPr>
          <w:rFonts w:ascii="Times New Roman" w:hAnsi="Times New Roman" w:eastAsia="宋体" w:cs="Times New Roman"/>
          <w:i w:val="0"/>
          <w:color w:val="1F2937"/>
          <w:sz w:val="24"/>
          <w:szCs w:val="24"/>
        </w:rPr>
        <w:t>：对每个物料展示当前匹配到的因子来源与匹配层级，便于核对兜底逻辑。</w:t>
      </w:r>
    </w:p>
    <w:p w14:paraId="79DD000F">
      <w:pPr>
        <w:pStyle w:val="6"/>
        <w:numPr>
          <w:ilvl w:val="0"/>
          <w:numId w:val="154"/>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87"/>
        <w:gridCol w:w="1900"/>
        <w:gridCol w:w="1444"/>
        <w:gridCol w:w="1271"/>
        <w:gridCol w:w="4282"/>
      </w:tblGrid>
      <w:tr w14:paraId="0AFD7A9F">
        <w:tblPrEx>
          <w:tblCellMar>
            <w:top w:w="0" w:type="dxa"/>
            <w:left w:w="108" w:type="dxa"/>
            <w:bottom w:w="0" w:type="dxa"/>
            <w:right w:w="108" w:type="dxa"/>
          </w:tblCellMar>
        </w:tblPrEx>
        <w:trPr>
          <w:jc w:val="center"/>
        </w:trPr>
        <w:tc>
          <w:tcPr>
            <w:tcW w:w="88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B88EA1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DAFF3B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44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86897F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9203BC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428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F7B07A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4497F0A6">
        <w:tblPrEx>
          <w:tblCellMar>
            <w:top w:w="0" w:type="dxa"/>
            <w:left w:w="108" w:type="dxa"/>
            <w:bottom w:w="0" w:type="dxa"/>
            <w:right w:w="108" w:type="dxa"/>
          </w:tblCellMar>
        </w:tblPrEx>
        <w:trPr>
          <w:jc w:val="center"/>
        </w:trPr>
        <w:tc>
          <w:tcPr>
            <w:tcW w:w="88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64852E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9CF879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物料唯一编码</w:t>
            </w:r>
          </w:p>
        </w:tc>
        <w:tc>
          <w:tcPr>
            <w:tcW w:w="144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E3B54C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3707AA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28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64320D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唯一主键，与 ERP 主数据一致</w:t>
            </w:r>
          </w:p>
        </w:tc>
      </w:tr>
      <w:tr w14:paraId="1DE823E2">
        <w:tblPrEx>
          <w:tblCellMar>
            <w:top w:w="0" w:type="dxa"/>
            <w:left w:w="108" w:type="dxa"/>
            <w:bottom w:w="0" w:type="dxa"/>
            <w:right w:w="108" w:type="dxa"/>
          </w:tblCellMar>
        </w:tblPrEx>
        <w:trPr>
          <w:jc w:val="center"/>
        </w:trPr>
        <w:tc>
          <w:tcPr>
            <w:tcW w:w="88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F1A9E4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107486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物料中文名称</w:t>
            </w:r>
          </w:p>
        </w:tc>
        <w:tc>
          <w:tcPr>
            <w:tcW w:w="14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AB10DF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C5B566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28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212C8A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非空，最长 128 字符</w:t>
            </w:r>
          </w:p>
        </w:tc>
      </w:tr>
      <w:tr w14:paraId="381DD7B0">
        <w:tblPrEx>
          <w:tblCellMar>
            <w:top w:w="0" w:type="dxa"/>
            <w:left w:w="108" w:type="dxa"/>
            <w:bottom w:w="0" w:type="dxa"/>
            <w:right w:w="108" w:type="dxa"/>
          </w:tblCellMar>
        </w:tblPrEx>
        <w:trPr>
          <w:jc w:val="center"/>
        </w:trPr>
        <w:tc>
          <w:tcPr>
            <w:tcW w:w="88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C958E5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212B1A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物料大类</w:t>
            </w:r>
          </w:p>
        </w:tc>
        <w:tc>
          <w:tcPr>
            <w:tcW w:w="144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B728C7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16EA16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28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496627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金属/绝缘材料/化工辅料/包装材料</w:t>
            </w:r>
          </w:p>
        </w:tc>
      </w:tr>
      <w:tr w14:paraId="250B0A91">
        <w:tblPrEx>
          <w:tblCellMar>
            <w:top w:w="0" w:type="dxa"/>
            <w:left w:w="108" w:type="dxa"/>
            <w:bottom w:w="0" w:type="dxa"/>
            <w:right w:w="108" w:type="dxa"/>
          </w:tblCellMar>
        </w:tblPrEx>
        <w:trPr>
          <w:jc w:val="center"/>
        </w:trPr>
        <w:tc>
          <w:tcPr>
            <w:tcW w:w="88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1C68E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1A44D4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实测碳因子</w:t>
            </w:r>
          </w:p>
        </w:tc>
        <w:tc>
          <w:tcPr>
            <w:tcW w:w="14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8C941C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47835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kgCO2e/kg</w:t>
            </w:r>
          </w:p>
        </w:tc>
        <w:tc>
          <w:tcPr>
            <w:tcW w:w="428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CECA78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&gt; 0.0000，缺失时使用兜底因子并标注</w:t>
            </w:r>
          </w:p>
        </w:tc>
      </w:tr>
      <w:tr w14:paraId="55D28A05">
        <w:tblPrEx>
          <w:tblCellMar>
            <w:top w:w="0" w:type="dxa"/>
            <w:left w:w="108" w:type="dxa"/>
            <w:bottom w:w="0" w:type="dxa"/>
            <w:right w:w="108" w:type="dxa"/>
          </w:tblCellMar>
        </w:tblPrEx>
        <w:trPr>
          <w:jc w:val="center"/>
        </w:trPr>
        <w:tc>
          <w:tcPr>
            <w:tcW w:w="88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C18B21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BF0770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因子来源</w:t>
            </w:r>
          </w:p>
        </w:tc>
        <w:tc>
          <w:tcPr>
            <w:tcW w:w="144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D7AF73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DB1E5A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28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309BFF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本土实测 / Ecoinvent 3.8 / CLCD 0.2 / 国家发改委折标</w:t>
            </w:r>
          </w:p>
        </w:tc>
      </w:tr>
      <w:tr w14:paraId="6AA1C4F2">
        <w:tblPrEx>
          <w:tblCellMar>
            <w:top w:w="0" w:type="dxa"/>
            <w:left w:w="108" w:type="dxa"/>
            <w:bottom w:w="0" w:type="dxa"/>
            <w:right w:w="108" w:type="dxa"/>
          </w:tblCellMar>
        </w:tblPrEx>
        <w:trPr>
          <w:jc w:val="center"/>
        </w:trPr>
        <w:tc>
          <w:tcPr>
            <w:tcW w:w="88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68EA2C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3A5342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检测报告附件</w:t>
            </w:r>
          </w:p>
        </w:tc>
        <w:tc>
          <w:tcPr>
            <w:tcW w:w="14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AB24FA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File</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778BEB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28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6F16EF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本土实测因子强制上传，缺失即不可发布</w:t>
            </w:r>
          </w:p>
        </w:tc>
      </w:tr>
      <w:tr w14:paraId="2DFC3299">
        <w:tblPrEx>
          <w:tblCellMar>
            <w:top w:w="0" w:type="dxa"/>
            <w:left w:w="108" w:type="dxa"/>
            <w:bottom w:w="0" w:type="dxa"/>
            <w:right w:w="108" w:type="dxa"/>
          </w:tblCellMar>
        </w:tblPrEx>
        <w:trPr>
          <w:jc w:val="center"/>
        </w:trPr>
        <w:tc>
          <w:tcPr>
            <w:tcW w:w="88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36F785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DB804D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第三方认证声明编号</w:t>
            </w:r>
          </w:p>
        </w:tc>
        <w:tc>
          <w:tcPr>
            <w:tcW w:w="144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4B4DD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123749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28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441D72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非空（本土实测因子）</w:t>
            </w:r>
          </w:p>
        </w:tc>
      </w:tr>
      <w:tr w14:paraId="4CC31048">
        <w:tblPrEx>
          <w:tblCellMar>
            <w:top w:w="0" w:type="dxa"/>
            <w:left w:w="108" w:type="dxa"/>
            <w:bottom w:w="0" w:type="dxa"/>
            <w:right w:w="108" w:type="dxa"/>
          </w:tblCellMar>
        </w:tblPrEx>
        <w:trPr>
          <w:jc w:val="center"/>
        </w:trPr>
        <w:tc>
          <w:tcPr>
            <w:tcW w:w="88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5F43A7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E74645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供应链溯源链条</w:t>
            </w:r>
          </w:p>
        </w:tc>
        <w:tc>
          <w:tcPr>
            <w:tcW w:w="14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4141C6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JSON</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1BFE1A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28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4AF9D0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至少含一级供应商与生产地</w:t>
            </w:r>
          </w:p>
        </w:tc>
      </w:tr>
      <w:tr w14:paraId="02F35035">
        <w:tblPrEx>
          <w:tblCellMar>
            <w:top w:w="0" w:type="dxa"/>
            <w:left w:w="108" w:type="dxa"/>
            <w:bottom w:w="0" w:type="dxa"/>
            <w:right w:w="108" w:type="dxa"/>
          </w:tblCellMar>
        </w:tblPrEx>
        <w:trPr>
          <w:jc w:val="center"/>
        </w:trPr>
        <w:tc>
          <w:tcPr>
            <w:tcW w:w="88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4447A4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7EC937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运输方式与距离</w:t>
            </w:r>
          </w:p>
        </w:tc>
        <w:tc>
          <w:tcPr>
            <w:tcW w:w="144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BE6E62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 / 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2F0571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km</w:t>
            </w:r>
          </w:p>
        </w:tc>
        <w:tc>
          <w:tcPr>
            <w:tcW w:w="428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A52781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运输距离 ≥ 0</w:t>
            </w:r>
          </w:p>
        </w:tc>
      </w:tr>
      <w:tr w14:paraId="109020B4">
        <w:tblPrEx>
          <w:tblCellMar>
            <w:top w:w="0" w:type="dxa"/>
            <w:left w:w="108" w:type="dxa"/>
            <w:bottom w:w="0" w:type="dxa"/>
            <w:right w:w="108" w:type="dxa"/>
          </w:tblCellMar>
        </w:tblPrEx>
        <w:trPr>
          <w:jc w:val="center"/>
        </w:trPr>
        <w:tc>
          <w:tcPr>
            <w:tcW w:w="88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605F60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97C8A1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因子有效期</w:t>
            </w:r>
          </w:p>
        </w:tc>
        <w:tc>
          <w:tcPr>
            <w:tcW w:w="14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76EE7F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Date</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3DC791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YYYY-MM-DD</w:t>
            </w:r>
          </w:p>
        </w:tc>
        <w:tc>
          <w:tcPr>
            <w:tcW w:w="428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74C9CF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生效期外拦截选用（E_VAL_FACTOR_EXPIRED）</w:t>
            </w:r>
          </w:p>
        </w:tc>
      </w:tr>
      <w:tr w14:paraId="2A724162">
        <w:tblPrEx>
          <w:tblCellMar>
            <w:top w:w="0" w:type="dxa"/>
            <w:left w:w="108" w:type="dxa"/>
            <w:bottom w:w="0" w:type="dxa"/>
            <w:right w:w="108" w:type="dxa"/>
          </w:tblCellMar>
        </w:tblPrEx>
        <w:trPr>
          <w:jc w:val="center"/>
        </w:trPr>
        <w:tc>
          <w:tcPr>
            <w:tcW w:w="88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5DDC97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9C2161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数据分级</w:t>
            </w:r>
          </w:p>
        </w:tc>
        <w:tc>
          <w:tcPr>
            <w:tcW w:w="144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A992FF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AAAB7E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28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C03407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INTERNAL / SENSITIVE</w:t>
            </w:r>
          </w:p>
        </w:tc>
      </w:tr>
      <w:tr w14:paraId="6AE735AD">
        <w:tblPrEx>
          <w:tblCellMar>
            <w:top w:w="0" w:type="dxa"/>
            <w:left w:w="108" w:type="dxa"/>
            <w:bottom w:w="0" w:type="dxa"/>
            <w:right w:w="108" w:type="dxa"/>
          </w:tblCellMar>
        </w:tblPrEx>
        <w:trPr>
          <w:jc w:val="center"/>
        </w:trPr>
        <w:tc>
          <w:tcPr>
            <w:tcW w:w="88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12B776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12</w:t>
            </w:r>
          </w:p>
        </w:tc>
        <w:tc>
          <w:tcPr>
            <w:tcW w:w="190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12A430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生命周期状态</w:t>
            </w:r>
          </w:p>
        </w:tc>
        <w:tc>
          <w:tcPr>
            <w:tcW w:w="14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566DF1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27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D8F1F5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28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20D940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草稿 / 待审 / 生效中 / 历史废止</w:t>
            </w:r>
          </w:p>
        </w:tc>
      </w:tr>
    </w:tbl>
    <w:p w14:paraId="6361C421">
      <w:pPr>
        <w:spacing w:after="60"/>
        <w:rPr>
          <w:rFonts w:hint="eastAsia" w:ascii="宋体" w:hAnsi="宋体" w:eastAsia="宋体" w:cs="宋体"/>
          <w:i w:val="0"/>
          <w:iCs w:val="0"/>
          <w:sz w:val="24"/>
          <w:szCs w:val="24"/>
        </w:rPr>
      </w:pPr>
    </w:p>
    <w:p w14:paraId="08468AAF">
      <w:pPr>
        <w:pStyle w:val="6"/>
        <w:numPr>
          <w:ilvl w:val="0"/>
          <w:numId w:val="154"/>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60387F25">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27DFBE1F">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EF_match = PRIORITY( Ecoinvent_exact, CLCD_approx, NDRC_fallback )</w:t>
            </w:r>
          </w:p>
          <w:p w14:paraId="7AA265DE">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Q_mat_actual = Q_bom × ( 1 + R_loss )           实际物料需求量（含工艺损耗）</w:t>
            </w:r>
          </w:p>
          <w:p w14:paraId="0EB19D01">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E_raw = Σ ( Q_mat_actual × EF_mat )            原材料阶段碳排</w:t>
            </w:r>
          </w:p>
          <w:p w14:paraId="64BAACAF">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EF_match_level = LEVEL( EF_match )                  因子匹配层级（1=精确，3=兜底）</w:t>
            </w:r>
          </w:p>
        </w:tc>
      </w:tr>
    </w:tbl>
    <w:p w14:paraId="0ED84183">
      <w:pPr>
        <w:spacing w:after="40"/>
        <w:rPr>
          <w:rFonts w:hint="eastAsia" w:ascii="宋体" w:hAnsi="宋体" w:eastAsia="宋体" w:cs="宋体"/>
          <w:i w:val="0"/>
          <w:iCs w:val="0"/>
          <w:sz w:val="24"/>
          <w:szCs w:val="24"/>
        </w:rPr>
      </w:pPr>
    </w:p>
    <w:p w14:paraId="16B41619">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w:t>
      </w:r>
      <w:r>
        <w:rPr>
          <w:rFonts w:ascii="Times New Roman" w:hAnsi="Times New Roman" w:eastAsia="宋体" w:cs="Times New Roman"/>
          <w:b w:val="0"/>
          <w:i w:val="0"/>
          <w:color w:val="0284C7"/>
          <w:sz w:val="24"/>
          <w:szCs w:val="24"/>
        </w:rPr>
        <w:t xml:space="preserve"> EF_match </w:t>
      </w:r>
      <w:r>
        <w:rPr>
          <w:rFonts w:ascii="Times New Roman" w:hAnsi="Times New Roman" w:eastAsia="宋体" w:cs="Times New Roman"/>
          <w:i w:val="0"/>
          <w:color w:val="1F2937"/>
          <w:sz w:val="24"/>
          <w:szCs w:val="24"/>
        </w:rPr>
        <w:t xml:space="preserve"> 遵循精确物料优先、本土近似次之、国家折标兜底的匹配优先级；匹配层级 1 为精确匹配，2 为本土近似，3 为兜底匹配，层级 3 时页面须标注"兜底因子"。</w:t>
      </w:r>
    </w:p>
    <w:p w14:paraId="5E943D67">
      <w:pPr>
        <w:pStyle w:val="6"/>
        <w:numPr>
          <w:ilvl w:val="0"/>
          <w:numId w:val="154"/>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20BD4C62">
      <w:pPr>
        <w:pStyle w:val="19"/>
        <w:widowControl/>
        <w:numPr>
          <w:ilvl w:val="0"/>
          <w:numId w:val="15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分级口径</w:t>
      </w:r>
      <w:r>
        <w:rPr>
          <w:rFonts w:ascii="Times New Roman" w:hAnsi="Times New Roman" w:eastAsia="宋体" w:cs="Times New Roman"/>
          <w:i w:val="0"/>
          <w:color w:val="1F2937"/>
          <w:sz w:val="24"/>
          <w:szCs w:val="24"/>
        </w:rPr>
        <w:t>：原辅料因子标为 INTERNAL，Ecoinvent 跨境因子标为 SENSITIVE（含供应商来源）。</w:t>
      </w:r>
    </w:p>
    <w:p w14:paraId="4DEA949C">
      <w:pPr>
        <w:pStyle w:val="19"/>
        <w:widowControl/>
        <w:numPr>
          <w:ilvl w:val="0"/>
          <w:numId w:val="15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匹配口径</w:t>
      </w:r>
      <w:r>
        <w:rPr>
          <w:rFonts w:ascii="Times New Roman" w:hAnsi="Times New Roman" w:eastAsia="宋体" w:cs="Times New Roman"/>
          <w:i w:val="0"/>
          <w:color w:val="1F2937"/>
          <w:sz w:val="24"/>
          <w:szCs w:val="24"/>
        </w:rPr>
        <w:t>：匹配优先级固定为 Ecoinvent v3.8（精确物料）→ CLCD 0.2（本土近似）→ 国家发改委折标（兜底）。</w:t>
      </w:r>
    </w:p>
    <w:p w14:paraId="5B03B650">
      <w:pPr>
        <w:pStyle w:val="19"/>
        <w:widowControl/>
        <w:numPr>
          <w:ilvl w:val="0"/>
          <w:numId w:val="15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证据口径</w:t>
      </w:r>
      <w:r>
        <w:rPr>
          <w:rFonts w:ascii="Times New Roman" w:hAnsi="Times New Roman" w:eastAsia="宋体" w:cs="Times New Roman"/>
          <w:i w:val="0"/>
          <w:color w:val="1F2937"/>
          <w:sz w:val="24"/>
          <w:szCs w:val="24"/>
        </w:rPr>
        <w:t>：本土实测因子必须附检测报告与第三方认证声明编号，二者缺一不可发布。</w:t>
      </w:r>
    </w:p>
    <w:p w14:paraId="3F2CF92B">
      <w:pPr>
        <w:pStyle w:val="19"/>
        <w:widowControl/>
        <w:numPr>
          <w:ilvl w:val="0"/>
          <w:numId w:val="15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时效口径</w:t>
      </w:r>
      <w:r>
        <w:rPr>
          <w:rFonts w:ascii="Times New Roman" w:hAnsi="Times New Roman" w:eastAsia="宋体" w:cs="Times New Roman"/>
          <w:i w:val="0"/>
          <w:color w:val="1F2937"/>
          <w:sz w:val="24"/>
          <w:szCs w:val="24"/>
        </w:rPr>
        <w:t>：因子条目含 version_id、effective_from、effective_to，生效期外拦截选用。</w:t>
      </w:r>
    </w:p>
    <w:p w14:paraId="70DAEA95">
      <w:pPr>
        <w:pStyle w:val="6"/>
        <w:numPr>
          <w:ilvl w:val="0"/>
          <w:numId w:val="154"/>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75E5A4DA">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12CCE713">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实测因子缺失检测报告或认证声明编号：发布按钮置灰，仅可保存为草稿。</w:t>
            </w:r>
          </w:p>
          <w:p w14:paraId="354AC89D">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因子超出有效期：触发 </w:t>
            </w:r>
            <w:r>
              <w:rPr>
                <w:rFonts w:hint="eastAsia" w:ascii="宋体" w:hAnsi="宋体" w:eastAsia="宋体" w:cs="宋体"/>
                <w:b w:val="0"/>
                <w:i w:val="0"/>
                <w:iCs w:val="0"/>
                <w:color w:val="0284C7"/>
                <w:sz w:val="24"/>
                <w:szCs w:val="24"/>
              </w:rPr>
              <w:t xml:space="preserve"> E_VAL_FACTOR_EXPIRED </w:t>
            </w:r>
            <w:r>
              <w:rPr>
                <w:rFonts w:hint="eastAsia" w:ascii="宋体" w:hAnsi="宋体" w:eastAsia="宋体" w:cs="宋体"/>
                <w:i w:val="0"/>
                <w:iCs w:val="0"/>
                <w:color w:val="1F2937"/>
                <w:sz w:val="24"/>
                <w:szCs w:val="24"/>
              </w:rPr>
              <w:t>，标注"因子待升级"并禁用选用。</w:t>
            </w:r>
          </w:p>
          <w:p w14:paraId="501EAFFA">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Ecoinvent 授权到期：触发 </w:t>
            </w:r>
            <w:r>
              <w:rPr>
                <w:rFonts w:hint="eastAsia" w:ascii="宋体" w:hAnsi="宋体" w:eastAsia="宋体" w:cs="宋体"/>
                <w:b w:val="0"/>
                <w:i w:val="0"/>
                <w:iCs w:val="0"/>
                <w:color w:val="0284C7"/>
                <w:sz w:val="24"/>
                <w:szCs w:val="24"/>
              </w:rPr>
              <w:t xml:space="preserve"> E_EXT_ECOINVENT_LICENSE </w:t>
            </w:r>
            <w:r>
              <w:rPr>
                <w:rFonts w:hint="eastAsia" w:ascii="宋体" w:hAnsi="宋体" w:eastAsia="宋体" w:cs="宋体"/>
                <w:i w:val="0"/>
                <w:iCs w:val="0"/>
                <w:color w:val="1F2937"/>
                <w:sz w:val="24"/>
                <w:szCs w:val="24"/>
              </w:rPr>
              <w:t>，自动降级使用 CLCD 因子兜底。</w:t>
            </w:r>
          </w:p>
          <w:p w14:paraId="44291C3F">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溯源链条不完整（仅一级供应商以上为空）：标注"溯源待补充"，并降低该因子的可信度标识。</w:t>
            </w:r>
          </w:p>
        </w:tc>
      </w:tr>
    </w:tbl>
    <w:p w14:paraId="325D296C">
      <w:pPr>
        <w:spacing w:after="40"/>
        <w:rPr>
          <w:rFonts w:hint="eastAsia" w:ascii="宋体" w:hAnsi="宋体" w:eastAsia="宋体" w:cs="宋体"/>
          <w:i w:val="0"/>
          <w:iCs w:val="0"/>
          <w:sz w:val="24"/>
          <w:szCs w:val="24"/>
        </w:rPr>
      </w:pPr>
    </w:p>
    <w:p w14:paraId="2D310810">
      <w:pPr>
        <w:pStyle w:val="6"/>
        <w:numPr>
          <w:ilvl w:val="0"/>
          <w:numId w:val="154"/>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61CE1B5A">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270A5CE6">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工业实景数据库因子管理</w:t>
            </w:r>
          </w:p>
          <w:p w14:paraId="06CFD2B9">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本土实测因子发布前置校验</w:t>
            </w:r>
          </w:p>
          <w:p w14:paraId="20524728">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P4 正在维护一个硅钢片物料的本土实测碳因子</w:t>
            </w:r>
          </w:p>
          <w:p w14:paraId="4397CF4B">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未上传检测报告或未填写第三方认证声明编号即点击发布</w:t>
            </w:r>
          </w:p>
          <w:p w14:paraId="2C7B807E">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发布按钮置灰不可点击</w:t>
            </w:r>
          </w:p>
          <w:p w14:paraId="1F5ED528">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该因子仅能以草稿状态保存</w:t>
            </w:r>
          </w:p>
          <w:p w14:paraId="3E97F875">
            <w:pPr>
              <w:spacing w:before="0" w:after="20" w:line="264" w:lineRule="auto"/>
              <w:rPr>
                <w:rFonts w:hint="eastAsia" w:ascii="宋体" w:hAnsi="宋体" w:eastAsia="宋体" w:cs="宋体"/>
                <w:i w:val="0"/>
                <w:iCs w:val="0"/>
                <w:sz w:val="24"/>
                <w:szCs w:val="24"/>
              </w:rPr>
            </w:pPr>
          </w:p>
          <w:p w14:paraId="04E69724">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因子匹配优先级兜底</w:t>
            </w:r>
          </w:p>
          <w:p w14:paraId="371B086C">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Ecoinvent 库中不存在某物料的精确匹配条目</w:t>
            </w:r>
          </w:p>
          <w:p w14:paraId="328E894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系统为该物料匹配碳因子</w:t>
            </w:r>
          </w:p>
          <w:p w14:paraId="76467B40">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依次尝试 CLCD 0.2 本土近似因子</w:t>
            </w:r>
          </w:p>
          <w:p w14:paraId="0EE6F80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均无匹配时使用国家发改委折标因子兜底并标注"兜底因子"</w:t>
            </w:r>
          </w:p>
        </w:tc>
      </w:tr>
    </w:tbl>
    <w:p w14:paraId="28885A2A">
      <w:pPr>
        <w:spacing w:after="40"/>
        <w:rPr>
          <w:rFonts w:hint="eastAsia" w:ascii="宋体" w:hAnsi="宋体" w:eastAsia="宋体" w:cs="宋体"/>
          <w:i w:val="0"/>
          <w:iCs w:val="0"/>
          <w:sz w:val="24"/>
          <w:szCs w:val="24"/>
        </w:rPr>
      </w:pPr>
    </w:p>
    <w:p w14:paraId="3BCFD703">
      <w:pPr>
        <w:pStyle w:val="5"/>
        <w:numPr>
          <w:ilvl w:val="0"/>
          <w:numId w:val="153"/>
        </w:numPr>
        <w:ind w:left="0" w:leftChars="0" w:firstLine="0" w:firstLineChars="0"/>
        <w:outlineLvl w:val="1"/>
        <w:rPr>
          <w:rFonts w:eastAsia="黑体"/>
          <w:b w:val="0"/>
          <w:bCs w:val="0"/>
          <w:sz w:val="30"/>
          <w:szCs w:val="24"/>
        </w:rPr>
      </w:pPr>
      <w:bookmarkStart w:id="47" w:name="_Toc10094"/>
      <w:r>
        <w:rPr>
          <w:rFonts w:ascii="Times New Roman" w:hAnsi="Times New Roman" w:eastAsia="黑体" w:cs="Times New Roman"/>
          <w:b w:val="0"/>
          <w:bCs w:val="0"/>
          <w:sz w:val="30"/>
          <w:szCs w:val="24"/>
        </w:rPr>
        <w:t>碳足迹核算</w:t>
      </w:r>
      <w:bookmarkEnd w:id="47"/>
    </w:p>
    <w:p w14:paraId="4A228A9B">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drawing>
          <wp:inline distT="0" distB="0" distL="114300" distR="114300">
            <wp:extent cx="5900420" cy="2925445"/>
            <wp:effectExtent l="0" t="0" r="5080" b="8255"/>
            <wp:docPr id="69"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25"/>
                    <pic:cNvPicPr>
                      <a:picLocks noChangeAspect="1"/>
                    </pic:cNvPicPr>
                  </pic:nvPicPr>
                  <pic:blipFill>
                    <a:blip r:embed="rId83"/>
                    <a:stretch>
                      <a:fillRect/>
                    </a:stretch>
                  </pic:blipFill>
                  <pic:spPr>
                    <a:xfrm>
                      <a:off x="0" y="0"/>
                      <a:ext cx="5900420" cy="2925445"/>
                    </a:xfrm>
                    <a:prstGeom prst="rect">
                      <a:avLst/>
                    </a:prstGeom>
                    <a:noFill/>
                    <a:ln>
                      <a:noFill/>
                    </a:ln>
                  </pic:spPr>
                </pic:pic>
              </a:graphicData>
            </a:graphic>
          </wp:inline>
        </w:drawing>
      </w:r>
    </w:p>
    <w:p w14:paraId="7C75CDAA">
      <w:pPr>
        <w:pStyle w:val="6"/>
        <w:numPr>
          <w:ilvl w:val="0"/>
          <w:numId w:val="15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541B5BDC">
      <w:pPr>
        <w:pStyle w:val="19"/>
        <w:widowControl/>
        <w:numPr>
          <w:ilvl w:val="0"/>
          <w:numId w:val="16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：产品全生命周期碳足迹核算的核心算法与状态机中枢，实现 BOM 层级自动展开、五大阶段滚算、工艺能耗分摊、报告状态流转与审计哈希存证。</w:t>
      </w:r>
    </w:p>
    <w:p w14:paraId="4F575FBD">
      <w:pPr>
        <w:pStyle w:val="19"/>
        <w:widowControl/>
        <w:numPr>
          <w:ilvl w:val="0"/>
          <w:numId w:val="16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：P4 碳核算工程师（主操作）、P6 外部独立审计机构（核验）。</w:t>
      </w:r>
    </w:p>
    <w:p w14:paraId="57EABF14">
      <w:pPr>
        <w:pStyle w:val="19"/>
        <w:widowControl/>
        <w:numPr>
          <w:ilvl w:val="0"/>
          <w:numId w:val="16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/carbon-footprint/database/accounting </w:t>
      </w:r>
      <w:r>
        <w:rPr>
          <w:rFonts w:ascii="Times New Roman" w:hAnsi="Times New Roman" w:eastAsia="宋体" w:cs="Times New Roman"/>
          <w:i w:val="0"/>
          <w:color w:val="1F2937"/>
          <w:sz w:val="24"/>
          <w:szCs w:val="24"/>
        </w:rPr>
        <w:t>。</w:t>
      </w:r>
    </w:p>
    <w:p w14:paraId="66B76980">
      <w:pPr>
        <w:pStyle w:val="19"/>
        <w:widowControl/>
        <w:numPr>
          <w:ilvl w:val="0"/>
          <w:numId w:val="16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：ERP/PLM BOM、MES 工序四元组、实景数据库因子、因子库版本、审计哈希链。</w:t>
      </w:r>
    </w:p>
    <w:p w14:paraId="56A29064">
      <w:pPr>
        <w:pStyle w:val="19"/>
        <w:widowControl/>
        <w:numPr>
          <w:ilvl w:val="0"/>
          <w:numId w:val="16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：LCA 报告、数字碳标签、CBAM 申报底数。</w:t>
      </w:r>
    </w:p>
    <w:p w14:paraId="65BEA47B">
      <w:pPr>
        <w:pStyle w:val="6"/>
        <w:numPr>
          <w:ilvl w:val="0"/>
          <w:numId w:val="15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1B7A0962">
      <w:pPr>
        <w:pStyle w:val="19"/>
        <w:widowControl/>
        <w:numPr>
          <w:ilvl w:val="0"/>
          <w:numId w:val="16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：为出口欧盟的 220kV 变压器完成从 BOM 展开到五阶段滚算、再到内审核验与认证签发的全流程核算。</w:t>
      </w:r>
    </w:p>
    <w:p w14:paraId="2F512071">
      <w:pPr>
        <w:pStyle w:val="19"/>
        <w:widowControl/>
        <w:numPr>
          <w:ilvl w:val="0"/>
          <w:numId w:val="16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69959BCA">
      <w:pPr>
        <w:pStyle w:val="19"/>
        <w:widowControl/>
        <w:numPr>
          <w:ilvl w:val="0"/>
          <w:numId w:val="161"/>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碳核算与认证工程师 (Persona P4)</w:t>
      </w:r>
      <w:r>
        <w:rPr>
          <w:rFonts w:ascii="Times New Roman" w:hAnsi="Times New Roman" w:eastAsia="宋体" w:cs="Times New Roman"/>
          <w:i w:val="0"/>
          <w:color w:val="1F2937"/>
          <w:sz w:val="24"/>
          <w:szCs w:val="24"/>
        </w:rPr>
        <w:t>，</w:t>
      </w:r>
    </w:p>
    <w:p w14:paraId="66B5D367">
      <w:pPr>
        <w:pStyle w:val="19"/>
        <w:widowControl/>
        <w:numPr>
          <w:ilvl w:val="0"/>
          <w:numId w:val="161"/>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一键展开 BOM 并完成 ISO 14067 五阶段滚算，系统自动校验加总一致性与因子有效期</w:t>
      </w:r>
      <w:r>
        <w:rPr>
          <w:rFonts w:ascii="Times New Roman" w:hAnsi="Times New Roman" w:eastAsia="宋体" w:cs="Times New Roman"/>
          <w:i w:val="0"/>
          <w:color w:val="1F2937"/>
          <w:sz w:val="24"/>
          <w:szCs w:val="24"/>
        </w:rPr>
        <w:t>，</w:t>
      </w:r>
    </w:p>
    <w:p w14:paraId="5CC6406C">
      <w:pPr>
        <w:pStyle w:val="19"/>
        <w:widowControl/>
        <w:numPr>
          <w:ilvl w:val="0"/>
          <w:numId w:val="161"/>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我能快速产出经得起第三方审计与欧盟审查的碳足迹报告</w:t>
      </w:r>
      <w:r>
        <w:rPr>
          <w:rFonts w:ascii="Times New Roman" w:hAnsi="Times New Roman" w:eastAsia="宋体" w:cs="Times New Roman"/>
          <w:i w:val="0"/>
          <w:color w:val="1F2937"/>
          <w:sz w:val="24"/>
          <w:szCs w:val="24"/>
        </w:rPr>
        <w:t>。</w:t>
      </w:r>
    </w:p>
    <w:p w14:paraId="1DEF708B">
      <w:pPr>
        <w:pStyle w:val="6"/>
        <w:numPr>
          <w:ilvl w:val="0"/>
          <w:numId w:val="15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00766C89">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核心业务逻辑：</w:t>
      </w:r>
    </w:p>
    <w:p w14:paraId="54DF0E00">
      <w:pPr>
        <w:pStyle w:val="19"/>
        <w:widowControl/>
        <w:numPr>
          <w:ilvl w:val="0"/>
          <w:numId w:val="16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BOM 层级自动展开</w:t>
      </w:r>
      <w:r>
        <w:rPr>
          <w:rFonts w:ascii="Times New Roman" w:hAnsi="Times New Roman" w:eastAsia="宋体" w:cs="Times New Roman"/>
          <w:i w:val="0"/>
          <w:color w:val="1F2937"/>
          <w:sz w:val="24"/>
          <w:szCs w:val="24"/>
        </w:rPr>
        <w:t xml:space="preserve">：从 ERP/PLM 自动拉取多级产品工程物料清单 (BOM)，计算物料损耗系数 </w:t>
      </w:r>
      <w:r>
        <w:rPr>
          <w:rFonts w:ascii="Times New Roman" w:hAnsi="Times New Roman" w:eastAsia="宋体" w:cs="Times New Roman"/>
          <w:i w:val="0"/>
          <w:color w:val="15803D"/>
          <w:sz w:val="24"/>
          <w:szCs w:val="24"/>
        </w:rPr>
        <w:t>Q_{mat} = Q_{bom} × (1 + R_{loss})</w:t>
      </w:r>
      <w:r>
        <w:rPr>
          <w:rFonts w:ascii="Times New Roman" w:hAnsi="Times New Roman" w:eastAsia="宋体" w:cs="Times New Roman"/>
          <w:i w:val="0"/>
          <w:color w:val="1F2937"/>
          <w:sz w:val="24"/>
          <w:szCs w:val="24"/>
        </w:rPr>
        <w:t>。</w:t>
      </w:r>
    </w:p>
    <w:p w14:paraId="3F943EF2">
      <w:pPr>
        <w:pStyle w:val="19"/>
        <w:widowControl/>
        <w:numPr>
          <w:ilvl w:val="0"/>
          <w:numId w:val="162"/>
        </w:numPr>
        <w:ind w:left="0" w:leftChars="0" w:firstLine="482" w:firstLineChars="0"/>
        <w:outlineLvl w:val="3"/>
        <w:rPr>
          <w:rFonts w:eastAsia="宋体"/>
          <w:b/>
          <w:i w:val="0"/>
          <w:color w:val="0284C7"/>
          <w:sz w:val="24"/>
          <w:szCs w:val="24"/>
        </w:rPr>
      </w:pPr>
      <w:r>
        <w:rPr>
          <w:rFonts w:ascii="Times New Roman" w:hAnsi="Times New Roman" w:eastAsia="宋体" w:cs="Times New Roman"/>
          <w:b/>
          <w:i w:val="0"/>
          <w:color w:val="1E3A8A"/>
          <w:sz w:val="24"/>
          <w:szCs w:val="24"/>
        </w:rPr>
        <w:t>5 大阶段 LCA 滚算模型</w:t>
      </w:r>
      <w:r>
        <w:rPr>
          <w:rFonts w:ascii="Times New Roman" w:hAnsi="Times New Roman" w:eastAsia="宋体" w:cs="Times New Roman"/>
          <w:i w:val="0"/>
          <w:color w:val="1F2937"/>
          <w:sz w:val="24"/>
          <w:szCs w:val="24"/>
        </w:rPr>
        <w:t>：严格依照 ISO 14067 标准执行生命周期评价滚算。</w:t>
      </w:r>
    </w:p>
    <w:p w14:paraId="41BAE6E0">
      <w:pPr>
        <w:pStyle w:val="19"/>
        <w:widowControl/>
        <w:numPr>
          <w:ilvl w:val="0"/>
          <w:numId w:val="16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工艺能耗分摊</w:t>
      </w:r>
      <w:r>
        <w:rPr>
          <w:rFonts w:ascii="Times New Roman" w:hAnsi="Times New Roman" w:eastAsia="宋体" w:cs="Times New Roman"/>
          <w:i w:val="0"/>
          <w:color w:val="1F2937"/>
          <w:sz w:val="24"/>
          <w:szCs w:val="24"/>
        </w:rPr>
        <w:t>：基于工时或产量权重分摊真空干燥、退火炉等公共工序的水电气能耗。</w:t>
      </w:r>
    </w:p>
    <w:p w14:paraId="58DA80D3">
      <w:pPr>
        <w:pStyle w:val="19"/>
        <w:widowControl/>
        <w:numPr>
          <w:ilvl w:val="0"/>
          <w:numId w:val="16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状态机可视化</w:t>
      </w:r>
      <w:r>
        <w:rPr>
          <w:rFonts w:ascii="Times New Roman" w:hAnsi="Times New Roman" w:eastAsia="宋体" w:cs="Times New Roman"/>
          <w:i w:val="0"/>
          <w:color w:val="1F2937"/>
          <w:sz w:val="24"/>
          <w:szCs w:val="24"/>
        </w:rPr>
        <w:t>：以泳道图呈现 DRAFT → SUBMITTED → CERTIFYING → CERTIFIED → PUBLISHED → ARCHIVED 全链路。</w:t>
      </w:r>
    </w:p>
    <w:p w14:paraId="358A1681">
      <w:pPr>
        <w:pStyle w:val="19"/>
        <w:widowControl/>
        <w:numPr>
          <w:ilvl w:val="0"/>
          <w:numId w:val="16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审计哈希链展示</w:t>
      </w:r>
      <w:r>
        <w:rPr>
          <w:rFonts w:ascii="Times New Roman" w:hAnsi="Times New Roman" w:eastAsia="宋体" w:cs="Times New Roman"/>
          <w:i w:val="0"/>
          <w:color w:val="1F2937"/>
          <w:sz w:val="24"/>
          <w:szCs w:val="24"/>
        </w:rPr>
        <w:t>：逐节点展示计算过程哈希，尾节点校验 prev 引用，可在页面直观看到链条完整性。</w:t>
      </w:r>
    </w:p>
    <w:p w14:paraId="11A68DBE">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LCA 报告状态机（回捞 PRD-07）：</w:t>
      </w:r>
    </w:p>
    <w:tbl>
      <w:tblPr>
        <w:tblStyle w:val="38"/>
        <w:tblW w:w="9784" w:type="dxa"/>
        <w:jc w:val="center"/>
        <w:tblLayout w:type="autofit"/>
        <w:tblCellMar>
          <w:top w:w="0" w:type="dxa"/>
          <w:left w:w="108" w:type="dxa"/>
          <w:bottom w:w="0" w:type="dxa"/>
          <w:right w:w="108" w:type="dxa"/>
        </w:tblCellMar>
      </w:tblPr>
      <w:tblGrid>
        <w:gridCol w:w="2701"/>
        <w:gridCol w:w="3752"/>
        <w:gridCol w:w="1950"/>
        <w:gridCol w:w="1381"/>
      </w:tblGrid>
      <w:tr w14:paraId="61FF4140">
        <w:tblPrEx>
          <w:tblCellMar>
            <w:top w:w="0" w:type="dxa"/>
            <w:left w:w="108" w:type="dxa"/>
            <w:bottom w:w="0" w:type="dxa"/>
            <w:right w:w="108" w:type="dxa"/>
          </w:tblCellMar>
        </w:tblPrEx>
        <w:trPr>
          <w:jc w:val="center"/>
        </w:trPr>
        <w:tc>
          <w:tcPr>
            <w:tcW w:w="270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1D27426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当前状态</w:t>
            </w:r>
          </w:p>
        </w:tc>
        <w:tc>
          <w:tcPr>
            <w:tcW w:w="375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8DA83F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可触发动作</w:t>
            </w:r>
          </w:p>
        </w:tc>
        <w:tc>
          <w:tcPr>
            <w:tcW w:w="195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23E43D7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触发角色</w:t>
            </w:r>
          </w:p>
        </w:tc>
        <w:tc>
          <w:tcPr>
            <w:tcW w:w="138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0BCF378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审计写入</w:t>
            </w:r>
          </w:p>
        </w:tc>
      </w:tr>
      <w:tr w14:paraId="71CBFD8F">
        <w:tblPrEx>
          <w:tblCellMar>
            <w:top w:w="0" w:type="dxa"/>
            <w:left w:w="108" w:type="dxa"/>
            <w:bottom w:w="0" w:type="dxa"/>
            <w:right w:w="108" w:type="dxa"/>
          </w:tblCellMar>
        </w:tblPrEx>
        <w:trPr>
          <w:jc w:val="center"/>
        </w:trPr>
        <w:tc>
          <w:tcPr>
            <w:tcW w:w="270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D2E1C8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DRAFT 草稿</w:t>
            </w:r>
          </w:p>
        </w:tc>
        <w:tc>
          <w:tcPr>
            <w:tcW w:w="375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B1B84B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提交内审 / 废弃</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080B79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P4</w:t>
            </w:r>
          </w:p>
        </w:tc>
        <w:tc>
          <w:tcPr>
            <w:tcW w:w="13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D550CA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是</w:t>
            </w:r>
          </w:p>
        </w:tc>
      </w:tr>
      <w:tr w14:paraId="65CD4CAC">
        <w:tblPrEx>
          <w:tblCellMar>
            <w:top w:w="0" w:type="dxa"/>
            <w:left w:w="108" w:type="dxa"/>
            <w:bottom w:w="0" w:type="dxa"/>
            <w:right w:w="108" w:type="dxa"/>
          </w:tblCellMar>
        </w:tblPrEx>
        <w:trPr>
          <w:jc w:val="center"/>
        </w:trPr>
        <w:tc>
          <w:tcPr>
            <w:tcW w:w="270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8E4C02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SUBMITTED 送审</w:t>
            </w:r>
          </w:p>
        </w:tc>
        <w:tc>
          <w:tcPr>
            <w:tcW w:w="375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810EE4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撤回（限内审驳回）/ 受理</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45E6F3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P4 + 机构</w:t>
            </w:r>
          </w:p>
        </w:tc>
        <w:tc>
          <w:tcPr>
            <w:tcW w:w="13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15D0B2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是</w:t>
            </w:r>
          </w:p>
        </w:tc>
      </w:tr>
      <w:tr w14:paraId="4FB9C8B2">
        <w:tblPrEx>
          <w:tblCellMar>
            <w:top w:w="0" w:type="dxa"/>
            <w:left w:w="108" w:type="dxa"/>
            <w:bottom w:w="0" w:type="dxa"/>
            <w:right w:w="108" w:type="dxa"/>
          </w:tblCellMar>
        </w:tblPrEx>
        <w:trPr>
          <w:jc w:val="center"/>
        </w:trPr>
        <w:tc>
          <w:tcPr>
            <w:tcW w:w="270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E469CE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CERTIFYING 认证中</w:t>
            </w:r>
          </w:p>
        </w:tc>
        <w:tc>
          <w:tcPr>
            <w:tcW w:w="375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B0796C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不可编辑，仅审批</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9BFE84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13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087594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是</w:t>
            </w:r>
          </w:p>
        </w:tc>
      </w:tr>
      <w:tr w14:paraId="6F218626">
        <w:tblPrEx>
          <w:tblCellMar>
            <w:top w:w="0" w:type="dxa"/>
            <w:left w:w="108" w:type="dxa"/>
            <w:bottom w:w="0" w:type="dxa"/>
            <w:right w:w="108" w:type="dxa"/>
          </w:tblCellMar>
        </w:tblPrEx>
        <w:trPr>
          <w:jc w:val="center"/>
        </w:trPr>
        <w:tc>
          <w:tcPr>
            <w:tcW w:w="270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26702C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CERTIFIED 已认证</w:t>
            </w:r>
          </w:p>
        </w:tc>
        <w:tc>
          <w:tcPr>
            <w:tcW w:w="375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5943C0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一键发布 / 归档</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A84156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P4 + PM 联合</w:t>
            </w:r>
          </w:p>
        </w:tc>
        <w:tc>
          <w:tcPr>
            <w:tcW w:w="13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ADD31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是</w:t>
            </w:r>
          </w:p>
        </w:tc>
      </w:tr>
      <w:tr w14:paraId="1E8A90A3">
        <w:tblPrEx>
          <w:tblCellMar>
            <w:top w:w="0" w:type="dxa"/>
            <w:left w:w="108" w:type="dxa"/>
            <w:bottom w:w="0" w:type="dxa"/>
            <w:right w:w="108" w:type="dxa"/>
          </w:tblCellMar>
        </w:tblPrEx>
        <w:trPr>
          <w:jc w:val="center"/>
        </w:trPr>
        <w:tc>
          <w:tcPr>
            <w:tcW w:w="270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96EBC6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PUBLISHED 已发布</w:t>
            </w:r>
          </w:p>
        </w:tc>
        <w:tc>
          <w:tcPr>
            <w:tcW w:w="375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1D0B3B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归档</w:t>
            </w:r>
          </w:p>
        </w:tc>
        <w:tc>
          <w:tcPr>
            <w:tcW w:w="195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DB7E98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PM</w:t>
            </w:r>
          </w:p>
        </w:tc>
        <w:tc>
          <w:tcPr>
            <w:tcW w:w="13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47B98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是</w:t>
            </w:r>
          </w:p>
        </w:tc>
      </w:tr>
      <w:tr w14:paraId="11CBF1D3">
        <w:tblPrEx>
          <w:tblCellMar>
            <w:top w:w="0" w:type="dxa"/>
            <w:left w:w="108" w:type="dxa"/>
            <w:bottom w:w="0" w:type="dxa"/>
            <w:right w:w="108" w:type="dxa"/>
          </w:tblCellMar>
        </w:tblPrEx>
        <w:trPr>
          <w:jc w:val="center"/>
        </w:trPr>
        <w:tc>
          <w:tcPr>
            <w:tcW w:w="270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9B287E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ARCHIVED 已归档</w:t>
            </w:r>
          </w:p>
        </w:tc>
        <w:tc>
          <w:tcPr>
            <w:tcW w:w="375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27882D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不可变</w:t>
            </w:r>
          </w:p>
        </w:tc>
        <w:tc>
          <w:tcPr>
            <w:tcW w:w="195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1F1CB6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13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099867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r>
    </w:tbl>
    <w:p w14:paraId="3EFABC7A">
      <w:pPr>
        <w:spacing w:after="60"/>
        <w:rPr>
          <w:rFonts w:hint="eastAsia" w:ascii="宋体" w:hAnsi="宋体" w:eastAsia="宋体" w:cs="宋体"/>
          <w:i w:val="0"/>
          <w:iCs w:val="0"/>
          <w:sz w:val="24"/>
          <w:szCs w:val="24"/>
        </w:rPr>
      </w:pPr>
    </w:p>
    <w:p w14:paraId="1ED6F20A">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计算正确性规则（BR）与错误码：</w:t>
      </w:r>
    </w:p>
    <w:tbl>
      <w:tblPr>
        <w:tblStyle w:val="38"/>
        <w:tblW w:w="9784" w:type="dxa"/>
        <w:jc w:val="center"/>
        <w:tblLayout w:type="autofit"/>
        <w:tblCellMar>
          <w:top w:w="0" w:type="dxa"/>
          <w:left w:w="108" w:type="dxa"/>
          <w:bottom w:w="0" w:type="dxa"/>
          <w:right w:w="108" w:type="dxa"/>
        </w:tblCellMar>
      </w:tblPr>
      <w:tblGrid>
        <w:gridCol w:w="1533"/>
        <w:gridCol w:w="3241"/>
        <w:gridCol w:w="1770"/>
        <w:gridCol w:w="3240"/>
      </w:tblGrid>
      <w:tr w14:paraId="26581FA0">
        <w:trPr>
          <w:jc w:val="center"/>
        </w:trPr>
        <w:tc>
          <w:tcPr>
            <w:tcW w:w="154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2F8D39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BR编号</w:t>
            </w:r>
          </w:p>
        </w:tc>
        <w:tc>
          <w:tcPr>
            <w:tcW w:w="324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0A2F36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规则</w:t>
            </w:r>
          </w:p>
        </w:tc>
        <w:tc>
          <w:tcPr>
            <w:tcW w:w="177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EBED84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触发时机</w:t>
            </w:r>
          </w:p>
        </w:tc>
        <w:tc>
          <w:tcPr>
            <w:tcW w:w="321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580CA4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错误码</w:t>
            </w:r>
          </w:p>
        </w:tc>
      </w:tr>
      <w:tr w14:paraId="047EF8A8">
        <w:tblPrEx>
          <w:tblCellMar>
            <w:top w:w="0" w:type="dxa"/>
            <w:left w:w="108" w:type="dxa"/>
            <w:bottom w:w="0" w:type="dxa"/>
            <w:right w:w="108" w:type="dxa"/>
          </w:tblCellMar>
        </w:tblPrEx>
        <w:trPr>
          <w:jc w:val="center"/>
        </w:trPr>
        <w:tc>
          <w:tcPr>
            <w:tcW w:w="154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D9DCF0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BR-LCA-001</w:t>
            </w:r>
          </w:p>
        </w:tc>
        <w:tc>
          <w:tcPr>
            <w:tcW w:w="324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03AE77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C_{total} = ΣC_{stage}</w:t>
            </w:r>
            <w:r>
              <w:rPr>
                <w:rFonts w:hint="eastAsia" w:ascii="宋体" w:hAnsi="宋体" w:eastAsia="宋体" w:cs="宋体"/>
                <w:i w:val="0"/>
                <w:iCs w:val="0"/>
                <w:color w:val="1F2937"/>
                <w:sz w:val="24"/>
                <w:szCs w:val="24"/>
              </w:rPr>
              <w:t>，容差 ≤ 0.01 kgCO2e</w:t>
            </w:r>
          </w:p>
        </w:tc>
        <w:tc>
          <w:tcPr>
            <w:tcW w:w="17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A8703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任意时刻后台自检</w:t>
            </w:r>
          </w:p>
        </w:tc>
        <w:tc>
          <w:tcPr>
            <w:tcW w:w="32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264F95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E_CALC_LCA_SUM_MISMATCH</w:t>
            </w:r>
          </w:p>
        </w:tc>
      </w:tr>
      <w:tr w14:paraId="65BA3C60">
        <w:tblPrEx>
          <w:tblCellMar>
            <w:top w:w="0" w:type="dxa"/>
            <w:left w:w="108" w:type="dxa"/>
            <w:bottom w:w="0" w:type="dxa"/>
            <w:right w:w="108" w:type="dxa"/>
          </w:tblCellMar>
        </w:tblPrEx>
        <w:trPr>
          <w:jc w:val="center"/>
        </w:trPr>
        <w:tc>
          <w:tcPr>
            <w:tcW w:w="154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8874AF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BR-LCA-002</w:t>
            </w:r>
          </w:p>
        </w:tc>
        <w:tc>
          <w:tcPr>
            <w:tcW w:w="324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6C322F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C_{total} ≥ 0</w:t>
            </w:r>
          </w:p>
        </w:tc>
        <w:tc>
          <w:tcPr>
            <w:tcW w:w="17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DA1899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保存</w:t>
            </w:r>
          </w:p>
        </w:tc>
        <w:tc>
          <w:tcPr>
            <w:tcW w:w="32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AD9C56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E_VAL_LCA_TOTAL_NEGATIVE</w:t>
            </w:r>
          </w:p>
        </w:tc>
      </w:tr>
      <w:tr w14:paraId="317ADAE0">
        <w:tblPrEx>
          <w:tblCellMar>
            <w:top w:w="0" w:type="dxa"/>
            <w:left w:w="108" w:type="dxa"/>
            <w:bottom w:w="0" w:type="dxa"/>
            <w:right w:w="108" w:type="dxa"/>
          </w:tblCellMar>
        </w:tblPrEx>
        <w:trPr>
          <w:jc w:val="center"/>
        </w:trPr>
        <w:tc>
          <w:tcPr>
            <w:tcW w:w="154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3BE32D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BR-LCA-003</w:t>
            </w:r>
          </w:p>
        </w:tc>
        <w:tc>
          <w:tcPr>
            <w:tcW w:w="324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25A063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工时 </w:t>
            </w:r>
            <w:r>
              <w:rPr>
                <w:rFonts w:hint="eastAsia" w:ascii="宋体" w:hAnsi="宋体" w:eastAsia="宋体" w:cs="宋体"/>
                <w:i w:val="0"/>
                <w:iCs w:val="0"/>
                <w:color w:val="15803D"/>
                <w:sz w:val="24"/>
                <w:szCs w:val="24"/>
              </w:rPr>
              <w:t>T_m &gt; 0</w:t>
            </w:r>
          </w:p>
        </w:tc>
        <w:tc>
          <w:tcPr>
            <w:tcW w:w="17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7A4062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制造加工阶段</w:t>
            </w:r>
          </w:p>
        </w:tc>
        <w:tc>
          <w:tcPr>
            <w:tcW w:w="32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F1E844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E_CALC_LCA_TDIV_ZERO</w:t>
            </w:r>
          </w:p>
        </w:tc>
      </w:tr>
      <w:tr w14:paraId="1B322CD1">
        <w:tblPrEx>
          <w:tblCellMar>
            <w:top w:w="0" w:type="dxa"/>
            <w:left w:w="108" w:type="dxa"/>
            <w:bottom w:w="0" w:type="dxa"/>
            <w:right w:w="108" w:type="dxa"/>
          </w:tblCellMar>
        </w:tblPrEx>
        <w:trPr>
          <w:jc w:val="center"/>
        </w:trPr>
        <w:tc>
          <w:tcPr>
            <w:tcW w:w="154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336665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BR-LCA-004</w:t>
            </w:r>
          </w:p>
        </w:tc>
        <w:tc>
          <w:tcPr>
            <w:tcW w:w="324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3D9496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因子版本有效期 </w:t>
            </w:r>
            <w:r>
              <w:rPr>
                <w:rFonts w:hint="eastAsia" w:ascii="宋体" w:hAnsi="宋体" w:eastAsia="宋体" w:cs="宋体"/>
                <w:i w:val="0"/>
                <w:iCs w:val="0"/>
                <w:color w:val="15803D"/>
                <w:sz w:val="24"/>
                <w:szCs w:val="24"/>
              </w:rPr>
              <w:t>today ∈ [effective\_from, effective\_to]</w:t>
            </w:r>
          </w:p>
        </w:tc>
        <w:tc>
          <w:tcPr>
            <w:tcW w:w="17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96A7F1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因子选用</w:t>
            </w:r>
          </w:p>
        </w:tc>
        <w:tc>
          <w:tcPr>
            <w:tcW w:w="32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6D22CC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E_VAL_FACTOR_EXPIRED</w:t>
            </w:r>
          </w:p>
        </w:tc>
      </w:tr>
      <w:tr w14:paraId="01A9A5C4">
        <w:tblPrEx>
          <w:tblCellMar>
            <w:top w:w="0" w:type="dxa"/>
            <w:left w:w="108" w:type="dxa"/>
            <w:bottom w:w="0" w:type="dxa"/>
            <w:right w:w="108" w:type="dxa"/>
          </w:tblCellMar>
        </w:tblPrEx>
        <w:trPr>
          <w:jc w:val="center"/>
        </w:trPr>
        <w:tc>
          <w:tcPr>
            <w:tcW w:w="154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574E69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BR-LCA-005</w:t>
            </w:r>
          </w:p>
        </w:tc>
        <w:tc>
          <w:tcPr>
            <w:tcW w:w="324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D0B211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工序四元组（设备/工时/介质/数量）齐备</w:t>
            </w:r>
          </w:p>
        </w:tc>
        <w:tc>
          <w:tcPr>
            <w:tcW w:w="17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253738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保存</w:t>
            </w:r>
          </w:p>
        </w:tc>
        <w:tc>
          <w:tcPr>
            <w:tcW w:w="32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BC5EF8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E_VAL_LCA_STAGE_INCOMPLETE</w:t>
            </w:r>
          </w:p>
        </w:tc>
      </w:tr>
      <w:tr w14:paraId="699430E6">
        <w:tblPrEx>
          <w:tblCellMar>
            <w:top w:w="0" w:type="dxa"/>
            <w:left w:w="108" w:type="dxa"/>
            <w:bottom w:w="0" w:type="dxa"/>
            <w:right w:w="108" w:type="dxa"/>
          </w:tblCellMar>
        </w:tblPrEx>
        <w:trPr>
          <w:jc w:val="center"/>
        </w:trPr>
        <w:tc>
          <w:tcPr>
            <w:tcW w:w="154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6F4DDA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BR-LCA-006</w:t>
            </w:r>
          </w:p>
        </w:tc>
        <w:tc>
          <w:tcPr>
            <w:tcW w:w="324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62AF07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哈希链尾节点 prev = 前一节点</w:t>
            </w:r>
          </w:p>
        </w:tc>
        <w:tc>
          <w:tcPr>
            <w:tcW w:w="17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1093C3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审计存证</w:t>
            </w:r>
          </w:p>
        </w:tc>
        <w:tc>
          <w:tcPr>
            <w:tcW w:w="32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77EAC0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E_AUDIT_HASH_BROKEN</w:t>
            </w:r>
          </w:p>
        </w:tc>
      </w:tr>
    </w:tbl>
    <w:p w14:paraId="7F255AB8">
      <w:pPr>
        <w:spacing w:after="60"/>
        <w:rPr>
          <w:rFonts w:hint="eastAsia" w:ascii="宋体" w:hAnsi="宋体" w:eastAsia="宋体" w:cs="宋体"/>
          <w:i w:val="0"/>
          <w:iCs w:val="0"/>
          <w:sz w:val="24"/>
          <w:szCs w:val="24"/>
        </w:rPr>
      </w:pPr>
    </w:p>
    <w:p w14:paraId="4F94D2D1">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接口与降级策略（回捞 PRD-07 §9）：</w:t>
      </w:r>
    </w:p>
    <w:p w14:paraId="0D7CE047">
      <w:pPr>
        <w:pStyle w:val="19"/>
        <w:widowControl/>
        <w:numPr>
          <w:ilvl w:val="0"/>
          <w:numId w:val="162"/>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OpenAPI 3.0：</w:t>
      </w:r>
      <w:r>
        <w:rPr>
          <w:rFonts w:ascii="Times New Roman" w:hAnsi="Times New Roman" w:eastAsia="宋体" w:cs="Times New Roman"/>
          <w:b w:val="0"/>
          <w:i w:val="0"/>
          <w:color w:val="0284C7"/>
          <w:sz w:val="24"/>
          <w:szCs w:val="24"/>
        </w:rPr>
        <w:t xml:space="preserve"> /cf/v1/lca/reports </w:t>
      </w:r>
      <w:r>
        <w:rPr>
          <w:rFonts w:ascii="Times New Roman" w:hAnsi="Times New Roman" w:eastAsia="宋体" w:cs="Times New Roman"/>
          <w:i w:val="0"/>
          <w:color w:val="1F2937"/>
          <w:sz w:val="24"/>
          <w:szCs w:val="24"/>
        </w:rPr>
        <w:t>（LCA 报告查询/提交/状态流转，状态枚举 DRAFT/SUBMITTED/CERTIFYING/CERTIFIED/PUBLISHED/ARCHIVED）。</w:t>
      </w:r>
    </w:p>
    <w:p w14:paraId="4E4EB248">
      <w:pPr>
        <w:pStyle w:val="19"/>
        <w:widowControl/>
        <w:numPr>
          <w:ilvl w:val="0"/>
          <w:numId w:val="162"/>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ERP BOM：</w:t>
      </w:r>
      <w:r>
        <w:rPr>
          <w:rFonts w:ascii="Times New Roman" w:hAnsi="Times New Roman" w:eastAsia="宋体" w:cs="Times New Roman"/>
          <w:b w:val="0"/>
          <w:i w:val="0"/>
          <w:color w:val="0284C7"/>
          <w:sz w:val="24"/>
          <w:szCs w:val="24"/>
        </w:rPr>
        <w:t xml:space="preserve"> /mes/v1/boms/{sku}/tree </w:t>
      </w:r>
      <w:r>
        <w:rPr>
          <w:rFonts w:ascii="Times New Roman" w:hAnsi="Times New Roman" w:eastAsia="宋体" w:cs="Times New Roman"/>
          <w:i w:val="0"/>
          <w:color w:val="1F2937"/>
          <w:sz w:val="24"/>
          <w:szCs w:val="24"/>
        </w:rPr>
        <w:t xml:space="preserve">，超时 5s 自动重试 3 次后触发 </w:t>
      </w:r>
      <w:r>
        <w:rPr>
          <w:rFonts w:ascii="Times New Roman" w:hAnsi="Times New Roman" w:eastAsia="宋体" w:cs="Times New Roman"/>
          <w:b w:val="0"/>
          <w:i w:val="0"/>
          <w:color w:val="0284C7"/>
          <w:sz w:val="24"/>
          <w:szCs w:val="24"/>
        </w:rPr>
        <w:t xml:space="preserve"> E_EXT_ERP_BOM_TIMEOUT </w:t>
      </w:r>
      <w:r>
        <w:rPr>
          <w:rFonts w:ascii="Times New Roman" w:hAnsi="Times New Roman" w:eastAsia="宋体" w:cs="Times New Roman"/>
          <w:i w:val="0"/>
          <w:color w:val="1F2937"/>
          <w:sz w:val="24"/>
          <w:szCs w:val="24"/>
        </w:rPr>
        <w:t>；ERP 不可达时允许 P4 手动上传 Excel BOM 模板（仅 INV-FALLBACK 模式）。</w:t>
      </w:r>
    </w:p>
    <w:p w14:paraId="286327AF">
      <w:pPr>
        <w:pStyle w:val="19"/>
        <w:widowControl/>
        <w:numPr>
          <w:ilvl w:val="0"/>
          <w:numId w:val="162"/>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MES 工序：</w:t>
      </w:r>
      <w:r>
        <w:rPr>
          <w:rFonts w:ascii="Times New Roman" w:hAnsi="Times New Roman" w:eastAsia="宋体" w:cs="Times New Roman"/>
          <w:b w:val="0"/>
          <w:i w:val="0"/>
          <w:color w:val="0284C7"/>
          <w:sz w:val="24"/>
          <w:szCs w:val="24"/>
        </w:rPr>
        <w:t xml:space="preserve"> /mes/v1/processes/{bom_id} </w:t>
      </w:r>
      <w:r>
        <w:rPr>
          <w:rFonts w:ascii="Times New Roman" w:hAnsi="Times New Roman" w:eastAsia="宋体" w:cs="Times New Roman"/>
          <w:i w:val="0"/>
          <w:color w:val="1F2937"/>
          <w:sz w:val="24"/>
          <w:szCs w:val="24"/>
        </w:rPr>
        <w:t>（工序四元组：设备编号/工时/介质/数量）。</w:t>
      </w:r>
    </w:p>
    <w:p w14:paraId="37AB974F">
      <w:pPr>
        <w:pStyle w:val="19"/>
        <w:widowControl/>
        <w:numPr>
          <w:ilvl w:val="0"/>
          <w:numId w:val="162"/>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Ecoinvent v3.8 License API：</w:t>
      </w:r>
      <w:r>
        <w:rPr>
          <w:rFonts w:ascii="Times New Roman" w:hAnsi="Times New Roman" w:eastAsia="宋体" w:cs="Times New Roman"/>
          <w:b w:val="0"/>
          <w:i w:val="0"/>
          <w:color w:val="0284C7"/>
          <w:sz w:val="24"/>
          <w:szCs w:val="24"/>
        </w:rPr>
        <w:t xml:space="preserve"> /lic/v3/factors/search </w:t>
      </w:r>
      <w:r>
        <w:rPr>
          <w:rFonts w:ascii="Times New Roman" w:hAnsi="Times New Roman" w:eastAsia="宋体" w:cs="Times New Roman"/>
          <w:i w:val="0"/>
          <w:color w:val="1F2937"/>
          <w:sz w:val="24"/>
          <w:szCs w:val="24"/>
        </w:rPr>
        <w:t xml:space="preserve">，License 过期触发 </w:t>
      </w:r>
      <w:r>
        <w:rPr>
          <w:rFonts w:ascii="Times New Roman" w:hAnsi="Times New Roman" w:eastAsia="宋体" w:cs="Times New Roman"/>
          <w:b w:val="0"/>
          <w:i w:val="0"/>
          <w:color w:val="0284C7"/>
          <w:sz w:val="24"/>
          <w:szCs w:val="24"/>
        </w:rPr>
        <w:t xml:space="preserve"> E_EXT_ECOINVENT_LICENSE </w:t>
      </w:r>
      <w:r>
        <w:rPr>
          <w:rFonts w:ascii="Times New Roman" w:hAnsi="Times New Roman" w:eastAsia="宋体" w:cs="Times New Roman"/>
          <w:i w:val="0"/>
          <w:color w:val="1F2937"/>
          <w:sz w:val="24"/>
          <w:szCs w:val="24"/>
        </w:rPr>
        <w:t xml:space="preserve"> 并切换 CLCD 兜底因子。</w:t>
      </w:r>
    </w:p>
    <w:p w14:paraId="0130C53D">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审计与防伪存证（回捞 PRD-07 §8）：</w:t>
      </w:r>
    </w:p>
    <w:p w14:paraId="171BAD5B">
      <w:pPr>
        <w:pStyle w:val="19"/>
        <w:widowControl/>
        <w:numPr>
          <w:ilvl w:val="0"/>
          <w:numId w:val="162"/>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审计哈希链（ADR-CF-003）：LCA 计算过程逐节点哈希存证，前一 hash 写入后一 hash 头部，尾节点校验 prev 引用，断裂触发 </w:t>
      </w:r>
      <w:r>
        <w:rPr>
          <w:rFonts w:ascii="Times New Roman" w:hAnsi="Times New Roman" w:eastAsia="宋体" w:cs="Times New Roman"/>
          <w:b w:val="0"/>
          <w:i w:val="0"/>
          <w:color w:val="0284C7"/>
          <w:sz w:val="24"/>
          <w:szCs w:val="24"/>
        </w:rPr>
        <w:t xml:space="preserve"> E_AUDIT_HASH_BROKEN </w:t>
      </w:r>
      <w:r>
        <w:rPr>
          <w:rFonts w:ascii="Times New Roman" w:hAnsi="Times New Roman" w:eastAsia="宋体" w:cs="Times New Roman"/>
          <w:i w:val="0"/>
          <w:color w:val="1F2937"/>
          <w:sz w:val="24"/>
          <w:szCs w:val="24"/>
        </w:rPr>
        <w:t>。</w:t>
      </w:r>
    </w:p>
    <w:p w14:paraId="379DE02A">
      <w:pPr>
        <w:pStyle w:val="19"/>
        <w:widowControl/>
        <w:numPr>
          <w:ilvl w:val="0"/>
          <w:numId w:val="162"/>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报告导出（ADR-CF-005）：强制水印 + 操作员工号 + 时间戳嵌入导出 PDF。</w:t>
      </w:r>
    </w:p>
    <w:p w14:paraId="7A4A609E">
      <w:pPr>
        <w:pStyle w:val="19"/>
        <w:widowControl/>
        <w:numPr>
          <w:ilvl w:val="0"/>
          <w:numId w:val="162"/>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因子数据分级：原辅料因子 INTERNAL、电力因子 INTERNAL、Ecoinvent 跨境因子 SENSITIVE（含供应商来源）。</w:t>
      </w:r>
    </w:p>
    <w:p w14:paraId="31E2F2EE">
      <w:pPr>
        <w:pStyle w:val="19"/>
        <w:widowControl/>
        <w:numPr>
          <w:ilvl w:val="0"/>
          <w:numId w:val="162"/>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因子匹配优先级：Ecoinvent v3.8（精确物料）→ CLCD 0.2（本土近似）→ 国家发改委折标（兜底）。</w:t>
      </w:r>
    </w:p>
    <w:p w14:paraId="0C5D681C">
      <w:pPr>
        <w:pStyle w:val="6"/>
        <w:numPr>
          <w:ilvl w:val="0"/>
          <w:numId w:val="15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81"/>
        <w:gridCol w:w="2040"/>
        <w:gridCol w:w="1363"/>
        <w:gridCol w:w="1363"/>
        <w:gridCol w:w="4137"/>
      </w:tblGrid>
      <w:tr w14:paraId="7ECF8F0C">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E5EC9D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3D5F4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36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3285E6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136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E85061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413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04591A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核算来源与约束规则</w:t>
            </w:r>
          </w:p>
        </w:tc>
      </w:tr>
      <w:tr w14:paraId="042193BC">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AEB905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0750C1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产品唯一物料号</w:t>
            </w:r>
          </w:p>
        </w:tc>
        <w:tc>
          <w:tcPr>
            <w:tcW w:w="136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2875D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36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AF751B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0738D6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ERP/PLM 主物料编号，唯一主键</w:t>
            </w:r>
          </w:p>
        </w:tc>
      </w:tr>
      <w:tr w14:paraId="7F8907DC">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B7A74A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9650F0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BOM 清单版本号</w:t>
            </w:r>
          </w:p>
        </w:tc>
        <w:tc>
          <w:tcPr>
            <w:tcW w:w="136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50F80D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36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BF637D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649BCE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工程技术部生效版本，如 REV-C</w:t>
            </w:r>
          </w:p>
        </w:tc>
      </w:tr>
      <w:tr w14:paraId="5F54337F">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D8B882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031BE5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生产批次流水号</w:t>
            </w:r>
          </w:p>
        </w:tc>
        <w:tc>
          <w:tcPr>
            <w:tcW w:w="136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41325A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36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E174D3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04051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MES 制造工单流水号</w:t>
            </w:r>
          </w:p>
        </w:tc>
      </w:tr>
      <w:tr w14:paraId="4F87E7F6">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AA98E4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CA78DB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原材料阶段碳排</w:t>
            </w:r>
          </w:p>
        </w:tc>
        <w:tc>
          <w:tcPr>
            <w:tcW w:w="136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3550BD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C23448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kgCO2e</w:t>
            </w:r>
          </w:p>
        </w:tc>
        <w:tc>
          <w:tcPr>
            <w:tcW w:w="41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70D17B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Σ(物料重量 × 实测因子)</w:t>
            </w:r>
            <w:r>
              <w:rPr>
                <w:rFonts w:hint="eastAsia" w:ascii="宋体" w:hAnsi="宋体" w:eastAsia="宋体" w:cs="宋体"/>
                <w:i w:val="0"/>
                <w:iCs w:val="0"/>
                <w:color w:val="1F2937"/>
                <w:sz w:val="24"/>
                <w:szCs w:val="24"/>
              </w:rPr>
              <w:t>，占比通常超 70%</w:t>
            </w:r>
          </w:p>
        </w:tc>
      </w:tr>
      <w:tr w14:paraId="7962C273">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255EAA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28CE1E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上游运输阶段碳排</w:t>
            </w:r>
          </w:p>
        </w:tc>
        <w:tc>
          <w:tcPr>
            <w:tcW w:w="136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6F88A5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5044F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kgCO2e</w:t>
            </w:r>
          </w:p>
        </w:tc>
        <w:tc>
          <w:tcPr>
            <w:tcW w:w="41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CBB5B8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Σ(吨公里 × 运输工具排放因子)</w:t>
            </w:r>
          </w:p>
        </w:tc>
      </w:tr>
      <w:tr w14:paraId="62D6F8EC">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DE0F88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AE13E9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生产加工阶段碳排</w:t>
            </w:r>
          </w:p>
        </w:tc>
        <w:tc>
          <w:tcPr>
            <w:tcW w:w="136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56F2B5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05F783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kgCO2e</w:t>
            </w:r>
          </w:p>
        </w:tc>
        <w:tc>
          <w:tcPr>
            <w:tcW w:w="41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FDD3D7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制造工序电/汽/气消耗公摊碳排</w:t>
            </w:r>
          </w:p>
        </w:tc>
      </w:tr>
      <w:tr w14:paraId="49E37903">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2239D7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1C8EDF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试验检测阶段碳排</w:t>
            </w:r>
          </w:p>
        </w:tc>
        <w:tc>
          <w:tcPr>
            <w:tcW w:w="136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DABB22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34C802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kgCO2e</w:t>
            </w:r>
          </w:p>
        </w:tc>
        <w:tc>
          <w:tcPr>
            <w:tcW w:w="41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FB95E6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出厂耐压/温升试验用电碳排</w:t>
            </w:r>
          </w:p>
        </w:tc>
      </w:tr>
      <w:tr w14:paraId="4AAAE311">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B7B6F7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2C73B0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包装出厂阶段碳排</w:t>
            </w:r>
          </w:p>
        </w:tc>
        <w:tc>
          <w:tcPr>
            <w:tcW w:w="136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CBE8DB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144070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kgCO2e</w:t>
            </w:r>
          </w:p>
        </w:tc>
        <w:tc>
          <w:tcPr>
            <w:tcW w:w="41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B88EAE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包装箱木材/缠绕膜碳排</w:t>
            </w:r>
          </w:p>
        </w:tc>
      </w:tr>
      <w:tr w14:paraId="6D2E49A2">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869B7B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756D70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总碳足迹数值</w:t>
            </w:r>
          </w:p>
        </w:tc>
        <w:tc>
          <w:tcPr>
            <w:tcW w:w="136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19897D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8A39B3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kgCO2e</w:t>
            </w:r>
          </w:p>
        </w:tc>
        <w:tc>
          <w:tcPr>
            <w:tcW w:w="41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91AB68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 大阶段排放量严密累加和</w:t>
            </w:r>
          </w:p>
        </w:tc>
      </w:tr>
      <w:tr w14:paraId="50F9F9DC">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75734C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431876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核算审批状态</w:t>
            </w:r>
          </w:p>
        </w:tc>
        <w:tc>
          <w:tcPr>
            <w:tcW w:w="136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DC35AE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36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99F0F7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ED844F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草稿/已提交/认证中/已签发/已归档</w:t>
            </w:r>
          </w:p>
        </w:tc>
      </w:tr>
      <w:tr w14:paraId="111F4A02">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E80A71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7CB341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审计哈希链尾节点</w:t>
            </w:r>
          </w:p>
        </w:tc>
        <w:tc>
          <w:tcPr>
            <w:tcW w:w="136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1F1E68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36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AF530B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SHA-256</w:t>
            </w:r>
          </w:p>
        </w:tc>
        <w:tc>
          <w:tcPr>
            <w:tcW w:w="41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FB0DC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尾节点 prev 须指向上一节点哈希</w:t>
            </w:r>
          </w:p>
        </w:tc>
      </w:tr>
      <w:tr w14:paraId="57688787">
        <w:tblPrEx>
          <w:tblCellMar>
            <w:top w:w="0" w:type="dxa"/>
            <w:left w:w="108" w:type="dxa"/>
            <w:bottom w:w="0" w:type="dxa"/>
            <w:right w:w="108" w:type="dxa"/>
          </w:tblCellMar>
        </w:tblPrEx>
        <w:trPr>
          <w:jc w:val="center"/>
        </w:trPr>
        <w:tc>
          <w:tcPr>
            <w:tcW w:w="8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883704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12</w:t>
            </w:r>
          </w:p>
        </w:tc>
        <w:tc>
          <w:tcPr>
            <w:tcW w:w="204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DED26B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工艺损耗率</w:t>
            </w:r>
          </w:p>
        </w:tc>
        <w:tc>
          <w:tcPr>
            <w:tcW w:w="136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5F716D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6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A3EEE9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AE0137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0 ≤ R_loss &lt; 100%</w:t>
            </w:r>
          </w:p>
        </w:tc>
      </w:tr>
    </w:tbl>
    <w:p w14:paraId="4EFEF9B5">
      <w:pPr>
        <w:spacing w:after="60"/>
        <w:rPr>
          <w:rFonts w:hint="eastAsia" w:ascii="宋体" w:hAnsi="宋体" w:eastAsia="宋体" w:cs="宋体"/>
          <w:i w:val="0"/>
          <w:iCs w:val="0"/>
          <w:sz w:val="24"/>
          <w:szCs w:val="24"/>
        </w:rPr>
      </w:pPr>
    </w:p>
    <w:p w14:paraId="212C9E6D">
      <w:pPr>
        <w:pStyle w:val="6"/>
        <w:numPr>
          <w:ilvl w:val="0"/>
          <w:numId w:val="15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0AA056B3">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6B494082">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E_PCF = E_raw + E_trans + E_manuf + E_test + E_pack</w:t>
            </w:r>
          </w:p>
          <w:p w14:paraId="4211E0FF">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E_raw = Σ [ M_i × (1 + R_loss_i) × EF_mat_i ]                    原材料获取</w:t>
            </w:r>
          </w:p>
          <w:p w14:paraId="2E8C772F">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E_trans = Σ [ M_i × D_i × EF_trans_mode ]                        上游运输</w:t>
            </w:r>
          </w:p>
          <w:p w14:paraId="24B84A57">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E_manuf = Σ [ ( E_process_energy / Batch_Output ) × EF_energy ]  制造加工</w:t>
            </w:r>
          </w:p>
          <w:p w14:paraId="61C1A7A2">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E_test = ( Q_test_elec / Test_Capacity ) × EF_grid               试验检测</w:t>
            </w:r>
          </w:p>
          <w:p w14:paraId="469F66CB">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E_pack = Σ [ M_pack_k × EF_pack_k ]                              包装出厂</w:t>
            </w:r>
          </w:p>
          <w:p w14:paraId="0790F14E">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Q_mat = Q_bom × ( 1 + R_loss )                                   物料损耗系数</w:t>
            </w:r>
          </w:p>
          <w:p w14:paraId="3A1BFF23">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Check: ABS( C_total - Σ C_stage ) &lt;= 0.01 kgCO2e                    加总一致性自检</w:t>
            </w:r>
          </w:p>
        </w:tc>
      </w:tr>
    </w:tbl>
    <w:p w14:paraId="52AA1190">
      <w:pPr>
        <w:spacing w:after="40"/>
        <w:rPr>
          <w:rFonts w:hint="eastAsia" w:ascii="宋体" w:hAnsi="宋体" w:eastAsia="宋体" w:cs="宋体"/>
          <w:i w:val="0"/>
          <w:iCs w:val="0"/>
          <w:sz w:val="24"/>
          <w:szCs w:val="24"/>
        </w:rPr>
      </w:pPr>
    </w:p>
    <w:p w14:paraId="5D94D12D">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w:t>
      </w:r>
      <w:r>
        <w:rPr>
          <w:rFonts w:ascii="Times New Roman" w:hAnsi="Times New Roman" w:eastAsia="宋体" w:cs="Times New Roman"/>
          <w:b w:val="0"/>
          <w:i w:val="0"/>
          <w:color w:val="0284C7"/>
          <w:sz w:val="24"/>
          <w:szCs w:val="24"/>
        </w:rPr>
        <w:t xml:space="preserve"> M_i </w:t>
      </w:r>
      <w:r>
        <w:rPr>
          <w:rFonts w:ascii="Times New Roman" w:hAnsi="Times New Roman" w:eastAsia="宋体" w:cs="Times New Roman"/>
          <w:i w:val="0"/>
          <w:color w:val="1F2937"/>
          <w:sz w:val="24"/>
          <w:szCs w:val="24"/>
        </w:rPr>
        <w:t xml:space="preserve"> 为物料净重（t）；</w:t>
      </w:r>
      <w:r>
        <w:rPr>
          <w:rFonts w:ascii="Times New Roman" w:hAnsi="Times New Roman" w:eastAsia="宋体" w:cs="Times New Roman"/>
          <w:b w:val="0"/>
          <w:i w:val="0"/>
          <w:color w:val="0284C7"/>
          <w:sz w:val="24"/>
          <w:szCs w:val="24"/>
        </w:rPr>
        <w:t xml:space="preserve"> R_loss_i </w:t>
      </w:r>
      <w:r>
        <w:rPr>
          <w:rFonts w:ascii="Times New Roman" w:hAnsi="Times New Roman" w:eastAsia="宋体" w:cs="Times New Roman"/>
          <w:i w:val="0"/>
          <w:color w:val="1F2937"/>
          <w:sz w:val="24"/>
          <w:szCs w:val="24"/>
        </w:rPr>
        <w:t xml:space="preserve"> 为工艺损耗率（%）；</w:t>
      </w:r>
      <w:r>
        <w:rPr>
          <w:rFonts w:ascii="Times New Roman" w:hAnsi="Times New Roman" w:eastAsia="宋体" w:cs="Times New Roman"/>
          <w:b w:val="0"/>
          <w:i w:val="0"/>
          <w:color w:val="0284C7"/>
          <w:sz w:val="24"/>
          <w:szCs w:val="24"/>
        </w:rPr>
        <w:t xml:space="preserve"> EF_mat_i </w:t>
      </w:r>
      <w:r>
        <w:rPr>
          <w:rFonts w:ascii="Times New Roman" w:hAnsi="Times New Roman" w:eastAsia="宋体" w:cs="Times New Roman"/>
          <w:i w:val="0"/>
          <w:color w:val="1F2937"/>
          <w:sz w:val="24"/>
          <w:szCs w:val="24"/>
        </w:rPr>
        <w:t xml:space="preserve"> 为物料实测碳因子（kgCO2e/kg）；</w:t>
      </w:r>
      <w:r>
        <w:rPr>
          <w:rFonts w:ascii="Times New Roman" w:hAnsi="Times New Roman" w:eastAsia="宋体" w:cs="Times New Roman"/>
          <w:b w:val="0"/>
          <w:i w:val="0"/>
          <w:color w:val="0284C7"/>
          <w:sz w:val="24"/>
          <w:szCs w:val="24"/>
        </w:rPr>
        <w:t xml:space="preserve"> D_i </w:t>
      </w:r>
      <w:r>
        <w:rPr>
          <w:rFonts w:ascii="Times New Roman" w:hAnsi="Times New Roman" w:eastAsia="宋体" w:cs="Times New Roman"/>
          <w:i w:val="0"/>
          <w:color w:val="1F2937"/>
          <w:sz w:val="24"/>
          <w:szCs w:val="24"/>
        </w:rPr>
        <w:t xml:space="preserve"> 为运输距离（km）；</w:t>
      </w:r>
      <w:r>
        <w:rPr>
          <w:rFonts w:ascii="Times New Roman" w:hAnsi="Times New Roman" w:eastAsia="宋体" w:cs="Times New Roman"/>
          <w:b w:val="0"/>
          <w:i w:val="0"/>
          <w:color w:val="0284C7"/>
          <w:sz w:val="24"/>
          <w:szCs w:val="24"/>
        </w:rPr>
        <w:t xml:space="preserve"> EF_trans_mode </w:t>
      </w:r>
      <w:r>
        <w:rPr>
          <w:rFonts w:ascii="Times New Roman" w:hAnsi="Times New Roman" w:eastAsia="宋体" w:cs="Times New Roman"/>
          <w:i w:val="0"/>
          <w:color w:val="1F2937"/>
          <w:sz w:val="24"/>
          <w:szCs w:val="24"/>
        </w:rPr>
        <w:t xml:space="preserve"> 为吨公里运输因子；</w:t>
      </w:r>
      <w:r>
        <w:rPr>
          <w:rFonts w:ascii="Times New Roman" w:hAnsi="Times New Roman" w:eastAsia="宋体" w:cs="Times New Roman"/>
          <w:b w:val="0"/>
          <w:i w:val="0"/>
          <w:color w:val="0284C7"/>
          <w:sz w:val="24"/>
          <w:szCs w:val="24"/>
        </w:rPr>
        <w:t xml:space="preserve"> Q_test_elec </w:t>
      </w:r>
      <w:r>
        <w:rPr>
          <w:rFonts w:ascii="Times New Roman" w:hAnsi="Times New Roman" w:eastAsia="宋体" w:cs="Times New Roman"/>
          <w:i w:val="0"/>
          <w:color w:val="1F2937"/>
          <w:sz w:val="24"/>
          <w:szCs w:val="24"/>
        </w:rPr>
        <w:t xml:space="preserve"> 为出厂试验用电量；</w:t>
      </w:r>
      <w:r>
        <w:rPr>
          <w:rFonts w:ascii="Times New Roman" w:hAnsi="Times New Roman" w:eastAsia="宋体" w:cs="Times New Roman"/>
          <w:b w:val="0"/>
          <w:i w:val="0"/>
          <w:color w:val="0284C7"/>
          <w:sz w:val="24"/>
          <w:szCs w:val="24"/>
        </w:rPr>
        <w:t xml:space="preserve"> Test_Capacity </w:t>
      </w:r>
      <w:r>
        <w:rPr>
          <w:rFonts w:ascii="Times New Roman" w:hAnsi="Times New Roman" w:eastAsia="宋体" w:cs="Times New Roman"/>
          <w:i w:val="0"/>
          <w:color w:val="1F2937"/>
          <w:sz w:val="24"/>
          <w:szCs w:val="24"/>
        </w:rPr>
        <w:t xml:space="preserve"> 为试验容量。核算边界为摇篮到大门（Cradle-to-Gate）。</w:t>
      </w:r>
    </w:p>
    <w:p w14:paraId="76FDE32E">
      <w:pPr>
        <w:pStyle w:val="6"/>
        <w:numPr>
          <w:ilvl w:val="0"/>
          <w:numId w:val="15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70E46A8E">
      <w:pPr>
        <w:pStyle w:val="19"/>
        <w:widowControl/>
        <w:numPr>
          <w:ilvl w:val="0"/>
          <w:numId w:val="16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边界口径</w:t>
      </w:r>
      <w:r>
        <w:rPr>
          <w:rFonts w:ascii="Times New Roman" w:hAnsi="Times New Roman" w:eastAsia="宋体" w:cs="Times New Roman"/>
          <w:i w:val="0"/>
          <w:color w:val="1F2937"/>
          <w:sz w:val="24"/>
          <w:szCs w:val="24"/>
        </w:rPr>
        <w:t>：严格 Cradle-to-Gate 五阶段，阶段定义不可增减。</w:t>
      </w:r>
    </w:p>
    <w:p w14:paraId="71F01ABA">
      <w:pPr>
        <w:pStyle w:val="19"/>
        <w:widowControl/>
        <w:numPr>
          <w:ilvl w:val="0"/>
          <w:numId w:val="16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分配口径</w:t>
      </w:r>
      <w:r>
        <w:rPr>
          <w:rFonts w:ascii="Times New Roman" w:hAnsi="Times New Roman" w:eastAsia="宋体" w:cs="Times New Roman"/>
          <w:i w:val="0"/>
          <w:color w:val="1F2937"/>
          <w:sz w:val="24"/>
          <w:szCs w:val="24"/>
        </w:rPr>
        <w:t>：公共工序（真空干燥、退火炉）水电气能耗按工时或产量权重分摊，分配方法须在报告中声明。</w:t>
      </w:r>
    </w:p>
    <w:p w14:paraId="72785A71">
      <w:pPr>
        <w:pStyle w:val="19"/>
        <w:widowControl/>
        <w:numPr>
          <w:ilvl w:val="0"/>
          <w:numId w:val="16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容差口径</w:t>
      </w:r>
      <w:r>
        <w:rPr>
          <w:rFonts w:ascii="Times New Roman" w:hAnsi="Times New Roman" w:eastAsia="宋体" w:cs="Times New Roman"/>
          <w:i w:val="0"/>
          <w:color w:val="1F2937"/>
          <w:sz w:val="24"/>
          <w:szCs w:val="24"/>
        </w:rPr>
        <w:t>：总碳足迹与五阶段加总的容差上限 0.01 kgCO2e，超差即阻断证书签发。</w:t>
      </w:r>
    </w:p>
    <w:p w14:paraId="4681D8F2">
      <w:pPr>
        <w:pStyle w:val="19"/>
        <w:widowControl/>
        <w:numPr>
          <w:ilvl w:val="0"/>
          <w:numId w:val="16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状态口径</w:t>
      </w:r>
      <w:r>
        <w:rPr>
          <w:rFonts w:ascii="Times New Roman" w:hAnsi="Times New Roman" w:eastAsia="宋体" w:cs="Times New Roman"/>
          <w:i w:val="0"/>
          <w:color w:val="1F2937"/>
          <w:sz w:val="24"/>
          <w:szCs w:val="24"/>
        </w:rPr>
        <w:t>：认证中状态不可编辑；发布须 P4 + PM 联合签字。</w:t>
      </w:r>
    </w:p>
    <w:p w14:paraId="40F05193">
      <w:pPr>
        <w:pStyle w:val="6"/>
        <w:numPr>
          <w:ilvl w:val="0"/>
          <w:numId w:val="159"/>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6A6502FD">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276C9B04">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五阶段加总与总碳排容差超出 0.01 kgCO2e：触发 </w:t>
            </w:r>
            <w:r>
              <w:rPr>
                <w:rFonts w:hint="eastAsia" w:ascii="宋体" w:hAnsi="宋体" w:eastAsia="宋体" w:cs="宋体"/>
                <w:b w:val="0"/>
                <w:i w:val="0"/>
                <w:iCs w:val="0"/>
                <w:color w:val="0284C7"/>
                <w:sz w:val="24"/>
                <w:szCs w:val="24"/>
              </w:rPr>
              <w:t xml:space="preserve"> E_CALC_LCA_SUM_MISMATCH </w:t>
            </w:r>
            <w:r>
              <w:rPr>
                <w:rFonts w:hint="eastAsia" w:ascii="宋体" w:hAnsi="宋体" w:eastAsia="宋体" w:cs="宋体"/>
                <w:i w:val="0"/>
                <w:iCs w:val="0"/>
                <w:color w:val="1F2937"/>
                <w:sz w:val="24"/>
                <w:szCs w:val="24"/>
              </w:rPr>
              <w:t>，后台阻断证书签发与对外发布并触发引擎重算。</w:t>
            </w:r>
          </w:p>
          <w:p w14:paraId="2BF366EB">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总碳足迹为负：触发 </w:t>
            </w:r>
            <w:r>
              <w:rPr>
                <w:rFonts w:hint="eastAsia" w:ascii="宋体" w:hAnsi="宋体" w:eastAsia="宋体" w:cs="宋体"/>
                <w:b w:val="0"/>
                <w:i w:val="0"/>
                <w:iCs w:val="0"/>
                <w:color w:val="0284C7"/>
                <w:sz w:val="24"/>
                <w:szCs w:val="24"/>
              </w:rPr>
              <w:t xml:space="preserve"> E_VAL_LCA_TOTAL_NEGATIVE </w:t>
            </w:r>
            <w:r>
              <w:rPr>
                <w:rFonts w:hint="eastAsia" w:ascii="宋体" w:hAnsi="宋体" w:eastAsia="宋体" w:cs="宋体"/>
                <w:i w:val="0"/>
                <w:iCs w:val="0"/>
                <w:color w:val="1F2937"/>
                <w:sz w:val="24"/>
                <w:szCs w:val="24"/>
              </w:rPr>
              <w:t>，阻断保存。</w:t>
            </w:r>
          </w:p>
          <w:p w14:paraId="0619C29F">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试验工时 </w:t>
            </w:r>
            <w:r>
              <w:rPr>
                <w:rFonts w:hint="eastAsia" w:ascii="宋体" w:hAnsi="宋体" w:eastAsia="宋体" w:cs="宋体"/>
                <w:i w:val="0"/>
                <w:iCs w:val="0"/>
                <w:color w:val="15803D"/>
                <w:sz w:val="24"/>
                <w:szCs w:val="24"/>
              </w:rPr>
              <w:t>T_m = 0</w:t>
            </w:r>
            <w:r>
              <w:rPr>
                <w:rFonts w:hint="eastAsia" w:ascii="宋体" w:hAnsi="宋体" w:eastAsia="宋体" w:cs="宋体"/>
                <w:i w:val="0"/>
                <w:iCs w:val="0"/>
                <w:color w:val="1F2937"/>
                <w:sz w:val="24"/>
                <w:szCs w:val="24"/>
              </w:rPr>
              <w:t xml:space="preserve">：触发 </w:t>
            </w:r>
            <w:r>
              <w:rPr>
                <w:rFonts w:hint="eastAsia" w:ascii="宋体" w:hAnsi="宋体" w:eastAsia="宋体" w:cs="宋体"/>
                <w:b w:val="0"/>
                <w:i w:val="0"/>
                <w:iCs w:val="0"/>
                <w:color w:val="0284C7"/>
                <w:sz w:val="24"/>
                <w:szCs w:val="24"/>
              </w:rPr>
              <w:t xml:space="preserve"> E_CALC_LCA_TDIV_ZERO </w:t>
            </w:r>
            <w:r>
              <w:rPr>
                <w:rFonts w:hint="eastAsia" w:ascii="宋体" w:hAnsi="宋体" w:eastAsia="宋体" w:cs="宋体"/>
                <w:i w:val="0"/>
                <w:iCs w:val="0"/>
                <w:color w:val="1F2937"/>
                <w:sz w:val="24"/>
                <w:szCs w:val="24"/>
              </w:rPr>
              <w:t>，阻断阶段算式生成。</w:t>
            </w:r>
          </w:p>
          <w:p w14:paraId="0C38F996">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工序四元组不齐备：触发 </w:t>
            </w:r>
            <w:r>
              <w:rPr>
                <w:rFonts w:hint="eastAsia" w:ascii="宋体" w:hAnsi="宋体" w:eastAsia="宋体" w:cs="宋体"/>
                <w:b w:val="0"/>
                <w:i w:val="0"/>
                <w:iCs w:val="0"/>
                <w:color w:val="0284C7"/>
                <w:sz w:val="24"/>
                <w:szCs w:val="24"/>
              </w:rPr>
              <w:t xml:space="preserve"> E_VAL_LCA_STAGE_INCOMPLETE </w:t>
            </w:r>
            <w:r>
              <w:rPr>
                <w:rFonts w:hint="eastAsia" w:ascii="宋体" w:hAnsi="宋体" w:eastAsia="宋体" w:cs="宋体"/>
                <w:i w:val="0"/>
                <w:iCs w:val="0"/>
                <w:color w:val="1F2937"/>
                <w:sz w:val="24"/>
                <w:szCs w:val="24"/>
              </w:rPr>
              <w:t>，阻断保存。</w:t>
            </w:r>
          </w:p>
          <w:p w14:paraId="546EFBC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ERP BOM 超时：重试 3 次后降级使用本地缓存 BOM 快照，仅在 INV-FALLBACK 模式下允许手工上传 Excel BOM。</w:t>
            </w:r>
          </w:p>
          <w:p w14:paraId="6E7B7F6B">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哈希链断裂：触发 </w:t>
            </w:r>
            <w:r>
              <w:rPr>
                <w:rFonts w:hint="eastAsia" w:ascii="宋体" w:hAnsi="宋体" w:eastAsia="宋体" w:cs="宋体"/>
                <w:b w:val="0"/>
                <w:i w:val="0"/>
                <w:iCs w:val="0"/>
                <w:color w:val="0284C7"/>
                <w:sz w:val="24"/>
                <w:szCs w:val="24"/>
              </w:rPr>
              <w:t xml:space="preserve"> E_AUDIT_HASH_BROKEN </w:t>
            </w:r>
            <w:r>
              <w:rPr>
                <w:rFonts w:hint="eastAsia" w:ascii="宋体" w:hAnsi="宋体" w:eastAsia="宋体" w:cs="宋体"/>
                <w:i w:val="0"/>
                <w:iCs w:val="0"/>
                <w:color w:val="1F2937"/>
                <w:sz w:val="24"/>
                <w:szCs w:val="24"/>
              </w:rPr>
              <w:t>，锁定当事单据并标记数据篡改。</w:t>
            </w:r>
          </w:p>
        </w:tc>
      </w:tr>
    </w:tbl>
    <w:p w14:paraId="79EEA5D1">
      <w:pPr>
        <w:spacing w:after="40"/>
        <w:rPr>
          <w:rFonts w:hint="eastAsia" w:ascii="宋体" w:hAnsi="宋体" w:eastAsia="宋体" w:cs="宋体"/>
          <w:i w:val="0"/>
          <w:iCs w:val="0"/>
          <w:sz w:val="24"/>
          <w:szCs w:val="24"/>
        </w:rPr>
      </w:pPr>
    </w:p>
    <w:p w14:paraId="623A9220">
      <w:pPr>
        <w:pStyle w:val="6"/>
        <w:numPr>
          <w:ilvl w:val="0"/>
          <w:numId w:val="159"/>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25F4C976">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0FFB9C32">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LCA 碳足迹核算引擎</w:t>
            </w:r>
          </w:p>
          <w:p w14:paraId="1364BBCC">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五阶段滚算与加总一致性自检</w:t>
            </w:r>
          </w:p>
          <w:p w14:paraId="65E69B0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某变压器产品 BOM 已完成展开且各阶段工序四元组齐备</w:t>
            </w:r>
          </w:p>
          <w:p w14:paraId="7E757B9A">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系统执行 ISO 14067 五阶段滚算</w:t>
            </w:r>
          </w:p>
          <w:p w14:paraId="51FD77DD">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总碳足迹等于原材料、运输、制造、试验、包装五阶段之和</w:t>
            </w:r>
          </w:p>
          <w:p w14:paraId="63BB63AC">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加总容差不超过 0.01 kgCO2e</w:t>
            </w:r>
          </w:p>
          <w:p w14:paraId="54BBA3A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超差时阻断证书签发并返回 E_CALC_LCA_SUM_MISMATCH</w:t>
            </w:r>
          </w:p>
          <w:p w14:paraId="3EAC97EC">
            <w:pPr>
              <w:spacing w:before="0" w:after="20" w:line="264" w:lineRule="auto"/>
              <w:rPr>
                <w:rFonts w:hint="eastAsia" w:ascii="宋体" w:hAnsi="宋体" w:eastAsia="宋体" w:cs="宋体"/>
                <w:i w:val="0"/>
                <w:iCs w:val="0"/>
                <w:sz w:val="24"/>
                <w:szCs w:val="24"/>
              </w:rPr>
            </w:pPr>
          </w:p>
          <w:p w14:paraId="1B9A02B1">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试验工时除零防御</w:t>
            </w:r>
          </w:p>
          <w:p w14:paraId="662167A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试验检测阶段录入的工时 T_m 为 0</w:t>
            </w:r>
          </w:p>
          <w:p w14:paraId="73BCE74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系统尝试生成该阶段算式</w:t>
            </w:r>
          </w:p>
          <w:p w14:paraId="510A225B">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阻断算式生成并返回 E_CALC_LCA_TDIV_ZERO</w:t>
            </w:r>
          </w:p>
          <w:p w14:paraId="55BA62D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页面提示"试验工时不可为0"</w:t>
            </w:r>
          </w:p>
          <w:p w14:paraId="7CB6030F">
            <w:pPr>
              <w:spacing w:before="0" w:after="20" w:line="264" w:lineRule="auto"/>
              <w:rPr>
                <w:rFonts w:hint="eastAsia" w:ascii="宋体" w:hAnsi="宋体" w:eastAsia="宋体" w:cs="宋体"/>
                <w:i w:val="0"/>
                <w:iCs w:val="0"/>
                <w:sz w:val="24"/>
                <w:szCs w:val="24"/>
              </w:rPr>
            </w:pPr>
          </w:p>
          <w:p w14:paraId="667E63C5">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ERP BOM 超时降级</w:t>
            </w:r>
          </w:p>
          <w:p w14:paraId="3D38685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ERP 系统 BOM 查询接口连续 5 秒未响应</w:t>
            </w:r>
          </w:p>
          <w:p w14:paraId="488D82C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LCA 引擎请求 BOM 树</w:t>
            </w:r>
          </w:p>
          <w:p w14:paraId="00E9F8B7">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自动重试 3 次</w:t>
            </w:r>
          </w:p>
          <w:p w14:paraId="577B254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仍失败时降级使用本地缓存 BOM 历史快照</w:t>
            </w:r>
          </w:p>
          <w:p w14:paraId="013AFFA3">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返回 E_EXT_ERP_BOM_TIMEOUT 并标注降级来源</w:t>
            </w:r>
          </w:p>
          <w:p w14:paraId="3C1C0EEB">
            <w:pPr>
              <w:spacing w:before="0" w:after="20" w:line="264" w:lineRule="auto"/>
              <w:rPr>
                <w:rFonts w:hint="eastAsia" w:ascii="宋体" w:hAnsi="宋体" w:eastAsia="宋体" w:cs="宋体"/>
                <w:i w:val="0"/>
                <w:iCs w:val="0"/>
                <w:sz w:val="24"/>
                <w:szCs w:val="24"/>
              </w:rPr>
            </w:pPr>
          </w:p>
          <w:p w14:paraId="3E13F28B">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审计哈希链完整性</w:t>
            </w:r>
          </w:p>
          <w:p w14:paraId="3F2BB058">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LCA 计算过程已生成逐节点哈希链</w:t>
            </w:r>
          </w:p>
          <w:p w14:paraId="47ED71D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后台执行尾节点 prev 引用校验</w:t>
            </w:r>
          </w:p>
          <w:p w14:paraId="63DC1C23">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尾节点哈希的 prev 指向前一节点哈希时校验通过</w:t>
            </w:r>
          </w:p>
          <w:p w14:paraId="60975C93">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断裂时触发 E_AUDIT_HASH_BROKEN 并锁定当事单据</w:t>
            </w:r>
          </w:p>
          <w:p w14:paraId="24C4B974">
            <w:pPr>
              <w:spacing w:before="0" w:after="20" w:line="264" w:lineRule="auto"/>
              <w:rPr>
                <w:rFonts w:hint="eastAsia" w:ascii="宋体" w:hAnsi="宋体" w:eastAsia="宋体" w:cs="宋体"/>
                <w:i w:val="0"/>
                <w:iCs w:val="0"/>
                <w:sz w:val="24"/>
                <w:szCs w:val="24"/>
              </w:rPr>
            </w:pPr>
          </w:p>
          <w:p w14:paraId="54938D19">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状态机流转与角色边界</w:t>
            </w:r>
          </w:p>
          <w:p w14:paraId="79F3F743">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 LCA 报告处于 DRAFT 草稿状态</w:t>
            </w:r>
          </w:p>
          <w:p w14:paraId="680FCB2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P4 提交内审</w:t>
            </w:r>
          </w:p>
          <w:p w14:paraId="699B14E0">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状态流转至 SUBMITTED 且报告锁定编辑</w:t>
            </w:r>
          </w:p>
          <w:p w14:paraId="703C22C9">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流转动作写入审计日志</w:t>
            </w:r>
          </w:p>
          <w:p w14:paraId="5A8051D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报告进入 CERTIFYING 认证中状态</w:t>
            </w:r>
          </w:p>
          <w:p w14:paraId="40DE7CA8">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任何角色均不可编辑报告内容</w:t>
            </w:r>
          </w:p>
        </w:tc>
      </w:tr>
    </w:tbl>
    <w:p w14:paraId="0C3B6364">
      <w:pPr>
        <w:spacing w:after="40"/>
        <w:rPr>
          <w:rFonts w:hint="eastAsia" w:ascii="宋体" w:hAnsi="宋体" w:eastAsia="宋体" w:cs="宋体"/>
          <w:i w:val="0"/>
          <w:iCs w:val="0"/>
          <w:sz w:val="24"/>
          <w:szCs w:val="24"/>
        </w:rPr>
      </w:pPr>
    </w:p>
    <w:p w14:paraId="66341356">
      <w:pPr>
        <w:pStyle w:val="5"/>
        <w:numPr>
          <w:ilvl w:val="0"/>
          <w:numId w:val="153"/>
        </w:numPr>
        <w:ind w:left="0" w:leftChars="0" w:firstLine="0" w:firstLineChars="0"/>
        <w:outlineLvl w:val="1"/>
        <w:rPr>
          <w:rFonts w:eastAsia="黑体"/>
          <w:b w:val="0"/>
          <w:bCs w:val="0"/>
          <w:sz w:val="30"/>
          <w:szCs w:val="24"/>
        </w:rPr>
      </w:pPr>
      <w:bookmarkStart w:id="48" w:name="_Toc24248"/>
      <w:r>
        <w:rPr>
          <w:rFonts w:ascii="Times New Roman" w:hAnsi="Times New Roman" w:eastAsia="黑体" w:cs="Times New Roman"/>
          <w:b w:val="0"/>
          <w:bCs w:val="0"/>
          <w:sz w:val="30"/>
          <w:szCs w:val="24"/>
        </w:rPr>
        <w:t>碳足迹报告</w:t>
      </w:r>
      <w:bookmarkEnd w:id="48"/>
    </w:p>
    <w:p w14:paraId="506950BB">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drawing>
          <wp:inline distT="0" distB="0" distL="114300" distR="114300">
            <wp:extent cx="5900420" cy="2925445"/>
            <wp:effectExtent l="0" t="0" r="5080" b="8255"/>
            <wp:docPr id="70"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26"/>
                    <pic:cNvPicPr>
                      <a:picLocks noChangeAspect="1"/>
                    </pic:cNvPicPr>
                  </pic:nvPicPr>
                  <pic:blipFill>
                    <a:blip r:embed="rId84"/>
                    <a:stretch>
                      <a:fillRect/>
                    </a:stretch>
                  </pic:blipFill>
                  <pic:spPr>
                    <a:xfrm>
                      <a:off x="0" y="0"/>
                      <a:ext cx="5900420" cy="2925445"/>
                    </a:xfrm>
                    <a:prstGeom prst="rect">
                      <a:avLst/>
                    </a:prstGeom>
                    <a:noFill/>
                    <a:ln>
                      <a:noFill/>
                    </a:ln>
                  </pic:spPr>
                </pic:pic>
              </a:graphicData>
            </a:graphic>
          </wp:inline>
        </w:drawing>
      </w:r>
    </w:p>
    <w:p w14:paraId="5660250F">
      <w:pPr>
        <w:pStyle w:val="6"/>
        <w:numPr>
          <w:ilvl w:val="0"/>
          <w:numId w:val="164"/>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69970951">
      <w:pPr>
        <w:pStyle w:val="19"/>
        <w:widowControl/>
        <w:numPr>
          <w:ilvl w:val="0"/>
          <w:numId w:val="16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：一键导出符合 ISO 14067:2018 规范的双语碳足迹核算报告，并生成含产品唯一 EPC 编码与防伪签名哈希的二维码数字碳标签。</w:t>
      </w:r>
    </w:p>
    <w:p w14:paraId="6ABF3838">
      <w:pPr>
        <w:pStyle w:val="19"/>
        <w:widowControl/>
        <w:numPr>
          <w:ilvl w:val="0"/>
          <w:numId w:val="16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：P4 碳核算工程师、P6 外部独立审计机构（扫码核验）。</w:t>
      </w:r>
    </w:p>
    <w:p w14:paraId="55838465">
      <w:pPr>
        <w:pStyle w:val="19"/>
        <w:widowControl/>
        <w:numPr>
          <w:ilvl w:val="0"/>
          <w:numId w:val="16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/carbon-footprint/database/report </w:t>
      </w:r>
      <w:r>
        <w:rPr>
          <w:rFonts w:ascii="Times New Roman" w:hAnsi="Times New Roman" w:eastAsia="宋体" w:cs="Times New Roman"/>
          <w:i w:val="0"/>
          <w:color w:val="1F2937"/>
          <w:sz w:val="24"/>
          <w:szCs w:val="24"/>
        </w:rPr>
        <w:t>。</w:t>
      </w:r>
    </w:p>
    <w:p w14:paraId="49DAFDF4">
      <w:pPr>
        <w:pStyle w:val="19"/>
        <w:widowControl/>
        <w:numPr>
          <w:ilvl w:val="0"/>
          <w:numId w:val="16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：已认证的 LCA 报告、认证机构签章、报告哈希存证。</w:t>
      </w:r>
    </w:p>
    <w:p w14:paraId="3736BCDE">
      <w:pPr>
        <w:pStyle w:val="19"/>
        <w:widowControl/>
        <w:numPr>
          <w:ilvl w:val="0"/>
          <w:numId w:val="16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：对外交付的认证报告 PDF、产品数字碳标签二维码。</w:t>
      </w:r>
    </w:p>
    <w:p w14:paraId="2E8AC537">
      <w:pPr>
        <w:pStyle w:val="6"/>
        <w:numPr>
          <w:ilvl w:val="0"/>
          <w:numId w:val="164"/>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09EC7AAF">
      <w:pPr>
        <w:pStyle w:val="19"/>
        <w:widowControl/>
        <w:numPr>
          <w:ilvl w:val="0"/>
          <w:numId w:val="16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：产品出口发运前需随货提供双语碳足迹报告与可扫码验证的碳标签，供海外客户与海关查验。</w:t>
      </w:r>
    </w:p>
    <w:p w14:paraId="23FAE84B">
      <w:pPr>
        <w:pStyle w:val="19"/>
        <w:widowControl/>
        <w:numPr>
          <w:ilvl w:val="0"/>
          <w:numId w:val="16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500E8447">
      <w:pPr>
        <w:pStyle w:val="19"/>
        <w:widowControl/>
        <w:numPr>
          <w:ilvl w:val="0"/>
          <w:numId w:val="166"/>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碳核算与认证工程师 (Persona P4)</w:t>
      </w:r>
      <w:r>
        <w:rPr>
          <w:rFonts w:ascii="Times New Roman" w:hAnsi="Times New Roman" w:eastAsia="宋体" w:cs="Times New Roman"/>
          <w:i w:val="0"/>
          <w:color w:val="1F2937"/>
          <w:sz w:val="24"/>
          <w:szCs w:val="24"/>
        </w:rPr>
        <w:t>，</w:t>
      </w:r>
    </w:p>
    <w:p w14:paraId="3201B7D7">
      <w:pPr>
        <w:pStyle w:val="19"/>
        <w:widowControl/>
        <w:numPr>
          <w:ilvl w:val="0"/>
          <w:numId w:val="166"/>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一键导出中英双语 ISO 14067 报告并生成可扫码验真的数字碳标签二维码</w:t>
      </w:r>
      <w:r>
        <w:rPr>
          <w:rFonts w:ascii="Times New Roman" w:hAnsi="Times New Roman" w:eastAsia="宋体" w:cs="Times New Roman"/>
          <w:i w:val="0"/>
          <w:color w:val="1F2937"/>
          <w:sz w:val="24"/>
          <w:szCs w:val="24"/>
        </w:rPr>
        <w:t>，</w:t>
      </w:r>
    </w:p>
    <w:p w14:paraId="4B7939FF">
      <w:pPr>
        <w:pStyle w:val="19"/>
        <w:widowControl/>
        <w:numPr>
          <w:ilvl w:val="0"/>
          <w:numId w:val="166"/>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产品出口时能即时提供具备防伪能力的碳足迹证明</w:t>
      </w:r>
      <w:r>
        <w:rPr>
          <w:rFonts w:ascii="Times New Roman" w:hAnsi="Times New Roman" w:eastAsia="宋体" w:cs="Times New Roman"/>
          <w:i w:val="0"/>
          <w:color w:val="1F2937"/>
          <w:sz w:val="24"/>
          <w:szCs w:val="24"/>
        </w:rPr>
        <w:t>。</w:t>
      </w:r>
    </w:p>
    <w:p w14:paraId="3995A684">
      <w:pPr>
        <w:pStyle w:val="6"/>
        <w:numPr>
          <w:ilvl w:val="0"/>
          <w:numId w:val="164"/>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272CDD41">
      <w:pPr>
        <w:pStyle w:val="19"/>
        <w:widowControl/>
        <w:numPr>
          <w:ilvl w:val="0"/>
          <w:numId w:val="167"/>
        </w:numPr>
        <w:ind w:left="0" w:leftChars="0" w:firstLine="482" w:firstLineChars="0"/>
        <w:rPr>
          <w:rFonts w:eastAsia="宋体"/>
          <w:b/>
          <w:i w:val="0"/>
          <w:color w:val="1E3A8A"/>
          <w:sz w:val="24"/>
          <w:szCs w:val="24"/>
        </w:rPr>
      </w:pPr>
      <w:r>
        <w:rPr>
          <w:rFonts w:ascii="Times New Roman" w:hAnsi="Times New Roman" w:eastAsia="宋体" w:cs="Times New Roman"/>
          <w:b/>
          <w:i w:val="0"/>
          <w:color w:val="1E3A8A"/>
          <w:sz w:val="24"/>
          <w:szCs w:val="24"/>
        </w:rPr>
        <w:t>双语报告导出</w:t>
      </w:r>
      <w:r>
        <w:rPr>
          <w:rFonts w:ascii="Times New Roman" w:hAnsi="Times New Roman" w:eastAsia="宋体" w:cs="Times New Roman"/>
          <w:i w:val="0"/>
          <w:color w:val="1F2937"/>
          <w:sz w:val="24"/>
          <w:szCs w:val="24"/>
        </w:rPr>
        <w:t>：一键导出符合 ISO 14067:2018 规范的双语（中、英文）官方碳足迹核算报告。</w:t>
      </w:r>
    </w:p>
    <w:p w14:paraId="23A3C143">
      <w:pPr>
        <w:pStyle w:val="19"/>
        <w:widowControl/>
        <w:numPr>
          <w:ilvl w:val="0"/>
          <w:numId w:val="167"/>
        </w:numPr>
        <w:ind w:left="0" w:leftChars="0" w:firstLine="482" w:firstLineChars="0"/>
        <w:rPr>
          <w:rFonts w:eastAsia="宋体"/>
          <w:b/>
          <w:i w:val="0"/>
          <w:color w:val="1E3A8A"/>
          <w:sz w:val="24"/>
          <w:szCs w:val="24"/>
        </w:rPr>
      </w:pPr>
      <w:r>
        <w:rPr>
          <w:rFonts w:ascii="Times New Roman" w:hAnsi="Times New Roman" w:eastAsia="宋体" w:cs="Times New Roman"/>
          <w:b/>
          <w:i w:val="0"/>
          <w:color w:val="1E3A8A"/>
          <w:sz w:val="24"/>
          <w:szCs w:val="24"/>
        </w:rPr>
        <w:t>数字碳标签</w:t>
      </w:r>
      <w:r>
        <w:rPr>
          <w:rFonts w:ascii="Times New Roman" w:hAnsi="Times New Roman" w:eastAsia="宋体" w:cs="Times New Roman"/>
          <w:i w:val="0"/>
          <w:color w:val="1F2937"/>
          <w:sz w:val="24"/>
          <w:szCs w:val="24"/>
        </w:rPr>
        <w:t>：生成包含产品唯一 EPC 编码与防伪签名哈希的二维码标签，支持手机扫码穿透查验原材料来源与第三方证书。</w:t>
      </w:r>
    </w:p>
    <w:p w14:paraId="7BE89D43">
      <w:pPr>
        <w:pStyle w:val="19"/>
        <w:widowControl/>
        <w:numPr>
          <w:ilvl w:val="0"/>
          <w:numId w:val="167"/>
        </w:numPr>
        <w:ind w:left="0" w:leftChars="0" w:firstLine="482" w:firstLineChars="0"/>
        <w:rPr>
          <w:rFonts w:eastAsia="宋体"/>
          <w:b/>
          <w:i w:val="0"/>
          <w:color w:val="1E3A8A"/>
          <w:sz w:val="24"/>
          <w:szCs w:val="24"/>
        </w:rPr>
      </w:pPr>
      <w:r>
        <w:rPr>
          <w:rFonts w:ascii="Times New Roman" w:hAnsi="Times New Roman" w:eastAsia="宋体" w:cs="Times New Roman"/>
          <w:b/>
          <w:i w:val="0"/>
          <w:color w:val="1E3A8A"/>
          <w:sz w:val="24"/>
          <w:szCs w:val="24"/>
        </w:rPr>
        <w:t>报告水印</w:t>
      </w:r>
      <w:r>
        <w:rPr>
          <w:rFonts w:ascii="Times New Roman" w:hAnsi="Times New Roman" w:eastAsia="宋体" w:cs="Times New Roman"/>
          <w:i w:val="0"/>
          <w:color w:val="1F2937"/>
          <w:sz w:val="24"/>
          <w:szCs w:val="24"/>
        </w:rPr>
        <w:t>：导出 PDF 强制注入操作员工号与时间戳水印。</w:t>
      </w:r>
    </w:p>
    <w:p w14:paraId="6138962F">
      <w:pPr>
        <w:pStyle w:val="19"/>
        <w:widowControl/>
        <w:numPr>
          <w:ilvl w:val="0"/>
          <w:numId w:val="167"/>
        </w:numPr>
        <w:ind w:left="0" w:leftChars="0" w:firstLine="482" w:firstLineChars="0"/>
        <w:rPr>
          <w:rFonts w:eastAsia="宋体"/>
          <w:b/>
          <w:i w:val="0"/>
          <w:color w:val="1E3A8A"/>
          <w:sz w:val="24"/>
          <w:szCs w:val="24"/>
        </w:rPr>
      </w:pPr>
      <w:r>
        <w:rPr>
          <w:rFonts w:ascii="Times New Roman" w:hAnsi="Times New Roman" w:eastAsia="宋体" w:cs="Times New Roman"/>
          <w:b/>
          <w:i w:val="0"/>
          <w:color w:val="1E3A8A"/>
          <w:sz w:val="24"/>
          <w:szCs w:val="24"/>
        </w:rPr>
        <w:t>标签批量生成</w:t>
      </w:r>
      <w:r>
        <w:rPr>
          <w:rFonts w:ascii="Times New Roman" w:hAnsi="Times New Roman" w:eastAsia="宋体" w:cs="Times New Roman"/>
          <w:i w:val="0"/>
          <w:color w:val="1F2937"/>
          <w:sz w:val="24"/>
          <w:szCs w:val="24"/>
        </w:rPr>
        <w:t>：支持按生产批次批量生成二维码标签并导出为可打印文件。</w:t>
      </w:r>
    </w:p>
    <w:p w14:paraId="36F02BED">
      <w:pPr>
        <w:pStyle w:val="19"/>
        <w:widowControl/>
        <w:numPr>
          <w:ilvl w:val="0"/>
          <w:numId w:val="167"/>
        </w:numPr>
        <w:ind w:left="0" w:leftChars="0" w:firstLine="482" w:firstLineChars="0"/>
        <w:rPr>
          <w:rFonts w:eastAsia="宋体"/>
          <w:b/>
          <w:i w:val="0"/>
          <w:color w:val="1E3A8A"/>
          <w:sz w:val="24"/>
          <w:szCs w:val="24"/>
        </w:rPr>
      </w:pPr>
      <w:r>
        <w:rPr>
          <w:rFonts w:ascii="Times New Roman" w:hAnsi="Times New Roman" w:eastAsia="宋体" w:cs="Times New Roman"/>
          <w:b/>
          <w:i w:val="0"/>
          <w:color w:val="1E3A8A"/>
          <w:sz w:val="24"/>
          <w:szCs w:val="24"/>
        </w:rPr>
        <w:t>验真弹窗</w:t>
      </w:r>
      <w:r>
        <w:rPr>
          <w:rFonts w:ascii="Times New Roman" w:hAnsi="Times New Roman" w:eastAsia="宋体" w:cs="Times New Roman"/>
          <w:i w:val="0"/>
          <w:color w:val="1F2937"/>
          <w:sz w:val="24"/>
          <w:szCs w:val="24"/>
        </w:rPr>
        <w:t>：扫码后弹窗呈现 EPC 编码、防伪签名哈希、溯源链摘要与认证证书有效期。</w:t>
      </w:r>
    </w:p>
    <w:p w14:paraId="051A82C1">
      <w:pPr>
        <w:pStyle w:val="6"/>
        <w:numPr>
          <w:ilvl w:val="0"/>
          <w:numId w:val="164"/>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718"/>
        <w:gridCol w:w="1946"/>
        <w:gridCol w:w="1279"/>
        <w:gridCol w:w="1529"/>
        <w:gridCol w:w="4312"/>
      </w:tblGrid>
      <w:tr w14:paraId="390B9590">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0BB2364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36E5AA2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33DEC86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45B493B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431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413B43C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45763B58">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482586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EDD1CF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报告编号</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84DC6D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D19FC1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31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ABC557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唯一，格式 </w:t>
            </w:r>
            <w:r>
              <w:rPr>
                <w:rFonts w:hint="eastAsia" w:ascii="宋体" w:hAnsi="宋体" w:eastAsia="宋体" w:cs="宋体"/>
                <w:b w:val="0"/>
                <w:i w:val="0"/>
                <w:iCs w:val="0"/>
                <w:color w:val="0284C7"/>
                <w:sz w:val="24"/>
                <w:szCs w:val="24"/>
              </w:rPr>
              <w:t xml:space="preserve"> CF-RPT-&lt;年&gt;-&lt;序号&gt; </w:t>
            </w:r>
          </w:p>
        </w:tc>
      </w:tr>
      <w:tr w14:paraId="223BFDEF">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858AFF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320502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报告语言版本</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960463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E75E42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31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111906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中文 / 英文 / 双语</w:t>
            </w:r>
          </w:p>
        </w:tc>
      </w:tr>
      <w:tr w14:paraId="5FFD6F5D">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DCF666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2FC514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核算标准</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8E5565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44C229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31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589907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固定 ISO 14067:2018</w:t>
            </w:r>
          </w:p>
        </w:tc>
      </w:tr>
      <w:tr w14:paraId="24C1D997">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50840A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6243F6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 EPC 编码</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B2FDB7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CCC649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31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574C9D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全球唯一，非空</w:t>
            </w:r>
          </w:p>
        </w:tc>
      </w:tr>
      <w:tr w14:paraId="482BC83C">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0F4CF1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ED33D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防伪签名哈希</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A5B68C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37B34C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SHA-256</w:t>
            </w:r>
          </w:p>
        </w:tc>
        <w:tc>
          <w:tcPr>
            <w:tcW w:w="431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E9ADFA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产品批次 + 认证机构私钥签名</w:t>
            </w:r>
          </w:p>
        </w:tc>
      </w:tr>
      <w:tr w14:paraId="20850BF0">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8E0682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B00253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二维码图像</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F7F758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Binary</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5D92C6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31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A1C0A6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分辨率 ≥ 300dpi，支持矢量导出</w:t>
            </w:r>
          </w:p>
        </w:tc>
      </w:tr>
      <w:tr w14:paraId="2F56F919">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CF99F3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6DF8F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认证机构</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E32A6B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E67F67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31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E893A2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SGS / TÜV 南德 / 中国方圆</w:t>
            </w:r>
          </w:p>
        </w:tc>
      </w:tr>
      <w:tr w14:paraId="2179ADE2">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CA68D2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2E2461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证书有效期</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06FC72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Date</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925FCA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YYYY-MM-DD</w:t>
            </w:r>
          </w:p>
        </w:tc>
        <w:tc>
          <w:tcPr>
            <w:tcW w:w="431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4548B3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到期后标签自动标注"已过期"</w:t>
            </w:r>
          </w:p>
        </w:tc>
      </w:tr>
      <w:tr w14:paraId="78B3E504">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590B3A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93680E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导出水印信息</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BE4A8F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2AF9C5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31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B71988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操作员工号 + 时间戳，强制注入</w:t>
            </w:r>
          </w:p>
        </w:tc>
      </w:tr>
      <w:tr w14:paraId="48B266BB">
        <w:tblPrEx>
          <w:tblCellMar>
            <w:top w:w="0" w:type="dxa"/>
            <w:left w:w="108" w:type="dxa"/>
            <w:bottom w:w="0" w:type="dxa"/>
            <w:right w:w="108" w:type="dxa"/>
          </w:tblCellMar>
        </w:tblPrEx>
        <w:trPr>
          <w:jc w:val="center"/>
        </w:trPr>
        <w:tc>
          <w:tcPr>
            <w:tcW w:w="71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C2BB3F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194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1C7FBC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报告哈希存证</w:t>
            </w:r>
          </w:p>
        </w:tc>
        <w:tc>
          <w:tcPr>
            <w:tcW w:w="12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F6414C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52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2ADCCE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SHA-256</w:t>
            </w:r>
          </w:p>
        </w:tc>
        <w:tc>
          <w:tcPr>
            <w:tcW w:w="431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184643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与报告内容绑定，供完整性校验</w:t>
            </w:r>
          </w:p>
        </w:tc>
      </w:tr>
    </w:tbl>
    <w:p w14:paraId="3D43A91A">
      <w:pPr>
        <w:spacing w:after="60"/>
        <w:rPr>
          <w:rFonts w:hint="eastAsia" w:ascii="宋体" w:hAnsi="宋体" w:eastAsia="宋体" w:cs="宋体"/>
          <w:i w:val="0"/>
          <w:iCs w:val="0"/>
          <w:sz w:val="24"/>
          <w:szCs w:val="24"/>
        </w:rPr>
      </w:pPr>
    </w:p>
    <w:p w14:paraId="617FF1E0">
      <w:pPr>
        <w:pStyle w:val="6"/>
        <w:numPr>
          <w:ilvl w:val="0"/>
          <w:numId w:val="164"/>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35F3409E">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40E7302B">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Hash_sign = SIGN_SHA256( BatchNo + PrivateKey_CA )              防伪签名哈希</w:t>
            </w:r>
          </w:p>
          <w:p w14:paraId="76BD1A60">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QR_payload = ENCODE( EPC + Hash_sign + CertNo + ValidUntil )    二维码载荷</w:t>
            </w:r>
          </w:p>
          <w:p w14:paraId="1E7A0592">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Verify = HASH( ReportContent ) == Report_hash ? 通过 : 篡改     报告完整性校验</w:t>
            </w:r>
          </w:p>
          <w:p w14:paraId="45CDB176">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Label_status = today &lt;= ValidUntil ? 有效 : 已过期              标签有效性</w:t>
            </w:r>
          </w:p>
        </w:tc>
      </w:tr>
    </w:tbl>
    <w:p w14:paraId="049664A3">
      <w:pPr>
        <w:spacing w:after="40"/>
        <w:rPr>
          <w:rFonts w:hint="eastAsia" w:ascii="宋体" w:hAnsi="宋体" w:eastAsia="宋体" w:cs="宋体"/>
          <w:i w:val="0"/>
          <w:iCs w:val="0"/>
          <w:sz w:val="24"/>
          <w:szCs w:val="24"/>
        </w:rPr>
      </w:pPr>
    </w:p>
    <w:p w14:paraId="1B0F0E4C">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w:t>
      </w:r>
      <w:r>
        <w:rPr>
          <w:rFonts w:ascii="Times New Roman" w:hAnsi="Times New Roman" w:eastAsia="宋体" w:cs="Times New Roman"/>
          <w:b w:val="0"/>
          <w:i w:val="0"/>
          <w:color w:val="0284C7"/>
          <w:sz w:val="24"/>
          <w:szCs w:val="24"/>
        </w:rPr>
        <w:t xml:space="preserve"> PrivateKey_CA </w:t>
      </w:r>
      <w:r>
        <w:rPr>
          <w:rFonts w:ascii="Times New Roman" w:hAnsi="Times New Roman" w:eastAsia="宋体" w:cs="Times New Roman"/>
          <w:i w:val="0"/>
          <w:color w:val="1F2937"/>
          <w:sz w:val="24"/>
          <w:szCs w:val="24"/>
        </w:rPr>
        <w:t xml:space="preserve"> 为认证机构签发私钥；</w:t>
      </w:r>
      <w:r>
        <w:rPr>
          <w:rFonts w:ascii="Times New Roman" w:hAnsi="Times New Roman" w:eastAsia="宋体" w:cs="Times New Roman"/>
          <w:b w:val="0"/>
          <w:i w:val="0"/>
          <w:color w:val="0284C7"/>
          <w:sz w:val="24"/>
          <w:szCs w:val="24"/>
        </w:rPr>
        <w:t xml:space="preserve"> ValidUntil </w:t>
      </w:r>
      <w:r>
        <w:rPr>
          <w:rFonts w:ascii="Times New Roman" w:hAnsi="Times New Roman" w:eastAsia="宋体" w:cs="Times New Roman"/>
          <w:i w:val="0"/>
          <w:color w:val="1F2937"/>
          <w:sz w:val="24"/>
          <w:szCs w:val="24"/>
        </w:rPr>
        <w:t xml:space="preserve"> 为认证证书有效期；标签有效性随证书有效期自动更新。</w:t>
      </w:r>
    </w:p>
    <w:p w14:paraId="29A347E6">
      <w:pPr>
        <w:pStyle w:val="6"/>
        <w:numPr>
          <w:ilvl w:val="0"/>
          <w:numId w:val="164"/>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02942165">
      <w:pPr>
        <w:pStyle w:val="19"/>
        <w:widowControl/>
        <w:numPr>
          <w:ilvl w:val="0"/>
          <w:numId w:val="16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报告口径</w:t>
      </w:r>
      <w:r>
        <w:rPr>
          <w:rFonts w:ascii="Times New Roman" w:hAnsi="Times New Roman" w:eastAsia="宋体" w:cs="Times New Roman"/>
          <w:i w:val="0"/>
          <w:color w:val="1F2937"/>
          <w:sz w:val="24"/>
          <w:szCs w:val="24"/>
        </w:rPr>
        <w:t>：仅状态为"已认证/已发布"的报告可导出，草稿与送审态禁止导出。</w:t>
      </w:r>
    </w:p>
    <w:p w14:paraId="3CF8188D">
      <w:pPr>
        <w:pStyle w:val="19"/>
        <w:widowControl/>
        <w:numPr>
          <w:ilvl w:val="0"/>
          <w:numId w:val="16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水印口径</w:t>
      </w:r>
      <w:r>
        <w:rPr>
          <w:rFonts w:ascii="Times New Roman" w:hAnsi="Times New Roman" w:eastAsia="宋体" w:cs="Times New Roman"/>
          <w:i w:val="0"/>
          <w:color w:val="1F2937"/>
          <w:sz w:val="24"/>
          <w:szCs w:val="24"/>
        </w:rPr>
        <w:t>：任何导出行为强制注入水印，无豁免通道。</w:t>
      </w:r>
    </w:p>
    <w:p w14:paraId="5942603E">
      <w:pPr>
        <w:pStyle w:val="19"/>
        <w:widowControl/>
        <w:numPr>
          <w:ilvl w:val="0"/>
          <w:numId w:val="16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标签口径</w:t>
      </w:r>
      <w:r>
        <w:rPr>
          <w:rFonts w:ascii="Times New Roman" w:hAnsi="Times New Roman" w:eastAsia="宋体" w:cs="Times New Roman"/>
          <w:i w:val="0"/>
          <w:color w:val="1F2937"/>
          <w:sz w:val="24"/>
          <w:szCs w:val="24"/>
        </w:rPr>
        <w:t>：证书过期后标签自动标记"已过期"并暂停对应产品碳标签发布。</w:t>
      </w:r>
    </w:p>
    <w:p w14:paraId="449E8174">
      <w:pPr>
        <w:pStyle w:val="19"/>
        <w:widowControl/>
        <w:numPr>
          <w:ilvl w:val="0"/>
          <w:numId w:val="16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存证口径</w:t>
      </w:r>
      <w:r>
        <w:rPr>
          <w:rFonts w:ascii="Times New Roman" w:hAnsi="Times New Roman" w:eastAsia="宋体" w:cs="Times New Roman"/>
          <w:i w:val="0"/>
          <w:color w:val="1F2937"/>
          <w:sz w:val="24"/>
          <w:szCs w:val="24"/>
        </w:rPr>
        <w:t>：导出报告须包含报告哈希，支持事后完整性校验。</w:t>
      </w:r>
    </w:p>
    <w:p w14:paraId="2402F5E8">
      <w:pPr>
        <w:pStyle w:val="6"/>
        <w:numPr>
          <w:ilvl w:val="0"/>
          <w:numId w:val="164"/>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09CDC4D1">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19E3ADE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草稿或送审态报告：导出按钮置灰。</w:t>
            </w:r>
          </w:p>
          <w:p w14:paraId="778921C3">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报告哈希比对失败：触发 </w:t>
            </w:r>
            <w:r>
              <w:rPr>
                <w:rFonts w:hint="eastAsia" w:ascii="宋体" w:hAnsi="宋体" w:eastAsia="宋体" w:cs="宋体"/>
                <w:b w:val="0"/>
                <w:i w:val="0"/>
                <w:iCs w:val="0"/>
                <w:color w:val="0284C7"/>
                <w:sz w:val="24"/>
                <w:szCs w:val="24"/>
              </w:rPr>
              <w:t xml:space="preserve"> E_AUDIT_HASH_BROKEN </w:t>
            </w:r>
            <w:r>
              <w:rPr>
                <w:rFonts w:hint="eastAsia" w:ascii="宋体" w:hAnsi="宋体" w:eastAsia="宋体" w:cs="宋体"/>
                <w:i w:val="0"/>
                <w:iCs w:val="0"/>
                <w:color w:val="1F2937"/>
                <w:sz w:val="24"/>
                <w:szCs w:val="24"/>
              </w:rPr>
              <w:t>，强制阻断导出并标记数据篡改。</w:t>
            </w:r>
          </w:p>
          <w:p w14:paraId="3AFE3E5E">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证书已过期：标签生成按钮置灰，提示需先完成证书续期（到期前 90/30/7 天分级预警）。</w:t>
            </w:r>
          </w:p>
          <w:p w14:paraId="470E1B12">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二维码签名密钥不可用：标签生成失败并告警，不输出无签名标签。</w:t>
            </w:r>
          </w:p>
        </w:tc>
      </w:tr>
    </w:tbl>
    <w:p w14:paraId="100ECC46">
      <w:pPr>
        <w:spacing w:after="40"/>
        <w:rPr>
          <w:rFonts w:hint="eastAsia" w:ascii="宋体" w:hAnsi="宋体" w:eastAsia="宋体" w:cs="宋体"/>
          <w:i w:val="0"/>
          <w:iCs w:val="0"/>
          <w:sz w:val="24"/>
          <w:szCs w:val="24"/>
        </w:rPr>
      </w:pPr>
    </w:p>
    <w:p w14:paraId="0E73562B">
      <w:pPr>
        <w:pStyle w:val="6"/>
        <w:numPr>
          <w:ilvl w:val="0"/>
          <w:numId w:val="164"/>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60EBF7B5">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14D491FA">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碳足迹报告与数字碳标签</w:t>
            </w:r>
          </w:p>
          <w:p w14:paraId="4B66F7E5">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双语报告导出与水印注入</w:t>
            </w:r>
          </w:p>
          <w:p w14:paraId="17C0DB4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 LCA 报告状态为"已认证"</w:t>
            </w:r>
          </w:p>
          <w:p w14:paraId="64B78A8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P4 一键导出双语碳足迹报告</w:t>
            </w:r>
          </w:p>
          <w:p w14:paraId="45481D18">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生成符合 ISO 14067:2018 规范的中英双语 PDF</w:t>
            </w:r>
          </w:p>
          <w:p w14:paraId="6FD48825">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文件中注入操作员工号与时间戳水印</w:t>
            </w:r>
          </w:p>
          <w:p w14:paraId="7AB2DEAF">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文件内包含与内容绑定的报告哈希</w:t>
            </w:r>
          </w:p>
          <w:p w14:paraId="4E9389F6">
            <w:pPr>
              <w:spacing w:before="0" w:after="20" w:line="264" w:lineRule="auto"/>
              <w:rPr>
                <w:rFonts w:hint="eastAsia" w:ascii="宋体" w:hAnsi="宋体" w:eastAsia="宋体" w:cs="宋体"/>
                <w:i w:val="0"/>
                <w:iCs w:val="0"/>
                <w:sz w:val="24"/>
                <w:szCs w:val="24"/>
              </w:rPr>
            </w:pPr>
          </w:p>
          <w:p w14:paraId="12424384">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草稿态报告禁止导出</w:t>
            </w:r>
          </w:p>
          <w:p w14:paraId="79D880F1">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 LCA 报告状态为 DRAFT 草稿</w:t>
            </w:r>
          </w:p>
          <w:p w14:paraId="69F7C15B">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用户点击导出报告</w:t>
            </w:r>
          </w:p>
          <w:p w14:paraId="75D80573">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导出按钮置灰不可点击</w:t>
            </w:r>
          </w:p>
          <w:p w14:paraId="453CFD20">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系统不生成任何文件</w:t>
            </w:r>
          </w:p>
          <w:p w14:paraId="0CB7B9AC">
            <w:pPr>
              <w:spacing w:before="0" w:after="20" w:line="264" w:lineRule="auto"/>
              <w:rPr>
                <w:rFonts w:hint="eastAsia" w:ascii="宋体" w:hAnsi="宋体" w:eastAsia="宋体" w:cs="宋体"/>
                <w:i w:val="0"/>
                <w:iCs w:val="0"/>
                <w:sz w:val="24"/>
                <w:szCs w:val="24"/>
              </w:rPr>
            </w:pPr>
          </w:p>
          <w:p w14:paraId="6AE29BC6">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证书过期的标签管控</w:t>
            </w:r>
          </w:p>
          <w:p w14:paraId="007819AF">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某产品认证证书已于昨日到期</w:t>
            </w:r>
          </w:p>
          <w:p w14:paraId="1DC3CAE1">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系统尝试生成该产品的数字碳标签</w:t>
            </w:r>
          </w:p>
          <w:p w14:paraId="0FC4C352">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标签生成按钮置灰并提示需完成证书续期</w:t>
            </w:r>
          </w:p>
          <w:p w14:paraId="2A0B8188">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已生成的存量标签自动标注"已过期"</w:t>
            </w:r>
          </w:p>
        </w:tc>
      </w:tr>
    </w:tbl>
    <w:p w14:paraId="4FD04470">
      <w:pPr>
        <w:spacing w:after="40"/>
        <w:rPr>
          <w:rFonts w:hint="eastAsia" w:ascii="宋体" w:hAnsi="宋体" w:eastAsia="宋体" w:cs="宋体"/>
          <w:i w:val="0"/>
          <w:iCs w:val="0"/>
          <w:sz w:val="24"/>
          <w:szCs w:val="24"/>
        </w:rPr>
      </w:pPr>
    </w:p>
    <w:p w14:paraId="2B21B588">
      <w:pPr>
        <w:pStyle w:val="4"/>
        <w:numPr>
          <w:ilvl w:val="0"/>
          <w:numId w:val="135"/>
        </w:numPr>
        <w:topLinePunct w:val="0"/>
        <w:ind w:left="0" w:leftChars="0" w:firstLine="0" w:firstLineChars="0"/>
        <w:outlineLvl w:val="0"/>
        <w:rPr>
          <w:rFonts w:hint="eastAsia" w:eastAsia="黑体"/>
          <w:b w:val="0"/>
          <w:bCs w:val="0"/>
          <w:sz w:val="30"/>
          <w:szCs w:val="32"/>
        </w:rPr>
      </w:pPr>
      <w:bookmarkStart w:id="49" w:name="_Toc9612"/>
      <w:r>
        <w:rPr>
          <w:rFonts w:ascii="Times New Roman" w:hAnsi="Times New Roman" w:eastAsia="黑体" w:cs="Times New Roman"/>
          <w:b w:val="0"/>
          <w:bCs w:val="0"/>
          <w:sz w:val="30"/>
          <w:szCs w:val="32"/>
        </w:rPr>
        <w:t>CBAM 管理</w:t>
      </w:r>
      <w:bookmarkEnd w:id="49"/>
    </w:p>
    <w:p w14:paraId="6B198EB8">
      <w:pPr>
        <w:pStyle w:val="5"/>
        <w:numPr>
          <w:ilvl w:val="0"/>
          <w:numId w:val="169"/>
        </w:numPr>
        <w:ind w:left="0" w:leftChars="0" w:firstLine="0" w:firstLineChars="0"/>
        <w:outlineLvl w:val="1"/>
        <w:rPr>
          <w:rFonts w:eastAsia="黑体"/>
          <w:b w:val="0"/>
          <w:bCs w:val="0"/>
          <w:sz w:val="30"/>
          <w:szCs w:val="24"/>
        </w:rPr>
      </w:pPr>
      <w:bookmarkStart w:id="50" w:name="_Toc11881"/>
      <w:r>
        <w:rPr>
          <w:rFonts w:ascii="Times New Roman" w:hAnsi="Times New Roman" w:eastAsia="黑体" w:cs="Times New Roman"/>
          <w:b w:val="0"/>
          <w:bCs w:val="0"/>
          <w:sz w:val="30"/>
          <w:szCs w:val="24"/>
        </w:rPr>
        <w:t>合规管理</w:t>
      </w:r>
      <w:bookmarkEnd w:id="50"/>
    </w:p>
    <w:p w14:paraId="045B11AD">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drawing>
          <wp:inline distT="0" distB="0" distL="114300" distR="114300">
            <wp:extent cx="5900420" cy="2925445"/>
            <wp:effectExtent l="0" t="0" r="5080" b="8255"/>
            <wp:docPr id="71"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27"/>
                    <pic:cNvPicPr>
                      <a:picLocks noChangeAspect="1"/>
                    </pic:cNvPicPr>
                  </pic:nvPicPr>
                  <pic:blipFill>
                    <a:blip r:embed="rId85"/>
                    <a:stretch>
                      <a:fillRect/>
                    </a:stretch>
                  </pic:blipFill>
                  <pic:spPr>
                    <a:xfrm>
                      <a:off x="0" y="0"/>
                      <a:ext cx="5900420" cy="2925445"/>
                    </a:xfrm>
                    <a:prstGeom prst="rect">
                      <a:avLst/>
                    </a:prstGeom>
                    <a:noFill/>
                    <a:ln>
                      <a:noFill/>
                    </a:ln>
                  </pic:spPr>
                </pic:pic>
              </a:graphicData>
            </a:graphic>
          </wp:inline>
        </w:drawing>
      </w:r>
    </w:p>
    <w:p w14:paraId="4ED66580">
      <w:pPr>
        <w:pStyle w:val="6"/>
        <w:numPr>
          <w:ilvl w:val="0"/>
          <w:numId w:val="17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7ADE23B5">
      <w:pPr>
        <w:pStyle w:val="19"/>
        <w:widowControl/>
        <w:numPr>
          <w:ilvl w:val="0"/>
          <w:numId w:val="17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：维护出口欧盟电气装备海关 CN 税号白名单，明确直接排放与前驱物隐含间接排放的法定边界，并承载 CBAM 申报状态机。</w:t>
      </w:r>
    </w:p>
    <w:p w14:paraId="11C25A74">
      <w:pPr>
        <w:pStyle w:val="19"/>
        <w:widowControl/>
        <w:numPr>
          <w:ilvl w:val="0"/>
          <w:numId w:val="17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：P5 报关与关税专家（主操作）、P1 集团决策层（终审双签）。</w:t>
      </w:r>
    </w:p>
    <w:p w14:paraId="3EBA219A">
      <w:pPr>
        <w:pStyle w:val="19"/>
        <w:widowControl/>
        <w:numPr>
          <w:ilvl w:val="0"/>
          <w:numId w:val="17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/carbon-footprint/cbam/compliance </w:t>
      </w:r>
      <w:r>
        <w:rPr>
          <w:rFonts w:ascii="Times New Roman" w:hAnsi="Times New Roman" w:eastAsia="宋体" w:cs="Times New Roman"/>
          <w:i w:val="0"/>
          <w:color w:val="1F2937"/>
          <w:sz w:val="24"/>
          <w:szCs w:val="24"/>
        </w:rPr>
        <w:t>。</w:t>
      </w:r>
    </w:p>
    <w:p w14:paraId="27406144">
      <w:pPr>
        <w:pStyle w:val="19"/>
        <w:widowControl/>
        <w:numPr>
          <w:ilvl w:val="0"/>
          <w:numId w:val="17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：已认证 LCA 报告、海关税则编码库、CBAM 法规知识库。</w:t>
      </w:r>
    </w:p>
    <w:p w14:paraId="6A94F06C">
      <w:pPr>
        <w:pStyle w:val="19"/>
        <w:widowControl/>
        <w:numPr>
          <w:ilvl w:val="0"/>
          <w:numId w:val="17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：CBAM 申报状态流转记录、申报包生成前置校验结果。</w:t>
      </w:r>
    </w:p>
    <w:p w14:paraId="3642F735">
      <w:pPr>
        <w:pStyle w:val="6"/>
        <w:numPr>
          <w:ilvl w:val="0"/>
          <w:numId w:val="17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5FA845EA">
      <w:pPr>
        <w:pStyle w:val="19"/>
        <w:widowControl/>
        <w:numPr>
          <w:ilvl w:val="0"/>
          <w:numId w:val="17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：对出口欧盟的变压器与电缆产品执行 CBAM 合规前置管理，确认产品是否落入税号白名单并界定排放核算边界。</w:t>
      </w:r>
    </w:p>
    <w:p w14:paraId="70445C12">
      <w:pPr>
        <w:pStyle w:val="19"/>
        <w:widowControl/>
        <w:numPr>
          <w:ilvl w:val="0"/>
          <w:numId w:val="17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6838191D">
      <w:pPr>
        <w:pStyle w:val="19"/>
        <w:widowControl/>
        <w:numPr>
          <w:ilvl w:val="0"/>
          <w:numId w:val="172"/>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国际贸易与关税专家 (Persona P5)</w:t>
      </w:r>
      <w:r>
        <w:rPr>
          <w:rFonts w:ascii="Times New Roman" w:hAnsi="Times New Roman" w:eastAsia="宋体" w:cs="Times New Roman"/>
          <w:i w:val="0"/>
          <w:color w:val="1F2937"/>
          <w:sz w:val="24"/>
          <w:szCs w:val="24"/>
        </w:rPr>
        <w:t>，</w:t>
      </w:r>
    </w:p>
    <w:p w14:paraId="604C87B5">
      <w:pPr>
        <w:pStyle w:val="19"/>
        <w:widowControl/>
        <w:numPr>
          <w:ilvl w:val="0"/>
          <w:numId w:val="172"/>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维护海关 CN 税号白名单并确认产品直接排放与前驱物隐含间接排放的法定边界</w:t>
      </w:r>
      <w:r>
        <w:rPr>
          <w:rFonts w:ascii="Times New Roman" w:hAnsi="Times New Roman" w:eastAsia="宋体" w:cs="Times New Roman"/>
          <w:i w:val="0"/>
          <w:color w:val="1F2937"/>
          <w:sz w:val="24"/>
          <w:szCs w:val="24"/>
        </w:rPr>
        <w:t>，</w:t>
      </w:r>
    </w:p>
    <w:p w14:paraId="3E197760">
      <w:pPr>
        <w:pStyle w:val="19"/>
        <w:widowControl/>
        <w:numPr>
          <w:ilvl w:val="0"/>
          <w:numId w:val="172"/>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我能确保 CBAM 申报范围准确、不多报不漏报</w:t>
      </w:r>
      <w:r>
        <w:rPr>
          <w:rFonts w:ascii="Times New Roman" w:hAnsi="Times New Roman" w:eastAsia="宋体" w:cs="Times New Roman"/>
          <w:i w:val="0"/>
          <w:color w:val="1F2937"/>
          <w:sz w:val="24"/>
          <w:szCs w:val="24"/>
        </w:rPr>
        <w:t>。</w:t>
      </w:r>
    </w:p>
    <w:p w14:paraId="755BEF72">
      <w:pPr>
        <w:pStyle w:val="6"/>
        <w:numPr>
          <w:ilvl w:val="0"/>
          <w:numId w:val="17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7DD3D4FE">
      <w:pPr>
        <w:pStyle w:val="19"/>
        <w:widowControl/>
        <w:numPr>
          <w:ilvl w:val="0"/>
          <w:numId w:val="17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合规规则</w:t>
      </w:r>
      <w:r>
        <w:rPr>
          <w:rFonts w:ascii="Times New Roman" w:hAnsi="Times New Roman" w:eastAsia="宋体" w:cs="Times New Roman"/>
          <w:i w:val="0"/>
          <w:color w:val="1F2937"/>
          <w:sz w:val="24"/>
          <w:szCs w:val="24"/>
        </w:rPr>
        <w:t>：维护特变电工出口欧盟电气装备海关 CN 税号白名单（变压器 CN 85042100、85042200、85042300；电缆 CN 85444920 等），明确直接排放与前驱物隐含间接排放的法定边界。</w:t>
      </w:r>
    </w:p>
    <w:p w14:paraId="7BEA3E13">
      <w:pPr>
        <w:pStyle w:val="19"/>
        <w:widowControl/>
        <w:numPr>
          <w:ilvl w:val="0"/>
          <w:numId w:val="17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申报状态机（回捞 PRD-07）</w:t>
      </w:r>
      <w:r>
        <w:rPr>
          <w:rFonts w:ascii="Times New Roman" w:hAnsi="Times New Roman" w:eastAsia="宋体" w:cs="Times New Roman"/>
          <w:i w:val="0"/>
          <w:color w:val="1F2937"/>
          <w:sz w:val="24"/>
          <w:szCs w:val="24"/>
        </w:rPr>
        <w:t>：</w:t>
      </w:r>
    </w:p>
    <w:p w14:paraId="3C2D906F">
      <w:pPr>
        <w:pStyle w:val="19"/>
        <w:widowControl/>
        <w:numPr>
          <w:ilvl w:val="0"/>
          <w:numId w:val="173"/>
        </w:numPr>
        <w:ind w:left="0" w:leftChars="0" w:firstLine="482" w:firstLineChars="0"/>
        <w:rPr>
          <w:rFonts w:eastAsia="宋体"/>
          <w:b/>
          <w:i w:val="0"/>
          <w:color w:val="0284C7"/>
          <w:sz w:val="24"/>
          <w:szCs w:val="24"/>
        </w:rPr>
      </w:pPr>
      <w:r>
        <w:rPr>
          <w:rFonts w:ascii="Times New Roman" w:hAnsi="Times New Roman" w:eastAsia="宋体" w:cs="Times New Roman"/>
          <w:b w:val="0"/>
          <w:i w:val="0"/>
          <w:color w:val="0284C7"/>
          <w:sz w:val="24"/>
          <w:szCs w:val="24"/>
        </w:rPr>
        <w:t xml:space="preserve">LCA_CERTIFIED </w:t>
      </w:r>
      <w:r>
        <w:rPr>
          <w:rFonts w:ascii="Times New Roman" w:hAnsi="Times New Roman" w:eastAsia="宋体" w:cs="Times New Roman"/>
          <w:i w:val="0"/>
          <w:color w:val="1F2937"/>
          <w:sz w:val="24"/>
          <w:szCs w:val="24"/>
        </w:rPr>
        <w:t xml:space="preserve"> --P5 触发申报--&gt; </w:t>
      </w:r>
      <w:r>
        <w:rPr>
          <w:rFonts w:ascii="Times New Roman" w:hAnsi="Times New Roman" w:eastAsia="宋体" w:cs="Times New Roman"/>
          <w:b w:val="0"/>
          <w:i w:val="0"/>
          <w:color w:val="0284C7"/>
          <w:sz w:val="24"/>
          <w:szCs w:val="24"/>
        </w:rPr>
        <w:t xml:space="preserve"> CBAM_DECL_PENDING </w:t>
      </w:r>
      <w:r>
        <w:rPr>
          <w:rFonts w:ascii="Times New Roman" w:hAnsi="Times New Roman" w:eastAsia="宋体" w:cs="Times New Roman"/>
          <w:i w:val="0"/>
          <w:color w:val="1F2937"/>
          <w:sz w:val="24"/>
          <w:szCs w:val="24"/>
        </w:rPr>
        <w:t>；</w:t>
      </w:r>
    </w:p>
    <w:p w14:paraId="5651B556">
      <w:pPr>
        <w:pStyle w:val="19"/>
        <w:widowControl/>
        <w:numPr>
          <w:ilvl w:val="0"/>
          <w:numId w:val="173"/>
        </w:numPr>
        <w:ind w:left="0" w:leftChars="0" w:firstLine="482" w:firstLineChars="0"/>
        <w:rPr>
          <w:rFonts w:eastAsia="宋体"/>
          <w:b/>
          <w:i w:val="0"/>
          <w:color w:val="0284C7"/>
          <w:sz w:val="24"/>
          <w:szCs w:val="24"/>
        </w:rPr>
      </w:pPr>
      <w:r>
        <w:rPr>
          <w:rFonts w:ascii="Times New Roman" w:hAnsi="Times New Roman" w:eastAsia="宋体" w:cs="Times New Roman"/>
          <w:b w:val="0"/>
          <w:i w:val="0"/>
          <w:color w:val="0284C7"/>
          <w:sz w:val="24"/>
          <w:szCs w:val="24"/>
        </w:rPr>
        <w:t xml:space="preserve">CBAM_DECL_PENDING </w:t>
      </w:r>
      <w:r>
        <w:rPr>
          <w:rFonts w:ascii="Times New Roman" w:hAnsi="Times New Roman" w:eastAsia="宋体" w:cs="Times New Roman"/>
          <w:i w:val="0"/>
          <w:color w:val="1F2937"/>
          <w:sz w:val="24"/>
          <w:szCs w:val="24"/>
        </w:rPr>
        <w:t xml:space="preserve"> --P5 + P1 双签--&gt; </w:t>
      </w:r>
      <w:r>
        <w:rPr>
          <w:rFonts w:ascii="Times New Roman" w:hAnsi="Times New Roman" w:eastAsia="宋体" w:cs="Times New Roman"/>
          <w:b w:val="0"/>
          <w:i w:val="0"/>
          <w:color w:val="0284C7"/>
          <w:sz w:val="24"/>
          <w:szCs w:val="24"/>
        </w:rPr>
        <w:t xml:space="preserve"> CBAM_DECL_SUBMITTED </w:t>
      </w:r>
      <w:r>
        <w:rPr>
          <w:rFonts w:ascii="Times New Roman" w:hAnsi="Times New Roman" w:eastAsia="宋体" w:cs="Times New Roman"/>
          <w:i w:val="0"/>
          <w:color w:val="1F2937"/>
          <w:sz w:val="24"/>
          <w:szCs w:val="24"/>
        </w:rPr>
        <w:t>；</w:t>
      </w:r>
    </w:p>
    <w:p w14:paraId="68F6100F">
      <w:pPr>
        <w:pStyle w:val="19"/>
        <w:widowControl/>
        <w:numPr>
          <w:ilvl w:val="0"/>
          <w:numId w:val="173"/>
        </w:numPr>
        <w:ind w:left="0" w:leftChars="0" w:firstLine="482" w:firstLineChars="0"/>
        <w:rPr>
          <w:rFonts w:eastAsia="宋体"/>
          <w:b/>
          <w:i w:val="0"/>
          <w:color w:val="0284C7"/>
          <w:sz w:val="24"/>
          <w:szCs w:val="24"/>
        </w:rPr>
      </w:pPr>
      <w:r>
        <w:rPr>
          <w:rFonts w:ascii="Times New Roman" w:hAnsi="Times New Roman" w:eastAsia="宋体" w:cs="Times New Roman"/>
          <w:b w:val="0"/>
          <w:i w:val="0"/>
          <w:color w:val="0284C7"/>
          <w:sz w:val="24"/>
          <w:szCs w:val="24"/>
        </w:rPr>
        <w:t xml:space="preserve">CBAM_DECL_SUBMITTED </w:t>
      </w:r>
      <w:r>
        <w:rPr>
          <w:rFonts w:ascii="Times New Roman" w:hAnsi="Times New Roman" w:eastAsia="宋体" w:cs="Times New Roman"/>
          <w:i w:val="0"/>
          <w:color w:val="1F2937"/>
          <w:sz w:val="24"/>
          <w:szCs w:val="24"/>
        </w:rPr>
        <w:t xml:space="preserve"> --海关反馈--&gt; </w:t>
      </w:r>
      <w:r>
        <w:rPr>
          <w:rFonts w:ascii="Times New Roman" w:hAnsi="Times New Roman" w:eastAsia="宋体" w:cs="Times New Roman"/>
          <w:b w:val="0"/>
          <w:i w:val="0"/>
          <w:color w:val="0284C7"/>
          <w:sz w:val="24"/>
          <w:szCs w:val="24"/>
        </w:rPr>
        <w:t xml:space="preserve"> CBAM_DECL_FEEDBACK </w:t>
      </w:r>
      <w:r>
        <w:rPr>
          <w:rFonts w:ascii="Times New Roman" w:hAnsi="Times New Roman" w:eastAsia="宋体" w:cs="Times New Roman"/>
          <w:i w:val="0"/>
          <w:color w:val="1F2937"/>
          <w:sz w:val="24"/>
          <w:szCs w:val="24"/>
        </w:rPr>
        <w:t>（补正后回到 SUBMITTED）；</w:t>
      </w:r>
    </w:p>
    <w:p w14:paraId="6D5EB87E">
      <w:pPr>
        <w:pStyle w:val="19"/>
        <w:widowControl/>
        <w:numPr>
          <w:ilvl w:val="0"/>
          <w:numId w:val="173"/>
        </w:numPr>
        <w:ind w:left="0" w:leftChars="0" w:firstLine="482" w:firstLineChars="0"/>
        <w:rPr>
          <w:rFonts w:eastAsia="宋体"/>
          <w:b/>
          <w:i w:val="0"/>
          <w:color w:val="0284C7"/>
          <w:sz w:val="24"/>
          <w:szCs w:val="24"/>
        </w:rPr>
      </w:pPr>
      <w:r>
        <w:rPr>
          <w:rFonts w:ascii="Times New Roman" w:hAnsi="Times New Roman" w:eastAsia="宋体" w:cs="Times New Roman"/>
          <w:b w:val="0"/>
          <w:i w:val="0"/>
          <w:color w:val="0284C7"/>
          <w:sz w:val="24"/>
          <w:szCs w:val="24"/>
        </w:rPr>
        <w:t xml:space="preserve">CBAM_DECL_SUBMITTED </w:t>
      </w:r>
      <w:r>
        <w:rPr>
          <w:rFonts w:ascii="Times New Roman" w:hAnsi="Times New Roman" w:eastAsia="宋体" w:cs="Times New Roman"/>
          <w:i w:val="0"/>
          <w:color w:val="1F2937"/>
          <w:sz w:val="24"/>
          <w:szCs w:val="24"/>
        </w:rPr>
        <w:t xml:space="preserve"> --年度归档--&gt; </w:t>
      </w:r>
      <w:r>
        <w:rPr>
          <w:rFonts w:ascii="Times New Roman" w:hAnsi="Times New Roman" w:eastAsia="宋体" w:cs="Times New Roman"/>
          <w:b w:val="0"/>
          <w:i w:val="0"/>
          <w:color w:val="0284C7"/>
          <w:sz w:val="24"/>
          <w:szCs w:val="24"/>
        </w:rPr>
        <w:t xml:space="preserve"> CBAM_DECL_ARCHIVED </w:t>
      </w:r>
      <w:r>
        <w:rPr>
          <w:rFonts w:ascii="Times New Roman" w:hAnsi="Times New Roman" w:eastAsia="宋体" w:cs="Times New Roman"/>
          <w:i w:val="0"/>
          <w:color w:val="1F2937"/>
          <w:sz w:val="24"/>
          <w:szCs w:val="24"/>
        </w:rPr>
        <w:t>。</w:t>
      </w:r>
    </w:p>
    <w:p w14:paraId="1B476301">
      <w:pPr>
        <w:pStyle w:val="19"/>
        <w:widowControl/>
        <w:numPr>
          <w:ilvl w:val="0"/>
          <w:numId w:val="17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白名单校验</w:t>
      </w:r>
      <w:r>
        <w:rPr>
          <w:rFonts w:ascii="Times New Roman" w:hAnsi="Times New Roman" w:eastAsia="宋体" w:cs="Times New Roman"/>
          <w:i w:val="0"/>
          <w:color w:val="1F2937"/>
          <w:sz w:val="24"/>
          <w:szCs w:val="24"/>
        </w:rPr>
        <w:t>：非白名单税号产品在申报入口被拦截，并提示不在 CBAM 涵盖范围。</w:t>
      </w:r>
    </w:p>
    <w:p w14:paraId="2AA933DA">
      <w:pPr>
        <w:pStyle w:val="19"/>
        <w:widowControl/>
        <w:numPr>
          <w:ilvl w:val="0"/>
          <w:numId w:val="17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边界声明</w:t>
      </w:r>
      <w:r>
        <w:rPr>
          <w:rFonts w:ascii="Times New Roman" w:hAnsi="Times New Roman" w:eastAsia="宋体" w:cs="Times New Roman"/>
          <w:i w:val="0"/>
          <w:color w:val="1F2937"/>
          <w:sz w:val="24"/>
          <w:szCs w:val="24"/>
        </w:rPr>
        <w:t>：每个税号展示其涵盖的排放边界（直接排放 / 前驱物隐含间接排放）与证据要求。</w:t>
      </w:r>
    </w:p>
    <w:p w14:paraId="667F539E">
      <w:pPr>
        <w:pStyle w:val="6"/>
        <w:numPr>
          <w:ilvl w:val="0"/>
          <w:numId w:val="17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98"/>
        <w:gridCol w:w="1862"/>
        <w:gridCol w:w="1079"/>
        <w:gridCol w:w="855"/>
        <w:gridCol w:w="5090"/>
      </w:tblGrid>
      <w:tr w14:paraId="66CF0EB2">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14A3FD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186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CC80BC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07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18F2CC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85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EDCDDE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509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AEFBD3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28DD5A0B">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31DC88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186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66D26B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欧盟海关 CN 税号</w:t>
            </w:r>
          </w:p>
        </w:tc>
        <w:tc>
          <w:tcPr>
            <w:tcW w:w="10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9E7DBF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8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75C83B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50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42EB57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 位数字，须在白名单内</w:t>
            </w:r>
          </w:p>
        </w:tc>
      </w:tr>
      <w:tr w14:paraId="48C17117">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81368E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186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BAE2F5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产品名称</w:t>
            </w:r>
          </w:p>
        </w:tc>
        <w:tc>
          <w:tcPr>
            <w:tcW w:w="10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13DCF3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8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412483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50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87DCFC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与税号对应的产品类别名称</w:t>
            </w:r>
          </w:p>
        </w:tc>
      </w:tr>
      <w:tr w14:paraId="78BD2746">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FFEC01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186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5B4F6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排放边界类型</w:t>
            </w:r>
          </w:p>
        </w:tc>
        <w:tc>
          <w:tcPr>
            <w:tcW w:w="10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569B0C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8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AD2079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50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8E4621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直接排放 / 前驱物隐含间接排放 / 二者兼具</w:t>
            </w:r>
          </w:p>
        </w:tc>
      </w:tr>
      <w:tr w14:paraId="097B7387">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71D790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186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B22B4D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关联 LCA 报告编号</w:t>
            </w:r>
          </w:p>
        </w:tc>
        <w:tc>
          <w:tcPr>
            <w:tcW w:w="10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5B2286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8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A979FC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50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5D5B83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报告状态必须为已认证</w:t>
            </w:r>
          </w:p>
        </w:tc>
      </w:tr>
      <w:tr w14:paraId="74A3601B">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747B7D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186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85516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申报状态</w:t>
            </w:r>
          </w:p>
        </w:tc>
        <w:tc>
          <w:tcPr>
            <w:tcW w:w="10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0E735C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8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D36977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50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58980A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LCA_CERTIFIED / CBAM_DECL_PENDING / SUBMITTED / FEEDBACK / ARCHIVED</w:t>
            </w:r>
          </w:p>
        </w:tc>
      </w:tr>
      <w:tr w14:paraId="1A5AAE51">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1E36EF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186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4FDDA0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双签人信息</w:t>
            </w:r>
          </w:p>
        </w:tc>
        <w:tc>
          <w:tcPr>
            <w:tcW w:w="10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8B7F24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8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4057CD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50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942D3B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P5 与 P1 电子签章记录，缺一不可提交</w:t>
            </w:r>
          </w:p>
        </w:tc>
      </w:tr>
      <w:tr w14:paraId="1D36BD0B">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DF4624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186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D0FA5C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海关反馈意见</w:t>
            </w:r>
          </w:p>
        </w:tc>
        <w:tc>
          <w:tcPr>
            <w:tcW w:w="10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85CF37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Text</w:t>
            </w:r>
          </w:p>
        </w:tc>
        <w:tc>
          <w:tcPr>
            <w:tcW w:w="8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C6EC68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50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8A39EC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海关质询时必填，补正依据</w:t>
            </w:r>
          </w:p>
        </w:tc>
      </w:tr>
      <w:tr w14:paraId="581C74FB">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7C8B5C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186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3FFDF7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修订流水号</w:t>
            </w:r>
          </w:p>
        </w:tc>
        <w:tc>
          <w:tcPr>
            <w:tcW w:w="10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C8F526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85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087B44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50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191E3F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每次补正重新生成</w:t>
            </w:r>
          </w:p>
        </w:tc>
      </w:tr>
      <w:tr w14:paraId="54049CF2">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2D80BF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186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CEB6D5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申报年度</w:t>
            </w:r>
          </w:p>
        </w:tc>
        <w:tc>
          <w:tcPr>
            <w:tcW w:w="10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E909FD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Integer</w:t>
            </w:r>
          </w:p>
        </w:tc>
        <w:tc>
          <w:tcPr>
            <w:tcW w:w="85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5AB399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年</w:t>
            </w:r>
          </w:p>
        </w:tc>
        <w:tc>
          <w:tcPr>
            <w:tcW w:w="50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AD4656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不得晚于当前年度</w:t>
            </w:r>
          </w:p>
        </w:tc>
      </w:tr>
    </w:tbl>
    <w:p w14:paraId="0E3C95D3">
      <w:pPr>
        <w:spacing w:after="60"/>
        <w:rPr>
          <w:rFonts w:hint="eastAsia" w:ascii="宋体" w:hAnsi="宋体" w:eastAsia="宋体" w:cs="宋体"/>
          <w:i w:val="0"/>
          <w:iCs w:val="0"/>
          <w:sz w:val="24"/>
          <w:szCs w:val="24"/>
        </w:rPr>
      </w:pPr>
    </w:p>
    <w:p w14:paraId="5EDB2B0A">
      <w:pPr>
        <w:pStyle w:val="6"/>
        <w:numPr>
          <w:ilvl w:val="0"/>
          <w:numId w:val="17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3C302E6D">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29C7680F">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In_Scope = CN_Code ∈ Whitelist                             税号涵盖判定</w:t>
            </w:r>
          </w:p>
          <w:p w14:paraId="79AF2968">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Boundary = f( CN_Code )                                     排放边界映射</w:t>
            </w:r>
          </w:p>
          <w:p w14:paraId="66945971">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Gate_Submit = ( Sign_P5 == true ) AND ( Sign_P1 == true )   双签门禁</w:t>
            </w:r>
          </w:p>
          <w:p w14:paraId="624B5961">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State_next = Transitions( State_current, Action )           状态机流转</w:t>
            </w:r>
          </w:p>
        </w:tc>
      </w:tr>
    </w:tbl>
    <w:p w14:paraId="6ED7E9C3">
      <w:pPr>
        <w:spacing w:after="40"/>
        <w:rPr>
          <w:rFonts w:hint="eastAsia" w:ascii="宋体" w:hAnsi="宋体" w:eastAsia="宋体" w:cs="宋体"/>
          <w:i w:val="0"/>
          <w:iCs w:val="0"/>
          <w:sz w:val="24"/>
          <w:szCs w:val="24"/>
        </w:rPr>
      </w:pPr>
    </w:p>
    <w:p w14:paraId="1E128700">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双签门禁为硬约束，任一签章缺失则提交动作不可执行；状态流转遵循既定转移表，非法转移一律拒绝。</w:t>
      </w:r>
    </w:p>
    <w:p w14:paraId="6D848AE1">
      <w:pPr>
        <w:pStyle w:val="6"/>
        <w:numPr>
          <w:ilvl w:val="0"/>
          <w:numId w:val="17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5C860932">
      <w:pPr>
        <w:pStyle w:val="19"/>
        <w:widowControl/>
        <w:numPr>
          <w:ilvl w:val="0"/>
          <w:numId w:val="17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范围口径</w:t>
      </w:r>
      <w:r>
        <w:rPr>
          <w:rFonts w:ascii="Times New Roman" w:hAnsi="Times New Roman" w:eastAsia="宋体" w:cs="Times New Roman"/>
          <w:i w:val="0"/>
          <w:color w:val="1F2937"/>
          <w:sz w:val="24"/>
          <w:szCs w:val="24"/>
        </w:rPr>
        <w:t>：仅白名单税号产品可发起申报，非白名单产品入口不出现。</w:t>
      </w:r>
    </w:p>
    <w:p w14:paraId="00B32865">
      <w:pPr>
        <w:pStyle w:val="19"/>
        <w:widowControl/>
        <w:numPr>
          <w:ilvl w:val="0"/>
          <w:numId w:val="17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边界口径</w:t>
      </w:r>
      <w:r>
        <w:rPr>
          <w:rFonts w:ascii="Times New Roman" w:hAnsi="Times New Roman" w:eastAsia="宋体" w:cs="Times New Roman"/>
          <w:i w:val="0"/>
          <w:color w:val="1F2937"/>
          <w:sz w:val="24"/>
          <w:szCs w:val="24"/>
        </w:rPr>
        <w:t>：排放边界按税号固定映射，不允许逐单自定义。</w:t>
      </w:r>
    </w:p>
    <w:p w14:paraId="33CCB2B1">
      <w:pPr>
        <w:pStyle w:val="19"/>
        <w:widowControl/>
        <w:numPr>
          <w:ilvl w:val="0"/>
          <w:numId w:val="17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签批口径</w:t>
      </w:r>
      <w:r>
        <w:rPr>
          <w:rFonts w:ascii="Times New Roman" w:hAnsi="Times New Roman" w:eastAsia="宋体" w:cs="Times New Roman"/>
          <w:i w:val="0"/>
          <w:color w:val="1F2937"/>
          <w:sz w:val="24"/>
          <w:szCs w:val="24"/>
        </w:rPr>
        <w:t>：提交必须经 P5 报关专家与 P1 集团决策层双重电子签章。</w:t>
      </w:r>
    </w:p>
    <w:p w14:paraId="63F5227A">
      <w:pPr>
        <w:pStyle w:val="19"/>
        <w:widowControl/>
        <w:numPr>
          <w:ilvl w:val="0"/>
          <w:numId w:val="17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回退口径</w:t>
      </w:r>
      <w:r>
        <w:rPr>
          <w:rFonts w:ascii="Times New Roman" w:hAnsi="Times New Roman" w:eastAsia="宋体" w:cs="Times New Roman"/>
          <w:i w:val="0"/>
          <w:color w:val="1F2937"/>
          <w:sz w:val="24"/>
          <w:szCs w:val="24"/>
        </w:rPr>
        <w:t>：海关质询时转入"海关反馈"，补正后重新提交并生成新修订流水号。</w:t>
      </w:r>
    </w:p>
    <w:p w14:paraId="2987E91D">
      <w:pPr>
        <w:pStyle w:val="6"/>
        <w:numPr>
          <w:ilvl w:val="0"/>
          <w:numId w:val="170"/>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33C67148">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1C3E240D">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非白名单税号：申报入口拦截并提示不在 CBAM 涵盖范围。</w:t>
            </w:r>
          </w:p>
          <w:p w14:paraId="7CDC482F">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关联 LCA 报告非已认证状态：申报按钮置灰。</w:t>
            </w:r>
          </w:p>
          <w:p w14:paraId="1587BA8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双签不完整：提交动作不可执行，页面明确标注缺失签章方。</w:t>
            </w:r>
          </w:p>
          <w:p w14:paraId="7D948FA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已归档申报：只读锁定，不允许再流转。</w:t>
            </w:r>
          </w:p>
        </w:tc>
      </w:tr>
    </w:tbl>
    <w:p w14:paraId="7FF0DA89">
      <w:pPr>
        <w:spacing w:after="40"/>
        <w:rPr>
          <w:rFonts w:hint="eastAsia" w:ascii="宋体" w:hAnsi="宋体" w:eastAsia="宋体" w:cs="宋体"/>
          <w:i w:val="0"/>
          <w:iCs w:val="0"/>
          <w:sz w:val="24"/>
          <w:szCs w:val="24"/>
        </w:rPr>
      </w:pPr>
    </w:p>
    <w:p w14:paraId="52E3C63C">
      <w:pPr>
        <w:pStyle w:val="6"/>
        <w:numPr>
          <w:ilvl w:val="0"/>
          <w:numId w:val="170"/>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68D27A06">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061341C0">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CBAM 欧盟合规管理</w:t>
            </w:r>
          </w:p>
          <w:p w14:paraId="2E740250">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税号白名单校验</w:t>
            </w:r>
          </w:p>
          <w:p w14:paraId="343861CC">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某产品的海关 CN 税号未包含在 CBAM 白名单内</w:t>
            </w:r>
          </w:p>
          <w:p w14:paraId="24686190">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P5 尝试对该产品发起 CBAM 申报</w:t>
            </w:r>
          </w:p>
          <w:p w14:paraId="0F384AA7">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申报入口被拦截并提示该产品不在 CBAM 涵盖范围</w:t>
            </w:r>
          </w:p>
          <w:p w14:paraId="7233E6F1">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不生成任何申报单据</w:t>
            </w:r>
          </w:p>
          <w:p w14:paraId="5FDCFA59">
            <w:pPr>
              <w:spacing w:before="0" w:after="20" w:line="264" w:lineRule="auto"/>
              <w:rPr>
                <w:rFonts w:hint="eastAsia" w:ascii="宋体" w:hAnsi="宋体" w:eastAsia="宋体" w:cs="宋体"/>
                <w:i w:val="0"/>
                <w:iCs w:val="0"/>
                <w:sz w:val="24"/>
                <w:szCs w:val="24"/>
              </w:rPr>
            </w:pPr>
          </w:p>
          <w:p w14:paraId="619285A6">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双签门禁校验</w:t>
            </w:r>
          </w:p>
          <w:p w14:paraId="739223C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某申报单已获得 P5 报关专家电子签章</w:t>
            </w:r>
          </w:p>
          <w:p w14:paraId="42661A0B">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尚未获得 P1 集团决策层签章即尝试提交</w:t>
            </w:r>
          </w:p>
          <w:p w14:paraId="4F1957A4">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提交动作不可执行</w:t>
            </w:r>
          </w:p>
          <w:p w14:paraId="4413DC50">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页面明确标注缺失的签章方为 P1 集团决策层</w:t>
            </w:r>
          </w:p>
          <w:p w14:paraId="52620EEC">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返回 E_AUTH_RBAC_FORBIDDEN 或对应的签批缺失提示</w:t>
            </w:r>
          </w:p>
          <w:p w14:paraId="7798A731">
            <w:pPr>
              <w:spacing w:before="0" w:after="20" w:line="264" w:lineRule="auto"/>
              <w:rPr>
                <w:rFonts w:hint="eastAsia" w:ascii="宋体" w:hAnsi="宋体" w:eastAsia="宋体" w:cs="宋体"/>
                <w:i w:val="0"/>
                <w:iCs w:val="0"/>
                <w:sz w:val="24"/>
                <w:szCs w:val="24"/>
              </w:rPr>
            </w:pPr>
          </w:p>
          <w:p w14:paraId="778662F0">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海关反馈回退流程</w:t>
            </w:r>
          </w:p>
          <w:p w14:paraId="199900CF">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申报单已提交至海关并收到质询</w:t>
            </w:r>
          </w:p>
          <w:p w14:paraId="52027E6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系统将申报状态流转为 CBAM_DECL_FEEDBACK</w:t>
            </w:r>
          </w:p>
          <w:p w14:paraId="06A2C326">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补正完成后可重新提交</w:t>
            </w:r>
          </w:p>
          <w:p w14:paraId="23857303">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重新提交时生成新的修订流水号</w:t>
            </w:r>
          </w:p>
        </w:tc>
      </w:tr>
    </w:tbl>
    <w:p w14:paraId="79D7FBBF">
      <w:pPr>
        <w:spacing w:after="40"/>
        <w:rPr>
          <w:rFonts w:hint="eastAsia" w:ascii="宋体" w:hAnsi="宋体" w:eastAsia="宋体" w:cs="宋体"/>
          <w:i w:val="0"/>
          <w:iCs w:val="0"/>
          <w:sz w:val="24"/>
          <w:szCs w:val="24"/>
        </w:rPr>
      </w:pPr>
    </w:p>
    <w:p w14:paraId="164E7AC9">
      <w:pPr>
        <w:pStyle w:val="5"/>
        <w:numPr>
          <w:ilvl w:val="0"/>
          <w:numId w:val="169"/>
        </w:numPr>
        <w:ind w:left="0" w:leftChars="0" w:firstLine="0" w:firstLineChars="0"/>
        <w:outlineLvl w:val="1"/>
        <w:rPr>
          <w:rFonts w:eastAsia="黑体"/>
          <w:b w:val="0"/>
          <w:bCs w:val="0"/>
          <w:sz w:val="30"/>
          <w:szCs w:val="24"/>
        </w:rPr>
      </w:pPr>
      <w:bookmarkStart w:id="51" w:name="_Toc20854"/>
      <w:r>
        <w:rPr>
          <w:rFonts w:ascii="Times New Roman" w:hAnsi="Times New Roman" w:eastAsia="黑体" w:cs="Times New Roman"/>
          <w:b w:val="0"/>
          <w:bCs w:val="0"/>
          <w:sz w:val="30"/>
          <w:szCs w:val="24"/>
        </w:rPr>
        <w:t>申报模拟</w:t>
      </w:r>
      <w:bookmarkEnd w:id="51"/>
    </w:p>
    <w:p w14:paraId="60E23358">
      <w:pPr>
        <w:keepNext/>
        <w:keepLines/>
        <w:widowControl w:val="0"/>
        <w:numPr>
          <w:ilvl w:val="0"/>
          <w:numId w:val="0"/>
        </w:numPr>
        <w:adjustRightInd w:val="0"/>
        <w:spacing w:before="200" w:line="300" w:lineRule="auto"/>
        <w:ind w:leftChars="0"/>
        <w:jc w:val="both"/>
        <w:outlineLvl w:val="9"/>
        <w:rPr>
          <w:rFonts w:hint="eastAsia" w:ascii="Times New Roman" w:hAnsi="Times New Roman" w:eastAsia="黑体" w:cs="Times New Roman"/>
          <w:b w:val="0"/>
          <w:bCs/>
          <w:kern w:val="2"/>
          <w:sz w:val="28"/>
          <w:szCs w:val="28"/>
          <w:lang w:bidi="ar-SA"/>
        </w:rPr>
      </w:pPr>
      <w:r>
        <w:drawing>
          <wp:inline distT="0" distB="0" distL="114300" distR="114300">
            <wp:extent cx="5900420" cy="2925445"/>
            <wp:effectExtent l="0" t="0" r="5080" b="8255"/>
            <wp:docPr id="72"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28"/>
                    <pic:cNvPicPr>
                      <a:picLocks noChangeAspect="1"/>
                    </pic:cNvPicPr>
                  </pic:nvPicPr>
                  <pic:blipFill>
                    <a:blip r:embed="rId86"/>
                    <a:stretch>
                      <a:fillRect/>
                    </a:stretch>
                  </pic:blipFill>
                  <pic:spPr>
                    <a:xfrm>
                      <a:off x="0" y="0"/>
                      <a:ext cx="5900420" cy="2925445"/>
                    </a:xfrm>
                    <a:prstGeom prst="rect">
                      <a:avLst/>
                    </a:prstGeom>
                    <a:noFill/>
                    <a:ln>
                      <a:noFill/>
                    </a:ln>
                  </pic:spPr>
                </pic:pic>
              </a:graphicData>
            </a:graphic>
          </wp:inline>
        </w:drawing>
      </w:r>
    </w:p>
    <w:p w14:paraId="4952D40F">
      <w:pPr>
        <w:pStyle w:val="6"/>
        <w:numPr>
          <w:ilvl w:val="0"/>
          <w:numId w:val="175"/>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489A1858">
      <w:pPr>
        <w:pStyle w:val="19"/>
        <w:widowControl/>
        <w:numPr>
          <w:ilvl w:val="0"/>
          <w:numId w:val="17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：基于欧盟 ETS 碳价与国内已支付碳成本抵扣，测算出口欧盟产品的 CBAM 应缴碳关税，并支持多情景模拟与官方 XML 申报包导出。</w:t>
      </w:r>
    </w:p>
    <w:p w14:paraId="33A5E227">
      <w:pPr>
        <w:pStyle w:val="19"/>
        <w:widowControl/>
        <w:numPr>
          <w:ilvl w:val="0"/>
          <w:numId w:val="17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：P5 报关与关税专家。</w:t>
      </w:r>
    </w:p>
    <w:p w14:paraId="135A3A53">
      <w:pPr>
        <w:pStyle w:val="19"/>
        <w:widowControl/>
        <w:numPr>
          <w:ilvl w:val="0"/>
          <w:numId w:val="17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/carbon-footprint/cbam/declaration </w:t>
      </w:r>
      <w:r>
        <w:rPr>
          <w:rFonts w:ascii="Times New Roman" w:hAnsi="Times New Roman" w:eastAsia="宋体" w:cs="Times New Roman"/>
          <w:i w:val="0"/>
          <w:color w:val="1F2937"/>
          <w:sz w:val="24"/>
          <w:szCs w:val="24"/>
        </w:rPr>
        <w:t>。</w:t>
      </w:r>
    </w:p>
    <w:p w14:paraId="72684711">
      <w:pPr>
        <w:pStyle w:val="19"/>
        <w:widowControl/>
        <w:numPr>
          <w:ilvl w:val="0"/>
          <w:numId w:val="17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：已认证 LCA 报告、EEX 碳价接口、国内碳市场价格、CBAM 官方默认值库。</w:t>
      </w:r>
    </w:p>
    <w:p w14:paraId="778513CD">
      <w:pPr>
        <w:pStyle w:val="19"/>
        <w:widowControl/>
        <w:numPr>
          <w:ilvl w:val="0"/>
          <w:numId w:val="176"/>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：CBAM Communication Template v2.1 官方 XML 申报包、关税成本测算报告。</w:t>
      </w:r>
    </w:p>
    <w:p w14:paraId="2C5F1259">
      <w:pPr>
        <w:pStyle w:val="6"/>
        <w:numPr>
          <w:ilvl w:val="0"/>
          <w:numId w:val="175"/>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76D691CE">
      <w:pPr>
        <w:pStyle w:val="19"/>
        <w:widowControl/>
        <w:numPr>
          <w:ilvl w:val="0"/>
          <w:numId w:val="17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：向欧盟出口前测算碳关税成本，并在乐观/基准/悲观三种碳价情景下评估成本敞口与国内碳成本抵扣收益。</w:t>
      </w:r>
    </w:p>
    <w:p w14:paraId="6E7299FD">
      <w:pPr>
        <w:pStyle w:val="19"/>
        <w:widowControl/>
        <w:numPr>
          <w:ilvl w:val="0"/>
          <w:numId w:val="177"/>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3E70A991">
      <w:pPr>
        <w:pStyle w:val="19"/>
        <w:widowControl/>
        <w:numPr>
          <w:ilvl w:val="0"/>
          <w:numId w:val="177"/>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国际贸易与关税专家 (Persona P5)</w:t>
      </w:r>
      <w:r>
        <w:rPr>
          <w:rFonts w:ascii="Times New Roman" w:hAnsi="Times New Roman" w:eastAsia="宋体" w:cs="Times New Roman"/>
          <w:i w:val="0"/>
          <w:color w:val="1F2937"/>
          <w:sz w:val="24"/>
          <w:szCs w:val="24"/>
        </w:rPr>
        <w:t>，</w:t>
      </w:r>
    </w:p>
    <w:p w14:paraId="644CA053">
      <w:pPr>
        <w:pStyle w:val="19"/>
        <w:widowControl/>
        <w:numPr>
          <w:ilvl w:val="0"/>
          <w:numId w:val="177"/>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基于实时 ETS 碳价与国内已付碳成本测算应缴 CBAM 关税，并在多情景下对比成本敞口</w:t>
      </w:r>
      <w:r>
        <w:rPr>
          <w:rFonts w:ascii="Times New Roman" w:hAnsi="Times New Roman" w:eastAsia="宋体" w:cs="Times New Roman"/>
          <w:i w:val="0"/>
          <w:color w:val="1F2937"/>
          <w:sz w:val="24"/>
          <w:szCs w:val="24"/>
        </w:rPr>
        <w:t>，</w:t>
      </w:r>
    </w:p>
    <w:p w14:paraId="278717EB">
      <w:pPr>
        <w:pStyle w:val="19"/>
        <w:widowControl/>
        <w:numPr>
          <w:ilvl w:val="0"/>
          <w:numId w:val="177"/>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我能优化出口定价与国内碳成本抵扣策略，实现关税成本最小化</w:t>
      </w:r>
      <w:r>
        <w:rPr>
          <w:rFonts w:ascii="Times New Roman" w:hAnsi="Times New Roman" w:eastAsia="宋体" w:cs="Times New Roman"/>
          <w:i w:val="0"/>
          <w:color w:val="1F2937"/>
          <w:sz w:val="24"/>
          <w:szCs w:val="24"/>
        </w:rPr>
        <w:t>。</w:t>
      </w:r>
    </w:p>
    <w:p w14:paraId="6B682C46">
      <w:pPr>
        <w:pStyle w:val="6"/>
        <w:numPr>
          <w:ilvl w:val="0"/>
          <w:numId w:val="175"/>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51332FCD">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关税模型：</w:t>
      </w:r>
    </w:p>
    <w:p w14:paraId="273FE06E">
      <w:pPr>
        <w:pStyle w:val="19"/>
        <w:widowControl/>
        <w:numPr>
          <w:ilvl w:val="0"/>
          <w:numId w:val="17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ETS 联动与情景模拟</w:t>
      </w:r>
      <w:r>
        <w:rPr>
          <w:rFonts w:ascii="Times New Roman" w:hAnsi="Times New Roman" w:eastAsia="宋体" w:cs="Times New Roman"/>
          <w:i w:val="0"/>
          <w:color w:val="1F2937"/>
          <w:sz w:val="24"/>
          <w:szCs w:val="24"/>
        </w:rPr>
        <w:t>（回捞 PRD-07 /《集采中心功能梳理 V1.0》"成本测算"）：</w:t>
      </w:r>
    </w:p>
    <w:p w14:paraId="1BE297C6">
      <w:pPr>
        <w:pStyle w:val="19"/>
        <w:widowControl/>
        <w:numPr>
          <w:ilvl w:val="0"/>
          <w:numId w:val="17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ETS 碳价联动</w:t>
      </w:r>
      <w:r>
        <w:rPr>
          <w:rFonts w:ascii="Times New Roman" w:hAnsi="Times New Roman" w:eastAsia="宋体" w:cs="Times New Roman"/>
          <w:i w:val="0"/>
          <w:color w:val="1F2937"/>
          <w:sz w:val="24"/>
          <w:szCs w:val="24"/>
        </w:rPr>
        <w:t>：API 动态对接欧洲能源交易所（EEX）碳配额拍卖结算均价，刷新频率固定为小时级（每小时第 5 分钟拉取，失败重试 3 次后标注「碳价滞后」）。</w:t>
      </w:r>
    </w:p>
    <w:p w14:paraId="388F9C1D">
      <w:pPr>
        <w:pStyle w:val="19"/>
        <w:widowControl/>
        <w:numPr>
          <w:ilvl w:val="0"/>
          <w:numId w:val="17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多情景碳价模拟</w:t>
      </w:r>
      <w:r>
        <w:rPr>
          <w:rFonts w:ascii="Times New Roman" w:hAnsi="Times New Roman" w:eastAsia="宋体" w:cs="Times New Roman"/>
          <w:i w:val="0"/>
          <w:color w:val="1F2937"/>
          <w:sz w:val="24"/>
          <w:szCs w:val="24"/>
        </w:rPr>
        <w:t>：按欧盟当期碳价与情景碳价（乐观/基准/悲观）测算出口欧盟产品碳关税成本并对比。</w:t>
      </w:r>
    </w:p>
    <w:p w14:paraId="6A1EAE40">
      <w:pPr>
        <w:pStyle w:val="19"/>
        <w:widowControl/>
        <w:numPr>
          <w:ilvl w:val="0"/>
          <w:numId w:val="17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默认值回退</w:t>
      </w:r>
      <w:r>
        <w:rPr>
          <w:rFonts w:ascii="Times New Roman" w:hAnsi="Times New Roman" w:eastAsia="宋体" w:cs="Times New Roman"/>
          <w:i w:val="0"/>
          <w:color w:val="1F2937"/>
          <w:sz w:val="24"/>
          <w:szCs w:val="24"/>
        </w:rPr>
        <w:t>：无实测数据时一键套用 CBAM 官方各行业默认排放因子库完成估算。</w:t>
      </w:r>
    </w:p>
    <w:p w14:paraId="6705AEDB">
      <w:pPr>
        <w:pStyle w:val="19"/>
        <w:widowControl/>
        <w:numPr>
          <w:ilvl w:val="0"/>
          <w:numId w:val="17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数据出境合规</w:t>
      </w:r>
      <w:r>
        <w:rPr>
          <w:rFonts w:ascii="Times New Roman" w:hAnsi="Times New Roman" w:eastAsia="宋体" w:cs="Times New Roman"/>
          <w:i w:val="0"/>
          <w:color w:val="1F2937"/>
          <w:sz w:val="24"/>
          <w:szCs w:val="24"/>
        </w:rPr>
        <w:t>：CBAM 申报数据跨境传输路径与审批已明确，全部出境流量须经信安合规前置网关并执行严格字段白名单，详见第十章「CBAM 数据出境安全合规前置方案」。</w:t>
      </w:r>
    </w:p>
    <w:p w14:paraId="470F023A">
      <w:pPr>
        <w:pStyle w:val="19"/>
        <w:widowControl/>
        <w:numPr>
          <w:ilvl w:val="0"/>
          <w:numId w:val="17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核算流程</w:t>
      </w:r>
      <w:r>
        <w:rPr>
          <w:rFonts w:ascii="Times New Roman" w:hAnsi="Times New Roman" w:eastAsia="宋体" w:cs="Times New Roman"/>
          <w:i w:val="0"/>
          <w:color w:val="1F2937"/>
          <w:sz w:val="24"/>
          <w:szCs w:val="24"/>
        </w:rPr>
        <w:t>：</w:t>
      </w:r>
    </w:p>
    <w:p w14:paraId="625BA757">
      <w:pPr>
        <w:pStyle w:val="19"/>
        <w:widowControl/>
        <w:numPr>
          <w:ilvl w:val="0"/>
          <w:numId w:val="179"/>
        </w:numPr>
        <w:ind w:left="0" w:leftChars="0" w:firstLine="482" w:firstLineChars="0"/>
        <w:rPr>
          <w:rFonts w:eastAsia="宋体"/>
          <w:b/>
          <w:i w:val="0"/>
          <w:color w:val="1E3A8A"/>
          <w:sz w:val="24"/>
          <w:szCs w:val="24"/>
        </w:rPr>
      </w:pPr>
      <w:r>
        <w:rPr>
          <w:rFonts w:ascii="Times New Roman" w:hAnsi="Times New Roman" w:eastAsia="宋体" w:cs="Times New Roman"/>
          <w:b/>
          <w:i w:val="0"/>
          <w:color w:val="1E3A8A"/>
          <w:sz w:val="24"/>
          <w:szCs w:val="24"/>
        </w:rPr>
        <w:t>隐含碳强度核算</w:t>
      </w:r>
      <w:r>
        <w:rPr>
          <w:rFonts w:ascii="Times New Roman" w:hAnsi="Times New Roman" w:eastAsia="宋体" w:cs="Times New Roman"/>
          <w:i w:val="0"/>
          <w:color w:val="1F2937"/>
          <w:sz w:val="24"/>
          <w:szCs w:val="24"/>
        </w:rPr>
        <w:t xml:space="preserve">：测算出口单位产品直接与间接隐含碳强度 </w:t>
      </w:r>
      <w:r>
        <w:rPr>
          <w:rFonts w:ascii="Times New Roman" w:hAnsi="Times New Roman" w:eastAsia="宋体" w:cs="Times New Roman"/>
          <w:i w:val="0"/>
          <w:color w:val="15803D"/>
          <w:sz w:val="24"/>
          <w:szCs w:val="24"/>
        </w:rPr>
        <w:t>Embedded\_Carbon</w:t>
      </w:r>
      <w:r>
        <w:rPr>
          <w:rFonts w:ascii="Times New Roman" w:hAnsi="Times New Roman" w:eastAsia="宋体" w:cs="Times New Roman"/>
          <w:i w:val="0"/>
          <w:color w:val="1F2937"/>
          <w:sz w:val="24"/>
          <w:szCs w:val="24"/>
        </w:rPr>
        <w:t xml:space="preserve"> (tCO2e/t)。</w:t>
      </w:r>
    </w:p>
    <w:p w14:paraId="4E358A4E">
      <w:pPr>
        <w:pStyle w:val="19"/>
        <w:widowControl/>
        <w:numPr>
          <w:ilvl w:val="0"/>
          <w:numId w:val="179"/>
        </w:numPr>
        <w:ind w:left="0" w:leftChars="0" w:firstLine="482" w:firstLineChars="0"/>
        <w:rPr>
          <w:rFonts w:eastAsia="宋体"/>
          <w:b/>
          <w:i w:val="0"/>
          <w:color w:val="1E3A8A"/>
          <w:sz w:val="24"/>
          <w:szCs w:val="24"/>
        </w:rPr>
      </w:pPr>
      <w:r>
        <w:rPr>
          <w:rFonts w:ascii="Times New Roman" w:hAnsi="Times New Roman" w:eastAsia="宋体" w:cs="Times New Roman"/>
          <w:b/>
          <w:i w:val="0"/>
          <w:color w:val="1E3A8A"/>
          <w:sz w:val="24"/>
          <w:szCs w:val="24"/>
        </w:rPr>
        <w:t>欧盟 ETS 实时碳价联动</w:t>
      </w:r>
      <w:r>
        <w:rPr>
          <w:rFonts w:ascii="Times New Roman" w:hAnsi="Times New Roman" w:eastAsia="宋体" w:cs="Times New Roman"/>
          <w:i w:val="0"/>
          <w:color w:val="1F2937"/>
          <w:sz w:val="24"/>
          <w:szCs w:val="24"/>
        </w:rPr>
        <w:t>：API 动态对接欧洲能源交易所 (EEX) 碳配额拍卖结算均价（€75 ~ €95/tCO2e）。</w:t>
      </w:r>
    </w:p>
    <w:p w14:paraId="186F5E58">
      <w:pPr>
        <w:pStyle w:val="19"/>
        <w:widowControl/>
        <w:numPr>
          <w:ilvl w:val="0"/>
          <w:numId w:val="179"/>
        </w:numPr>
        <w:ind w:left="0" w:leftChars="0" w:firstLine="482" w:firstLineChars="0"/>
        <w:rPr>
          <w:rFonts w:eastAsia="宋体"/>
          <w:b/>
          <w:i w:val="0"/>
          <w:color w:val="1E3A8A"/>
          <w:sz w:val="24"/>
          <w:szCs w:val="24"/>
        </w:rPr>
      </w:pPr>
      <w:r>
        <w:rPr>
          <w:rFonts w:ascii="Times New Roman" w:hAnsi="Times New Roman" w:eastAsia="宋体" w:cs="Times New Roman"/>
          <w:b/>
          <w:i w:val="0"/>
          <w:color w:val="1E3A8A"/>
          <w:sz w:val="24"/>
          <w:szCs w:val="24"/>
        </w:rPr>
        <w:t>国内已支付碳成本抵扣</w:t>
      </w:r>
      <w:r>
        <w:rPr>
          <w:rFonts w:ascii="Times New Roman" w:hAnsi="Times New Roman" w:eastAsia="宋体" w:cs="Times New Roman"/>
          <w:i w:val="0"/>
          <w:color w:val="1F2937"/>
          <w:sz w:val="24"/>
          <w:szCs w:val="24"/>
        </w:rPr>
        <w:t>：严格计算在国内已承担的全国碳市场配额费用或绿电附加成本，依法申请等额抵扣。</w:t>
      </w:r>
    </w:p>
    <w:p w14:paraId="689BFC46">
      <w:pPr>
        <w:pStyle w:val="19"/>
        <w:widowControl/>
        <w:numPr>
          <w:ilvl w:val="0"/>
          <w:numId w:val="179"/>
        </w:numPr>
        <w:ind w:left="0" w:leftChars="0" w:firstLine="482" w:firstLineChars="0"/>
        <w:rPr>
          <w:rFonts w:eastAsia="宋体"/>
          <w:b/>
          <w:i w:val="0"/>
          <w:color w:val="1E3A8A"/>
          <w:sz w:val="24"/>
          <w:szCs w:val="24"/>
        </w:rPr>
      </w:pPr>
      <w:r>
        <w:rPr>
          <w:rFonts w:ascii="Times New Roman" w:hAnsi="Times New Roman" w:eastAsia="宋体" w:cs="Times New Roman"/>
          <w:b/>
          <w:i w:val="0"/>
          <w:color w:val="1E3A8A"/>
          <w:sz w:val="24"/>
          <w:szCs w:val="24"/>
        </w:rPr>
        <w:t>官方 XML 申报包导出</w:t>
      </w:r>
      <w:r>
        <w:rPr>
          <w:rFonts w:ascii="Times New Roman" w:hAnsi="Times New Roman" w:eastAsia="宋体" w:cs="Times New Roman"/>
          <w:i w:val="0"/>
          <w:color w:val="1F2937"/>
          <w:sz w:val="24"/>
          <w:szCs w:val="24"/>
        </w:rPr>
        <w:t>：生成完全符合欧盟委员会 CBAM Communication Template v2.1 规范的结构化 XML 申报包。</w:t>
      </w:r>
    </w:p>
    <w:p w14:paraId="7AA52E63">
      <w:pPr>
        <w:pStyle w:val="6"/>
        <w:numPr>
          <w:ilvl w:val="0"/>
          <w:numId w:val="175"/>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52"/>
        <w:gridCol w:w="2468"/>
        <w:gridCol w:w="1334"/>
        <w:gridCol w:w="1572"/>
        <w:gridCol w:w="3558"/>
      </w:tblGrid>
      <w:tr w14:paraId="6B16FEF0">
        <w:tblPrEx>
          <w:tblCellMar>
            <w:top w:w="0" w:type="dxa"/>
            <w:left w:w="108" w:type="dxa"/>
            <w:bottom w:w="0" w:type="dxa"/>
            <w:right w:w="108" w:type="dxa"/>
          </w:tblCellMar>
        </w:tblPrEx>
        <w:trPr>
          <w:jc w:val="center"/>
        </w:trPr>
        <w:tc>
          <w:tcPr>
            <w:tcW w:w="85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6DDB26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E5E2EC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33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6A30A5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157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9C76BE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355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CBDC40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核算模型与业务规则</w:t>
            </w:r>
          </w:p>
        </w:tc>
      </w:tr>
      <w:tr w14:paraId="0ECA6CFB">
        <w:tblPrEx>
          <w:tblCellMar>
            <w:top w:w="0" w:type="dxa"/>
            <w:left w:w="108" w:type="dxa"/>
            <w:bottom w:w="0" w:type="dxa"/>
            <w:right w:w="108" w:type="dxa"/>
          </w:tblCellMar>
        </w:tblPrEx>
        <w:trPr>
          <w:jc w:val="center"/>
        </w:trPr>
        <w:tc>
          <w:tcPr>
            <w:tcW w:w="85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9D88AC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765AD3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欧盟海关 CN 税号</w:t>
            </w:r>
          </w:p>
        </w:tc>
        <w:tc>
          <w:tcPr>
            <w:tcW w:w="133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891072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5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7814E7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5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EF707C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欧盟海关税则编码，如 85042100</w:t>
            </w:r>
          </w:p>
        </w:tc>
      </w:tr>
      <w:tr w14:paraId="55D01E68">
        <w:tblPrEx>
          <w:tblCellMar>
            <w:top w:w="0" w:type="dxa"/>
            <w:left w:w="108" w:type="dxa"/>
            <w:bottom w:w="0" w:type="dxa"/>
            <w:right w:w="108" w:type="dxa"/>
          </w:tblCellMar>
        </w:tblPrEx>
        <w:trPr>
          <w:jc w:val="center"/>
        </w:trPr>
        <w:tc>
          <w:tcPr>
            <w:tcW w:w="85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146C45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589BFA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申报出口数量</w:t>
            </w:r>
          </w:p>
        </w:tc>
        <w:tc>
          <w:tcPr>
            <w:tcW w:w="133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212CA4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5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0A3E03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台/km/t</w:t>
            </w:r>
          </w:p>
        </w:tc>
        <w:tc>
          <w:tcPr>
            <w:tcW w:w="355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52C72D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国际贸易报关单提单实际数量</w:t>
            </w:r>
          </w:p>
        </w:tc>
      </w:tr>
      <w:tr w14:paraId="08D24106">
        <w:tblPrEx>
          <w:tblCellMar>
            <w:top w:w="0" w:type="dxa"/>
            <w:left w:w="108" w:type="dxa"/>
            <w:bottom w:w="0" w:type="dxa"/>
            <w:right w:w="108" w:type="dxa"/>
          </w:tblCellMar>
        </w:tblPrEx>
        <w:trPr>
          <w:jc w:val="center"/>
        </w:trPr>
        <w:tc>
          <w:tcPr>
            <w:tcW w:w="85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C9A99D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7705DB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制造直接排放量</w:t>
            </w:r>
          </w:p>
        </w:tc>
        <w:tc>
          <w:tcPr>
            <w:tcW w:w="133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689DFA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5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17A97F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tCO2e</w:t>
            </w:r>
          </w:p>
        </w:tc>
        <w:tc>
          <w:tcPr>
            <w:tcW w:w="35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E8871B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厂内燃烧直接排放总量</w:t>
            </w:r>
          </w:p>
        </w:tc>
      </w:tr>
      <w:tr w14:paraId="01F6C36A">
        <w:tblPrEx>
          <w:tblCellMar>
            <w:top w:w="0" w:type="dxa"/>
            <w:left w:w="108" w:type="dxa"/>
            <w:bottom w:w="0" w:type="dxa"/>
            <w:right w:w="108" w:type="dxa"/>
          </w:tblCellMar>
        </w:tblPrEx>
        <w:trPr>
          <w:jc w:val="center"/>
        </w:trPr>
        <w:tc>
          <w:tcPr>
            <w:tcW w:w="85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9D306D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4B4C0E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外购电热间接排放量</w:t>
            </w:r>
          </w:p>
        </w:tc>
        <w:tc>
          <w:tcPr>
            <w:tcW w:w="133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FD604A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5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15E4C7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tCO2e</w:t>
            </w:r>
          </w:p>
        </w:tc>
        <w:tc>
          <w:tcPr>
            <w:tcW w:w="355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A3F692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外购电力及前驱物隐含间接排放</w:t>
            </w:r>
          </w:p>
        </w:tc>
      </w:tr>
      <w:tr w14:paraId="41FF2C0C">
        <w:tblPrEx>
          <w:tblCellMar>
            <w:top w:w="0" w:type="dxa"/>
            <w:left w:w="108" w:type="dxa"/>
            <w:bottom w:w="0" w:type="dxa"/>
            <w:right w:w="108" w:type="dxa"/>
          </w:tblCellMar>
        </w:tblPrEx>
        <w:trPr>
          <w:jc w:val="center"/>
        </w:trPr>
        <w:tc>
          <w:tcPr>
            <w:tcW w:w="85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14F17B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634077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单位产品隐含碳强度</w:t>
            </w:r>
          </w:p>
        </w:tc>
        <w:tc>
          <w:tcPr>
            <w:tcW w:w="133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C3D711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5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17A039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tCO2e/单位</w:t>
            </w:r>
          </w:p>
        </w:tc>
        <w:tc>
          <w:tcPr>
            <w:tcW w:w="35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B42A65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5803D"/>
                <w:sz w:val="24"/>
                <w:szCs w:val="24"/>
              </w:rPr>
              <w:t>(Direct + Indirect) / 总产量</w:t>
            </w:r>
          </w:p>
        </w:tc>
      </w:tr>
      <w:tr w14:paraId="12622C97">
        <w:tblPrEx>
          <w:tblCellMar>
            <w:top w:w="0" w:type="dxa"/>
            <w:left w:w="108" w:type="dxa"/>
            <w:bottom w:w="0" w:type="dxa"/>
            <w:right w:w="108" w:type="dxa"/>
          </w:tblCellMar>
        </w:tblPrEx>
        <w:trPr>
          <w:jc w:val="center"/>
        </w:trPr>
        <w:tc>
          <w:tcPr>
            <w:tcW w:w="85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153E20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08F759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欧盟 ETS 结算碳价</w:t>
            </w:r>
          </w:p>
        </w:tc>
        <w:tc>
          <w:tcPr>
            <w:tcW w:w="133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C15B9A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5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1573F1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€/tCO2e</w:t>
            </w:r>
          </w:p>
        </w:tc>
        <w:tc>
          <w:tcPr>
            <w:tcW w:w="355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A5CB86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EEX 官方接口实时拉取最新周结算均价</w:t>
            </w:r>
          </w:p>
        </w:tc>
      </w:tr>
      <w:tr w14:paraId="184FEC8D">
        <w:tblPrEx>
          <w:tblCellMar>
            <w:top w:w="0" w:type="dxa"/>
            <w:left w:w="108" w:type="dxa"/>
            <w:bottom w:w="0" w:type="dxa"/>
            <w:right w:w="108" w:type="dxa"/>
          </w:tblCellMar>
        </w:tblPrEx>
        <w:trPr>
          <w:jc w:val="center"/>
        </w:trPr>
        <w:tc>
          <w:tcPr>
            <w:tcW w:w="85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92321B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85999F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国内已付碳成本折算</w:t>
            </w:r>
          </w:p>
        </w:tc>
        <w:tc>
          <w:tcPr>
            <w:tcW w:w="133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5ACEC7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5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9085E2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€/tCO2e</w:t>
            </w:r>
          </w:p>
        </w:tc>
        <w:tc>
          <w:tcPr>
            <w:tcW w:w="35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5E41E7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中国碳市场价格汇率折算（€）</w:t>
            </w:r>
          </w:p>
        </w:tc>
      </w:tr>
      <w:tr w14:paraId="34FE2DC4">
        <w:tblPrEx>
          <w:tblCellMar>
            <w:top w:w="0" w:type="dxa"/>
            <w:left w:w="108" w:type="dxa"/>
            <w:bottom w:w="0" w:type="dxa"/>
            <w:right w:w="108" w:type="dxa"/>
          </w:tblCellMar>
        </w:tblPrEx>
        <w:trPr>
          <w:jc w:val="center"/>
        </w:trPr>
        <w:tc>
          <w:tcPr>
            <w:tcW w:w="85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95B27B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592291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应缴 CBAM 凭证数</w:t>
            </w:r>
          </w:p>
        </w:tc>
        <w:tc>
          <w:tcPr>
            <w:tcW w:w="133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934F0A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5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92342E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张</w:t>
            </w:r>
          </w:p>
        </w:tc>
        <w:tc>
          <w:tcPr>
            <w:tcW w:w="355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ABBE1D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每张对应 1 tCO2e 需清缴凭证</w:t>
            </w:r>
          </w:p>
        </w:tc>
      </w:tr>
      <w:tr w14:paraId="713BF8BC">
        <w:tblPrEx>
          <w:tblCellMar>
            <w:top w:w="0" w:type="dxa"/>
            <w:left w:w="108" w:type="dxa"/>
            <w:bottom w:w="0" w:type="dxa"/>
            <w:right w:w="108" w:type="dxa"/>
          </w:tblCellMar>
        </w:tblPrEx>
        <w:trPr>
          <w:jc w:val="center"/>
        </w:trPr>
        <w:tc>
          <w:tcPr>
            <w:tcW w:w="85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D33112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4D522B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预计应纳 CBAM 关税</w:t>
            </w:r>
          </w:p>
        </w:tc>
        <w:tc>
          <w:tcPr>
            <w:tcW w:w="133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89CD49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5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5588E2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€（欧元）</w:t>
            </w:r>
          </w:p>
        </w:tc>
        <w:tc>
          <w:tcPr>
            <w:tcW w:w="35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37D8FA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应缴凭证数 ×（ETS 碳价 − 国内已付成本）</w:t>
            </w:r>
          </w:p>
        </w:tc>
      </w:tr>
      <w:tr w14:paraId="2DE55B6D">
        <w:tblPrEx>
          <w:tblCellMar>
            <w:top w:w="0" w:type="dxa"/>
            <w:left w:w="108" w:type="dxa"/>
            <w:bottom w:w="0" w:type="dxa"/>
            <w:right w:w="108" w:type="dxa"/>
          </w:tblCellMar>
        </w:tblPrEx>
        <w:trPr>
          <w:jc w:val="center"/>
        </w:trPr>
        <w:tc>
          <w:tcPr>
            <w:tcW w:w="85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414360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85F567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情景类型</w:t>
            </w:r>
          </w:p>
        </w:tc>
        <w:tc>
          <w:tcPr>
            <w:tcW w:w="133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99A908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5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60F09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55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D89269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乐观 / 基准 / 悲观</w:t>
            </w:r>
          </w:p>
        </w:tc>
      </w:tr>
      <w:tr w14:paraId="3F66DDEB">
        <w:tblPrEx>
          <w:tblCellMar>
            <w:top w:w="0" w:type="dxa"/>
            <w:left w:w="108" w:type="dxa"/>
            <w:bottom w:w="0" w:type="dxa"/>
            <w:right w:w="108" w:type="dxa"/>
          </w:tblCellMar>
        </w:tblPrEx>
        <w:trPr>
          <w:jc w:val="center"/>
        </w:trPr>
        <w:tc>
          <w:tcPr>
            <w:tcW w:w="85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96A851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11</w:t>
            </w:r>
          </w:p>
        </w:tc>
        <w:tc>
          <w:tcPr>
            <w:tcW w:w="2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A3569D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申报包 Schema 校验结果</w:t>
            </w:r>
          </w:p>
        </w:tc>
        <w:tc>
          <w:tcPr>
            <w:tcW w:w="133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768844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5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9F1F0C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35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6290BB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通过 / 违规（含节点级违规信息）</w:t>
            </w:r>
          </w:p>
        </w:tc>
      </w:tr>
    </w:tbl>
    <w:p w14:paraId="006854D3">
      <w:pPr>
        <w:spacing w:after="60"/>
        <w:rPr>
          <w:rFonts w:hint="eastAsia" w:ascii="宋体" w:hAnsi="宋体" w:eastAsia="宋体" w:cs="宋体"/>
          <w:i w:val="0"/>
          <w:iCs w:val="0"/>
          <w:sz w:val="24"/>
          <w:szCs w:val="24"/>
        </w:rPr>
      </w:pPr>
    </w:p>
    <w:p w14:paraId="0497D3B1">
      <w:pPr>
        <w:pStyle w:val="6"/>
        <w:numPr>
          <w:ilvl w:val="0"/>
          <w:numId w:val="175"/>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401966A1">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1B05F2A7">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Cost_CBAM = [ (Direct_Em + Indirect_Em) / Output ] × Export_Qty × ( Price_EU_ETS - Price_Domestic_Paid )</w:t>
            </w:r>
          </w:p>
          <w:p w14:paraId="20BFB046">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Embedded_Carbon = ( Direct_Em + Indirect_Em ) / Output</w:t>
            </w:r>
          </w:p>
          <w:p w14:paraId="4FE2BF41">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Cert_Count = Export_Qty × Embedded_Carbon</w:t>
            </w:r>
          </w:p>
          <w:p w14:paraId="303D0E15">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Duty_payable = MAX( 0, Cert_Count × ( Price_EU_ETS - Price_Domestic_Paid ) )</w:t>
            </w:r>
          </w:p>
          <w:p w14:paraId="08F03F2A">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Scenario = { 乐观: P_ETS × 0.85, 基准: P_ETS, 悲观: P_ETS × 1.15 }</w:t>
            </w:r>
          </w:p>
        </w:tc>
      </w:tr>
    </w:tbl>
    <w:p w14:paraId="603C795C">
      <w:pPr>
        <w:spacing w:after="40"/>
        <w:rPr>
          <w:rFonts w:hint="eastAsia" w:ascii="宋体" w:hAnsi="宋体" w:eastAsia="宋体" w:cs="宋体"/>
          <w:i w:val="0"/>
          <w:iCs w:val="0"/>
          <w:sz w:val="24"/>
          <w:szCs w:val="24"/>
        </w:rPr>
      </w:pPr>
    </w:p>
    <w:p w14:paraId="3C1656E5">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符合欧盟正式法规 EU 2023/956 条例；</w:t>
      </w:r>
      <w:r>
        <w:rPr>
          <w:rFonts w:ascii="Times New Roman" w:hAnsi="Times New Roman" w:eastAsia="宋体" w:cs="Times New Roman"/>
          <w:b w:val="0"/>
          <w:i w:val="0"/>
          <w:color w:val="0284C7"/>
          <w:sz w:val="24"/>
          <w:szCs w:val="24"/>
        </w:rPr>
        <w:t xml:space="preserve"> Direct_Em </w:t>
      </w:r>
      <w:r>
        <w:rPr>
          <w:rFonts w:ascii="Times New Roman" w:hAnsi="Times New Roman" w:eastAsia="宋体" w:cs="Times New Roman"/>
          <w:i w:val="0"/>
          <w:color w:val="1F2937"/>
          <w:sz w:val="24"/>
          <w:szCs w:val="24"/>
        </w:rPr>
        <w:t xml:space="preserve"> 为工厂直接化石燃烧排放；</w:t>
      </w:r>
      <w:r>
        <w:rPr>
          <w:rFonts w:ascii="Times New Roman" w:hAnsi="Times New Roman" w:eastAsia="宋体" w:cs="Times New Roman"/>
          <w:b w:val="0"/>
          <w:i w:val="0"/>
          <w:color w:val="0284C7"/>
          <w:sz w:val="24"/>
          <w:szCs w:val="24"/>
        </w:rPr>
        <w:t xml:space="preserve"> Indirect_Em </w:t>
      </w:r>
      <w:r>
        <w:rPr>
          <w:rFonts w:ascii="Times New Roman" w:hAnsi="Times New Roman" w:eastAsia="宋体" w:cs="Times New Roman"/>
          <w:i w:val="0"/>
          <w:color w:val="1F2937"/>
          <w:sz w:val="24"/>
          <w:szCs w:val="24"/>
        </w:rPr>
        <w:t xml:space="preserve"> 为外购电热及前驱物间接排放；</w:t>
      </w:r>
      <w:r>
        <w:rPr>
          <w:rFonts w:ascii="Times New Roman" w:hAnsi="Times New Roman" w:eastAsia="宋体" w:cs="Times New Roman"/>
          <w:b w:val="0"/>
          <w:i w:val="0"/>
          <w:color w:val="0284C7"/>
          <w:sz w:val="24"/>
          <w:szCs w:val="24"/>
        </w:rPr>
        <w:t xml:space="preserve"> Export_Qty </w:t>
      </w:r>
      <w:r>
        <w:rPr>
          <w:rFonts w:ascii="Times New Roman" w:hAnsi="Times New Roman" w:eastAsia="宋体" w:cs="Times New Roman"/>
          <w:i w:val="0"/>
          <w:color w:val="1F2937"/>
          <w:sz w:val="24"/>
          <w:szCs w:val="24"/>
        </w:rPr>
        <w:t xml:space="preserve"> 为出口实物总量；</w:t>
      </w:r>
      <w:r>
        <w:rPr>
          <w:rFonts w:ascii="Times New Roman" w:hAnsi="Times New Roman" w:eastAsia="宋体" w:cs="Times New Roman"/>
          <w:b w:val="0"/>
          <w:i w:val="0"/>
          <w:color w:val="0284C7"/>
          <w:sz w:val="24"/>
          <w:szCs w:val="24"/>
        </w:rPr>
        <w:t xml:space="preserve"> Price_EU_ETS </w:t>
      </w:r>
      <w:r>
        <w:rPr>
          <w:rFonts w:ascii="Times New Roman" w:hAnsi="Times New Roman" w:eastAsia="宋体" w:cs="Times New Roman"/>
          <w:i w:val="0"/>
          <w:color w:val="1F2937"/>
          <w:sz w:val="24"/>
          <w:szCs w:val="24"/>
        </w:rPr>
        <w:t xml:space="preserve"> 为欧盟碳价；</w:t>
      </w:r>
      <w:r>
        <w:rPr>
          <w:rFonts w:ascii="Times New Roman" w:hAnsi="Times New Roman" w:eastAsia="宋体" w:cs="Times New Roman"/>
          <w:b w:val="0"/>
          <w:i w:val="0"/>
          <w:color w:val="0284C7"/>
          <w:sz w:val="24"/>
          <w:szCs w:val="24"/>
        </w:rPr>
        <w:t xml:space="preserve"> Price_Domestic_Paid </w:t>
      </w:r>
      <w:r>
        <w:rPr>
          <w:rFonts w:ascii="Times New Roman" w:hAnsi="Times New Roman" w:eastAsia="宋体" w:cs="Times New Roman"/>
          <w:i w:val="0"/>
          <w:color w:val="1F2937"/>
          <w:sz w:val="24"/>
          <w:szCs w:val="24"/>
        </w:rPr>
        <w:t xml:space="preserve"> 为国内已付碳价。</w:t>
      </w:r>
      <w:r>
        <w:rPr>
          <w:rFonts w:ascii="Times New Roman" w:hAnsi="Times New Roman" w:eastAsia="宋体" w:cs="Times New Roman"/>
          <w:b/>
          <w:i w:val="0"/>
          <w:color w:val="1E3A8A"/>
          <w:sz w:val="24"/>
          <w:szCs w:val="24"/>
        </w:rPr>
        <w:t>若国内已支付碳成本等于或高于欧盟 ETS 碳价，则当期应缴 CBAM 关税凭证金额为 0（零关税入欧）</w:t>
      </w:r>
      <w:r>
        <w:rPr>
          <w:rFonts w:ascii="Times New Roman" w:hAnsi="Times New Roman" w:eastAsia="宋体" w:cs="Times New Roman"/>
          <w:i w:val="0"/>
          <w:color w:val="1F2937"/>
          <w:sz w:val="24"/>
          <w:szCs w:val="24"/>
        </w:rPr>
        <w:t>。</w:t>
      </w:r>
    </w:p>
    <w:p w14:paraId="00F76F51">
      <w:pPr>
        <w:pStyle w:val="6"/>
        <w:numPr>
          <w:ilvl w:val="0"/>
          <w:numId w:val="175"/>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246638A8">
      <w:pPr>
        <w:pStyle w:val="19"/>
        <w:widowControl/>
        <w:numPr>
          <w:ilvl w:val="0"/>
          <w:numId w:val="18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碳价口径</w:t>
      </w:r>
      <w:r>
        <w:rPr>
          <w:rFonts w:ascii="Times New Roman" w:hAnsi="Times New Roman" w:eastAsia="宋体" w:cs="Times New Roman"/>
          <w:i w:val="0"/>
          <w:color w:val="1F2937"/>
          <w:sz w:val="24"/>
          <w:szCs w:val="24"/>
        </w:rPr>
        <w:t>：ETS 碳价以 EEX 官方接口最新周结算均价为准；碳价滞后超 24h 须标注时间戳。</w:t>
      </w:r>
    </w:p>
    <w:p w14:paraId="2A105093">
      <w:pPr>
        <w:pStyle w:val="19"/>
        <w:widowControl/>
        <w:numPr>
          <w:ilvl w:val="0"/>
          <w:numId w:val="18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抵扣口径</w:t>
      </w:r>
      <w:r>
        <w:rPr>
          <w:rFonts w:ascii="Times New Roman" w:hAnsi="Times New Roman" w:eastAsia="宋体" w:cs="Times New Roman"/>
          <w:i w:val="0"/>
          <w:color w:val="1F2937"/>
          <w:sz w:val="24"/>
          <w:szCs w:val="24"/>
        </w:rPr>
        <w:t>：国内已付碳成本须为可凭证明的全国碳市场配额费用或绿电附加成本。</w:t>
      </w:r>
    </w:p>
    <w:p w14:paraId="7A187377">
      <w:pPr>
        <w:pStyle w:val="19"/>
        <w:widowControl/>
        <w:numPr>
          <w:ilvl w:val="0"/>
          <w:numId w:val="18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零关税口径</w:t>
      </w:r>
      <w:r>
        <w:rPr>
          <w:rFonts w:ascii="Times New Roman" w:hAnsi="Times New Roman" w:eastAsia="宋体" w:cs="Times New Roman"/>
          <w:i w:val="0"/>
          <w:color w:val="1F2937"/>
          <w:sz w:val="24"/>
          <w:szCs w:val="24"/>
        </w:rPr>
        <w:t>：国内已付成本 ≥ 欧盟 ETS 碳价时应缴金额为 0，不允许出现负值退税。</w:t>
      </w:r>
    </w:p>
    <w:p w14:paraId="4F8EDAB7">
      <w:pPr>
        <w:pStyle w:val="19"/>
        <w:widowControl/>
        <w:numPr>
          <w:ilvl w:val="0"/>
          <w:numId w:val="18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情景口径</w:t>
      </w:r>
      <w:r>
        <w:rPr>
          <w:rFonts w:ascii="Times New Roman" w:hAnsi="Times New Roman" w:eastAsia="宋体" w:cs="Times New Roman"/>
          <w:i w:val="0"/>
          <w:color w:val="1F2937"/>
          <w:sz w:val="24"/>
          <w:szCs w:val="24"/>
        </w:rPr>
        <w:t>：情景碳价以当期价为基准按固定系数上下浮动，系数须在页面明示。</w:t>
      </w:r>
    </w:p>
    <w:p w14:paraId="2EB3DAC4">
      <w:pPr>
        <w:pStyle w:val="6"/>
        <w:numPr>
          <w:ilvl w:val="0"/>
          <w:numId w:val="175"/>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42EE2DF9">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7CA087E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ETS 碳价超 24 小时未同步：触发 </w:t>
            </w:r>
            <w:r>
              <w:rPr>
                <w:rFonts w:hint="eastAsia" w:ascii="宋体" w:hAnsi="宋体" w:eastAsia="宋体" w:cs="宋体"/>
                <w:b w:val="0"/>
                <w:i w:val="0"/>
                <w:iCs w:val="0"/>
                <w:color w:val="0284C7"/>
                <w:sz w:val="24"/>
                <w:szCs w:val="24"/>
              </w:rPr>
              <w:t xml:space="preserve"> E_EXT_ETS_PRICE_STALE </w:t>
            </w:r>
            <w:r>
              <w:rPr>
                <w:rFonts w:hint="eastAsia" w:ascii="宋体" w:hAnsi="宋体" w:eastAsia="宋体" w:cs="宋体"/>
                <w:i w:val="0"/>
                <w:iCs w:val="0"/>
                <w:color w:val="1F2937"/>
                <w:sz w:val="24"/>
                <w:szCs w:val="24"/>
              </w:rPr>
              <w:t>，界面标黄标注价格时间戳，允许基于最近有效历史均价测算。</w:t>
            </w:r>
          </w:p>
          <w:p w14:paraId="12F40854">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申报 XML 不符合欧盟 XSD 规范：触发 </w:t>
            </w:r>
            <w:r>
              <w:rPr>
                <w:rFonts w:hint="eastAsia" w:ascii="宋体" w:hAnsi="宋体" w:eastAsia="宋体" w:cs="宋体"/>
                <w:b w:val="0"/>
                <w:i w:val="0"/>
                <w:iCs w:val="0"/>
                <w:color w:val="0284C7"/>
                <w:sz w:val="24"/>
                <w:szCs w:val="24"/>
              </w:rPr>
              <w:t xml:space="preserve"> E_VAL_CBAM_SCHEMA_INVALID </w:t>
            </w:r>
            <w:r>
              <w:rPr>
                <w:rFonts w:hint="eastAsia" w:ascii="宋体" w:hAnsi="宋体" w:eastAsia="宋体" w:cs="宋体"/>
                <w:i w:val="0"/>
                <w:iCs w:val="0"/>
                <w:color w:val="1F2937"/>
                <w:sz w:val="24"/>
                <w:szCs w:val="24"/>
              </w:rPr>
              <w:t>，提示具体节点 Schema 违规信息并</w:t>
            </w:r>
            <w:r>
              <w:rPr>
                <w:rFonts w:hint="eastAsia" w:ascii="宋体" w:hAnsi="宋体" w:eastAsia="宋体" w:cs="宋体"/>
                <w:b/>
                <w:i w:val="0"/>
                <w:iCs w:val="0"/>
                <w:color w:val="1E3A8A"/>
                <w:sz w:val="24"/>
                <w:szCs w:val="24"/>
              </w:rPr>
              <w:t>阻断申报包导出出境</w:t>
            </w:r>
            <w:r>
              <w:rPr>
                <w:rFonts w:hint="eastAsia" w:ascii="宋体" w:hAnsi="宋体" w:eastAsia="宋体" w:cs="宋体"/>
                <w:i w:val="0"/>
                <w:iCs w:val="0"/>
                <w:color w:val="1F2937"/>
                <w:sz w:val="24"/>
                <w:szCs w:val="24"/>
              </w:rPr>
              <w:t>。</w:t>
            </w:r>
          </w:p>
          <w:p w14:paraId="763C6076">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无实测排放数据：可一键套用 CBAM 官方默认排放因子库估算，但须显著标注"默认值估算"。</w:t>
            </w:r>
          </w:p>
          <w:p w14:paraId="7C569547">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计算结果为负：按 0 兜底，不产生退税逻辑。</w:t>
            </w:r>
          </w:p>
          <w:p w14:paraId="63E7545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数据出境：跨境传输路径未经信息安全合规组审批前，导出功能保持关闭。</w:t>
            </w:r>
          </w:p>
        </w:tc>
      </w:tr>
    </w:tbl>
    <w:p w14:paraId="4F721D9C">
      <w:pPr>
        <w:spacing w:after="40"/>
        <w:rPr>
          <w:rFonts w:hint="eastAsia" w:ascii="宋体" w:hAnsi="宋体" w:eastAsia="宋体" w:cs="宋体"/>
          <w:i w:val="0"/>
          <w:iCs w:val="0"/>
          <w:sz w:val="24"/>
          <w:szCs w:val="24"/>
        </w:rPr>
      </w:pPr>
    </w:p>
    <w:p w14:paraId="057E6050">
      <w:pPr>
        <w:pStyle w:val="6"/>
        <w:numPr>
          <w:ilvl w:val="0"/>
          <w:numId w:val="175"/>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1B72645B">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2310A638">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CBAM 关税申报模拟器</w:t>
            </w:r>
          </w:p>
          <w:p w14:paraId="685D4F4A">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关税测算与零关税兜底</w:t>
            </w:r>
          </w:p>
          <w:p w14:paraId="4B058B5A">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某出口产品的直接排放、间接排放与出口数量均已录入</w:t>
            </w:r>
          </w:p>
          <w:p w14:paraId="2F6480F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国内已付碳成本折算价高于欧盟 ETS 当期碳价</w:t>
            </w:r>
          </w:p>
          <w:p w14:paraId="044D4B8B">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系统测算应纳 CBAM 关税</w:t>
            </w:r>
          </w:p>
          <w:p w14:paraId="0850F619">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应缴 CBAM 关税凭证金额为 0</w:t>
            </w:r>
          </w:p>
          <w:p w14:paraId="27CFF66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系统不产生负值退税逻辑</w:t>
            </w:r>
          </w:p>
          <w:p w14:paraId="7048A674">
            <w:pPr>
              <w:spacing w:before="0" w:after="20" w:line="264" w:lineRule="auto"/>
              <w:rPr>
                <w:rFonts w:hint="eastAsia" w:ascii="宋体" w:hAnsi="宋体" w:eastAsia="宋体" w:cs="宋体"/>
                <w:i w:val="0"/>
                <w:iCs w:val="0"/>
                <w:sz w:val="24"/>
                <w:szCs w:val="24"/>
              </w:rPr>
            </w:pPr>
          </w:p>
          <w:p w14:paraId="2E58E7AB">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碳价滞后的客观提示</w:t>
            </w:r>
          </w:p>
          <w:p w14:paraId="0E15E1CC">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欧洲能源交易所 ETS 价格超过 24 小时未同步</w:t>
            </w:r>
          </w:p>
          <w:p w14:paraId="2E78AA9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用户发起关税测算</w:t>
            </w:r>
          </w:p>
          <w:p w14:paraId="18CE2B83">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结果上方以黄色提示框标注碳价滞后与价格时间戳</w:t>
            </w:r>
          </w:p>
          <w:p w14:paraId="7B4A73BA">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允许用户基于最近有效历史均价继续测算</w:t>
            </w:r>
          </w:p>
          <w:p w14:paraId="77FA7DC1">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返回 E_EXT_ETS_PRICE_STALE</w:t>
            </w:r>
          </w:p>
          <w:p w14:paraId="41026103">
            <w:pPr>
              <w:spacing w:before="0" w:after="20" w:line="264" w:lineRule="auto"/>
              <w:rPr>
                <w:rFonts w:hint="eastAsia" w:ascii="宋体" w:hAnsi="宋体" w:eastAsia="宋体" w:cs="宋体"/>
                <w:i w:val="0"/>
                <w:iCs w:val="0"/>
                <w:sz w:val="24"/>
                <w:szCs w:val="24"/>
              </w:rPr>
            </w:pPr>
          </w:p>
          <w:p w14:paraId="5649A274">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申报包 Schema 校验阻断</w:t>
            </w:r>
          </w:p>
          <w:p w14:paraId="38BA3BEC">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生成的 XML 申报包存在节点不符合欧盟 XSD 规范</w:t>
            </w:r>
          </w:p>
          <w:p w14:paraId="51650723">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用户尝试导出申报包</w:t>
            </w:r>
          </w:p>
          <w:p w14:paraId="78EB4D46">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系统返回 E_VAL_CBAM_SCHEMA_INVALID 并列出具体违规节点</w:t>
            </w:r>
          </w:p>
          <w:p w14:paraId="1E5B9C53">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阻断申报包导出出境</w:t>
            </w:r>
          </w:p>
          <w:p w14:paraId="6850254C">
            <w:pPr>
              <w:spacing w:before="0" w:after="20" w:line="264" w:lineRule="auto"/>
              <w:rPr>
                <w:rFonts w:hint="eastAsia" w:ascii="宋体" w:hAnsi="宋体" w:eastAsia="宋体" w:cs="宋体"/>
                <w:i w:val="0"/>
                <w:iCs w:val="0"/>
                <w:sz w:val="24"/>
                <w:szCs w:val="24"/>
              </w:rPr>
            </w:pPr>
          </w:p>
          <w:p w14:paraId="32C4EADE">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多情景碳价对比</w:t>
            </w:r>
          </w:p>
          <w:p w14:paraId="0819FB1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欧盟当期碳价为 P</w:t>
            </w:r>
          </w:p>
          <w:p w14:paraId="7E148C27">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系统测算乐观、基准、悲观三情景关税成本</w:t>
            </w:r>
          </w:p>
          <w:p w14:paraId="4D1037AF">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三情景碳价分别为 P×0.85、P、P×1.15</w:t>
            </w:r>
          </w:p>
          <w:p w14:paraId="721350AE">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页面以对比表呈现三种情景下的关税成本差额</w:t>
            </w:r>
          </w:p>
        </w:tc>
      </w:tr>
    </w:tbl>
    <w:p w14:paraId="22AD017B">
      <w:pPr>
        <w:spacing w:after="40"/>
        <w:rPr>
          <w:rFonts w:hint="eastAsia" w:ascii="宋体" w:hAnsi="宋体" w:eastAsia="宋体" w:cs="宋体"/>
          <w:i w:val="0"/>
          <w:iCs w:val="0"/>
          <w:sz w:val="24"/>
          <w:szCs w:val="24"/>
        </w:rPr>
      </w:pPr>
    </w:p>
    <w:p w14:paraId="452F02D7">
      <w:pPr>
        <w:pStyle w:val="5"/>
        <w:numPr>
          <w:ilvl w:val="0"/>
          <w:numId w:val="169"/>
        </w:numPr>
        <w:ind w:left="0" w:leftChars="0" w:firstLine="0" w:firstLineChars="0"/>
        <w:outlineLvl w:val="1"/>
        <w:rPr>
          <w:rFonts w:eastAsia="黑体"/>
          <w:b w:val="0"/>
          <w:bCs w:val="0"/>
          <w:sz w:val="30"/>
          <w:szCs w:val="24"/>
        </w:rPr>
      </w:pPr>
      <w:bookmarkStart w:id="52" w:name="_Toc28246"/>
      <w:r>
        <w:rPr>
          <w:rFonts w:ascii="Times New Roman" w:hAnsi="Times New Roman" w:eastAsia="黑体" w:cs="Times New Roman"/>
          <w:b w:val="0"/>
          <w:bCs w:val="0"/>
          <w:sz w:val="30"/>
          <w:szCs w:val="24"/>
        </w:rPr>
        <w:t>知识库</w:t>
      </w:r>
      <w:bookmarkEnd w:id="52"/>
    </w:p>
    <w:p w14:paraId="0670009D">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drawing>
          <wp:inline distT="0" distB="0" distL="114300" distR="114300">
            <wp:extent cx="5900420" cy="2925445"/>
            <wp:effectExtent l="0" t="0" r="5080" b="8255"/>
            <wp:docPr id="73"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29"/>
                    <pic:cNvPicPr>
                      <a:picLocks noChangeAspect="1"/>
                    </pic:cNvPicPr>
                  </pic:nvPicPr>
                  <pic:blipFill>
                    <a:blip r:embed="rId87"/>
                    <a:stretch>
                      <a:fillRect/>
                    </a:stretch>
                  </pic:blipFill>
                  <pic:spPr>
                    <a:xfrm>
                      <a:off x="0" y="0"/>
                      <a:ext cx="5900420" cy="2925445"/>
                    </a:xfrm>
                    <a:prstGeom prst="rect">
                      <a:avLst/>
                    </a:prstGeom>
                    <a:noFill/>
                    <a:ln>
                      <a:noFill/>
                    </a:ln>
                  </pic:spPr>
                </pic:pic>
              </a:graphicData>
            </a:graphic>
          </wp:inline>
        </w:drawing>
      </w:r>
    </w:p>
    <w:p w14:paraId="0C78B61B">
      <w:pPr>
        <w:pStyle w:val="6"/>
        <w:numPr>
          <w:ilvl w:val="0"/>
          <w:numId w:val="181"/>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695E1F79">
      <w:pPr>
        <w:pStyle w:val="19"/>
        <w:widowControl/>
        <w:numPr>
          <w:ilvl w:val="0"/>
          <w:numId w:val="18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：集中收录欧盟委员会官方最新发布的行业填报指引、默认值清单、过渡期质询问答库与豁免条款法规释义，实现法规知识的版本化管理。</w:t>
      </w:r>
    </w:p>
    <w:p w14:paraId="78005D13">
      <w:pPr>
        <w:pStyle w:val="19"/>
        <w:widowControl/>
        <w:numPr>
          <w:ilvl w:val="0"/>
          <w:numId w:val="18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：P5 报关与关税专家、P4 碳核算工程师。</w:t>
      </w:r>
    </w:p>
    <w:p w14:paraId="079D3975">
      <w:pPr>
        <w:pStyle w:val="19"/>
        <w:widowControl/>
        <w:numPr>
          <w:ilvl w:val="0"/>
          <w:numId w:val="18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w:t>
      </w:r>
      <w:r>
        <w:rPr>
          <w:rFonts w:ascii="Times New Roman" w:hAnsi="Times New Roman" w:eastAsia="宋体" w:cs="Times New Roman"/>
          <w:b w:val="0"/>
          <w:i w:val="0"/>
          <w:color w:val="0284C7"/>
          <w:sz w:val="24"/>
          <w:szCs w:val="24"/>
        </w:rPr>
        <w:t xml:space="preserve"> /carbon-footprint/cbam/knowledge </w:t>
      </w:r>
      <w:r>
        <w:rPr>
          <w:rFonts w:ascii="Times New Roman" w:hAnsi="Times New Roman" w:eastAsia="宋体" w:cs="Times New Roman"/>
          <w:i w:val="0"/>
          <w:color w:val="1F2937"/>
          <w:sz w:val="24"/>
          <w:szCs w:val="24"/>
        </w:rPr>
        <w:t>。</w:t>
      </w:r>
    </w:p>
    <w:p w14:paraId="000C59EC">
      <w:pPr>
        <w:pStyle w:val="19"/>
        <w:widowControl/>
        <w:numPr>
          <w:ilvl w:val="0"/>
          <w:numId w:val="18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：欧盟委员会官方发布源、CBAM 法规文本。</w:t>
      </w:r>
    </w:p>
    <w:p w14:paraId="180BF1CE">
      <w:pPr>
        <w:pStyle w:val="19"/>
        <w:widowControl/>
        <w:numPr>
          <w:ilvl w:val="0"/>
          <w:numId w:val="182"/>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：申报核算的规则依据、默认值库引用来源。</w:t>
      </w:r>
    </w:p>
    <w:p w14:paraId="1824E87C">
      <w:pPr>
        <w:pStyle w:val="6"/>
        <w:numPr>
          <w:ilvl w:val="0"/>
          <w:numId w:val="181"/>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3C73F198">
      <w:pPr>
        <w:pStyle w:val="19"/>
        <w:widowControl/>
        <w:numPr>
          <w:ilvl w:val="0"/>
          <w:numId w:val="18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：CBAM 过渡期政策频繁更新，报关专家需快速定位最新适用的填报口径与默认值清单。</w:t>
      </w:r>
    </w:p>
    <w:p w14:paraId="7C031BAE">
      <w:pPr>
        <w:pStyle w:val="19"/>
        <w:widowControl/>
        <w:numPr>
          <w:ilvl w:val="0"/>
          <w:numId w:val="183"/>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2E142F32">
      <w:pPr>
        <w:pStyle w:val="19"/>
        <w:widowControl/>
        <w:numPr>
          <w:ilvl w:val="0"/>
          <w:numId w:val="183"/>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As a </w:t>
      </w:r>
      <w:r>
        <w:rPr>
          <w:rFonts w:ascii="Times New Roman" w:hAnsi="Times New Roman" w:eastAsia="宋体" w:cs="Times New Roman"/>
          <w:b/>
          <w:i w:val="0"/>
          <w:color w:val="1E3A8A"/>
          <w:sz w:val="24"/>
          <w:szCs w:val="24"/>
        </w:rPr>
        <w:t>国际贸易与关税专家 (Persona P5)</w:t>
      </w:r>
      <w:r>
        <w:rPr>
          <w:rFonts w:ascii="Times New Roman" w:hAnsi="Times New Roman" w:eastAsia="宋体" w:cs="Times New Roman"/>
          <w:i w:val="0"/>
          <w:color w:val="1F2937"/>
          <w:sz w:val="24"/>
          <w:szCs w:val="24"/>
        </w:rPr>
        <w:t>，</w:t>
      </w:r>
    </w:p>
    <w:p w14:paraId="6C1C02C3">
      <w:pPr>
        <w:pStyle w:val="19"/>
        <w:widowControl/>
        <w:numPr>
          <w:ilvl w:val="0"/>
          <w:numId w:val="183"/>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I want </w:t>
      </w:r>
      <w:r>
        <w:rPr>
          <w:rFonts w:ascii="Times New Roman" w:hAnsi="Times New Roman" w:eastAsia="宋体" w:cs="Times New Roman"/>
          <w:b/>
          <w:i w:val="0"/>
          <w:color w:val="1E3A8A"/>
          <w:sz w:val="24"/>
          <w:szCs w:val="24"/>
        </w:rPr>
        <w:t>按生效日期检索官方填报指引、默认值清单与豁免条款，并查看历史版本对照</w:t>
      </w:r>
      <w:r>
        <w:rPr>
          <w:rFonts w:ascii="Times New Roman" w:hAnsi="Times New Roman" w:eastAsia="宋体" w:cs="Times New Roman"/>
          <w:i w:val="0"/>
          <w:color w:val="1F2937"/>
          <w:sz w:val="24"/>
          <w:szCs w:val="24"/>
        </w:rPr>
        <w:t>，</w:t>
      </w:r>
    </w:p>
    <w:p w14:paraId="6CE8F032">
      <w:pPr>
        <w:pStyle w:val="19"/>
        <w:widowControl/>
        <w:numPr>
          <w:ilvl w:val="0"/>
          <w:numId w:val="183"/>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 xml:space="preserve">So that </w:t>
      </w:r>
      <w:r>
        <w:rPr>
          <w:rFonts w:ascii="Times New Roman" w:hAnsi="Times New Roman" w:eastAsia="宋体" w:cs="Times New Roman"/>
          <w:b/>
          <w:i w:val="0"/>
          <w:color w:val="1E3A8A"/>
          <w:sz w:val="24"/>
          <w:szCs w:val="24"/>
        </w:rPr>
        <w:t>我能确保每次申报都依据当时生效的官方规则</w:t>
      </w:r>
      <w:r>
        <w:rPr>
          <w:rFonts w:ascii="Times New Roman" w:hAnsi="Times New Roman" w:eastAsia="宋体" w:cs="Times New Roman"/>
          <w:i w:val="0"/>
          <w:color w:val="1F2937"/>
          <w:sz w:val="24"/>
          <w:szCs w:val="24"/>
        </w:rPr>
        <w:t>。</w:t>
      </w:r>
    </w:p>
    <w:p w14:paraId="575162D8">
      <w:pPr>
        <w:pStyle w:val="6"/>
        <w:numPr>
          <w:ilvl w:val="0"/>
          <w:numId w:val="181"/>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6E95BABA">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知识库结构与版本化：</w:t>
      </w:r>
    </w:p>
    <w:p w14:paraId="0DCEE4A4">
      <w:pPr>
        <w:pStyle w:val="19"/>
        <w:widowControl/>
        <w:numPr>
          <w:ilvl w:val="0"/>
          <w:numId w:val="18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内容分类</w:t>
      </w:r>
      <w:r>
        <w:rPr>
          <w:rFonts w:ascii="Times New Roman" w:hAnsi="Times New Roman" w:eastAsia="宋体" w:cs="Times New Roman"/>
          <w:i w:val="0"/>
          <w:color w:val="1F2937"/>
          <w:sz w:val="24"/>
          <w:szCs w:val="24"/>
        </w:rPr>
        <w:t>：欧盟委员会官方行业填报指引、默认值清单、过渡期质询问答库、豁免条款与法规释义。</w:t>
      </w:r>
    </w:p>
    <w:p w14:paraId="4EE32120">
      <w:pPr>
        <w:pStyle w:val="19"/>
        <w:widowControl/>
        <w:numPr>
          <w:ilvl w:val="0"/>
          <w:numId w:val="18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版本化</w:t>
      </w:r>
      <w:r>
        <w:rPr>
          <w:rFonts w:ascii="Times New Roman" w:hAnsi="Times New Roman" w:eastAsia="宋体" w:cs="Times New Roman"/>
          <w:i w:val="0"/>
          <w:color w:val="1F2937"/>
          <w:sz w:val="24"/>
          <w:szCs w:val="24"/>
        </w:rPr>
        <w:t>：法规与默认值按生效日期版本化管理，历史版本可查、变更留痕。</w:t>
      </w:r>
    </w:p>
    <w:p w14:paraId="200C3750">
      <w:pPr>
        <w:pStyle w:val="19"/>
        <w:widowControl/>
        <w:numPr>
          <w:ilvl w:val="0"/>
          <w:numId w:val="18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更新订阅机制</w:t>
      </w:r>
      <w:r>
        <w:rPr>
          <w:rFonts w:ascii="Times New Roman" w:hAnsi="Times New Roman" w:eastAsia="宋体" w:cs="Times New Roman"/>
          <w:i w:val="0"/>
          <w:color w:val="1F2937"/>
          <w:sz w:val="24"/>
          <w:szCs w:val="24"/>
        </w:rPr>
        <w:t>：对接官方发布源（国家发展改革委、生态环境部、欧盟 CBAM 门户、ISO 标准发布页）按周轮询比对新版本，命中更新时自动生成因子库「待审」版本并推送 P4 复核，同步频率为每 7 日一次。</w:t>
      </w:r>
    </w:p>
    <w:p w14:paraId="073A8082">
      <w:pPr>
        <w:pStyle w:val="19"/>
        <w:widowControl/>
        <w:numPr>
          <w:ilvl w:val="0"/>
          <w:numId w:val="18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检索</w:t>
      </w:r>
      <w:r>
        <w:rPr>
          <w:rFonts w:ascii="Times New Roman" w:hAnsi="Times New Roman" w:eastAsia="宋体" w:cs="Times New Roman"/>
          <w:i w:val="0"/>
          <w:color w:val="1F2937"/>
          <w:sz w:val="24"/>
          <w:szCs w:val="24"/>
        </w:rPr>
        <w:t>：支持按关键词、税号、生效日期范围、内容分类多维检索。</w:t>
      </w:r>
    </w:p>
    <w:p w14:paraId="7D13111E">
      <w:pPr>
        <w:pStyle w:val="19"/>
        <w:widowControl/>
        <w:numPr>
          <w:ilvl w:val="0"/>
          <w:numId w:val="18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版本对照</w:t>
      </w:r>
      <w:r>
        <w:rPr>
          <w:rFonts w:ascii="Times New Roman" w:hAnsi="Times New Roman" w:eastAsia="宋体" w:cs="Times New Roman"/>
          <w:i w:val="0"/>
          <w:color w:val="1F2937"/>
          <w:sz w:val="24"/>
          <w:szCs w:val="24"/>
        </w:rPr>
        <w:t>：支持两版本并排对照查看差异段落。</w:t>
      </w:r>
    </w:p>
    <w:p w14:paraId="3C2303E7">
      <w:pPr>
        <w:pStyle w:val="6"/>
        <w:numPr>
          <w:ilvl w:val="0"/>
          <w:numId w:val="181"/>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903"/>
        <w:gridCol w:w="1864"/>
        <w:gridCol w:w="1820"/>
        <w:gridCol w:w="1193"/>
        <w:gridCol w:w="4004"/>
      </w:tblGrid>
      <w:tr w14:paraId="0DB2E276">
        <w:tblPrEx>
          <w:tblCellMar>
            <w:top w:w="0" w:type="dxa"/>
            <w:left w:w="108" w:type="dxa"/>
            <w:bottom w:w="0" w:type="dxa"/>
            <w:right w:w="108" w:type="dxa"/>
          </w:tblCellMar>
        </w:tblPrEx>
        <w:trPr>
          <w:jc w:val="center"/>
        </w:trPr>
        <w:tc>
          <w:tcPr>
            <w:tcW w:w="90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E3B43A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186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540F0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82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780234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6D4773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400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2DB44F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531800EF">
        <w:tblPrEx>
          <w:tblCellMar>
            <w:top w:w="0" w:type="dxa"/>
            <w:left w:w="108" w:type="dxa"/>
            <w:bottom w:w="0" w:type="dxa"/>
            <w:right w:w="108" w:type="dxa"/>
          </w:tblCellMar>
        </w:tblPrEx>
        <w:trPr>
          <w:jc w:val="center"/>
        </w:trPr>
        <w:tc>
          <w:tcPr>
            <w:tcW w:w="90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39A036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18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B849E1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文档编号</w:t>
            </w:r>
          </w:p>
        </w:tc>
        <w:tc>
          <w:tcPr>
            <w:tcW w:w="182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B1B33B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00B3AD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00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907B44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唯一主键</w:t>
            </w:r>
          </w:p>
        </w:tc>
      </w:tr>
      <w:tr w14:paraId="4DC98FFA">
        <w:tblPrEx>
          <w:tblCellMar>
            <w:top w:w="0" w:type="dxa"/>
            <w:left w:w="108" w:type="dxa"/>
            <w:bottom w:w="0" w:type="dxa"/>
            <w:right w:w="108" w:type="dxa"/>
          </w:tblCellMar>
        </w:tblPrEx>
        <w:trPr>
          <w:jc w:val="center"/>
        </w:trPr>
        <w:tc>
          <w:tcPr>
            <w:tcW w:w="90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E9125C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18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3F0811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文档标题</w:t>
            </w:r>
          </w:p>
        </w:tc>
        <w:tc>
          <w:tcPr>
            <w:tcW w:w="182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88AAE4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EFBADB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00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BFE46A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非空，最长 256 字符</w:t>
            </w:r>
          </w:p>
        </w:tc>
      </w:tr>
      <w:tr w14:paraId="5F3A5195">
        <w:tblPrEx>
          <w:tblCellMar>
            <w:top w:w="0" w:type="dxa"/>
            <w:left w:w="108" w:type="dxa"/>
            <w:bottom w:w="0" w:type="dxa"/>
            <w:right w:w="108" w:type="dxa"/>
          </w:tblCellMar>
        </w:tblPrEx>
        <w:trPr>
          <w:jc w:val="center"/>
        </w:trPr>
        <w:tc>
          <w:tcPr>
            <w:tcW w:w="90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90DAEC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18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8814EE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内容分类</w:t>
            </w:r>
          </w:p>
        </w:tc>
        <w:tc>
          <w:tcPr>
            <w:tcW w:w="182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99032C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E50529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00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E25A5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填报指引 / 默认值清单 / 质询问答 / 豁免条款</w:t>
            </w:r>
          </w:p>
        </w:tc>
      </w:tr>
      <w:tr w14:paraId="2E81D83B">
        <w:tblPrEx>
          <w:tblCellMar>
            <w:top w:w="0" w:type="dxa"/>
            <w:left w:w="108" w:type="dxa"/>
            <w:bottom w:w="0" w:type="dxa"/>
            <w:right w:w="108" w:type="dxa"/>
          </w:tblCellMar>
        </w:tblPrEx>
        <w:trPr>
          <w:jc w:val="center"/>
        </w:trPr>
        <w:tc>
          <w:tcPr>
            <w:tcW w:w="90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9F50B0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18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96138A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适用税号</w:t>
            </w:r>
          </w:p>
        </w:tc>
        <w:tc>
          <w:tcPr>
            <w:tcW w:w="182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449663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591162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00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579F1C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可为空表示通用</w:t>
            </w:r>
          </w:p>
        </w:tc>
      </w:tr>
      <w:tr w14:paraId="796E54FC">
        <w:tblPrEx>
          <w:tblCellMar>
            <w:top w:w="0" w:type="dxa"/>
            <w:left w:w="108" w:type="dxa"/>
            <w:bottom w:w="0" w:type="dxa"/>
            <w:right w:w="108" w:type="dxa"/>
          </w:tblCellMar>
        </w:tblPrEx>
        <w:trPr>
          <w:jc w:val="center"/>
        </w:trPr>
        <w:tc>
          <w:tcPr>
            <w:tcW w:w="90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526C73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18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A661F7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版本号</w:t>
            </w:r>
          </w:p>
        </w:tc>
        <w:tc>
          <w:tcPr>
            <w:tcW w:w="182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1D832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8E3B60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00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7A555D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唯一，按生效日期递增</w:t>
            </w:r>
          </w:p>
        </w:tc>
      </w:tr>
      <w:tr w14:paraId="5806FE56">
        <w:tblPrEx>
          <w:tblCellMar>
            <w:top w:w="0" w:type="dxa"/>
            <w:left w:w="108" w:type="dxa"/>
            <w:bottom w:w="0" w:type="dxa"/>
            <w:right w:w="108" w:type="dxa"/>
          </w:tblCellMar>
        </w:tblPrEx>
        <w:trPr>
          <w:jc w:val="center"/>
        </w:trPr>
        <w:tc>
          <w:tcPr>
            <w:tcW w:w="90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CA8BB1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18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243AF0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生效开始日期</w:t>
            </w:r>
          </w:p>
        </w:tc>
        <w:tc>
          <w:tcPr>
            <w:tcW w:w="182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F52FAE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Date</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876973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YYYY-MM-DD</w:t>
            </w:r>
          </w:p>
        </w:tc>
        <w:tc>
          <w:tcPr>
            <w:tcW w:w="400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992230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w:t>
            </w:r>
          </w:p>
        </w:tc>
      </w:tr>
      <w:tr w14:paraId="0AFD2664">
        <w:tblPrEx>
          <w:tblCellMar>
            <w:top w:w="0" w:type="dxa"/>
            <w:left w:w="108" w:type="dxa"/>
            <w:bottom w:w="0" w:type="dxa"/>
            <w:right w:w="108" w:type="dxa"/>
          </w:tblCellMar>
        </w:tblPrEx>
        <w:trPr>
          <w:jc w:val="center"/>
        </w:trPr>
        <w:tc>
          <w:tcPr>
            <w:tcW w:w="90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BFC922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18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88ECDB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生效结束日期</w:t>
            </w:r>
          </w:p>
        </w:tc>
        <w:tc>
          <w:tcPr>
            <w:tcW w:w="182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8308F5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Date</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6635C1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YYYY-MM-DD</w:t>
            </w:r>
          </w:p>
        </w:tc>
        <w:tc>
          <w:tcPr>
            <w:tcW w:w="400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62A66D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可空表示当前有效</w:t>
            </w:r>
          </w:p>
        </w:tc>
      </w:tr>
      <w:tr w14:paraId="29C929E5">
        <w:tblPrEx>
          <w:tblCellMar>
            <w:top w:w="0" w:type="dxa"/>
            <w:left w:w="108" w:type="dxa"/>
            <w:bottom w:w="0" w:type="dxa"/>
            <w:right w:w="108" w:type="dxa"/>
          </w:tblCellMar>
        </w:tblPrEx>
        <w:trPr>
          <w:jc w:val="center"/>
        </w:trPr>
        <w:tc>
          <w:tcPr>
            <w:tcW w:w="90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391D0A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18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243FD7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法规原文附件</w:t>
            </w:r>
          </w:p>
        </w:tc>
        <w:tc>
          <w:tcPr>
            <w:tcW w:w="182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F6ADBC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File</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7C5945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00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48FBC0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PDF，单个不超过 30MB</w:t>
            </w:r>
          </w:p>
        </w:tc>
      </w:tr>
      <w:tr w14:paraId="0D04DB81">
        <w:tblPrEx>
          <w:tblCellMar>
            <w:top w:w="0" w:type="dxa"/>
            <w:left w:w="108" w:type="dxa"/>
            <w:bottom w:w="0" w:type="dxa"/>
            <w:right w:w="108" w:type="dxa"/>
          </w:tblCellMar>
        </w:tblPrEx>
        <w:trPr>
          <w:jc w:val="center"/>
        </w:trPr>
        <w:tc>
          <w:tcPr>
            <w:tcW w:w="90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67ADFD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18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122B23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录入人 / 录入时间</w:t>
            </w:r>
          </w:p>
        </w:tc>
        <w:tc>
          <w:tcPr>
            <w:tcW w:w="182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9203F3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 / DateTime</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8D8C7F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00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D443C6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系统自动记录</w:t>
            </w:r>
          </w:p>
        </w:tc>
      </w:tr>
      <w:tr w14:paraId="7C1E80C4">
        <w:tblPrEx>
          <w:tblCellMar>
            <w:top w:w="0" w:type="dxa"/>
            <w:left w:w="108" w:type="dxa"/>
            <w:bottom w:w="0" w:type="dxa"/>
            <w:right w:w="108" w:type="dxa"/>
          </w:tblCellMar>
        </w:tblPrEx>
        <w:trPr>
          <w:jc w:val="center"/>
        </w:trPr>
        <w:tc>
          <w:tcPr>
            <w:tcW w:w="90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2A1D58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18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8DE317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引用状态</w:t>
            </w:r>
          </w:p>
        </w:tc>
        <w:tc>
          <w:tcPr>
            <w:tcW w:w="182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46DCC5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19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D3AAE6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00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4B98AC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生效中 / 历史版本 / 已废止</w:t>
            </w:r>
          </w:p>
        </w:tc>
      </w:tr>
    </w:tbl>
    <w:p w14:paraId="0368285C">
      <w:pPr>
        <w:spacing w:after="60"/>
        <w:rPr>
          <w:rFonts w:hint="eastAsia" w:ascii="宋体" w:hAnsi="宋体" w:eastAsia="宋体" w:cs="宋体"/>
          <w:i w:val="0"/>
          <w:iCs w:val="0"/>
          <w:sz w:val="24"/>
          <w:szCs w:val="24"/>
        </w:rPr>
      </w:pPr>
    </w:p>
    <w:p w14:paraId="0320C0FB">
      <w:pPr>
        <w:pStyle w:val="6"/>
        <w:numPr>
          <w:ilvl w:val="0"/>
          <w:numId w:val="181"/>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6F5D657A">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721E4A28">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Version_active = { doc ∣ today ∈ [ effective_from, effective_to ] }   当前生效版本集合</w:t>
            </w:r>
          </w:p>
          <w:p w14:paraId="65EB1653">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Match = FILTER( Docs, keyword ∧ CN_Code ∧ Date_Range )         多维检索命中</w:t>
            </w:r>
          </w:p>
          <w:p w14:paraId="780BF6B4">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Diff = COMPARE( Doc_v1, Doc_v2 )                                 版本差异对照</w:t>
            </w:r>
          </w:p>
        </w:tc>
      </w:tr>
    </w:tbl>
    <w:p w14:paraId="2C3008D2">
      <w:pPr>
        <w:spacing w:after="40"/>
        <w:rPr>
          <w:rFonts w:hint="eastAsia" w:ascii="宋体" w:hAnsi="宋体" w:eastAsia="宋体" w:cs="宋体"/>
          <w:i w:val="0"/>
          <w:iCs w:val="0"/>
          <w:sz w:val="24"/>
          <w:szCs w:val="24"/>
        </w:rPr>
      </w:pPr>
    </w:p>
    <w:p w14:paraId="586610BD">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 版本生效区间有序且不可重叠；申报核算默认引用当前生效版本，历史版本仅供追溯。</w:t>
      </w:r>
    </w:p>
    <w:p w14:paraId="699E9769">
      <w:pPr>
        <w:pStyle w:val="6"/>
        <w:numPr>
          <w:ilvl w:val="0"/>
          <w:numId w:val="181"/>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4D64BC9D">
      <w:pPr>
        <w:pStyle w:val="19"/>
        <w:widowControl/>
        <w:numPr>
          <w:ilvl w:val="0"/>
          <w:numId w:val="18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版本口径</w:t>
      </w:r>
      <w:r>
        <w:rPr>
          <w:rFonts w:ascii="Times New Roman" w:hAnsi="Times New Roman" w:eastAsia="宋体" w:cs="Times New Roman"/>
          <w:i w:val="0"/>
          <w:color w:val="1F2937"/>
          <w:sz w:val="24"/>
          <w:szCs w:val="24"/>
        </w:rPr>
        <w:t>：申报核算默认引用当前生效版本，可手动指定历史版本做追溯核验。</w:t>
      </w:r>
    </w:p>
    <w:p w14:paraId="38C5CAC7">
      <w:pPr>
        <w:pStyle w:val="19"/>
        <w:widowControl/>
        <w:numPr>
          <w:ilvl w:val="0"/>
          <w:numId w:val="18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变更口径</w:t>
      </w:r>
      <w:r>
        <w:rPr>
          <w:rFonts w:ascii="Times New Roman" w:hAnsi="Times New Roman" w:eastAsia="宋体" w:cs="Times New Roman"/>
          <w:i w:val="0"/>
          <w:color w:val="1F2937"/>
          <w:sz w:val="24"/>
          <w:szCs w:val="24"/>
        </w:rPr>
        <w:t>：法规与默认值变更全程留痕，可追溯变更内容、时间与录入人。</w:t>
      </w:r>
    </w:p>
    <w:p w14:paraId="3164D39D">
      <w:pPr>
        <w:pStyle w:val="19"/>
        <w:widowControl/>
        <w:numPr>
          <w:ilvl w:val="0"/>
          <w:numId w:val="18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引用口径</w:t>
      </w:r>
      <w:r>
        <w:rPr>
          <w:rFonts w:ascii="Times New Roman" w:hAnsi="Times New Roman" w:eastAsia="宋体" w:cs="Times New Roman"/>
          <w:i w:val="0"/>
          <w:color w:val="1F2937"/>
          <w:sz w:val="24"/>
          <w:szCs w:val="24"/>
        </w:rPr>
        <w:t>：知识库条目被核算引擎引用时记录引用日志，保证口径可追溯。</w:t>
      </w:r>
    </w:p>
    <w:p w14:paraId="1DF42277">
      <w:pPr>
        <w:pStyle w:val="6"/>
        <w:numPr>
          <w:ilvl w:val="0"/>
          <w:numId w:val="181"/>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5A46CE7F">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56F56663">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版本生效区间重叠：前端即时拦截并阻断保存。</w:t>
            </w:r>
          </w:p>
          <w:p w14:paraId="7F45C35C">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无当前生效版本：核算引擎提示"适用法规版本缺失"，阻断使用默认值。</w:t>
            </w:r>
          </w:p>
          <w:p w14:paraId="010EDD3D">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附件超限或格式不符：上传即时拒绝。</w:t>
            </w:r>
          </w:p>
          <w:p w14:paraId="1CE88DAD">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已废止版本被引用：标注"已废止法规"并提示核对最新版本。</w:t>
            </w:r>
          </w:p>
        </w:tc>
      </w:tr>
    </w:tbl>
    <w:p w14:paraId="6ABDADC5">
      <w:pPr>
        <w:spacing w:after="40"/>
        <w:rPr>
          <w:rFonts w:hint="eastAsia" w:ascii="宋体" w:hAnsi="宋体" w:eastAsia="宋体" w:cs="宋体"/>
          <w:i w:val="0"/>
          <w:iCs w:val="0"/>
          <w:sz w:val="24"/>
          <w:szCs w:val="24"/>
        </w:rPr>
      </w:pPr>
    </w:p>
    <w:p w14:paraId="51F08793">
      <w:pPr>
        <w:pStyle w:val="6"/>
        <w:numPr>
          <w:ilvl w:val="0"/>
          <w:numId w:val="181"/>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21252E6B">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2FE9A26F">
            <w:pPr>
              <w:spacing w:before="0" w:after="4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Feature: CBAM 法规知识库版本化管理</w:t>
            </w:r>
          </w:p>
          <w:p w14:paraId="7FBFEA22">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版本生效区间不可重叠</w:t>
            </w:r>
          </w:p>
          <w:p w14:paraId="1FD36AFA">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某填报指引已存在生效区间为 2026-01-01 至 2026-12-31 的版本</w:t>
            </w:r>
          </w:p>
          <w:p w14:paraId="3E9B7BEF">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录入人员新增一个生效开始日期落在该区间内的版本</w:t>
            </w:r>
          </w:p>
          <w:p w14:paraId="1D06E69D">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前端即时拦截并阻断保存</w:t>
            </w:r>
          </w:p>
          <w:p w14:paraId="19462C2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页面提示版本生效区间不可重叠</w:t>
            </w:r>
          </w:p>
          <w:p w14:paraId="00CA6302">
            <w:pPr>
              <w:spacing w:before="0" w:after="20" w:line="264" w:lineRule="auto"/>
              <w:rPr>
                <w:rFonts w:hint="eastAsia" w:ascii="宋体" w:hAnsi="宋体" w:eastAsia="宋体" w:cs="宋体"/>
                <w:i w:val="0"/>
                <w:iCs w:val="0"/>
                <w:sz w:val="24"/>
                <w:szCs w:val="24"/>
              </w:rPr>
            </w:pPr>
          </w:p>
          <w:p w14:paraId="0C4A46BC">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多维检索命中</w:t>
            </w:r>
          </w:p>
          <w:p w14:paraId="432680C4">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知识库中存在多条适用不同税号的法规文档</w:t>
            </w:r>
          </w:p>
          <w:p w14:paraId="29B9A886">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P5 按关键词与 CN 税号 85042100 组合检索</w:t>
            </w:r>
          </w:p>
          <w:p w14:paraId="7E287A1F">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仅返回适用该税号的文档</w:t>
            </w:r>
          </w:p>
          <w:p w14:paraId="3DB5BF3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结果按生效日期倒序排列</w:t>
            </w:r>
          </w:p>
          <w:p w14:paraId="3FB7C0FB">
            <w:pPr>
              <w:spacing w:before="0" w:after="20" w:line="264" w:lineRule="auto"/>
              <w:rPr>
                <w:rFonts w:hint="eastAsia" w:ascii="宋体" w:hAnsi="宋体" w:eastAsia="宋体" w:cs="宋体"/>
                <w:i w:val="0"/>
                <w:iCs w:val="0"/>
                <w:sz w:val="24"/>
                <w:szCs w:val="24"/>
              </w:rPr>
            </w:pPr>
          </w:p>
          <w:p w14:paraId="0482ADEA">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版本差异对照</w:t>
            </w:r>
          </w:p>
          <w:p w14:paraId="038F68CD">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Given 某默认值清单存在 v2026.1 与 v2026.2 两个版本</w:t>
            </w:r>
          </w:p>
          <w:p w14:paraId="6CBC7570">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When 用户选择两版本进行对照</w:t>
            </w:r>
          </w:p>
          <w:p w14:paraId="3492273C">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16A34A"/>
                <w:sz w:val="24"/>
                <w:szCs w:val="24"/>
              </w:rPr>
              <w:t xml:space="preserve">    Then 并排呈现差异段落并高亮变更内容</w:t>
            </w:r>
          </w:p>
          <w:p w14:paraId="57F59532">
            <w:pPr>
              <w:spacing w:before="0" w:after="20" w:line="264"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    And 变更内容标注对应的生效日期</w:t>
            </w:r>
          </w:p>
        </w:tc>
      </w:tr>
    </w:tbl>
    <w:p w14:paraId="111CC11B">
      <w:pPr>
        <w:spacing w:after="40"/>
        <w:rPr>
          <w:rFonts w:hint="eastAsia" w:ascii="宋体" w:hAnsi="宋体" w:eastAsia="宋体" w:cs="宋体"/>
          <w:i w:val="0"/>
          <w:iCs w:val="0"/>
          <w:sz w:val="24"/>
          <w:szCs w:val="24"/>
        </w:rPr>
      </w:pPr>
    </w:p>
    <w:p w14:paraId="6E555475">
      <w:pPr>
        <w:spacing w:after="40"/>
        <w:rPr>
          <w:rFonts w:hint="eastAsia" w:ascii="宋体" w:hAnsi="宋体" w:eastAsia="宋体" w:cs="宋体"/>
          <w:i w:val="0"/>
          <w:iCs w:val="0"/>
          <w:sz w:val="24"/>
          <w:szCs w:val="24"/>
        </w:rPr>
      </w:pPr>
    </w:p>
    <w:p w14:paraId="4C42EB5D">
      <w:pPr>
        <w:spacing w:after="40"/>
        <w:rPr>
          <w:rFonts w:hint="eastAsia" w:ascii="宋体" w:hAnsi="宋体" w:eastAsia="宋体" w:cs="宋体"/>
          <w:i w:val="0"/>
          <w:iCs w:val="0"/>
          <w:sz w:val="24"/>
          <w:szCs w:val="24"/>
        </w:rPr>
      </w:pPr>
    </w:p>
    <w:p w14:paraId="1793BA14">
      <w:pPr>
        <w:spacing w:after="40"/>
        <w:rPr>
          <w:rFonts w:hint="eastAsia" w:ascii="宋体" w:hAnsi="宋体" w:eastAsia="宋体" w:cs="宋体"/>
          <w:i w:val="0"/>
          <w:iCs w:val="0"/>
          <w:sz w:val="24"/>
          <w:szCs w:val="24"/>
        </w:rPr>
      </w:pPr>
    </w:p>
    <w:p w14:paraId="45F7FC88">
      <w:pPr>
        <w:pStyle w:val="4"/>
        <w:numPr>
          <w:ilvl w:val="0"/>
          <w:numId w:val="135"/>
        </w:numPr>
        <w:topLinePunct w:val="0"/>
        <w:ind w:left="0" w:leftChars="0" w:firstLine="0" w:firstLineChars="0"/>
        <w:outlineLvl w:val="0"/>
        <w:rPr>
          <w:rFonts w:hint="eastAsia" w:eastAsia="黑体"/>
          <w:b w:val="0"/>
          <w:bCs w:val="0"/>
          <w:sz w:val="30"/>
          <w:szCs w:val="32"/>
        </w:rPr>
      </w:pPr>
      <w:bookmarkStart w:id="53" w:name="_Toc2256"/>
      <w:r>
        <w:rPr>
          <w:rFonts w:ascii="Times New Roman" w:hAnsi="Times New Roman" w:eastAsia="黑体" w:cs="Times New Roman"/>
          <w:b w:val="0"/>
          <w:bCs w:val="0"/>
          <w:sz w:val="30"/>
          <w:szCs w:val="32"/>
        </w:rPr>
        <w:t>第三方认证管理</w:t>
      </w:r>
      <w:bookmarkEnd w:id="53"/>
    </w:p>
    <w:p w14:paraId="5123E682">
      <w:pPr>
        <w:pStyle w:val="5"/>
        <w:numPr>
          <w:ilvl w:val="0"/>
          <w:numId w:val="186"/>
        </w:numPr>
        <w:ind w:left="0" w:leftChars="0" w:firstLine="0" w:firstLineChars="0"/>
        <w:outlineLvl w:val="1"/>
        <w:rPr>
          <w:rFonts w:ascii="Times New Roman" w:hAnsi="Times New Roman" w:eastAsia="黑体" w:cs="Times New Roman"/>
          <w:b w:val="0"/>
          <w:bCs w:val="0"/>
          <w:sz w:val="30"/>
          <w:szCs w:val="24"/>
        </w:rPr>
      </w:pPr>
      <w:bookmarkStart w:id="54" w:name="_Toc7298"/>
      <w:r>
        <w:rPr>
          <w:rFonts w:ascii="Times New Roman" w:hAnsi="Times New Roman" w:eastAsia="黑体" w:cs="Times New Roman"/>
          <w:b w:val="0"/>
          <w:bCs w:val="0"/>
          <w:sz w:val="30"/>
          <w:szCs w:val="24"/>
        </w:rPr>
        <w:t>认证资料维护</w:t>
      </w:r>
      <w:bookmarkEnd w:id="54"/>
    </w:p>
    <w:p w14:paraId="183F5A4F">
      <w:pPr>
        <w:keepNext/>
        <w:keepLines/>
        <w:widowControl w:val="0"/>
        <w:numPr>
          <w:ilvl w:val="0"/>
          <w:numId w:val="0"/>
        </w:numPr>
        <w:adjustRightInd w:val="0"/>
        <w:spacing w:before="200" w:line="300" w:lineRule="auto"/>
        <w:ind w:leftChars="0"/>
        <w:jc w:val="both"/>
        <w:outlineLvl w:val="9"/>
        <w:rPr>
          <w:rFonts w:hint="eastAsia" w:ascii="宋体" w:hAnsi="宋体" w:eastAsia="宋体" w:cs="宋体"/>
          <w:b w:val="0"/>
          <w:bCs/>
          <w:i w:val="0"/>
          <w:iCs w:val="0"/>
          <w:kern w:val="2"/>
          <w:sz w:val="28"/>
          <w:szCs w:val="28"/>
          <w:lang w:bidi="ar-SA"/>
        </w:rPr>
      </w:pPr>
      <w:r>
        <w:drawing>
          <wp:inline distT="0" distB="0" distL="114300" distR="114300">
            <wp:extent cx="5900420" cy="2925445"/>
            <wp:effectExtent l="0" t="0" r="5080" b="8255"/>
            <wp:docPr id="74"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30"/>
                    <pic:cNvPicPr>
                      <a:picLocks noChangeAspect="1"/>
                    </pic:cNvPicPr>
                  </pic:nvPicPr>
                  <pic:blipFill>
                    <a:blip r:embed="rId88"/>
                    <a:stretch>
                      <a:fillRect/>
                    </a:stretch>
                  </pic:blipFill>
                  <pic:spPr>
                    <a:xfrm>
                      <a:off x="0" y="0"/>
                      <a:ext cx="5900420" cy="2925445"/>
                    </a:xfrm>
                    <a:prstGeom prst="rect">
                      <a:avLst/>
                    </a:prstGeom>
                    <a:noFill/>
                    <a:ln>
                      <a:noFill/>
                    </a:ln>
                  </pic:spPr>
                </pic:pic>
              </a:graphicData>
            </a:graphic>
          </wp:inline>
        </w:drawing>
      </w:r>
    </w:p>
    <w:p w14:paraId="3465176A">
      <w:pPr>
        <w:pStyle w:val="6"/>
        <w:numPr>
          <w:ilvl w:val="0"/>
          <w:numId w:val="18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1A9247AE">
      <w:pPr>
        <w:pStyle w:val="19"/>
        <w:widowControl/>
        <w:numPr>
          <w:ilvl w:val="0"/>
          <w:numId w:val="18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：LCA 报告原始凭证、物料平衡单、绿电发票与第三方检测报告的数字化封装归集库，为对外认证申报提供可核验、可追溯、可防篡改的证据链底座。</w:t>
      </w:r>
    </w:p>
    <w:p w14:paraId="080E8C54">
      <w:pPr>
        <w:pStyle w:val="19"/>
        <w:widowControl/>
        <w:numPr>
          <w:ilvl w:val="0"/>
          <w:numId w:val="18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：P4 碳核算与认证工程师（资料包组装与锁定）、P3 基层填报员（原始凭证上传）、P6 外部独立审计机构（只读核验）。</w:t>
      </w:r>
    </w:p>
    <w:p w14:paraId="510FC546">
      <w:pPr>
        <w:pStyle w:val="19"/>
        <w:widowControl/>
        <w:numPr>
          <w:ilvl w:val="0"/>
          <w:numId w:val="18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 /carbon-footprint/certification/material 。</w:t>
      </w:r>
    </w:p>
    <w:p w14:paraId="5E041BE6">
      <w:pPr>
        <w:pStyle w:val="19"/>
        <w:widowControl/>
        <w:numPr>
          <w:ilvl w:val="0"/>
          <w:numId w:val="18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：碳足迹核算模块（已内审通过的 LCA 报告）、实景数据库（BOM 物料凭证）、能源台账与绿证核销记录、第三方检测报告。</w:t>
      </w:r>
    </w:p>
    <w:p w14:paraId="0C31C995">
      <w:pPr>
        <w:pStyle w:val="19"/>
        <w:widowControl/>
        <w:numPr>
          <w:ilvl w:val="0"/>
          <w:numId w:val="18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：已锁定认证资料包（含逐件凭证 SHA-256 清单）→ 作为「认证申请」模块的唯一输入版本。</w:t>
      </w:r>
    </w:p>
    <w:p w14:paraId="25B0AF48">
      <w:pPr>
        <w:pStyle w:val="6"/>
        <w:numPr>
          <w:ilvl w:val="0"/>
          <w:numId w:val="18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6D96C196">
      <w:pPr>
        <w:pStyle w:val="19"/>
        <w:widowControl/>
        <w:numPr>
          <w:ilvl w:val="0"/>
          <w:numId w:val="18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：面向 SGS、TÜV 南德、中国方圆等机构的认证前证据归集环节，将分散在核算、采购、能源、质检各域的过程凭证，按认证标准模板一次性归集、校验、封装并锁定，杜绝机构形式审查阶段的反复补正。</w:t>
      </w:r>
    </w:p>
    <w:p w14:paraId="6CCE6037">
      <w:pPr>
        <w:pStyle w:val="19"/>
        <w:widowControl/>
        <w:numPr>
          <w:ilvl w:val="0"/>
          <w:numId w:val="18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2ED6C3D3">
      <w:pPr>
        <w:pStyle w:val="19"/>
        <w:widowControl/>
        <w:numPr>
          <w:ilvl w:val="0"/>
          <w:numId w:val="189"/>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As a 碳核算与认证工程师 (Persona P4)，</w:t>
      </w:r>
    </w:p>
    <w:p w14:paraId="67770F0D">
      <w:pPr>
        <w:pStyle w:val="19"/>
        <w:widowControl/>
        <w:numPr>
          <w:ilvl w:val="0"/>
          <w:numId w:val="189"/>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I want 按认证资料包模板在线组装 LCA 原始凭证、物料平衡单、绿电发票与检测报告，并由系统自动校验必传资料齐备率与凭证完整性，</w:t>
      </w:r>
    </w:p>
    <w:p w14:paraId="60D009DC">
      <w:pPr>
        <w:pStyle w:val="19"/>
        <w:widowControl/>
        <w:numPr>
          <w:ilvl w:val="0"/>
          <w:numId w:val="189"/>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So that 我能一次性通过机构的形式审查，避免因资料缺项导致的发证周期延误。</w:t>
      </w:r>
    </w:p>
    <w:p w14:paraId="5DD5DAB2">
      <w:pPr>
        <w:pStyle w:val="6"/>
        <w:numPr>
          <w:ilvl w:val="0"/>
          <w:numId w:val="18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064A6C5A">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资料包组装向导</w:t>
      </w:r>
      <w:r>
        <w:rPr>
          <w:rFonts w:ascii="Times New Roman" w:hAnsi="Times New Roman" w:eastAsia="宋体" w:cs="Times New Roman"/>
          <w:i w:val="0"/>
          <w:color w:val="1F2937"/>
          <w:sz w:val="24"/>
          <w:szCs w:val="24"/>
        </w:rPr>
        <w:t>：按认证标准（ISO 14067:2018 / PAS 2050:2011）自动生成资料包骨架，左侧为必传与可选资料目录树，右侧为凭证上传与跨模块挂载区，支持从实景数据库、能源台账直接引用而无需重复上传。</w:t>
      </w:r>
    </w:p>
    <w:p w14:paraId="75DC4665">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缺失资料清单校验：实时计算必传资料齐备率与 BOM 物料凭证覆盖率，缺失项以红色徽标逐条列出，并同步给出补正责任角色与数据来源模块。</w:t>
      </w:r>
    </w:p>
    <w:p w14:paraId="7D9543EE">
      <w:pPr>
        <w:pStyle w:val="19"/>
        <w:widowControl/>
        <w:numPr>
          <w:ilvl w:val="0"/>
          <w:numId w:val="190"/>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凭证 Hash 自动计算绑定：每件凭证上传即计算 SHA-256 并写入凭证清单，锁定文件与哈希的绑定关系；任何替换均生成新版本凭证并保留原版本与替换流水。</w:t>
      </w:r>
    </w:p>
    <w:p w14:paraId="39C88AD5">
      <w:pPr>
        <w:pStyle w:val="19"/>
        <w:widowControl/>
        <w:numPr>
          <w:ilvl w:val="0"/>
          <w:numId w:val="19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资料包锁定与解锁</w:t>
      </w:r>
      <w:r>
        <w:rPr>
          <w:rFonts w:ascii="Times New Roman" w:hAnsi="Times New Roman" w:eastAsia="宋体" w:cs="Times New Roman"/>
          <w:i w:val="0"/>
          <w:color w:val="1F2937"/>
          <w:sz w:val="24"/>
          <w:szCs w:val="24"/>
        </w:rPr>
        <w:t>：齐备率与覆盖率均达 100% 且绿电发票核验通过后方可锁定；锁定后资料包内容禁止修改，解锁须经 PM 审批并生成解锁流水号。</w:t>
      </w:r>
    </w:p>
    <w:p w14:paraId="1B1E8E95">
      <w:pPr>
        <w:pStyle w:val="19"/>
        <w:widowControl/>
        <w:numPr>
          <w:ilvl w:val="0"/>
          <w:numId w:val="19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凭证核验状态跟踪</w:t>
      </w:r>
      <w:r>
        <w:rPr>
          <w:rFonts w:ascii="Times New Roman" w:hAnsi="Times New Roman" w:eastAsia="宋体" w:cs="Times New Roman"/>
          <w:i w:val="0"/>
          <w:color w:val="1F2937"/>
          <w:sz w:val="24"/>
          <w:szCs w:val="24"/>
        </w:rPr>
        <w:t>：绿电发票、检测报告等需外部核验的凭证按「未核验 / 核验中 / 已核验 / 核验不通过」四态跟踪，核验不通过时冻结锁定入口。</w:t>
      </w:r>
    </w:p>
    <w:p w14:paraId="7D81E491">
      <w:pPr>
        <w:pStyle w:val="19"/>
        <w:widowControl/>
        <w:numPr>
          <w:ilvl w:val="0"/>
          <w:numId w:val="19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版本留痕与反向追溯</w:t>
      </w:r>
      <w:r>
        <w:rPr>
          <w:rFonts w:ascii="Times New Roman" w:hAnsi="Times New Roman" w:eastAsia="宋体" w:cs="Times New Roman"/>
          <w:i w:val="0"/>
          <w:color w:val="1F2937"/>
          <w:sz w:val="24"/>
          <w:szCs w:val="24"/>
        </w:rPr>
        <w:t>：资料包每一次组装、替换、锁定、解锁动作均写入操作流水（操作人、工号、时间戳、前后哈希），支持按凭证反向追溯至原始业务单据。</w:t>
      </w:r>
    </w:p>
    <w:p w14:paraId="33616CF1">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认证机构对接方式</w:t>
      </w:r>
      <w:r>
        <w:rPr>
          <w:rFonts w:ascii="Times New Roman" w:hAnsi="Times New Roman" w:eastAsia="宋体" w:cs="Times New Roman"/>
          <w:i w:val="0"/>
          <w:color w:val="1F2937"/>
          <w:sz w:val="24"/>
          <w:szCs w:val="24"/>
        </w:rPr>
        <w:t>：具备开放平台的机构采用 API 直连自动回传送达回执；不具备 API 条件的机构统一采用「加密邮件 + 机构门户上传」双通道，跨境传输须经数据出境合规网关（见第十章）。</w:t>
      </w:r>
    </w:p>
    <w:p w14:paraId="55D9DF47">
      <w:pPr>
        <w:pStyle w:val="6"/>
        <w:numPr>
          <w:ilvl w:val="0"/>
          <w:numId w:val="18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98"/>
        <w:gridCol w:w="2021"/>
        <w:gridCol w:w="1380"/>
        <w:gridCol w:w="1306"/>
        <w:gridCol w:w="4179"/>
      </w:tblGrid>
      <w:tr w14:paraId="05BB2006">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B733D6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202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695A9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38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0FBB45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130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398223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417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F29E13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1763873A">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35CA3E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21A2E1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资料包编号</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07F7EA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3149E0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51E314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唯一，格式  PKG-&lt;年&gt;-&lt;序号&gt;</w:t>
            </w:r>
          </w:p>
        </w:tc>
      </w:tr>
      <w:tr w14:paraId="0CDF0EA2">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177D0E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02AE65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关联合算报告ID</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FC292F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28FCAA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5AA630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必须为已内审通过的 LCA 报告编号，非内审状态禁止关联</w:t>
            </w:r>
          </w:p>
        </w:tc>
      </w:tr>
      <w:tr w14:paraId="69FA846C">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6E56C2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D7653E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认证标准</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E84ADC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6622F2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DE011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ISO 14067:2018 / PAS 2050:2011</w:t>
            </w:r>
          </w:p>
        </w:tc>
      </w:tr>
      <w:tr w14:paraId="080F1919">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3AC8D6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2FEE47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BOM物料凭证覆盖率</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374A60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E571B1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44D2E4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0.00~100.00，按金额加权；&lt; 100.00 时禁止锁定</w:t>
            </w:r>
          </w:p>
        </w:tc>
      </w:tr>
      <w:tr w14:paraId="17F6E4DB">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8CADC6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E6565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绿电发票凭证核验状态</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CCE5B6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AEDCA7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463EBB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未核验 / 核验中 / 已核验 / 核验不通过</w:t>
            </w:r>
          </w:p>
        </w:tc>
      </w:tr>
      <w:tr w14:paraId="73660696">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8B4FAB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AEE492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必传资料齐备率</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25F6CB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DC4D98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1BDB84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0.00~100.00，达 100.00 方可提交锁定</w:t>
            </w:r>
          </w:p>
        </w:tc>
      </w:tr>
      <w:tr w14:paraId="07AB21BF">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B5A33D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6A6457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缺失资料清单</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B06F9E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JSON</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7FC507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877AF8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校验不通过时非空，逐项含责任角色与来源模块</w:t>
            </w:r>
          </w:p>
        </w:tc>
      </w:tr>
      <w:tr w14:paraId="25FF5E17">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FFE233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BF84EA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凭证清单</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5A8193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JSON</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F1A2C6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9B2AC7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每项含凭证类型、文件名、SHA-256、上传人、上传时间</w:t>
            </w:r>
          </w:p>
        </w:tc>
      </w:tr>
      <w:tr w14:paraId="500BDB6C">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BD1E89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EEB4EB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资料包锁定状态</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9EECE7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6E8C86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049BCF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草稿 / 待锁定校验 / 已锁定 / 已解锁留痕</w:t>
            </w:r>
          </w:p>
        </w:tc>
      </w:tr>
      <w:tr w14:paraId="67164585">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00AA3B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34F884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资料包封装时间</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EFDF86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DateTime</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5C2147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YYYY-MM-DD HH:mm:ss</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1547A2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锁定动作触发时写入，写入后不可修改</w:t>
            </w:r>
          </w:p>
        </w:tc>
      </w:tr>
      <w:tr w14:paraId="7525595E">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038F1E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11</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D6CAB1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解锁审批流水号</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E0E592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8439F6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352563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解锁时必填，关联统一工作流引擎实例号</w:t>
            </w:r>
          </w:p>
        </w:tc>
      </w:tr>
    </w:tbl>
    <w:p w14:paraId="3B71CF2D">
      <w:pPr>
        <w:spacing w:after="60"/>
        <w:rPr>
          <w:rFonts w:hint="eastAsia" w:ascii="宋体" w:hAnsi="宋体" w:eastAsia="宋体" w:cs="宋体"/>
          <w:i w:val="0"/>
          <w:iCs w:val="0"/>
          <w:sz w:val="24"/>
          <w:szCs w:val="24"/>
        </w:rPr>
      </w:pPr>
    </w:p>
    <w:p w14:paraId="285D52B7">
      <w:pPr>
        <w:pStyle w:val="6"/>
        <w:numPr>
          <w:ilvl w:val="0"/>
          <w:numId w:val="18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627496ED">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64E9327E">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资料包齐备率 = Σ( 已上传必传资料项 ) ÷ Σ( 必传资料项 ) × 100%                          必传资料齐备程度</w:t>
            </w:r>
          </w:p>
          <w:p w14:paraId="765644E0">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BOM物料凭证覆盖率 = Σ( 已绑定凭证的物料金额 ) ÷ Σ( BOM物料总金额 ) × 100%               按金额加权的凭证覆盖度</w:t>
            </w:r>
          </w:p>
          <w:p w14:paraId="29AA8F12">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Hash_bind = SHA256( File_Bytes )                          凭证文件与哈希绑定值</w:t>
            </w:r>
          </w:p>
          <w:p w14:paraId="6E1377C3">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Lock_Allowed = ( 资料包齐备率 == 100% ) AND ( BOM物料凭证覆盖率 == 100% ) AND ( 绿电发票核验状态 == 已核验 )                          锁定准入判定</w:t>
            </w:r>
          </w:p>
        </w:tc>
      </w:tr>
    </w:tbl>
    <w:p w14:paraId="74DA5391">
      <w:pPr>
        <w:spacing w:after="40"/>
        <w:rPr>
          <w:rFonts w:hint="eastAsia" w:ascii="宋体" w:hAnsi="宋体" w:eastAsia="宋体" w:cs="宋体"/>
          <w:i w:val="0"/>
          <w:iCs w:val="0"/>
          <w:sz w:val="24"/>
          <w:szCs w:val="24"/>
        </w:rPr>
      </w:pPr>
    </w:p>
    <w:p w14:paraId="3F650BC6">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：齐备率与覆盖率的分子分母均按资料项与物料条目自然汇总，不取项均值；分母为 0（无必传资料项或无 BOM 物料）时统一输出  --  并提示「无可校验对象」；覆盖率一律按金额加权，不采用物料条目数加权。</w:t>
      </w:r>
    </w:p>
    <w:p w14:paraId="1FCC03B9">
      <w:pPr>
        <w:pStyle w:val="6"/>
        <w:numPr>
          <w:ilvl w:val="0"/>
          <w:numId w:val="18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0E0A0F22">
      <w:pPr>
        <w:pStyle w:val="19"/>
        <w:widowControl/>
        <w:numPr>
          <w:ilvl w:val="0"/>
          <w:numId w:val="19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粒度口径</w:t>
      </w:r>
      <w:r>
        <w:rPr>
          <w:rFonts w:ascii="Times New Roman" w:hAnsi="Times New Roman" w:eastAsia="宋体" w:cs="Times New Roman"/>
          <w:i w:val="0"/>
          <w:color w:val="1F2937"/>
          <w:sz w:val="24"/>
          <w:szCs w:val="24"/>
        </w:rPr>
        <w:t>：认证资料包按「产品型号 × 认证标准」唯一，同一产品不同标准各自独立成包，禁止跨标准复用资料包。</w:t>
      </w:r>
    </w:p>
    <w:p w14:paraId="7E7C5845">
      <w:pPr>
        <w:pStyle w:val="19"/>
        <w:widowControl/>
        <w:numPr>
          <w:ilvl w:val="0"/>
          <w:numId w:val="19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覆盖率口径</w:t>
      </w:r>
      <w:r>
        <w:rPr>
          <w:rFonts w:ascii="Times New Roman" w:hAnsi="Times New Roman" w:eastAsia="宋体" w:cs="Times New Roman"/>
          <w:i w:val="0"/>
          <w:color w:val="1F2937"/>
          <w:sz w:val="24"/>
          <w:szCs w:val="24"/>
        </w:rPr>
        <w:t>：BOM 物料凭证覆盖率按金额加权计算，其分子分母口径与碳足迹核算模块的物料金额口径保持绝对一致。</w:t>
      </w:r>
    </w:p>
    <w:p w14:paraId="7041AD1A">
      <w:pPr>
        <w:pStyle w:val="19"/>
        <w:widowControl/>
        <w:numPr>
          <w:ilvl w:val="0"/>
          <w:numId w:val="19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锁定口径</w:t>
      </w:r>
      <w:r>
        <w:rPr>
          <w:rFonts w:ascii="Times New Roman" w:hAnsi="Times New Roman" w:eastAsia="宋体" w:cs="Times New Roman"/>
          <w:i w:val="0"/>
          <w:color w:val="1F2937"/>
          <w:sz w:val="24"/>
          <w:szCs w:val="24"/>
        </w:rPr>
        <w:t>：锁定后的资料包为认证申请的唯一输入版本；历史解锁版本仅存档留痕，不得被认证申请引用。</w:t>
      </w:r>
    </w:p>
    <w:p w14:paraId="17D8A242">
      <w:pPr>
        <w:pStyle w:val="19"/>
        <w:widowControl/>
        <w:numPr>
          <w:ilvl w:val="0"/>
          <w:numId w:val="19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除零口径</w:t>
      </w:r>
      <w:r>
        <w:rPr>
          <w:rFonts w:ascii="Times New Roman" w:hAnsi="Times New Roman" w:eastAsia="宋体" w:cs="Times New Roman"/>
          <w:i w:val="0"/>
          <w:color w:val="1F2937"/>
          <w:sz w:val="24"/>
          <w:szCs w:val="24"/>
        </w:rPr>
        <w:t>：齐备率与覆盖率的分母为 0 时统一输出  -- ，禁止输出 NaN / Infinity 或空白单元格。</w:t>
      </w:r>
    </w:p>
    <w:p w14:paraId="2152EEDC">
      <w:pPr>
        <w:pStyle w:val="6"/>
        <w:numPr>
          <w:ilvl w:val="0"/>
          <w:numId w:val="187"/>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1EE0442E">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47D06B87">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必传资料缺失或覆盖率 &lt; 100%：锁定按钮置灰并列出缺失清单（含责任角色与来源模块）。</w:t>
            </w:r>
          </w:p>
          <w:p w14:paraId="5F6FF498">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凭证重复上传：同一凭证号重复上传触发  E_CERT_DUP_VOUCHER ，保留最新版本并标注重复记录。</w:t>
            </w:r>
          </w:p>
          <w:p w14:paraId="778BE50B">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凭证被替换导致哈希变更：触发  E_CERT_HASH_MISMATCH ，资料包自动回退至「草稿」状态并锁定待复核。</w:t>
            </w:r>
          </w:p>
          <w:p w14:paraId="364A88D1">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关联合算报告非已内审状态：资料包入口直接拦截，提示先完成碳足迹核算与内审。</w:t>
            </w:r>
          </w:p>
          <w:p w14:paraId="7199AE7E">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已锁定资料包被写入：拒绝写入并返回  E_CERT_PACKAGE_LOCKED ，须走解锁审批流程。</w:t>
            </w:r>
          </w:p>
          <w:p w14:paraId="536DA21B">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绿电发票核验不通过：禁止锁定，提示补正该凭证或剔除其对应的绿电抵扣量。</w:t>
            </w:r>
          </w:p>
        </w:tc>
      </w:tr>
    </w:tbl>
    <w:p w14:paraId="4088DA81">
      <w:pPr>
        <w:spacing w:after="40"/>
        <w:rPr>
          <w:rFonts w:hint="eastAsia" w:ascii="宋体" w:hAnsi="宋体" w:eastAsia="宋体" w:cs="宋体"/>
          <w:i w:val="0"/>
          <w:iCs w:val="0"/>
          <w:sz w:val="24"/>
          <w:szCs w:val="24"/>
        </w:rPr>
      </w:pPr>
    </w:p>
    <w:p w14:paraId="3F0D530C">
      <w:pPr>
        <w:pStyle w:val="6"/>
        <w:numPr>
          <w:ilvl w:val="0"/>
          <w:numId w:val="187"/>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6AD0D8B5">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3D75A4C2">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必传资料缺失禁止锁定</w:t>
            </w:r>
          </w:p>
          <w:p w14:paraId="67FB01B5">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Given 某产品认证资料包已上传原始凭证与物料平衡单但缺失绿电发票</w:t>
            </w:r>
          </w:p>
          <w:p w14:paraId="141B697C">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When P4 点击锁定资料包</w:t>
            </w:r>
          </w:p>
          <w:p w14:paraId="502B02C3">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Then 锁定按钮保持置灰不可点击</w:t>
            </w:r>
          </w:p>
          <w:p w14:paraId="5C3FE2A0">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And 缺失资料清单明确列出"绿电发票"及其责任角色与来源模块</w:t>
            </w:r>
          </w:p>
          <w:p w14:paraId="344184B0">
            <w:pPr>
              <w:spacing w:before="0" w:after="20" w:line="264" w:lineRule="auto"/>
              <w:rPr>
                <w:rFonts w:hint="eastAsia" w:ascii="宋体" w:hAnsi="宋体" w:eastAsia="宋体" w:cs="宋体"/>
                <w:i w:val="0"/>
                <w:iCs w:val="0"/>
                <w:sz w:val="24"/>
                <w:szCs w:val="24"/>
              </w:rPr>
            </w:pPr>
          </w:p>
          <w:p w14:paraId="57AC015C">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BOM 物料凭证覆盖率不足禁止锁定</w:t>
            </w:r>
          </w:p>
          <w:p w14:paraId="1228B779">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Given 某资料包的 BOM 物料凭证覆盖率为 96.40%</w:t>
            </w:r>
          </w:p>
          <w:p w14:paraId="6F1F66BD">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When P4 尝试锁定该资料包</w:t>
            </w:r>
          </w:p>
          <w:p w14:paraId="49BB1946">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Then 系统拦截锁定动作</w:t>
            </w:r>
          </w:p>
          <w:p w14:paraId="5190F367">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And 页面提示覆盖率未达 100.00% 并列出未绑定凭证的物料条目</w:t>
            </w:r>
          </w:p>
          <w:p w14:paraId="0BE7ABC0">
            <w:pPr>
              <w:spacing w:before="0" w:after="20" w:line="264" w:lineRule="auto"/>
              <w:rPr>
                <w:rFonts w:hint="eastAsia" w:ascii="宋体" w:hAnsi="宋体" w:eastAsia="宋体" w:cs="宋体"/>
                <w:i w:val="0"/>
                <w:iCs w:val="0"/>
                <w:sz w:val="24"/>
                <w:szCs w:val="24"/>
              </w:rPr>
            </w:pPr>
          </w:p>
          <w:p w14:paraId="26BF13A1">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凭证替换触发哈希变更回退</w:t>
            </w:r>
          </w:p>
          <w:p w14:paraId="7AEB8B4E">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Given 某资料包内的物料平衡单凭证已绑定 SHA-256</w:t>
            </w:r>
          </w:p>
          <w:p w14:paraId="07C14A35">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When P4 上传同名新版本凭证替换原凭证</w:t>
            </w:r>
          </w:p>
          <w:p w14:paraId="6A1D6E42">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Then 系统生成新版本凭证并保留原版本与替换流水</w:t>
            </w:r>
          </w:p>
          <w:p w14:paraId="3FEE3F1B">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And 资料包状态由"待锁定校验"自动回退至"草稿"</w:t>
            </w:r>
          </w:p>
          <w:p w14:paraId="2A8E64B0">
            <w:pPr>
              <w:spacing w:before="0" w:after="20" w:line="264" w:lineRule="auto"/>
              <w:rPr>
                <w:rFonts w:hint="eastAsia" w:ascii="宋体" w:hAnsi="宋体" w:eastAsia="宋体" w:cs="宋体"/>
                <w:i w:val="0"/>
                <w:iCs w:val="0"/>
                <w:sz w:val="24"/>
                <w:szCs w:val="24"/>
              </w:rPr>
            </w:pPr>
          </w:p>
          <w:p w14:paraId="3B001514">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已锁定资料包禁止修改</w:t>
            </w:r>
          </w:p>
          <w:p w14:paraId="30FE3A4E">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Given 某资料包状态为"已锁定"</w:t>
            </w:r>
          </w:p>
          <w:p w14:paraId="3D1CCCA0">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When 任意角色尝试修改其凭证清单</w:t>
            </w:r>
          </w:p>
          <w:p w14:paraId="79CBE689">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Then 写入被拒绝并返回错误码 E_CERT_PACKAGE_LOCKED</w:t>
            </w:r>
          </w:p>
          <w:p w14:paraId="77E18CC1">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And 系统提示须经 PM 审批解锁后方可修改</w:t>
            </w:r>
          </w:p>
          <w:p w14:paraId="6C235316">
            <w:pPr>
              <w:spacing w:before="0" w:after="20" w:line="264" w:lineRule="auto"/>
              <w:rPr>
                <w:rFonts w:hint="eastAsia" w:ascii="宋体" w:hAnsi="宋体" w:eastAsia="宋体" w:cs="宋体"/>
                <w:i w:val="0"/>
                <w:iCs w:val="0"/>
                <w:sz w:val="24"/>
                <w:szCs w:val="24"/>
              </w:rPr>
            </w:pPr>
          </w:p>
          <w:p w14:paraId="4B73BC7F">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绿电发票核验不通过冻结锁定</w:t>
            </w:r>
          </w:p>
          <w:p w14:paraId="16B1897E">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Given 某资料包的绿电发票凭证核验状态为"核验不通过"</w:t>
            </w:r>
          </w:p>
          <w:p w14:paraId="198147F0">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When P4 点击锁定资料包</w:t>
            </w:r>
          </w:p>
          <w:p w14:paraId="4187C77F">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Then 锁定入口被冻结</w:t>
            </w:r>
          </w:p>
          <w:p w14:paraId="3D746940">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And 页面提示补正该凭证或剔除其对应的绿电抵扣量</w:t>
            </w:r>
          </w:p>
        </w:tc>
      </w:tr>
    </w:tbl>
    <w:p w14:paraId="5B348932">
      <w:pPr>
        <w:spacing w:after="40"/>
        <w:rPr>
          <w:rFonts w:hint="eastAsia" w:ascii="宋体" w:hAnsi="宋体" w:eastAsia="宋体" w:cs="宋体"/>
          <w:i w:val="0"/>
          <w:iCs w:val="0"/>
          <w:sz w:val="24"/>
          <w:szCs w:val="24"/>
        </w:rPr>
      </w:pPr>
    </w:p>
    <w:p w14:paraId="450C6CF4">
      <w:pPr>
        <w:pStyle w:val="5"/>
        <w:numPr>
          <w:ilvl w:val="0"/>
          <w:numId w:val="186"/>
        </w:numPr>
        <w:ind w:left="0" w:leftChars="0" w:firstLine="0" w:firstLineChars="0"/>
        <w:outlineLvl w:val="1"/>
        <w:rPr>
          <w:rFonts w:hint="eastAsia" w:ascii="Times New Roman" w:hAnsi="Times New Roman" w:eastAsia="黑体" w:cs="Times New Roman"/>
          <w:b w:val="0"/>
          <w:bCs w:val="0"/>
          <w:sz w:val="30"/>
          <w:szCs w:val="24"/>
          <w:lang w:val="en-US" w:eastAsia="zh-CN"/>
        </w:rPr>
      </w:pPr>
      <w:bookmarkStart w:id="55" w:name="_Toc21692"/>
      <w:r>
        <w:rPr>
          <w:rFonts w:hint="eastAsia" w:cs="Times New Roman"/>
          <w:b w:val="0"/>
          <w:bCs w:val="0"/>
          <w:sz w:val="30"/>
          <w:szCs w:val="24"/>
          <w:lang w:val="en-US" w:eastAsia="zh-CN"/>
        </w:rPr>
        <w:t>认证申请</w:t>
      </w:r>
      <w:bookmarkEnd w:id="55"/>
    </w:p>
    <w:p w14:paraId="0F304129">
      <w:pPr>
        <w:keepNext/>
        <w:keepLines/>
        <w:widowControl w:val="0"/>
        <w:numPr>
          <w:ilvl w:val="0"/>
          <w:numId w:val="0"/>
        </w:numPr>
        <w:adjustRightInd w:val="0"/>
        <w:spacing w:before="200" w:line="300" w:lineRule="auto"/>
        <w:ind w:leftChars="0"/>
        <w:jc w:val="both"/>
        <w:outlineLvl w:val="9"/>
        <w:rPr>
          <w:rFonts w:hint="eastAsia" w:ascii="Times New Roman" w:hAnsi="Times New Roman" w:eastAsia="黑体" w:cs="Times New Roman"/>
          <w:b w:val="0"/>
          <w:bCs/>
          <w:kern w:val="2"/>
          <w:sz w:val="28"/>
          <w:szCs w:val="28"/>
          <w:lang w:bidi="ar-SA"/>
        </w:rPr>
      </w:pPr>
      <w:r>
        <w:drawing>
          <wp:inline distT="0" distB="0" distL="114300" distR="114300">
            <wp:extent cx="5900420" cy="2925445"/>
            <wp:effectExtent l="0" t="0" r="5080" b="8255"/>
            <wp:docPr id="75"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31"/>
                    <pic:cNvPicPr>
                      <a:picLocks noChangeAspect="1"/>
                    </pic:cNvPicPr>
                  </pic:nvPicPr>
                  <pic:blipFill>
                    <a:blip r:embed="rId89"/>
                    <a:stretch>
                      <a:fillRect/>
                    </a:stretch>
                  </pic:blipFill>
                  <pic:spPr>
                    <a:xfrm>
                      <a:off x="0" y="0"/>
                      <a:ext cx="5900420" cy="2925445"/>
                    </a:xfrm>
                    <a:prstGeom prst="rect">
                      <a:avLst/>
                    </a:prstGeom>
                    <a:noFill/>
                    <a:ln>
                      <a:noFill/>
                    </a:ln>
                  </pic:spPr>
                </pic:pic>
              </a:graphicData>
            </a:graphic>
          </wp:inline>
        </w:drawing>
      </w:r>
    </w:p>
    <w:p w14:paraId="3819448C">
      <w:pPr>
        <w:pStyle w:val="6"/>
        <w:numPr>
          <w:ilvl w:val="0"/>
          <w:numId w:val="19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6EE5C119">
      <w:pPr>
        <w:pStyle w:val="19"/>
        <w:widowControl/>
        <w:numPr>
          <w:ilvl w:val="0"/>
          <w:numId w:val="18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：向 SGS、TÜV 南德、中国方圆等外部机构在线发起认证委托、报价确认、排期协同、补正意见处理与审核进度跟踪的对外业务流程看板。</w:t>
      </w:r>
    </w:p>
    <w:p w14:paraId="7D29056A">
      <w:pPr>
        <w:pStyle w:val="19"/>
        <w:widowControl/>
        <w:numPr>
          <w:ilvl w:val="0"/>
          <w:numId w:val="18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：P4 碳核算与认证工程师（发起申请与补正答复）、PM（商务审批与流程管理）、P6 外部独立审计机构（排期与意见反馈）。</w:t>
      </w:r>
    </w:p>
    <w:p w14:paraId="3FDEC446">
      <w:pPr>
        <w:pStyle w:val="19"/>
        <w:widowControl/>
        <w:numPr>
          <w:ilvl w:val="0"/>
          <w:numId w:val="18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 /carbon-footprint/certification/apply 。</w:t>
      </w:r>
    </w:p>
    <w:p w14:paraId="5D0C7BB8">
      <w:pPr>
        <w:pStyle w:val="19"/>
        <w:widowControl/>
        <w:numPr>
          <w:ilvl w:val="0"/>
          <w:numId w:val="18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：已锁定认证资料包、认证机构白名单与报价库、框架协议与合同管理、统一工作流引擎。</w:t>
      </w:r>
    </w:p>
    <w:p w14:paraId="0E295AFF">
      <w:pPr>
        <w:pStyle w:val="19"/>
        <w:widowControl/>
        <w:numPr>
          <w:ilvl w:val="0"/>
          <w:numId w:val="18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：认证申请流水与审核里程碑记录 → 作为「认证结果管理」模块的证书登记依据。</w:t>
      </w:r>
    </w:p>
    <w:p w14:paraId="1A8E39B7">
      <w:pPr>
        <w:pStyle w:val="6"/>
        <w:numPr>
          <w:ilvl w:val="0"/>
          <w:numId w:val="19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2F6660D1">
      <w:pPr>
        <w:pStyle w:val="19"/>
        <w:widowControl/>
        <w:numPr>
          <w:ilvl w:val="0"/>
          <w:numId w:val="18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：产品碳足迹报告通过内审后，需在合规机构库中选择认证机构、确认报价与合同、预约现场或远程审核档期，并在机构提出补正意见时组织责任人在限定周期内闭环答复。</w:t>
      </w:r>
    </w:p>
    <w:p w14:paraId="0CA9D0E6">
      <w:pPr>
        <w:pStyle w:val="19"/>
        <w:widowControl/>
        <w:numPr>
          <w:ilvl w:val="0"/>
          <w:numId w:val="18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12CA32BB">
      <w:pPr>
        <w:pStyle w:val="19"/>
        <w:widowControl/>
        <w:numPr>
          <w:ilvl w:val="0"/>
          <w:numId w:val="189"/>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As a 碳核算与认证工程师 (Persona P4)，</w:t>
      </w:r>
    </w:p>
    <w:p w14:paraId="64869F7B">
      <w:pPr>
        <w:pStyle w:val="19"/>
        <w:widowControl/>
        <w:numPr>
          <w:ilvl w:val="0"/>
          <w:numId w:val="189"/>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I want 在线选择合规认证机构并锁定报价与审核排期、结构化跟踪审核里程碑与机构补正意见，</w:t>
      </w:r>
    </w:p>
    <w:p w14:paraId="5FA5621D">
      <w:pPr>
        <w:pStyle w:val="19"/>
        <w:widowControl/>
        <w:numPr>
          <w:ilvl w:val="0"/>
          <w:numId w:val="189"/>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So that 我能把认证进度纳入可控排期，压缩平均发证周期并避免补正超期。</w:t>
      </w:r>
    </w:p>
    <w:p w14:paraId="03122919">
      <w:pPr>
        <w:pStyle w:val="6"/>
        <w:numPr>
          <w:ilvl w:val="0"/>
          <w:numId w:val="19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549B9BD0">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认证机构白名单选择器</w:t>
      </w:r>
      <w:r>
        <w:rPr>
          <w:rFonts w:ascii="Times New Roman" w:hAnsi="Times New Roman" w:eastAsia="宋体" w:cs="Times New Roman"/>
          <w:i w:val="0"/>
          <w:color w:val="1F2937"/>
          <w:sz w:val="24"/>
          <w:szCs w:val="24"/>
        </w:rPr>
        <w:t>：仅可选择已签署框架协议且资质在有效期内的机构；选择器同屏展示机构认可范围、历史平均发证周期、最近一次成交报价与近三年不良记录。</w:t>
      </w:r>
    </w:p>
    <w:p w14:paraId="6AF4F7AC">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委托与报价确认：生成委托单并录入合同金额与币种；报价较基准报价偏差超过 ±10% 时强制填写偏差说明，未完成 PM 复核不得向机构报送。</w:t>
      </w:r>
    </w:p>
    <w:p w14:paraId="5F1663C8">
      <w:pPr>
        <w:pStyle w:val="19"/>
        <w:widowControl/>
        <w:numPr>
          <w:ilvl w:val="0"/>
          <w:numId w:val="190"/>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审核排期日历：以日历形式展示机构审核员可选档期与现场 / 远程审核方式，选定后在日历上锁定并自动生成现场准备任务与责任人。</w:t>
      </w:r>
    </w:p>
    <w:p w14:paraId="550B744B">
      <w:pPr>
        <w:pStyle w:val="19"/>
        <w:widowControl/>
        <w:numPr>
          <w:ilvl w:val="0"/>
          <w:numId w:val="19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机构补正意见通道</w:t>
      </w:r>
      <w:r>
        <w:rPr>
          <w:rFonts w:ascii="Times New Roman" w:hAnsi="Times New Roman" w:eastAsia="宋体" w:cs="Times New Roman"/>
          <w:i w:val="0"/>
          <w:color w:val="1F2937"/>
          <w:sz w:val="24"/>
          <w:szCs w:val="24"/>
        </w:rPr>
        <w:t>：机构退回意见按「意见条目 / 指向资料 / 严重级别」结构化登记，支持指派补正责任人与上传补正凭证，答复完成后一键回传机构并记录回传凭证。</w:t>
      </w:r>
    </w:p>
    <w:p w14:paraId="0CE6F3C8">
      <w:pPr>
        <w:pStyle w:val="19"/>
        <w:widowControl/>
        <w:numPr>
          <w:ilvl w:val="0"/>
          <w:numId w:val="19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审核进度里程碑流水线</w:t>
      </w:r>
      <w:r>
        <w:rPr>
          <w:rFonts w:ascii="Times New Roman" w:hAnsi="Times New Roman" w:eastAsia="宋体" w:cs="Times New Roman"/>
          <w:i w:val="0"/>
          <w:color w:val="1F2937"/>
          <w:sz w:val="24"/>
          <w:szCs w:val="24"/>
        </w:rPr>
        <w:t>：受理 → 排期中 → 现场核查 → 整改中 → 待签发 → 已签发，每个里程碑写入时间戳、操作人与附件；任何状态回退须填写回退原因。</w:t>
      </w:r>
    </w:p>
    <w:p w14:paraId="67FFE47E">
      <w:pPr>
        <w:pStyle w:val="19"/>
        <w:widowControl/>
        <w:numPr>
          <w:ilvl w:val="0"/>
          <w:numId w:val="19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补正超期升级</w:t>
      </w:r>
      <w:r>
        <w:rPr>
          <w:rFonts w:ascii="Times New Roman" w:hAnsi="Times New Roman" w:eastAsia="宋体" w:cs="Times New Roman"/>
          <w:i w:val="0"/>
          <w:color w:val="1F2937"/>
          <w:sz w:val="24"/>
          <w:szCs w:val="24"/>
        </w:rPr>
        <w:t>：补正期限按机构约定天数计算，剩余 3 天触发提醒，超期未闭环自动升级至 PM 待办。</w:t>
      </w:r>
    </w:p>
    <w:p w14:paraId="2F8E74B9">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认证机构对接方式</w:t>
      </w:r>
      <w:r>
        <w:rPr>
          <w:rFonts w:ascii="Times New Roman" w:hAnsi="Times New Roman" w:eastAsia="宋体" w:cs="Times New Roman"/>
          <w:i w:val="0"/>
          <w:color w:val="1F2937"/>
          <w:sz w:val="24"/>
          <w:szCs w:val="24"/>
        </w:rPr>
        <w:t>：具备开放平台的机构采用 API 直连回传受理号与审核结论；不具备 API 条件的机构采用「加密邮件 + 机构门户上传」双通道，全部跨境报文须经数据出境合规网关。</w:t>
      </w:r>
    </w:p>
    <w:p w14:paraId="0E860BD2">
      <w:pPr>
        <w:pStyle w:val="6"/>
        <w:numPr>
          <w:ilvl w:val="0"/>
          <w:numId w:val="19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98"/>
        <w:gridCol w:w="2021"/>
        <w:gridCol w:w="1380"/>
        <w:gridCol w:w="1306"/>
        <w:gridCol w:w="4179"/>
      </w:tblGrid>
      <w:tr w14:paraId="49E527A9">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94AF28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202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8CED6B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38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D02B55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130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7237BF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417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05AE80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1DBD37FB">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5E7096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89F533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认证申请流水号</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A502FB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5B2DDC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1A30F2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唯一，格式  APPLY-&lt;年&gt;-&lt;序号&gt;</w:t>
            </w:r>
          </w:p>
        </w:tc>
      </w:tr>
      <w:tr w14:paraId="0AC725BA">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064E63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A15D9F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委托机构编码</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226893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1D625B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D9BC49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取自认证机构白名单，格式  ORG-&lt;3位流水&gt; ；机构资质过期不可选</w:t>
            </w:r>
          </w:p>
        </w:tc>
      </w:tr>
      <w:tr w14:paraId="5772DB48">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4123E7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4FF27B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认证标准</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6C4598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671090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724382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ISO 14067:2018 / PAS 2050:2011</w:t>
            </w:r>
          </w:p>
        </w:tc>
      </w:tr>
      <w:tr w14:paraId="13ED955E">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28D053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6103D4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关联资料包编号</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B3583E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5C2CFC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7F154B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必须为「已锁定」状态的资料包编号，一包一申请</w:t>
            </w:r>
          </w:p>
        </w:tc>
      </w:tr>
      <w:tr w14:paraId="38C24DE6">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AF7059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EA1BC5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预计发证周期</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1CED13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Int</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90A59E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自然日</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35A83F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&gt; 0；默认取机构历史均值，允许 ±20% 人工修正并留痕</w:t>
            </w:r>
          </w:p>
        </w:tc>
      </w:tr>
      <w:tr w14:paraId="12021793">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CB1E3C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B5A636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合同金额</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ACE881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68AF7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元 / € / $</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237EE9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保留 2 位小数，&gt; 0；币种须与合同一致</w:t>
            </w:r>
          </w:p>
        </w:tc>
      </w:tr>
      <w:tr w14:paraId="1AC7BE2A">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C48F5C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D73A97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审核状态</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C11B5A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0B155A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D2B019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待受理 / 排期中 / 现场核查 / 整改中 / 待签发 / 已签发 / 已终止</w:t>
            </w:r>
          </w:p>
        </w:tc>
      </w:tr>
      <w:tr w14:paraId="5904AAE3">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9C0C3B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5438C5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审核方式</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A6ADDE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977C6D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67777F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现场审核 / 远程审核</w:t>
            </w:r>
          </w:p>
        </w:tc>
      </w:tr>
      <w:tr w14:paraId="237091E2">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22C666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CD6EA9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排期日期</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A38AFD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Date</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C634D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YYYY-MM-DD</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87B9F4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非空，必须晚于申请提交日期</w:t>
            </w:r>
          </w:p>
        </w:tc>
      </w:tr>
      <w:tr w14:paraId="1F7A8C0C">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B85C9A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2F0E8C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报价偏差率</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59478F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205003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B44DB5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ABS( 报价 − 基准报价 ) ÷ 基准报价 × 100%；&gt; 10.00 强制 PM 复核</w:t>
            </w:r>
          </w:p>
        </w:tc>
      </w:tr>
      <w:tr w14:paraId="345D7158">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33DC85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11</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E3A619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机构补正意见</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2A05D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Text</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9BFBD6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D4640B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审核状态为「整改中」时必填，按意见条目结构化登记</w:t>
            </w:r>
          </w:p>
        </w:tc>
      </w:tr>
      <w:tr w14:paraId="55F20320">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02CD3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12</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5A3C1C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补正责任人与完成时间</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1D0489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 / DateTime</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E6F914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YYYY-MM-DD HH:mm:ss</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F286C3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退回动作生效时责任人必填；整改闭环时写入完成时间</w:t>
            </w:r>
          </w:p>
        </w:tc>
      </w:tr>
      <w:tr w14:paraId="61599F4F">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6B263F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13</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9BF0F9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里程碑时间戳</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D54285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JSON</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51C50F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0FBC75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记录各状态进入时间与操作人，写入后不可修改</w:t>
            </w:r>
          </w:p>
        </w:tc>
      </w:tr>
    </w:tbl>
    <w:p w14:paraId="13FCADF3">
      <w:pPr>
        <w:spacing w:after="60"/>
        <w:rPr>
          <w:rFonts w:hint="eastAsia" w:ascii="宋体" w:hAnsi="宋体" w:eastAsia="宋体" w:cs="宋体"/>
          <w:i w:val="0"/>
          <w:iCs w:val="0"/>
          <w:sz w:val="24"/>
          <w:szCs w:val="24"/>
        </w:rPr>
      </w:pPr>
    </w:p>
    <w:p w14:paraId="481AE1DA">
      <w:pPr>
        <w:pStyle w:val="6"/>
        <w:numPr>
          <w:ilvl w:val="0"/>
          <w:numId w:val="19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038BA8A4">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7BB56C46">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报价偏差率 = ABS( 报价金额 − 基准报价 ) ÷ 基准报价 × 100%                          报价合理性判定</w:t>
            </w:r>
          </w:p>
          <w:p w14:paraId="50A59C50">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预计发证周期修正值 = 机构历史平均发证周期 × ( 1 + 修正系数 ) ，修正系数 ∈ [ -0.20 , +0.20 ]                          排期预估值</w:t>
            </w:r>
          </w:p>
          <w:p w14:paraId="671C8F99">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认证处理时长 = 已签发时间 − 受理时间                          单位：自然日</w:t>
            </w:r>
          </w:p>
          <w:p w14:paraId="6BA8F406">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Progress = 已完成里程碑数 ÷ 里程碑总数 × 100%                          审核进度完成度</w:t>
            </w:r>
          </w:p>
        </w:tc>
      </w:tr>
    </w:tbl>
    <w:p w14:paraId="47F70FAC">
      <w:pPr>
        <w:spacing w:after="40"/>
        <w:rPr>
          <w:rFonts w:hint="eastAsia" w:ascii="宋体" w:hAnsi="宋体" w:eastAsia="宋体" w:cs="宋体"/>
          <w:i w:val="0"/>
          <w:iCs w:val="0"/>
          <w:sz w:val="24"/>
          <w:szCs w:val="24"/>
        </w:rPr>
      </w:pPr>
    </w:p>
    <w:p w14:paraId="09E0FEA3">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：基准报价取机构白名单中同认证标准最近一次成交价；白名单无历史成交价时输出  --  并跳过偏差校验；修正系数超出 [ -0.20 , +0.20 ] 区间时拒绝保存。</w:t>
      </w:r>
    </w:p>
    <w:p w14:paraId="405CA444">
      <w:pPr>
        <w:pStyle w:val="6"/>
        <w:numPr>
          <w:ilvl w:val="0"/>
          <w:numId w:val="19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55165C81">
      <w:pPr>
        <w:pStyle w:val="19"/>
        <w:widowControl/>
        <w:numPr>
          <w:ilvl w:val="0"/>
          <w:numId w:val="19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状态口径</w:t>
      </w:r>
      <w:r>
        <w:rPr>
          <w:rFonts w:ascii="Times New Roman" w:hAnsi="Times New Roman" w:eastAsia="宋体" w:cs="Times New Roman"/>
          <w:i w:val="0"/>
          <w:color w:val="1F2937"/>
          <w:sz w:val="24"/>
          <w:szCs w:val="24"/>
        </w:rPr>
        <w:t>：审核状态以机构回传的正式文书为准，人工不得直接跳转状态；状态回退必须填写回退原因并留痕。</w:t>
      </w:r>
    </w:p>
    <w:p w14:paraId="46A4CB75">
      <w:pPr>
        <w:pStyle w:val="19"/>
        <w:widowControl/>
        <w:numPr>
          <w:ilvl w:val="0"/>
          <w:numId w:val="19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里程碑口径</w:t>
      </w:r>
      <w:r>
        <w:rPr>
          <w:rFonts w:ascii="Times New Roman" w:hAnsi="Times New Roman" w:eastAsia="宋体" w:cs="Times New Roman"/>
          <w:i w:val="0"/>
          <w:color w:val="1F2937"/>
          <w:sz w:val="24"/>
          <w:szCs w:val="24"/>
        </w:rPr>
        <w:t>：进度百分比按里程碑数量等权计算，不按停留时长加权，避免长停留环节放大进度。</w:t>
      </w:r>
    </w:p>
    <w:p w14:paraId="676E3376">
      <w:pPr>
        <w:pStyle w:val="19"/>
        <w:widowControl/>
        <w:numPr>
          <w:ilvl w:val="0"/>
          <w:numId w:val="19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退回口径</w:t>
      </w:r>
      <w:r>
        <w:rPr>
          <w:rFonts w:ascii="Times New Roman" w:hAnsi="Times New Roman" w:eastAsia="宋体" w:cs="Times New Roman"/>
          <w:i w:val="0"/>
          <w:color w:val="1F2937"/>
          <w:sz w:val="24"/>
          <w:szCs w:val="24"/>
        </w:rPr>
        <w:t>：机构退回须逐条结构化登记并指派补正责任人，未指派时退回动作不生效；同一资料包重新提交生成新流水号。</w:t>
      </w:r>
    </w:p>
    <w:p w14:paraId="722D3AF5">
      <w:pPr>
        <w:pStyle w:val="19"/>
        <w:widowControl/>
        <w:numPr>
          <w:ilvl w:val="0"/>
          <w:numId w:val="19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时长口径</w:t>
      </w:r>
      <w:r>
        <w:rPr>
          <w:rFonts w:ascii="Times New Roman" w:hAnsi="Times New Roman" w:eastAsia="宋体" w:cs="Times New Roman"/>
          <w:i w:val="0"/>
          <w:color w:val="1F2937"/>
          <w:sz w:val="24"/>
          <w:szCs w:val="24"/>
        </w:rPr>
        <w:t>：认证处理时长统一以自然日计，自受理时间起算至签发时间止，不含资料包组装阶段的耗时。</w:t>
      </w:r>
    </w:p>
    <w:p w14:paraId="76867CDC">
      <w:pPr>
        <w:pStyle w:val="6"/>
        <w:numPr>
          <w:ilvl w:val="0"/>
          <w:numId w:val="192"/>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51420E99">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01E9585C">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机构资质过期：白名单选择器中该机构置灰，并提示资质失效日期。</w:t>
            </w:r>
          </w:p>
          <w:p w14:paraId="7918439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报价偏差率 &gt; 10%：强制填写偏差说明，未完成 PM 复核不得向机构报送。</w:t>
            </w:r>
          </w:p>
          <w:p w14:paraId="60CB0657">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机构审核员档期冲突：禁止占用冲突时段，提示最近可选时段。</w:t>
            </w:r>
          </w:p>
          <w:p w14:paraId="32C6DE12">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关联资料包非「已锁定」：申请入口拦截，提示先完成资料包锁定。</w:t>
            </w:r>
          </w:p>
          <w:p w14:paraId="76DF71EE">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同一资料包存在进行中申请：拦截重复提交并展示在途申请流水号。</w:t>
            </w:r>
          </w:p>
          <w:p w14:paraId="1595CA6A">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退回未指派补正责任人：退回动作不生效并提示必须指派责任人。</w:t>
            </w:r>
          </w:p>
          <w:p w14:paraId="05EAFD52">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补正超期：超过机构约定补正期限触发  E_CERT_RECTIFY_OVERDUE  并升级至 PM 待办。</w:t>
            </w:r>
          </w:p>
        </w:tc>
      </w:tr>
    </w:tbl>
    <w:p w14:paraId="55A46698">
      <w:pPr>
        <w:spacing w:after="40"/>
        <w:rPr>
          <w:rFonts w:hint="eastAsia" w:ascii="宋体" w:hAnsi="宋体" w:eastAsia="宋体" w:cs="宋体"/>
          <w:i w:val="0"/>
          <w:iCs w:val="0"/>
          <w:sz w:val="24"/>
          <w:szCs w:val="24"/>
        </w:rPr>
      </w:pPr>
    </w:p>
    <w:p w14:paraId="35A4123D">
      <w:pPr>
        <w:pStyle w:val="6"/>
        <w:numPr>
          <w:ilvl w:val="0"/>
          <w:numId w:val="192"/>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6096E5ED">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2D5751CE">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机构资质过期不可选择</w:t>
            </w:r>
          </w:p>
          <w:p w14:paraId="1B1D154A">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Given 某认证机构框架协议已到期</w:t>
            </w:r>
          </w:p>
          <w:p w14:paraId="3FE8391D">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When P4 打开认证机构白名单选择器</w:t>
            </w:r>
          </w:p>
          <w:p w14:paraId="0C6EAD44">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Then 该机构选项置灰不可选择</w:t>
            </w:r>
          </w:p>
          <w:p w14:paraId="6052829D">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And 页面提示该机构资质失效日期</w:t>
            </w:r>
          </w:p>
          <w:p w14:paraId="7ADE4849">
            <w:pPr>
              <w:spacing w:before="0" w:after="20" w:line="264" w:lineRule="auto"/>
              <w:rPr>
                <w:rFonts w:hint="eastAsia" w:ascii="宋体" w:hAnsi="宋体" w:eastAsia="宋体" w:cs="宋体"/>
                <w:i w:val="0"/>
                <w:iCs w:val="0"/>
                <w:sz w:val="24"/>
                <w:szCs w:val="24"/>
              </w:rPr>
            </w:pPr>
          </w:p>
          <w:p w14:paraId="58FA038A">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报价偏差超限强制复核</w:t>
            </w:r>
          </w:p>
          <w:p w14:paraId="722589A3">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Given 某机构报价较同标准基准报价偏差 +12.40%</w:t>
            </w:r>
          </w:p>
          <w:p w14:paraId="259DDA94">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When P4 提交委托单</w:t>
            </w:r>
          </w:p>
          <w:p w14:paraId="1C276AF0">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Then 系统强制要求填写报价偏差说明</w:t>
            </w:r>
          </w:p>
          <w:p w14:paraId="3EE9BB35">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And 未完成 PM 复核前不得向机构报送</w:t>
            </w:r>
          </w:p>
          <w:p w14:paraId="15420051">
            <w:pPr>
              <w:spacing w:before="0" w:after="20" w:line="264" w:lineRule="auto"/>
              <w:rPr>
                <w:rFonts w:hint="eastAsia" w:ascii="宋体" w:hAnsi="宋体" w:eastAsia="宋体" w:cs="宋体"/>
                <w:i w:val="0"/>
                <w:iCs w:val="0"/>
                <w:sz w:val="24"/>
                <w:szCs w:val="24"/>
              </w:rPr>
            </w:pPr>
          </w:p>
          <w:p w14:paraId="14197365">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未锁定资料包禁止发起申请</w:t>
            </w:r>
          </w:p>
          <w:p w14:paraId="5C164A7B">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Given 某资料包状态为"待锁定校验"</w:t>
            </w:r>
          </w:p>
          <w:p w14:paraId="3125080F">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When P4 以其为输入发起认证申请</w:t>
            </w:r>
          </w:p>
          <w:p w14:paraId="6032C08F">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Then 申请入口被拦截</w:t>
            </w:r>
          </w:p>
          <w:p w14:paraId="7056EA5C">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And 页面提示先完成资料包锁定</w:t>
            </w:r>
          </w:p>
          <w:p w14:paraId="3BF21F54">
            <w:pPr>
              <w:spacing w:before="0" w:after="20" w:line="264" w:lineRule="auto"/>
              <w:rPr>
                <w:rFonts w:hint="eastAsia" w:ascii="宋体" w:hAnsi="宋体" w:eastAsia="宋体" w:cs="宋体"/>
                <w:i w:val="0"/>
                <w:iCs w:val="0"/>
                <w:sz w:val="24"/>
                <w:szCs w:val="24"/>
              </w:rPr>
            </w:pPr>
          </w:p>
          <w:p w14:paraId="361B190E">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补正意见必须指派责任人才可退回</w:t>
            </w:r>
          </w:p>
          <w:p w14:paraId="0C267560">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Given 机构在在线核验环节退回申请并登记补正意见</w:t>
            </w:r>
          </w:p>
          <w:p w14:paraId="1F65B0A9">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When P4 处理退回动作但未指派补正责任人</w:t>
            </w:r>
          </w:p>
          <w:p w14:paraId="14BFBDF4">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Then 退回动作不生效</w:t>
            </w:r>
          </w:p>
          <w:p w14:paraId="0065CD65">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And 页面提示必须指派补正责任人</w:t>
            </w:r>
          </w:p>
          <w:p w14:paraId="3CDA8964">
            <w:pPr>
              <w:spacing w:before="0" w:after="20" w:line="264" w:lineRule="auto"/>
              <w:rPr>
                <w:rFonts w:hint="eastAsia" w:ascii="宋体" w:hAnsi="宋体" w:eastAsia="宋体" w:cs="宋体"/>
                <w:i w:val="0"/>
                <w:iCs w:val="0"/>
                <w:sz w:val="24"/>
                <w:szCs w:val="24"/>
              </w:rPr>
            </w:pPr>
          </w:p>
          <w:p w14:paraId="6B2CFC20">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补正超期自动升级</w:t>
            </w:r>
          </w:p>
          <w:p w14:paraId="7B3C32E8">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Given 某申请处于"整改中"且已超过机构约定补正期限</w:t>
            </w:r>
          </w:p>
          <w:p w14:paraId="20F41662">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When 系统执行每日进度巡检</w:t>
            </w:r>
          </w:p>
          <w:p w14:paraId="3707C48C">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Then 触发错误码 E_CERT_RECTIFY_OVERDUE</w:t>
            </w:r>
          </w:p>
          <w:p w14:paraId="1CA70A17">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And 该待办自动升级至 PM 待办中心</w:t>
            </w:r>
          </w:p>
        </w:tc>
      </w:tr>
    </w:tbl>
    <w:p w14:paraId="656C8D1A">
      <w:pPr>
        <w:spacing w:after="40"/>
        <w:rPr>
          <w:rFonts w:hint="eastAsia" w:ascii="宋体" w:hAnsi="宋体" w:eastAsia="宋体" w:cs="宋体"/>
          <w:i w:val="0"/>
          <w:iCs w:val="0"/>
          <w:sz w:val="24"/>
          <w:szCs w:val="24"/>
        </w:rPr>
      </w:pPr>
    </w:p>
    <w:p w14:paraId="5EE86900">
      <w:pPr>
        <w:pStyle w:val="5"/>
        <w:numPr>
          <w:ilvl w:val="0"/>
          <w:numId w:val="186"/>
        </w:numPr>
        <w:ind w:left="0" w:leftChars="0" w:firstLine="0" w:firstLineChars="0"/>
        <w:outlineLvl w:val="1"/>
        <w:rPr>
          <w:rFonts w:hint="default" w:ascii="Times New Roman" w:hAnsi="Times New Roman" w:eastAsia="黑体" w:cs="Times New Roman"/>
          <w:b w:val="0"/>
          <w:bCs w:val="0"/>
          <w:sz w:val="30"/>
          <w:szCs w:val="24"/>
          <w:lang w:val="en-US" w:eastAsia="zh-CN"/>
        </w:rPr>
      </w:pPr>
      <w:bookmarkStart w:id="56" w:name="_Toc15371"/>
      <w:r>
        <w:rPr>
          <w:rFonts w:hint="eastAsia" w:cs="Times New Roman"/>
          <w:b w:val="0"/>
          <w:bCs w:val="0"/>
          <w:sz w:val="30"/>
          <w:szCs w:val="24"/>
          <w:lang w:val="en-US" w:eastAsia="zh-CN"/>
        </w:rPr>
        <w:t>认证结果管理</w:t>
      </w:r>
      <w:bookmarkEnd w:id="56"/>
    </w:p>
    <w:p w14:paraId="0A1FE4E8">
      <w:pPr>
        <w:keepNext/>
        <w:keepLines/>
        <w:widowControl w:val="0"/>
        <w:numPr>
          <w:ilvl w:val="0"/>
          <w:numId w:val="0"/>
        </w:numPr>
        <w:adjustRightInd w:val="0"/>
        <w:spacing w:before="200" w:line="300" w:lineRule="auto"/>
        <w:ind w:leftChars="0"/>
        <w:jc w:val="both"/>
        <w:outlineLvl w:val="9"/>
        <w:rPr>
          <w:rFonts w:hint="eastAsia" w:ascii="Times New Roman" w:hAnsi="Times New Roman" w:eastAsia="黑体" w:cs="Times New Roman"/>
          <w:b w:val="0"/>
          <w:bCs/>
          <w:kern w:val="2"/>
          <w:sz w:val="28"/>
          <w:szCs w:val="28"/>
          <w:lang w:bidi="ar-SA"/>
        </w:rPr>
      </w:pPr>
      <w:r>
        <w:drawing>
          <wp:inline distT="0" distB="0" distL="114300" distR="114300">
            <wp:extent cx="5900420" cy="2925445"/>
            <wp:effectExtent l="0" t="0" r="5080" b="8255"/>
            <wp:docPr id="76"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32"/>
                    <pic:cNvPicPr>
                      <a:picLocks noChangeAspect="1"/>
                    </pic:cNvPicPr>
                  </pic:nvPicPr>
                  <pic:blipFill>
                    <a:blip r:embed="rId90"/>
                    <a:stretch>
                      <a:fillRect/>
                    </a:stretch>
                  </pic:blipFill>
                  <pic:spPr>
                    <a:xfrm>
                      <a:off x="0" y="0"/>
                      <a:ext cx="5900420" cy="2925445"/>
                    </a:xfrm>
                    <a:prstGeom prst="rect">
                      <a:avLst/>
                    </a:prstGeom>
                    <a:noFill/>
                    <a:ln>
                      <a:noFill/>
                    </a:ln>
                  </pic:spPr>
                </pic:pic>
              </a:graphicData>
            </a:graphic>
          </wp:inline>
        </w:drawing>
      </w:r>
    </w:p>
    <w:p w14:paraId="13EB1A78">
      <w:pPr>
        <w:pStyle w:val="6"/>
        <w:numPr>
          <w:ilvl w:val="0"/>
          <w:numId w:val="19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定位与架构角色</w:t>
      </w:r>
    </w:p>
    <w:p w14:paraId="389235DC">
      <w:pPr>
        <w:pStyle w:val="19"/>
        <w:widowControl/>
        <w:numPr>
          <w:ilvl w:val="0"/>
          <w:numId w:val="18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功能定位</w:t>
      </w:r>
      <w:r>
        <w:rPr>
          <w:rFonts w:ascii="Times New Roman" w:hAnsi="Times New Roman" w:eastAsia="宋体" w:cs="Times New Roman"/>
          <w:i w:val="0"/>
          <w:color w:val="1F2937"/>
          <w:sz w:val="24"/>
          <w:szCs w:val="24"/>
        </w:rPr>
        <w:t>：官方认证声明（Attestation）的结构化存储与验真中枢、防伪数字碳标签签发授权中心，以及证书资质到期的生命周期监控与自动熔断闸门。</w:t>
      </w:r>
    </w:p>
    <w:p w14:paraId="6AC0DFB5">
      <w:pPr>
        <w:pStyle w:val="19"/>
        <w:widowControl/>
        <w:numPr>
          <w:ilvl w:val="0"/>
          <w:numId w:val="18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承载角色</w:t>
      </w:r>
      <w:r>
        <w:rPr>
          <w:rFonts w:ascii="Times New Roman" w:hAnsi="Times New Roman" w:eastAsia="宋体" w:cs="Times New Roman"/>
          <w:i w:val="0"/>
          <w:color w:val="1F2937"/>
          <w:sz w:val="24"/>
          <w:szCs w:val="24"/>
        </w:rPr>
        <w:t>：P4 碳核算与认证工程师（证书登记与续期）、PM（对外公示授权审批）、P6 外部独立审计机构（只读验真）；外部对象为欧盟客户与审查专员（仅可见脱敏结果）。</w:t>
      </w:r>
    </w:p>
    <w:p w14:paraId="33309CBD">
      <w:pPr>
        <w:pStyle w:val="19"/>
        <w:widowControl/>
        <w:numPr>
          <w:ilvl w:val="0"/>
          <w:numId w:val="18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页面路由</w:t>
      </w:r>
      <w:r>
        <w:rPr>
          <w:rFonts w:ascii="Times New Roman" w:hAnsi="Times New Roman" w:eastAsia="宋体" w:cs="Times New Roman"/>
          <w:i w:val="0"/>
          <w:color w:val="1F2937"/>
          <w:sz w:val="24"/>
          <w:szCs w:val="24"/>
        </w:rPr>
        <w:t>： /carbon-footprint/certification/result 。</w:t>
      </w:r>
    </w:p>
    <w:p w14:paraId="000C968B">
      <w:pPr>
        <w:pStyle w:val="19"/>
        <w:widowControl/>
        <w:numPr>
          <w:ilvl w:val="0"/>
          <w:numId w:val="18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上游依赖</w:t>
      </w:r>
      <w:r>
        <w:rPr>
          <w:rFonts w:ascii="Times New Roman" w:hAnsi="Times New Roman" w:eastAsia="宋体" w:cs="Times New Roman"/>
          <w:i w:val="0"/>
          <w:color w:val="1F2937"/>
          <w:sz w:val="24"/>
          <w:szCs w:val="24"/>
        </w:rPr>
        <w:t>：认证机构签发的结论与证书 PDF 原件、签发机构公钥证书、认证申请流水。</w:t>
      </w:r>
    </w:p>
    <w:p w14:paraId="7BCB2E75">
      <w:pPr>
        <w:pStyle w:val="19"/>
        <w:widowControl/>
        <w:numPr>
          <w:ilvl w:val="0"/>
          <w:numId w:val="188"/>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下游输出</w:t>
      </w:r>
      <w:r>
        <w:rPr>
          <w:rFonts w:ascii="Times New Roman" w:hAnsi="Times New Roman" w:eastAsia="宋体" w:cs="Times New Roman"/>
          <w:i w:val="0"/>
          <w:color w:val="1F2937"/>
          <w:sz w:val="24"/>
          <w:szCs w:val="24"/>
        </w:rPr>
        <w:t>：数字碳标签授权码、产品碳标签发布开关、对外公示白名单。</w:t>
      </w:r>
    </w:p>
    <w:p w14:paraId="5ED1C095">
      <w:pPr>
        <w:pStyle w:val="6"/>
        <w:numPr>
          <w:ilvl w:val="0"/>
          <w:numId w:val="19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业务场景与用户故事</w:t>
      </w:r>
    </w:p>
    <w:p w14:paraId="5D394E0F">
      <w:pPr>
        <w:pStyle w:val="19"/>
        <w:widowControl/>
        <w:numPr>
          <w:ilvl w:val="0"/>
          <w:numId w:val="18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业务场景</w:t>
      </w:r>
      <w:r>
        <w:rPr>
          <w:rFonts w:ascii="Times New Roman" w:hAnsi="Times New Roman" w:eastAsia="宋体" w:cs="Times New Roman"/>
          <w:i w:val="0"/>
          <w:color w:val="1F2937"/>
          <w:sz w:val="24"/>
          <w:szCs w:val="24"/>
        </w:rPr>
        <w:t>：机构签发证书后，需完成证书原件加密存证、结构化登记与验真；证书生命周期内按剩余有效天数分级预警，并在到期未续或机构吊销时立即熔断对应产品的数字碳标签。</w:t>
      </w:r>
    </w:p>
    <w:p w14:paraId="5200BD16">
      <w:pPr>
        <w:pStyle w:val="19"/>
        <w:widowControl/>
        <w:numPr>
          <w:ilvl w:val="0"/>
          <w:numId w:val="189"/>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用户故事</w:t>
      </w:r>
      <w:r>
        <w:rPr>
          <w:rFonts w:ascii="Times New Roman" w:hAnsi="Times New Roman" w:eastAsia="宋体" w:cs="Times New Roman"/>
          <w:i w:val="0"/>
          <w:color w:val="1F2937"/>
          <w:sz w:val="24"/>
          <w:szCs w:val="24"/>
        </w:rPr>
        <w:t>：</w:t>
      </w:r>
    </w:p>
    <w:p w14:paraId="1574BD5B">
      <w:pPr>
        <w:pStyle w:val="19"/>
        <w:widowControl/>
        <w:numPr>
          <w:ilvl w:val="0"/>
          <w:numId w:val="189"/>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As a 碳核算与认证工程师 (Persona P4)，</w:t>
      </w:r>
    </w:p>
    <w:p w14:paraId="42066914">
      <w:pPr>
        <w:pStyle w:val="19"/>
        <w:widowControl/>
        <w:numPr>
          <w:ilvl w:val="0"/>
          <w:numId w:val="189"/>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I want 将证书原件加密存证并结构化登记覆盖产品型号白名单，按 90/30/7 天分级预警并在失效时自动下架数字碳标签，</w:t>
      </w:r>
    </w:p>
    <w:p w14:paraId="08BF06EA">
      <w:pPr>
        <w:pStyle w:val="19"/>
        <w:widowControl/>
        <w:numPr>
          <w:ilvl w:val="0"/>
          <w:numId w:val="189"/>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So that 我能确保对外发布的碳标签始终基于有效认证，杜绝过期证书被误用。</w:t>
      </w:r>
    </w:p>
    <w:p w14:paraId="1644A62C">
      <w:pPr>
        <w:pStyle w:val="6"/>
        <w:numPr>
          <w:ilvl w:val="0"/>
          <w:numId w:val="19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功能规格与交互契约</w:t>
      </w:r>
    </w:p>
    <w:p w14:paraId="2869950B">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证书原件加密存证与验真</w:t>
      </w:r>
      <w:r>
        <w:rPr>
          <w:rFonts w:ascii="Times New Roman" w:hAnsi="Times New Roman" w:eastAsia="宋体" w:cs="Times New Roman"/>
          <w:i w:val="0"/>
          <w:color w:val="1F2937"/>
          <w:sz w:val="24"/>
          <w:szCs w:val="24"/>
        </w:rPr>
        <w:t>：证书 PDF 原件落盘 AES-256 加密，登记签发机构数字签名与公钥证书 ID；验真时执行签名校验与 PDF 哈希比对，二者须同时通过。</w:t>
      </w:r>
    </w:p>
    <w:p w14:paraId="20D125AC">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证书结构化登记：登记证书全局编号、签发机构、认证标准、生效起止日期、覆盖产品型号白名单与证书存续状态，型号逐条校验存在于产品主数据。</w:t>
      </w:r>
    </w:p>
    <w:p w14:paraId="1DAEE333">
      <w:pPr>
        <w:pStyle w:val="19"/>
        <w:widowControl/>
        <w:numPr>
          <w:ilvl w:val="0"/>
          <w:numId w:val="190"/>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90 / 30 / 7 天分级到期预警：每日健康检查计算剩余有效天数，按 90 天级、30 天级、7 天级三档推送至 P4 与 PM，并在证书台账首列展示预警级别。</w:t>
      </w:r>
    </w:p>
    <w:p w14:paraId="3817ADF4">
      <w:pPr>
        <w:pStyle w:val="19"/>
        <w:widowControl/>
        <w:numPr>
          <w:ilvl w:val="0"/>
          <w:numId w:val="19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证书过期自动熔断</w:t>
      </w:r>
      <w:r>
        <w:rPr>
          <w:rFonts w:ascii="Times New Roman" w:hAnsi="Times New Roman" w:eastAsia="宋体" w:cs="Times New Roman"/>
          <w:i w:val="0"/>
          <w:color w:val="1F2937"/>
          <w:sz w:val="24"/>
          <w:szCs w:val="24"/>
        </w:rPr>
        <w:t>：到期未完成续期的证书自动置为「失效」，同步下架其关联的数字碳标签并关闭对应产品的标签发布开关，页面标注「已失效」。</w:t>
      </w:r>
    </w:p>
    <w:p w14:paraId="07FD1336">
      <w:pPr>
        <w:pStyle w:val="19"/>
        <w:widowControl/>
        <w:numPr>
          <w:ilvl w:val="0"/>
          <w:numId w:val="19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证书吊销与撤回处理</w:t>
      </w:r>
      <w:r>
        <w:rPr>
          <w:rFonts w:ascii="Times New Roman" w:hAnsi="Times New Roman" w:eastAsia="宋体" w:cs="Times New Roman"/>
          <w:i w:val="0"/>
          <w:color w:val="1F2937"/>
          <w:sz w:val="24"/>
          <w:szCs w:val="24"/>
        </w:rPr>
        <w:t>：机构吊销或自身申请撤回时执行吊销动作，立即熔断全部已授权渠道，并向客户公示页下发展示禁令。</w:t>
      </w:r>
    </w:p>
    <w:p w14:paraId="3AA5530F">
      <w:pPr>
        <w:pStyle w:val="19"/>
        <w:widowControl/>
        <w:numPr>
          <w:ilvl w:val="0"/>
          <w:numId w:val="190"/>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数字碳标签签发与授权</w:t>
      </w:r>
      <w:r>
        <w:rPr>
          <w:rFonts w:ascii="Times New Roman" w:hAnsi="Times New Roman" w:eastAsia="宋体" w:cs="Times New Roman"/>
          <w:i w:val="0"/>
          <w:color w:val="1F2937"/>
          <w:sz w:val="24"/>
          <w:szCs w:val="24"/>
        </w:rPr>
        <w:t>：经有效证书授权后签发全局唯一授权码，标签内容仅包含认证标准、证书编号、碳足迹结果与验真二维码，不含任何商密字段。</w:t>
      </w:r>
    </w:p>
    <w:p w14:paraId="0C39C8AF">
      <w:pPr>
        <w:pStyle w:val="19"/>
        <w:widowControl/>
        <w:rPr>
          <w:rFonts w:ascii="Times New Roman" w:hAnsi="Times New Roman" w:eastAsia="宋体" w:cs="Times New Roman"/>
          <w:i w:val="0"/>
          <w:color w:val="1F2937"/>
          <w:sz w:val="24"/>
          <w:szCs w:val="24"/>
        </w:rPr>
      </w:pPr>
      <w:r>
        <w:rPr>
          <w:rFonts w:ascii="Times New Roman" w:hAnsi="Times New Roman" w:eastAsia="宋体" w:cs="Times New Roman"/>
          <w:b/>
          <w:i w:val="0"/>
          <w:color w:val="1E3A8A"/>
          <w:sz w:val="24"/>
          <w:szCs w:val="24"/>
        </w:rPr>
        <w:t>对外公示白名单授权</w:t>
      </w:r>
      <w:r>
        <w:rPr>
          <w:rFonts w:ascii="Times New Roman" w:hAnsi="Times New Roman" w:eastAsia="宋体" w:cs="Times New Roman"/>
          <w:i w:val="0"/>
          <w:color w:val="1F2937"/>
          <w:sz w:val="24"/>
          <w:szCs w:val="24"/>
        </w:rPr>
        <w:t>：按产品型号与客户范围授权公示，分为不公示 / 内部可见 / 客户可见 / 公开四档；未授权对象的查询一律返回「未授权公示」占位。</w:t>
      </w:r>
    </w:p>
    <w:p w14:paraId="496DF555">
      <w:pPr>
        <w:pStyle w:val="19"/>
        <w:widowControl/>
        <w:rPr>
          <w:rFonts w:ascii="Times New Roman" w:hAnsi="Times New Roman" w:eastAsia="宋体" w:cs="Times New Roman"/>
          <w:i w:val="0"/>
          <w:color w:val="1F2937"/>
          <w:sz w:val="24"/>
          <w:szCs w:val="24"/>
        </w:rPr>
      </w:pPr>
    </w:p>
    <w:p w14:paraId="4E6763F2">
      <w:pPr>
        <w:pStyle w:val="19"/>
        <w:widowControl/>
        <w:rPr>
          <w:rFonts w:ascii="Times New Roman" w:hAnsi="Times New Roman" w:eastAsia="宋体" w:cs="Times New Roman"/>
          <w:i w:val="0"/>
          <w:color w:val="1F2937"/>
          <w:sz w:val="24"/>
          <w:szCs w:val="24"/>
        </w:rPr>
      </w:pPr>
    </w:p>
    <w:p w14:paraId="7FEC6372">
      <w:pPr>
        <w:pStyle w:val="6"/>
        <w:numPr>
          <w:ilvl w:val="0"/>
          <w:numId w:val="19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98"/>
        <w:gridCol w:w="2021"/>
        <w:gridCol w:w="1380"/>
        <w:gridCol w:w="1306"/>
        <w:gridCol w:w="4179"/>
      </w:tblGrid>
      <w:tr w14:paraId="67DF2DBD">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41C933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202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D9010E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字段中文名称</w:t>
            </w:r>
          </w:p>
        </w:tc>
        <w:tc>
          <w:tcPr>
            <w:tcW w:w="138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1B91A7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130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945E93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417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B68151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校验与约束规则</w:t>
            </w:r>
          </w:p>
        </w:tc>
      </w:tr>
      <w:tr w14:paraId="122BCD1D">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BB22F3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C45A09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证书全局编号</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81A7BF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8E7042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30335B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唯一，格式  CERT-GLB-&lt;机构码&gt;-&lt;序号&gt;</w:t>
            </w:r>
          </w:p>
        </w:tc>
      </w:tr>
      <w:tr w14:paraId="5E8DB236">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B0DF3C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AF9F52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签发机构公钥证书ID</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A3674C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C37CBB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165A6A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非空，用于证书签名验真；公钥过期时验真结果判定为失败</w:t>
            </w:r>
          </w:p>
        </w:tc>
      </w:tr>
      <w:tr w14:paraId="04CBD5F6">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1EA230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C863F7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认证标准</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6ABE52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88C9A0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EC0606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ISO 14067:2018 / PAS 2050:2011</w:t>
            </w:r>
          </w:p>
        </w:tc>
      </w:tr>
      <w:tr w14:paraId="167DDB62">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6DD3A3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599EA4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生效日期</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A61D66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Date</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FCFD46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YYYY-MM-DD</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5376E7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w:t>
            </w:r>
          </w:p>
        </w:tc>
      </w:tr>
      <w:tr w14:paraId="3A98942B">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460C63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B0D9AA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失效日期</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8E7831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Date</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7588A7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YYYY-MM-DD</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8B1FE8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非空，必须晚于生效日期</w:t>
            </w:r>
          </w:p>
        </w:tc>
      </w:tr>
      <w:tr w14:paraId="2C331E01">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6C9936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D4353D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覆盖产品型号白名单</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F7B219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JSON</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521EF3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18B50A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非空，逐条校验型号存在于产品主数据</w:t>
            </w:r>
          </w:p>
        </w:tc>
      </w:tr>
      <w:tr w14:paraId="2B6DBC40">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1F7C63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AC4EDB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数字碳标签关联授权码</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80FF3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FD1635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D1F028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全局唯一，格式  LBL-&lt;32位随机串&gt; ；一证多码须同源</w:t>
            </w:r>
          </w:p>
        </w:tc>
      </w:tr>
      <w:tr w14:paraId="56A157EE">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F71B35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8AF517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证书存续状态</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02D774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DB34F4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D8A8CA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有效 / 临期 / 失效 / 吊销</w:t>
            </w:r>
          </w:p>
        </w:tc>
      </w:tr>
      <w:tr w14:paraId="3CCFA430">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2E00A3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97DCA7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剩余有效天数</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34BFF1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Int</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D04265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天</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F26480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失效日期 − 当前日期，允许为负值（表示已过期天数）</w:t>
            </w:r>
          </w:p>
        </w:tc>
      </w:tr>
      <w:tr w14:paraId="28A42F2B">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61264C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3A24E3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证书 PDF 存证哈希</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46B19D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String</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E61031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SHA-256</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6DB5E2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非空，防篡改存证</w:t>
            </w:r>
          </w:p>
        </w:tc>
      </w:tr>
      <w:tr w14:paraId="791DC26D">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4D3C7A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11</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9854E8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证书验真结果</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D8422A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A48995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ECDA32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未验真 / 通过 / 失败</w:t>
            </w:r>
          </w:p>
        </w:tc>
      </w:tr>
      <w:tr w14:paraId="6534F3B0">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890079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12</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26D325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对外公示授权范围</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6E60A3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Enum</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E63AD5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EC385D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不公示 / 内部可见 / 客户可见 / 公开</w:t>
            </w:r>
          </w:p>
        </w:tc>
      </w:tr>
      <w:tr w14:paraId="3D0AF118">
        <w:tblPrEx>
          <w:tblCellMar>
            <w:top w:w="0" w:type="dxa"/>
            <w:left w:w="108" w:type="dxa"/>
            <w:bottom w:w="0" w:type="dxa"/>
            <w:right w:w="108" w:type="dxa"/>
          </w:tblCellMar>
        </w:tblPrEx>
        <w:trPr>
          <w:jc w:val="center"/>
        </w:trPr>
        <w:tc>
          <w:tcPr>
            <w:tcW w:w="89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68C092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13</w:t>
            </w:r>
          </w:p>
        </w:tc>
        <w:tc>
          <w:tcPr>
            <w:tcW w:w="20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BEA2FF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熔断触发时间</w:t>
            </w:r>
          </w:p>
        </w:tc>
        <w:tc>
          <w:tcPr>
            <w:tcW w:w="138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9306F8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DateTime</w:t>
            </w:r>
          </w:p>
        </w:tc>
        <w:tc>
          <w:tcPr>
            <w:tcW w:w="13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45D720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YYYY-MM-DD HH:mm:ss</w:t>
            </w:r>
          </w:p>
        </w:tc>
        <w:tc>
          <w:tcPr>
            <w:tcW w:w="41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ADFD97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证书失效或吊销动作触发时写入，不可修改</w:t>
            </w:r>
          </w:p>
        </w:tc>
      </w:tr>
    </w:tbl>
    <w:p w14:paraId="50D491BF">
      <w:pPr>
        <w:spacing w:after="60"/>
        <w:rPr>
          <w:rFonts w:hint="eastAsia" w:ascii="宋体" w:hAnsi="宋体" w:eastAsia="宋体" w:cs="宋体"/>
          <w:i w:val="0"/>
          <w:iCs w:val="0"/>
          <w:sz w:val="24"/>
          <w:szCs w:val="24"/>
        </w:rPr>
      </w:pPr>
    </w:p>
    <w:p w14:paraId="6C0B942B">
      <w:pPr>
        <w:pStyle w:val="6"/>
        <w:numPr>
          <w:ilvl w:val="0"/>
          <w:numId w:val="19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核心数学模型与算法框架</w:t>
      </w:r>
    </w:p>
    <w:tbl>
      <w:tblPr>
        <w:tblStyle w:val="38"/>
        <w:tblW w:w="5000" w:type="pct"/>
        <w:jc w:val="center"/>
        <w:tblLayout w:type="autofit"/>
        <w:tblCellMar>
          <w:top w:w="0" w:type="dxa"/>
          <w:left w:w="108" w:type="dxa"/>
          <w:bottom w:w="0" w:type="dxa"/>
          <w:right w:w="108" w:type="dxa"/>
        </w:tblCellMar>
      </w:tblPr>
      <w:tblGrid>
        <w:gridCol w:w="9514"/>
      </w:tblGrid>
      <w:tr w14:paraId="7D24F5CC">
        <w:tblPrEx>
          <w:tblCellMar>
            <w:top w:w="0" w:type="dxa"/>
            <w:left w:w="108" w:type="dxa"/>
            <w:bottom w:w="0" w:type="dxa"/>
            <w:right w:w="108" w:type="dxa"/>
          </w:tblCellMar>
        </w:tblPrEx>
        <w:trPr>
          <w:jc w:val="center"/>
        </w:trPr>
        <w:tc>
          <w:tcPr>
            <w:tcW w:w="5000" w:type="pct"/>
            <w:tcBorders>
              <w:top w:val="nil"/>
              <w:left w:val="single" w:color="16A34A" w:sz="24" w:space="0"/>
              <w:bottom w:val="nil"/>
              <w:right w:val="nil"/>
            </w:tcBorders>
            <w:shd w:val="clear" w:color="auto" w:fill="F0FDF4"/>
            <w:tcMar>
              <w:top w:w="70" w:type="dxa"/>
              <w:left w:w="100" w:type="dxa"/>
              <w:bottom w:w="70" w:type="dxa"/>
              <w:right w:w="100" w:type="dxa"/>
            </w:tcMar>
          </w:tcPr>
          <w:p w14:paraId="399FED55">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Days_left = Valid_To − Date_Today                          证书剩余有效天数</w:t>
            </w:r>
          </w:p>
          <w:p w14:paraId="7917E853">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Warn_Level = Days_left ≤ 7 ? 7天级 : ( Days_left ≤ 30 ? 30天级 : ( Days_left ≤ 90 ? 90天级 : 无 ) )                          分级预警判定</w:t>
            </w:r>
          </w:p>
          <w:p w14:paraId="600E3F9F">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Cert_State = 吊销 if Revoked ; 失效 if Days_left ≤ 0 ; 临期 if Days_left ≤ 90 ; 有效 otherwise                          证书存续状态机</w:t>
            </w:r>
          </w:p>
          <w:p w14:paraId="331735F0">
            <w:pPr>
              <w:spacing w:before="0" w:after="20" w:line="276" w:lineRule="auto"/>
              <w:rPr>
                <w:rFonts w:hint="eastAsia" w:ascii="宋体" w:hAnsi="宋体" w:eastAsia="宋体" w:cs="宋体"/>
                <w:i w:val="0"/>
                <w:iCs w:val="0"/>
                <w:sz w:val="24"/>
                <w:szCs w:val="24"/>
              </w:rPr>
            </w:pPr>
            <w:r>
              <w:rPr>
                <w:rFonts w:hint="eastAsia" w:ascii="宋体" w:hAnsi="宋体" w:eastAsia="宋体" w:cs="宋体"/>
                <w:b/>
                <w:i w:val="0"/>
                <w:iCs w:val="0"/>
                <w:color w:val="1E3A8A"/>
                <w:sz w:val="24"/>
                <w:szCs w:val="24"/>
              </w:rPr>
              <w:t>Label_Allowed = ( Cert_State ∈ { 有效 , 临期 } ) AND ( Hash_Verify == true ) AND ( Signature_Verify == true )                          碳标签发布准入</w:t>
            </w:r>
          </w:p>
        </w:tc>
      </w:tr>
    </w:tbl>
    <w:p w14:paraId="4F7DA6EF">
      <w:pPr>
        <w:spacing w:after="40"/>
        <w:rPr>
          <w:rFonts w:hint="eastAsia" w:ascii="宋体" w:hAnsi="宋体" w:eastAsia="宋体" w:cs="宋体"/>
          <w:i w:val="0"/>
          <w:iCs w:val="0"/>
          <w:sz w:val="24"/>
          <w:szCs w:val="24"/>
        </w:rPr>
      </w:pPr>
    </w:p>
    <w:p w14:paraId="5041400C">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变量定义与取值约定</w:t>
      </w:r>
      <w:r>
        <w:rPr>
          <w:rFonts w:ascii="Times New Roman" w:hAnsi="Times New Roman" w:eastAsia="宋体" w:cs="Times New Roman"/>
          <w:i w:val="0"/>
          <w:color w:val="1F2937"/>
          <w:sz w:val="24"/>
          <w:szCs w:val="24"/>
        </w:rPr>
        <w:t xml:space="preserve">：证书 PDF 哈希校验与签发机构签名校验必须同时通过，任一失败则  </w:t>
      </w:r>
      <w:r>
        <w:rPr>
          <w:rFonts w:ascii="Times New Roman" w:hAnsi="Times New Roman" w:eastAsia="宋体" w:cs="Times New Roman"/>
          <w:b/>
          <w:i w:val="0"/>
          <w:color w:val="1E3A8A"/>
          <w:sz w:val="24"/>
          <w:szCs w:val="24"/>
        </w:rPr>
        <w:t>Label_Allowed</w:t>
      </w:r>
      <w:r>
        <w:rPr>
          <w:rFonts w:ascii="Times New Roman" w:hAnsi="Times New Roman" w:eastAsia="宋体" w:cs="Times New Roman"/>
          <w:i w:val="0"/>
          <w:color w:val="1F2937"/>
          <w:sz w:val="24"/>
          <w:szCs w:val="24"/>
        </w:rPr>
        <w:t xml:space="preserve">  立即置为 false 并暂停对应产品碳标签发布；90 / 30 / 7 天三级阈值为固定业务铁律，不可配置。</w:t>
      </w:r>
    </w:p>
    <w:p w14:paraId="2C84ED44">
      <w:pPr>
        <w:pStyle w:val="6"/>
        <w:numPr>
          <w:ilvl w:val="0"/>
          <w:numId w:val="19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展示、对标与判定口径</w:t>
      </w:r>
    </w:p>
    <w:p w14:paraId="66F01D81">
      <w:pPr>
        <w:pStyle w:val="19"/>
        <w:widowControl/>
        <w:numPr>
          <w:ilvl w:val="0"/>
          <w:numId w:val="19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预警口径</w:t>
      </w:r>
      <w:r>
        <w:rPr>
          <w:rFonts w:ascii="Times New Roman" w:hAnsi="Times New Roman" w:eastAsia="宋体" w:cs="Times New Roman"/>
          <w:i w:val="0"/>
          <w:color w:val="1F2937"/>
          <w:sz w:val="24"/>
          <w:szCs w:val="24"/>
        </w:rPr>
        <w:t>：90 / 30 / 7 天三级预警阈值为固定铁律，预警只触发提醒不改变证书状态；证书状态仅由剩余有效天数与吊销标记决定。</w:t>
      </w:r>
    </w:p>
    <w:p w14:paraId="0EF461F9">
      <w:pPr>
        <w:pStyle w:val="19"/>
        <w:widowControl/>
        <w:numPr>
          <w:ilvl w:val="0"/>
          <w:numId w:val="19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熔断口径</w:t>
      </w:r>
      <w:r>
        <w:rPr>
          <w:rFonts w:ascii="Times New Roman" w:hAnsi="Times New Roman" w:eastAsia="宋体" w:cs="Times New Roman"/>
          <w:i w:val="0"/>
          <w:color w:val="1F2937"/>
          <w:sz w:val="24"/>
          <w:szCs w:val="24"/>
        </w:rPr>
        <w:t>：证书失效或吊销即自动熔断，下架动作与状态变更在同一事务内完成，不允许出现「状态已失效但标签仍可发布」的中间态。</w:t>
      </w:r>
    </w:p>
    <w:p w14:paraId="0154CA0F">
      <w:pPr>
        <w:pStyle w:val="19"/>
        <w:widowControl/>
        <w:numPr>
          <w:ilvl w:val="0"/>
          <w:numId w:val="19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验真口径</w:t>
      </w:r>
      <w:r>
        <w:rPr>
          <w:rFonts w:ascii="Times New Roman" w:hAnsi="Times New Roman" w:eastAsia="宋体" w:cs="Times New Roman"/>
          <w:i w:val="0"/>
          <w:color w:val="1F2937"/>
          <w:sz w:val="24"/>
          <w:szCs w:val="24"/>
        </w:rPr>
        <w:t>：验真须同时通过 PDF 哈希比对与签发机构签名校验，仅通过其一判定为验真失败。</w:t>
      </w:r>
    </w:p>
    <w:p w14:paraId="4DDCF879">
      <w:pPr>
        <w:pStyle w:val="19"/>
        <w:widowControl/>
        <w:numPr>
          <w:ilvl w:val="0"/>
          <w:numId w:val="191"/>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公示口径</w:t>
      </w:r>
      <w:r>
        <w:rPr>
          <w:rFonts w:ascii="Times New Roman" w:hAnsi="Times New Roman" w:eastAsia="宋体" w:cs="Times New Roman"/>
          <w:i w:val="0"/>
          <w:color w:val="1F2937"/>
          <w:sz w:val="24"/>
          <w:szCs w:val="24"/>
        </w:rPr>
        <w:t>：对外公示一律走白名单授权，白名单外对象返回「未授权公示」占位；公示内容不含工艺配方、采购单价与人员信息。</w:t>
      </w:r>
    </w:p>
    <w:p w14:paraId="6871A47B">
      <w:pPr>
        <w:pStyle w:val="6"/>
        <w:numPr>
          <w:ilvl w:val="0"/>
          <w:numId w:val="193"/>
        </w:numPr>
        <w:ind w:left="0" w:leftChars="0" w:firstLine="0" w:firstLineChars="0"/>
        <w:outlineLvl w:val="2"/>
        <w:rPr>
          <w:rFonts w:hint="eastAsia" w:eastAsia="黑体"/>
          <w:b w:val="0"/>
          <w:bCs/>
          <w:sz w:val="28"/>
          <w:szCs w:val="28"/>
        </w:rPr>
      </w:pPr>
      <w:r>
        <w:rPr>
          <w:rFonts w:ascii="Times New Roman" w:hAnsi="Times New Roman" w:eastAsia="黑体" w:cs="Times New Roman"/>
          <w:b w:val="0"/>
          <w:bCs/>
          <w:sz w:val="28"/>
          <w:szCs w:val="28"/>
        </w:rPr>
        <w:t>边界条件、异常处理与防错规则</w:t>
      </w:r>
    </w:p>
    <w:tbl>
      <w:tblPr>
        <w:tblStyle w:val="38"/>
        <w:tblW w:w="5000" w:type="pct"/>
        <w:jc w:val="center"/>
        <w:tblLayout w:type="autofit"/>
        <w:tblCellMar>
          <w:top w:w="0" w:type="dxa"/>
          <w:left w:w="108" w:type="dxa"/>
          <w:bottom w:w="0" w:type="dxa"/>
          <w:right w:w="108" w:type="dxa"/>
        </w:tblCellMar>
      </w:tblPr>
      <w:tblGrid>
        <w:gridCol w:w="9514"/>
      </w:tblGrid>
      <w:tr w14:paraId="2D1EF627">
        <w:tblPrEx>
          <w:tblCellMar>
            <w:top w:w="0" w:type="dxa"/>
            <w:left w:w="108" w:type="dxa"/>
            <w:bottom w:w="0" w:type="dxa"/>
            <w:right w:w="108" w:type="dxa"/>
          </w:tblCellMar>
        </w:tblPrEx>
        <w:trPr>
          <w:jc w:val="center"/>
        </w:trPr>
        <w:tc>
          <w:tcPr>
            <w:tcW w:w="5000" w:type="pct"/>
            <w:tcBorders>
              <w:top w:val="nil"/>
              <w:left w:val="single" w:color="DC2626" w:sz="24" w:space="0"/>
              <w:bottom w:val="nil"/>
              <w:right w:val="nil"/>
            </w:tcBorders>
            <w:shd w:val="clear" w:color="auto" w:fill="FEF2F2"/>
            <w:tcMar>
              <w:top w:w="70" w:type="dxa"/>
              <w:left w:w="100" w:type="dxa"/>
              <w:bottom w:w="70" w:type="dxa"/>
              <w:right w:w="100" w:type="dxa"/>
            </w:tcMar>
          </w:tcPr>
          <w:p w14:paraId="7DC90055">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证书 PDF 哈希校验失败：触发  E_AUDIT_HASH_BROKEN ，标记「证书已被非法篡改」并锁定单据。</w:t>
            </w:r>
          </w:p>
          <w:p w14:paraId="41DC641B">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签发机构公钥证书过期：验真结果判定为失败，并提示更新机构公钥证书。</w:t>
            </w:r>
          </w:p>
          <w:p w14:paraId="541A9EFE">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证书到期未续：自动熔断并下架数字碳标签，页面标注「已失效」。</w:t>
            </w:r>
          </w:p>
          <w:p w14:paraId="657BBC80">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证书被机构吊销：立即熔断，并向所有已授权渠道下发展示禁令。</w:t>
            </w:r>
          </w:p>
          <w:p w14:paraId="77A37C09">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覆盖产品型号不在产品主数据：拒绝登记并提示型号不存在。</w:t>
            </w:r>
          </w:p>
          <w:p w14:paraId="7DF88C5C">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同一产品型号存在多张有效证书：以最近签发生效者为准，其余标记「历史版本」且不可用于标签发布。</w:t>
            </w:r>
          </w:p>
          <w:p w14:paraId="2F665607">
            <w:pPr>
              <w:spacing w:before="20" w:after="40" w:line="276" w:lineRule="auto"/>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未授权对象查询公示内容：输出拦截，仅返回「未授权公示」占位。</w:t>
            </w:r>
          </w:p>
        </w:tc>
      </w:tr>
    </w:tbl>
    <w:p w14:paraId="419BF54E">
      <w:pPr>
        <w:spacing w:after="40"/>
        <w:rPr>
          <w:rFonts w:hint="eastAsia" w:ascii="宋体" w:hAnsi="宋体" w:eastAsia="宋体" w:cs="宋体"/>
          <w:i w:val="0"/>
          <w:iCs w:val="0"/>
          <w:sz w:val="24"/>
          <w:szCs w:val="24"/>
        </w:rPr>
      </w:pPr>
    </w:p>
    <w:p w14:paraId="18C8B562">
      <w:pPr>
        <w:pStyle w:val="6"/>
        <w:numPr>
          <w:ilvl w:val="0"/>
          <w:numId w:val="193"/>
        </w:numPr>
        <w:ind w:left="0" w:leftChars="0" w:firstLine="0" w:firstLineChars="0"/>
        <w:outlineLvl w:val="2"/>
        <w:rPr>
          <w:rFonts w:eastAsia="黑体"/>
          <w:b w:val="0"/>
          <w:bCs/>
          <w:sz w:val="28"/>
          <w:szCs w:val="28"/>
        </w:rPr>
      </w:pPr>
      <w:r>
        <w:rPr>
          <w:rFonts w:ascii="Times New Roman" w:hAnsi="Times New Roman" w:eastAsia="黑体" w:cs="Times New Roman"/>
          <w:b w:val="0"/>
          <w:bCs/>
          <w:sz w:val="28"/>
          <w:szCs w:val="28"/>
        </w:rPr>
        <w:t>QA 自动化验收准则（Gherkin BDD）</w:t>
      </w:r>
    </w:p>
    <w:tbl>
      <w:tblPr>
        <w:tblStyle w:val="38"/>
        <w:tblW w:w="5000" w:type="pct"/>
        <w:jc w:val="center"/>
        <w:tblLayout w:type="autofit"/>
        <w:tblCellMar>
          <w:top w:w="0" w:type="dxa"/>
          <w:left w:w="108" w:type="dxa"/>
          <w:bottom w:w="0" w:type="dxa"/>
          <w:right w:w="108" w:type="dxa"/>
        </w:tblCellMar>
      </w:tblPr>
      <w:tblGrid>
        <w:gridCol w:w="9514"/>
      </w:tblGrid>
      <w:tr w14:paraId="0DF401A0">
        <w:tblPrEx>
          <w:tblCellMar>
            <w:top w:w="0" w:type="dxa"/>
            <w:left w:w="108" w:type="dxa"/>
            <w:bottom w:w="0" w:type="dxa"/>
            <w:right w:w="108" w:type="dxa"/>
          </w:tblCellMar>
        </w:tblPrEx>
        <w:trPr>
          <w:jc w:val="center"/>
        </w:trPr>
        <w:tc>
          <w:tcPr>
            <w:tcW w:w="5000" w:type="pct"/>
            <w:tcBorders>
              <w:top w:val="nil"/>
              <w:left w:val="single" w:color="7C3AED" w:sz="24" w:space="0"/>
              <w:bottom w:val="nil"/>
              <w:right w:val="nil"/>
            </w:tcBorders>
            <w:shd w:val="clear" w:color="auto" w:fill="F5F3FF"/>
            <w:tcMar>
              <w:top w:w="70" w:type="dxa"/>
              <w:left w:w="100" w:type="dxa"/>
              <w:bottom w:w="70" w:type="dxa"/>
              <w:right w:w="100" w:type="dxa"/>
            </w:tcMar>
          </w:tcPr>
          <w:p w14:paraId="6530E2E7">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证书到期分级预警</w:t>
            </w:r>
          </w:p>
          <w:p w14:paraId="7BB9DFEB">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Given 某认证证书的失效日期距今剩余 25 天</w:t>
            </w:r>
          </w:p>
          <w:p w14:paraId="6725C77D">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When 系统执行每日证书健康检查</w:t>
            </w:r>
          </w:p>
          <w:p w14:paraId="3D652F96">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Then 触发 30 天级预警并推送至 P4 与 PM</w:t>
            </w:r>
          </w:p>
          <w:p w14:paraId="7510AD6E">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When 剩余有效天数变为 5 天</w:t>
            </w:r>
          </w:p>
          <w:p w14:paraId="363DD949">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Then 触发 7 天级预警</w:t>
            </w:r>
          </w:p>
          <w:p w14:paraId="70CDBEDF">
            <w:pPr>
              <w:spacing w:before="0" w:after="20" w:line="264" w:lineRule="auto"/>
              <w:rPr>
                <w:rFonts w:hint="eastAsia" w:ascii="宋体" w:hAnsi="宋体" w:eastAsia="宋体" w:cs="宋体"/>
                <w:i w:val="0"/>
                <w:iCs w:val="0"/>
                <w:sz w:val="24"/>
                <w:szCs w:val="24"/>
              </w:rPr>
            </w:pPr>
          </w:p>
          <w:p w14:paraId="5DBF64A7">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证书失效自动熔断下架碳标签</w:t>
            </w:r>
          </w:p>
          <w:p w14:paraId="30F48B97">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Given 某产品认证证书已于昨日到期且尚未完成续期</w:t>
            </w:r>
          </w:p>
          <w:p w14:paraId="7307D5FB">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When 系统尝试发布该产品的数字碳标签</w:t>
            </w:r>
          </w:p>
          <w:p w14:paraId="62100652">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Then 碳标签发布被暂停且标签同步下架</w:t>
            </w:r>
          </w:p>
          <w:p w14:paraId="2F4DC6C3">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And 证书存续状态自动标记为"失效"</w:t>
            </w:r>
          </w:p>
          <w:p w14:paraId="41B5155B">
            <w:pPr>
              <w:spacing w:before="0" w:after="20" w:line="264" w:lineRule="auto"/>
              <w:rPr>
                <w:rFonts w:hint="eastAsia" w:ascii="宋体" w:hAnsi="宋体" w:eastAsia="宋体" w:cs="宋体"/>
                <w:i w:val="0"/>
                <w:iCs w:val="0"/>
                <w:sz w:val="24"/>
                <w:szCs w:val="24"/>
              </w:rPr>
            </w:pPr>
          </w:p>
          <w:p w14:paraId="7D52B321">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证书哈希校验失败锁定单据</w:t>
            </w:r>
          </w:p>
          <w:p w14:paraId="7A0F1ADB">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Given 某证书 PDF 原件被非法替换</w:t>
            </w:r>
          </w:p>
          <w:p w14:paraId="22657D76">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When 系统执行证书验真</w:t>
            </w:r>
          </w:p>
          <w:p w14:paraId="016EABB7">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Then PDF 哈希比对失败并触发 E_AUDIT_HASH_BROKEN</w:t>
            </w:r>
          </w:p>
          <w:p w14:paraId="6D85ACDE">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And 单据被锁定且页面标记"证书已被非法篡改"</w:t>
            </w:r>
          </w:p>
          <w:p w14:paraId="2AACF7E0">
            <w:pPr>
              <w:spacing w:before="0" w:after="20" w:line="264" w:lineRule="auto"/>
              <w:rPr>
                <w:rFonts w:hint="eastAsia" w:ascii="宋体" w:hAnsi="宋体" w:eastAsia="宋体" w:cs="宋体"/>
                <w:i w:val="0"/>
                <w:iCs w:val="0"/>
                <w:sz w:val="24"/>
                <w:szCs w:val="24"/>
              </w:rPr>
            </w:pPr>
          </w:p>
          <w:p w14:paraId="35D044F7">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证书吊销即时熔断全部授权渠道</w:t>
            </w:r>
          </w:p>
          <w:p w14:paraId="02040D1F">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Given 签发机构吊销某产品认证证书</w:t>
            </w:r>
          </w:p>
          <w:p w14:paraId="769BC2EA">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When 系统接收吊销结论</w:t>
            </w:r>
          </w:p>
          <w:p w14:paraId="4FE5CF89">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Then 证书存续状态置为"吊销"</w:t>
            </w:r>
          </w:p>
          <w:p w14:paraId="20557D78">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And 向所有已授权渠道下发展示禁令</w:t>
            </w:r>
          </w:p>
          <w:p w14:paraId="572C2D59">
            <w:pPr>
              <w:spacing w:before="0" w:after="20" w:line="264" w:lineRule="auto"/>
              <w:rPr>
                <w:rFonts w:hint="eastAsia" w:ascii="宋体" w:hAnsi="宋体" w:eastAsia="宋体" w:cs="宋体"/>
                <w:i w:val="0"/>
                <w:iCs w:val="0"/>
                <w:sz w:val="24"/>
                <w:szCs w:val="24"/>
              </w:rPr>
            </w:pPr>
          </w:p>
          <w:p w14:paraId="54E14258">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Scenario: 同一型号多张有效证书以最近签发生效者为准</w:t>
            </w:r>
          </w:p>
          <w:p w14:paraId="5542AE35">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Given 某产品型号存在两张均处于有效期的认证证书</w:t>
            </w:r>
          </w:p>
          <w:p w14:paraId="545CE5F5">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When 系统签发该产品的数字碳标签</w:t>
            </w:r>
          </w:p>
          <w:p w14:paraId="5FFC8E72">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Then 以最近签发生效的证书作为标签依据</w:t>
            </w:r>
          </w:p>
          <w:p w14:paraId="7B37C50C">
            <w:pPr>
              <w:spacing w:before="0" w:after="20" w:line="264" w:lineRule="auto"/>
              <w:rPr>
                <w:rFonts w:hint="eastAsia" w:ascii="宋体" w:hAnsi="宋体" w:eastAsia="宋体" w:cs="宋体"/>
                <w:i w:val="0"/>
                <w:iCs w:val="0"/>
                <w:sz w:val="24"/>
                <w:szCs w:val="24"/>
              </w:rPr>
            </w:pPr>
            <w:r>
              <w:rPr>
                <w:rFonts w:hint="eastAsia" w:ascii="宋体" w:hAnsi="宋体" w:eastAsia="宋体" w:cs="宋体"/>
                <w:b/>
                <w:i w:val="0"/>
                <w:iCs w:val="0"/>
                <w:color w:val="0284C7"/>
                <w:sz w:val="24"/>
                <w:szCs w:val="24"/>
              </w:rPr>
              <w:t xml:space="preserve">    And 另一张证书自动标记为"历史版本"且不可用于标签发布</w:t>
            </w:r>
          </w:p>
        </w:tc>
      </w:tr>
    </w:tbl>
    <w:p w14:paraId="7B206D1E">
      <w:pPr>
        <w:spacing w:after="40"/>
        <w:rPr>
          <w:rFonts w:hint="eastAsia" w:ascii="宋体" w:hAnsi="宋体" w:eastAsia="宋体" w:cs="宋体"/>
          <w:i w:val="0"/>
          <w:iCs w:val="0"/>
          <w:sz w:val="24"/>
          <w:szCs w:val="24"/>
        </w:rPr>
      </w:pPr>
    </w:p>
    <w:p w14:paraId="50FD4253">
      <w:pPr>
        <w:pStyle w:val="4"/>
        <w:numPr>
          <w:ilvl w:val="0"/>
          <w:numId w:val="135"/>
        </w:numPr>
        <w:topLinePunct w:val="0"/>
        <w:ind w:left="0" w:leftChars="0" w:firstLine="0" w:firstLineChars="0"/>
        <w:outlineLvl w:val="0"/>
        <w:rPr>
          <w:rFonts w:hint="eastAsia" w:eastAsia="黑体"/>
          <w:b w:val="0"/>
          <w:bCs w:val="0"/>
          <w:sz w:val="30"/>
          <w:szCs w:val="32"/>
        </w:rPr>
      </w:pPr>
      <w:bookmarkStart w:id="57" w:name="_Toc22621"/>
      <w:r>
        <w:rPr>
          <w:rFonts w:ascii="Times New Roman" w:hAnsi="Times New Roman" w:eastAsia="黑体" w:cs="Times New Roman"/>
          <w:b w:val="0"/>
          <w:bCs w:val="0"/>
          <w:sz w:val="30"/>
          <w:szCs w:val="32"/>
        </w:rPr>
        <w:t>因子库管理</w:t>
      </w:r>
      <w:bookmarkEnd w:id="57"/>
    </w:p>
    <w:p w14:paraId="5DF00DA9">
      <w:pPr>
        <w:pStyle w:val="5"/>
        <w:numPr>
          <w:ilvl w:val="0"/>
          <w:numId w:val="194"/>
        </w:numPr>
        <w:ind w:left="0" w:leftChars="0" w:firstLine="0" w:firstLineChars="0"/>
        <w:outlineLvl w:val="1"/>
        <w:rPr>
          <w:rFonts w:ascii="Times New Roman" w:hAnsi="Times New Roman" w:eastAsia="黑体" w:cs="Times New Roman"/>
          <w:b w:val="0"/>
          <w:bCs w:val="0"/>
          <w:sz w:val="30"/>
          <w:szCs w:val="24"/>
        </w:rPr>
      </w:pPr>
      <w:bookmarkStart w:id="58" w:name="_Toc17942"/>
      <w:r>
        <w:rPr>
          <w:rFonts w:ascii="Times New Roman" w:hAnsi="Times New Roman" w:eastAsia="黑体" w:cs="Times New Roman"/>
          <w:b w:val="0"/>
          <w:bCs w:val="0"/>
          <w:sz w:val="30"/>
          <w:szCs w:val="24"/>
        </w:rPr>
        <w:t>原材料碳排因子</w:t>
      </w:r>
      <w:bookmarkEnd w:id="58"/>
    </w:p>
    <w:p w14:paraId="24F8E329">
      <w:pPr>
        <w:keepNext/>
        <w:keepLines/>
        <w:widowControl w:val="0"/>
        <w:numPr>
          <w:ilvl w:val="0"/>
          <w:numId w:val="0"/>
        </w:numPr>
        <w:adjustRightInd w:val="0"/>
        <w:spacing w:before="200" w:line="300" w:lineRule="auto"/>
        <w:ind w:leftChars="0"/>
        <w:jc w:val="both"/>
        <w:outlineLvl w:val="9"/>
        <w:rPr>
          <w:rFonts w:hint="eastAsia" w:ascii="Times New Roman" w:hAnsi="Times New Roman" w:eastAsia="黑体" w:cs="Times New Roman"/>
          <w:b w:val="0"/>
          <w:bCs/>
          <w:kern w:val="2"/>
          <w:sz w:val="28"/>
          <w:szCs w:val="28"/>
          <w:lang w:bidi="ar-SA"/>
        </w:rPr>
      </w:pPr>
      <w:r>
        <w:drawing>
          <wp:inline distT="0" distB="0" distL="114300" distR="114300">
            <wp:extent cx="5900420" cy="2925445"/>
            <wp:effectExtent l="0" t="0" r="5080" b="8255"/>
            <wp:docPr id="77"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33"/>
                    <pic:cNvPicPr>
                      <a:picLocks noChangeAspect="1"/>
                    </pic:cNvPicPr>
                  </pic:nvPicPr>
                  <pic:blipFill>
                    <a:blip r:embed="rId91"/>
                    <a:stretch>
                      <a:fillRect/>
                    </a:stretch>
                  </pic:blipFill>
                  <pic:spPr>
                    <a:xfrm>
                      <a:off x="0" y="0"/>
                      <a:ext cx="5900420" cy="2925445"/>
                    </a:xfrm>
                    <a:prstGeom prst="rect">
                      <a:avLst/>
                    </a:prstGeom>
                    <a:noFill/>
                    <a:ln>
                      <a:noFill/>
                    </a:ln>
                  </pic:spPr>
                </pic:pic>
              </a:graphicData>
            </a:graphic>
          </wp:inline>
        </w:drawing>
      </w:r>
    </w:p>
    <w:p w14:paraId="4C54DA69">
      <w:pPr>
        <w:pStyle w:val="6"/>
        <w:numPr>
          <w:ilvl w:val="0"/>
          <w:numId w:val="195"/>
        </w:numPr>
        <w:bidi w:val="0"/>
        <w:ind w:left="0" w:leftChars="0" w:firstLine="0" w:firstLineChars="0"/>
        <w:rPr>
          <w:rFonts w:hint="eastAsia" w:ascii="黑体" w:hAnsi="黑体" w:eastAsia="黑体" w:cs="黑体"/>
          <w:sz w:val="28"/>
          <w:szCs w:val="28"/>
        </w:rPr>
      </w:pPr>
      <w:r>
        <w:rPr>
          <w:rFonts w:hint="eastAsia" w:ascii="黑体" w:hAnsi="黑体" w:eastAsia="黑体" w:cs="黑体"/>
          <w:sz w:val="28"/>
          <w:szCs w:val="28"/>
        </w:rPr>
        <w:t>定位与架构角色</w:t>
      </w:r>
    </w:p>
    <w:p w14:paraId="0666A810">
      <w:pPr>
        <w:pStyle w:val="19"/>
        <w:bidi w:val="0"/>
      </w:pPr>
      <w:r>
        <w:rPr>
          <w:b/>
          <w:bCs/>
        </w:rPr>
        <w:t>功能定位</w:t>
      </w:r>
      <w:r>
        <w:t>：作为产品碳足迹全生命周期（LCA）核算与欧盟 CBAM 关税申报的核心物料数据基石，面向变压器与电线电缆两大产业核心主材，提供权威因子建库、当前值与默认值双轨对比、摇篮到大门（Cradle-to-Gate）工序构成拆解、版本不可变冻结与可信回滚体系。</w:t>
      </w:r>
    </w:p>
    <w:p w14:paraId="1DE9B02B">
      <w:pPr>
        <w:pStyle w:val="6"/>
        <w:numPr>
          <w:ilvl w:val="0"/>
          <w:numId w:val="195"/>
        </w:numPr>
        <w:bidi w:val="0"/>
        <w:ind w:left="0" w:leftChars="0" w:firstLine="0" w:firstLineChars="0"/>
        <w:rPr>
          <w:rFonts w:hint="eastAsia" w:ascii="黑体" w:hAnsi="黑体" w:eastAsia="黑体" w:cs="黑体"/>
          <w:sz w:val="28"/>
          <w:szCs w:val="28"/>
        </w:rPr>
      </w:pPr>
      <w:r>
        <w:rPr>
          <w:rFonts w:hint="eastAsia" w:ascii="黑体" w:hAnsi="黑体" w:eastAsia="黑体" w:cs="黑体"/>
          <w:sz w:val="28"/>
          <w:szCs w:val="28"/>
        </w:rPr>
        <w:t>业务场景与用户故事</w:t>
      </w:r>
    </w:p>
    <w:p w14:paraId="3DC080DF">
      <w:pPr>
        <w:pStyle w:val="19"/>
        <w:bidi w:val="0"/>
      </w:pPr>
      <w:r>
        <w:rPr>
          <w:b/>
          <w:bCs/>
        </w:rPr>
        <w:t>业务场景</w:t>
      </w:r>
      <w:r>
        <w:t>：应对国际高标准绿色装备招标或欧盟CBAM碳关税时，碳核算工程师需将行业缺省因子替换为宝钢高牌号取向硅钢片、江西铜业低碳铜杆的供应商一级实测因子，以压降产品碳足迹并建立出海竞争力；某批次实测数据出现争议时，支持</w:t>
      </w:r>
      <w:r>
        <w:rPr>
          <w:rFonts w:hint="eastAsia"/>
          <w:lang w:eastAsia="zh-CN"/>
        </w:rPr>
        <w:t>回</w:t>
      </w:r>
      <w:r>
        <w:t>滚至上一核准基准版本并保留全链审计留痕。</w:t>
      </w:r>
    </w:p>
    <w:p w14:paraId="7043117E">
      <w:pPr>
        <w:pStyle w:val="19"/>
        <w:bidi w:val="0"/>
      </w:pPr>
      <w:r>
        <w:rPr>
          <w:b/>
          <w:bCs/>
        </w:rPr>
        <w:t>用户故事</w:t>
      </w:r>
      <w:r>
        <w:t>：</w:t>
      </w:r>
    </w:p>
    <w:p w14:paraId="0902ECB4">
      <w:pPr>
        <w:pStyle w:val="19"/>
        <w:bidi w:val="0"/>
      </w:pPr>
      <w:r>
        <w:t>As a 碳核算与认证工程师 (Persona P4)，</w:t>
      </w:r>
    </w:p>
    <w:p w14:paraId="52CC35AC">
      <w:pPr>
        <w:pStyle w:val="19"/>
        <w:bidi w:val="0"/>
      </w:pPr>
      <w:r>
        <w:t>I want 在原材料碳排因子库中按适用产业和产品套系检索物料，维护当前因子值、摇篮到大门工序构成与核查证明，并在升级版本时将原值自动沉淀为对比默认值，</w:t>
      </w:r>
    </w:p>
    <w:p w14:paraId="41F5CBA7">
      <w:pPr>
        <w:pStyle w:val="19"/>
        <w:bidi w:val="0"/>
      </w:pPr>
      <w:r>
        <w:t>So that 我能在产品 LCA 核算中精准调用低碳主材实测因子降低核算碳排，同时保留完备的版本变更链条以通过第三方机构独立核验。</w:t>
      </w:r>
    </w:p>
    <w:p w14:paraId="7220C950">
      <w:pPr>
        <w:pStyle w:val="19"/>
        <w:bidi w:val="0"/>
      </w:pPr>
    </w:p>
    <w:p w14:paraId="575454D2">
      <w:pPr>
        <w:pStyle w:val="6"/>
        <w:numPr>
          <w:ilvl w:val="0"/>
          <w:numId w:val="195"/>
        </w:numPr>
        <w:bidi w:val="0"/>
        <w:ind w:left="0" w:leftChars="0" w:firstLine="0" w:firstLineChars="0"/>
        <w:rPr>
          <w:rFonts w:hint="eastAsia" w:ascii="黑体" w:hAnsi="黑体" w:eastAsia="黑体" w:cs="黑体"/>
          <w:sz w:val="28"/>
          <w:szCs w:val="28"/>
        </w:rPr>
      </w:pPr>
      <w:r>
        <w:rPr>
          <w:rFonts w:hint="eastAsia" w:ascii="黑体" w:hAnsi="黑体" w:eastAsia="黑体" w:cs="黑体"/>
          <w:sz w:val="28"/>
          <w:szCs w:val="28"/>
        </w:rPr>
        <w:t>功能规格与交互契约</w:t>
      </w:r>
    </w:p>
    <w:p w14:paraId="7C9388DF">
      <w:pPr>
        <w:pStyle w:val="19"/>
        <w:bidi w:val="0"/>
      </w:pPr>
      <w:r>
        <w:t>通用交互与过滤规则：</w:t>
      </w:r>
    </w:p>
    <w:p w14:paraId="6EFF518C">
      <w:pPr>
        <w:pStyle w:val="19"/>
        <w:bidi w:val="0"/>
        <w:rPr>
          <w:rFonts w:hint="eastAsia" w:eastAsia="宋体"/>
          <w:lang w:eastAsia="zh-CN"/>
        </w:rPr>
      </w:pPr>
      <w:r>
        <w:rPr>
          <w:rFonts w:hint="eastAsia"/>
          <w:lang w:eastAsia="zh-CN"/>
        </w:rPr>
        <w:t>• 顶部设【适用产业】切片Tab：全部/变压器产业/线缆产业/通用；</w:t>
      </w:r>
    </w:p>
    <w:p w14:paraId="3020E9F8">
      <w:pPr>
        <w:pStyle w:val="19"/>
        <w:bidi w:val="0"/>
        <w:rPr>
          <w:rFonts w:hint="eastAsia" w:eastAsia="宋体"/>
          <w:lang w:eastAsia="zh-CN"/>
        </w:rPr>
      </w:pPr>
      <w:r>
        <w:rPr>
          <w:rFonts w:hint="eastAsia"/>
          <w:lang w:eastAsia="zh-CN"/>
        </w:rPr>
        <w:t>• 设【产品套系联动切片器】：选中产品后自动关联对应物料；</w:t>
      </w:r>
    </w:p>
    <w:p w14:paraId="6786FC56">
      <w:pPr>
        <w:pStyle w:val="19"/>
        <w:bidi w:val="0"/>
      </w:pPr>
      <w:r>
        <w:t xml:space="preserve">• </w:t>
      </w:r>
      <w:r>
        <w:rPr>
          <w:rFonts w:hint="eastAsia"/>
          <w:lang w:eastAsia="zh-CN"/>
        </w:rPr>
        <w:t>支持</w:t>
      </w:r>
      <w:r>
        <w:t>因子列表与当前/默认值双轨对比：</w:t>
      </w:r>
    </w:p>
    <w:p w14:paraId="2785193F">
      <w:pPr>
        <w:pStyle w:val="19"/>
        <w:bidi w:val="0"/>
        <w:rPr>
          <w:rFonts w:hint="eastAsia" w:eastAsia="宋体"/>
          <w:lang w:eastAsia="zh-CN"/>
        </w:rPr>
      </w:pPr>
      <w:r>
        <w:rPr>
          <w:rFonts w:hint="eastAsia"/>
          <w:lang w:eastAsia="zh-CN"/>
        </w:rPr>
        <w:t>• 因子核心数值复合展示：当前值加粗、默认值（上一稳定基准版本值）浅灰，格式为当前值/默认值，单位kgCO₂e/kg；</w:t>
      </w:r>
    </w:p>
    <w:p w14:paraId="46887FB5">
      <w:pPr>
        <w:pStyle w:val="19"/>
        <w:bidi w:val="0"/>
        <w:rPr>
          <w:rFonts w:hint="eastAsia" w:eastAsia="宋体"/>
          <w:lang w:eastAsia="zh-CN"/>
        </w:rPr>
      </w:pPr>
      <w:r>
        <w:t xml:space="preserve">• </w:t>
      </w:r>
      <w:r>
        <w:rPr>
          <w:rFonts w:hint="eastAsia"/>
          <w:lang w:eastAsia="zh-CN"/>
        </w:rPr>
        <w:t>标注</w:t>
      </w:r>
      <w:r>
        <w:t>五级客观来源徽章：供应商实测(Tier 1)（绿色）、第三方核证(Certified)（蓝色）、行业标准(Industry Avg)（青色）、公用数据库(LCA DB)（紫色）、IPCC缺省值(Default)（橙色）</w:t>
      </w:r>
      <w:r>
        <w:rPr>
          <w:rFonts w:hint="eastAsia"/>
          <w:lang w:eastAsia="zh-CN"/>
        </w:rPr>
        <w:t>；</w:t>
      </w:r>
    </w:p>
    <w:p w14:paraId="16EB4DAC">
      <w:pPr>
        <w:pStyle w:val="19"/>
        <w:bidi w:val="0"/>
        <w:rPr>
          <w:rFonts w:hint="eastAsia" w:eastAsia="宋体"/>
          <w:lang w:eastAsia="zh-CN"/>
        </w:rPr>
      </w:pPr>
      <w:r>
        <w:rPr>
          <w:rFonts w:hint="eastAsia"/>
          <w:lang w:eastAsia="zh-CN"/>
        </w:rPr>
        <w:t>• 摇篮到大门工序构成拆解(Cradle-to-Gate)：点击行内【详情】滑出抽屉，展示物料五阶段碳排放量与占比构成；</w:t>
      </w:r>
    </w:p>
    <w:p w14:paraId="0346E0CC">
      <w:pPr>
        <w:pStyle w:val="19"/>
        <w:bidi w:val="0"/>
      </w:pPr>
      <w:r>
        <w:t>• 因子版本演化与一键回滚状态机：</w:t>
      </w:r>
    </w:p>
    <w:p w14:paraId="52C64A15">
      <w:pPr>
        <w:pStyle w:val="19"/>
        <w:bidi w:val="0"/>
        <w:rPr>
          <w:rFonts w:hint="eastAsia" w:eastAsia="宋体"/>
          <w:lang w:eastAsia="zh-CN"/>
        </w:rPr>
      </w:pPr>
      <w:r>
        <w:t>• 版本升级：输入新因子值、来源与凭证附件后，原当前值沉淀为新默认值，</w:t>
      </w:r>
      <w:r>
        <w:rPr>
          <w:rFonts w:hint="eastAsia"/>
          <w:lang w:eastAsia="zh-CN"/>
        </w:rPr>
        <w:t>版本号按vX.Y单调递增；</w:t>
      </w:r>
    </w:p>
    <w:p w14:paraId="4B7F4821">
      <w:pPr>
        <w:pStyle w:val="19"/>
        <w:bidi w:val="0"/>
        <w:rPr>
          <w:rFonts w:hint="eastAsia" w:eastAsia="宋体"/>
          <w:lang w:eastAsia="zh-CN"/>
        </w:rPr>
      </w:pPr>
      <w:r>
        <w:t>• 版本回滚：在版本历史抽屉点击【回滚至此版本】，系统生成新版本快照并注明回</w:t>
      </w:r>
      <w:r>
        <w:rPr>
          <w:rFonts w:hint="eastAsia"/>
          <w:lang w:eastAsia="zh-CN"/>
        </w:rPr>
        <w:t>滚来源</w:t>
      </w:r>
      <w:r>
        <w:t>，保障版本时间线单调递增，</w:t>
      </w:r>
      <w:r>
        <w:rPr>
          <w:rFonts w:hint="eastAsia"/>
          <w:lang w:eastAsia="zh-CN"/>
        </w:rPr>
        <w:t>不得物理抹除历史。</w:t>
      </w:r>
    </w:p>
    <w:p w14:paraId="4AD54BD9">
      <w:pPr>
        <w:pStyle w:val="6"/>
        <w:numPr>
          <w:ilvl w:val="0"/>
          <w:numId w:val="195"/>
        </w:numPr>
        <w:bidi w:val="0"/>
        <w:ind w:left="0" w:leftChars="0" w:firstLine="0" w:firstLineChars="0"/>
        <w:rPr>
          <w:rFonts w:hint="eastAsia" w:ascii="黑体" w:hAnsi="黑体" w:eastAsia="黑体" w:cs="黑体"/>
          <w:sz w:val="28"/>
          <w:szCs w:val="28"/>
        </w:rPr>
      </w:pPr>
      <w:r>
        <w:rPr>
          <w:rFonts w:hint="eastAsia" w:ascii="黑体" w:hAnsi="黑体" w:eastAsia="黑体" w:cs="黑体"/>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90"/>
        <w:gridCol w:w="1671"/>
        <w:gridCol w:w="1474"/>
        <w:gridCol w:w="1227"/>
        <w:gridCol w:w="4522"/>
      </w:tblGrid>
      <w:tr w14:paraId="79BF3FC9">
        <w:tblPrEx>
          <w:tblCellMar>
            <w:top w:w="0" w:type="dxa"/>
            <w:left w:w="108" w:type="dxa"/>
            <w:bottom w:w="0" w:type="dxa"/>
            <w:right w:w="108" w:type="dxa"/>
          </w:tblCellMar>
        </w:tblPrEx>
        <w:trPr>
          <w:jc w:val="center"/>
        </w:trPr>
        <w:tc>
          <w:tcPr>
            <w:tcW w:w="89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48DB9A03">
            <w:pPr>
              <w:pStyle w:val="19"/>
              <w:bidi w:val="0"/>
              <w:spacing w:line="240" w:lineRule="auto"/>
              <w:ind w:left="0" w:leftChars="0" w:right="0" w:rightChars="0" w:firstLine="0" w:firstLineChars="0"/>
            </w:pPr>
            <w: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2C623A96">
            <w:pPr>
              <w:pStyle w:val="19"/>
              <w:bidi w:val="0"/>
              <w:spacing w:line="240" w:lineRule="auto"/>
              <w:ind w:left="0" w:leftChars="0" w:right="0" w:rightChars="0" w:firstLine="0" w:firstLineChars="0"/>
            </w:pPr>
            <w:r>
              <w:t>字段中文名称</w:t>
            </w:r>
          </w:p>
        </w:tc>
        <w:tc>
          <w:tcPr>
            <w:tcW w:w="147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65E9992">
            <w:pPr>
              <w:pStyle w:val="19"/>
              <w:bidi w:val="0"/>
              <w:spacing w:line="240" w:lineRule="auto"/>
              <w:ind w:left="0" w:leftChars="0" w:right="0" w:rightChars="0" w:firstLine="0" w:firstLineChars="0"/>
            </w:pPr>
            <w:r>
              <w:t>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42A96D8">
            <w:pPr>
              <w:pStyle w:val="19"/>
              <w:bidi w:val="0"/>
              <w:spacing w:line="240" w:lineRule="auto"/>
              <w:ind w:left="0" w:leftChars="0" w:right="0" w:rightChars="0" w:firstLine="0" w:firstLineChars="0"/>
            </w:pPr>
            <w:r>
              <w:t>工程单位</w:t>
            </w:r>
          </w:p>
        </w:tc>
        <w:tc>
          <w:tcPr>
            <w:tcW w:w="452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6E54628">
            <w:pPr>
              <w:pStyle w:val="19"/>
              <w:bidi w:val="0"/>
              <w:spacing w:line="240" w:lineRule="auto"/>
              <w:ind w:left="0" w:leftChars="0" w:right="0" w:rightChars="0" w:firstLine="0" w:firstLineChars="0"/>
            </w:pPr>
            <w:r>
              <w:t>校验与约束规则</w:t>
            </w:r>
          </w:p>
        </w:tc>
      </w:tr>
      <w:tr w14:paraId="6DC0AC46">
        <w:tblPrEx>
          <w:tblCellMar>
            <w:top w:w="0" w:type="dxa"/>
            <w:left w:w="108" w:type="dxa"/>
            <w:bottom w:w="0" w:type="dxa"/>
            <w:right w:w="108" w:type="dxa"/>
          </w:tblCellMar>
        </w:tblPrEx>
        <w:trPr>
          <w:jc w:val="center"/>
        </w:trPr>
        <w:tc>
          <w:tcPr>
            <w:tcW w:w="8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E523CAD">
            <w:pPr>
              <w:pStyle w:val="19"/>
              <w:bidi w:val="0"/>
              <w:spacing w:line="240" w:lineRule="auto"/>
              <w:ind w:left="0" w:leftChars="0" w:right="0" w:rightChars="0" w:firstLine="0" w:firstLineChars="0"/>
            </w:pPr>
            <w: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444BE9F">
            <w:pPr>
              <w:pStyle w:val="19"/>
              <w:bidi w:val="0"/>
              <w:spacing w:line="240" w:lineRule="auto"/>
              <w:ind w:left="0" w:leftChars="0" w:right="0" w:rightChars="0" w:firstLine="0" w:firstLineChars="0"/>
            </w:pPr>
            <w:r>
              <w:t>因子唯一编码</w:t>
            </w:r>
          </w:p>
        </w:tc>
        <w:tc>
          <w:tcPr>
            <w:tcW w:w="14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B434193">
            <w:pPr>
              <w:pStyle w:val="19"/>
              <w:bidi w:val="0"/>
              <w:spacing w:line="240" w:lineRule="auto"/>
              <w:ind w:left="0" w:leftChars="0" w:right="0" w:rightChars="0" w:firstLine="0" w:firstLineChars="0"/>
            </w:pPr>
            <w: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5B9BFC0">
            <w:pPr>
              <w:pStyle w:val="19"/>
              <w:bidi w:val="0"/>
              <w:spacing w:line="240" w:lineRule="auto"/>
              <w:ind w:left="0" w:leftChars="0" w:right="0" w:rightChars="0" w:firstLine="0" w:firstLineChars="0"/>
            </w:pPr>
            <w:r>
              <w:t>—</w:t>
            </w:r>
          </w:p>
        </w:tc>
        <w:tc>
          <w:tcPr>
            <w:tcW w:w="45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21E282B">
            <w:pPr>
              <w:pStyle w:val="19"/>
              <w:bidi w:val="0"/>
              <w:spacing w:line="240" w:lineRule="auto"/>
              <w:ind w:left="0" w:leftChars="0" w:right="0" w:rightChars="0" w:firstLine="0" w:firstLineChars="0"/>
            </w:pPr>
            <w:r>
              <w:t xml:space="preserve">唯一，格式  RM&lt;3位流水&gt;&lt;2位校验码&gt; </w:t>
            </w:r>
          </w:p>
        </w:tc>
      </w:tr>
      <w:tr w14:paraId="40158E25">
        <w:tblPrEx>
          <w:tblCellMar>
            <w:top w:w="0" w:type="dxa"/>
            <w:left w:w="108" w:type="dxa"/>
            <w:bottom w:w="0" w:type="dxa"/>
            <w:right w:w="108" w:type="dxa"/>
          </w:tblCellMar>
        </w:tblPrEx>
        <w:trPr>
          <w:jc w:val="center"/>
        </w:trPr>
        <w:tc>
          <w:tcPr>
            <w:tcW w:w="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6475E2F">
            <w:pPr>
              <w:pStyle w:val="19"/>
              <w:bidi w:val="0"/>
              <w:spacing w:line="240" w:lineRule="auto"/>
              <w:ind w:left="0" w:leftChars="0" w:right="0" w:rightChars="0" w:firstLine="0" w:firstLineChars="0"/>
            </w:pPr>
            <w: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80F266E">
            <w:pPr>
              <w:pStyle w:val="19"/>
              <w:bidi w:val="0"/>
              <w:spacing w:line="240" w:lineRule="auto"/>
              <w:ind w:left="0" w:leftChars="0" w:right="0" w:rightChars="0" w:firstLine="0" w:firstLineChars="0"/>
            </w:pPr>
            <w:r>
              <w:t>原材料标准名称</w:t>
            </w:r>
          </w:p>
        </w:tc>
        <w:tc>
          <w:tcPr>
            <w:tcW w:w="147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52D8662">
            <w:pPr>
              <w:pStyle w:val="19"/>
              <w:bidi w:val="0"/>
              <w:spacing w:line="240" w:lineRule="auto"/>
              <w:ind w:left="0" w:leftChars="0" w:right="0" w:rightChars="0" w:firstLine="0" w:firstLineChars="0"/>
            </w:pPr>
            <w: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DCB0434">
            <w:pPr>
              <w:pStyle w:val="19"/>
              <w:bidi w:val="0"/>
              <w:spacing w:line="240" w:lineRule="auto"/>
              <w:ind w:left="0" w:leftChars="0" w:right="0" w:rightChars="0" w:firstLine="0" w:firstLineChars="0"/>
            </w:pPr>
            <w:r>
              <w:t>—</w:t>
            </w:r>
          </w:p>
        </w:tc>
        <w:tc>
          <w:tcPr>
            <w:tcW w:w="452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3468E19">
            <w:pPr>
              <w:pStyle w:val="19"/>
              <w:bidi w:val="0"/>
              <w:spacing w:line="240" w:lineRule="auto"/>
              <w:ind w:left="0" w:leftChars="0" w:right="0" w:rightChars="0" w:firstLine="0" w:firstLineChars="0"/>
            </w:pPr>
            <w:r>
              <w:t>非空，最长 64 字符；与 ERP 物料分类名称标准对齐</w:t>
            </w:r>
          </w:p>
        </w:tc>
      </w:tr>
      <w:tr w14:paraId="012BD619">
        <w:tblPrEx>
          <w:tblCellMar>
            <w:top w:w="0" w:type="dxa"/>
            <w:left w:w="108" w:type="dxa"/>
            <w:bottom w:w="0" w:type="dxa"/>
            <w:right w:w="108" w:type="dxa"/>
          </w:tblCellMar>
        </w:tblPrEx>
        <w:trPr>
          <w:jc w:val="center"/>
        </w:trPr>
        <w:tc>
          <w:tcPr>
            <w:tcW w:w="8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A4078F1">
            <w:pPr>
              <w:pStyle w:val="19"/>
              <w:bidi w:val="0"/>
              <w:spacing w:line="240" w:lineRule="auto"/>
              <w:ind w:left="0" w:leftChars="0" w:right="0" w:rightChars="0" w:firstLine="0" w:firstLineChars="0"/>
            </w:pPr>
            <w: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476B970">
            <w:pPr>
              <w:pStyle w:val="19"/>
              <w:bidi w:val="0"/>
              <w:spacing w:line="240" w:lineRule="auto"/>
              <w:ind w:left="0" w:leftChars="0" w:right="0" w:rightChars="0" w:firstLine="0" w:firstLineChars="0"/>
            </w:pPr>
            <w:r>
              <w:t>适用产业分类</w:t>
            </w:r>
          </w:p>
        </w:tc>
        <w:tc>
          <w:tcPr>
            <w:tcW w:w="14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B079C3F">
            <w:pPr>
              <w:pStyle w:val="19"/>
              <w:bidi w:val="0"/>
              <w:spacing w:line="240" w:lineRule="auto"/>
              <w:ind w:left="0" w:leftChars="0" w:right="0" w:rightChars="0" w:firstLine="0" w:firstLineChars="0"/>
            </w:pPr>
            <w:r>
              <w:t>Enum</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87EF258">
            <w:pPr>
              <w:pStyle w:val="19"/>
              <w:bidi w:val="0"/>
              <w:spacing w:line="240" w:lineRule="auto"/>
              <w:ind w:left="0" w:leftChars="0" w:right="0" w:rightChars="0" w:firstLine="0" w:firstLineChars="0"/>
            </w:pPr>
            <w:r>
              <w:t>—</w:t>
            </w:r>
          </w:p>
        </w:tc>
        <w:tc>
          <w:tcPr>
            <w:tcW w:w="45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E1C0B2C">
            <w:pPr>
              <w:pStyle w:val="19"/>
              <w:bidi w:val="0"/>
              <w:spacing w:line="240" w:lineRule="auto"/>
              <w:ind w:left="0" w:leftChars="0" w:right="0" w:rightChars="0" w:firstLine="0" w:firstLineChars="0"/>
            </w:pPr>
            <w:r>
              <w:t xml:space="preserve">枚举： 变压器产业  /  线缆产业  /  通用 </w:t>
            </w:r>
          </w:p>
        </w:tc>
      </w:tr>
      <w:tr w14:paraId="627818C9">
        <w:tblPrEx>
          <w:tblCellMar>
            <w:top w:w="0" w:type="dxa"/>
            <w:left w:w="108" w:type="dxa"/>
            <w:bottom w:w="0" w:type="dxa"/>
            <w:right w:w="108" w:type="dxa"/>
          </w:tblCellMar>
        </w:tblPrEx>
        <w:trPr>
          <w:jc w:val="center"/>
        </w:trPr>
        <w:tc>
          <w:tcPr>
            <w:tcW w:w="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D199F11">
            <w:pPr>
              <w:pStyle w:val="19"/>
              <w:bidi w:val="0"/>
              <w:spacing w:line="240" w:lineRule="auto"/>
              <w:ind w:left="0" w:leftChars="0" w:right="0" w:rightChars="0" w:firstLine="0" w:firstLineChars="0"/>
            </w:pPr>
            <w: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169E546">
            <w:pPr>
              <w:pStyle w:val="19"/>
              <w:bidi w:val="0"/>
              <w:spacing w:line="240" w:lineRule="auto"/>
              <w:ind w:left="0" w:leftChars="0" w:right="0" w:rightChars="0" w:firstLine="0" w:firstLineChars="0"/>
            </w:pPr>
            <w:r>
              <w:t>当前生效因子值</w:t>
            </w:r>
          </w:p>
        </w:tc>
        <w:tc>
          <w:tcPr>
            <w:tcW w:w="147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211A744">
            <w:pPr>
              <w:pStyle w:val="19"/>
              <w:bidi w:val="0"/>
              <w:spacing w:line="240" w:lineRule="auto"/>
              <w:ind w:left="0" w:leftChars="0" w:right="0" w:rightChars="0" w:firstLine="0" w:firstLineChars="0"/>
            </w:pPr>
            <w: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45616BD">
            <w:pPr>
              <w:pStyle w:val="19"/>
              <w:bidi w:val="0"/>
              <w:spacing w:line="240" w:lineRule="auto"/>
              <w:ind w:left="0" w:leftChars="0" w:right="0" w:rightChars="0" w:firstLine="0" w:firstLineChars="0"/>
            </w:pPr>
            <w:r>
              <w:t>kgCO2e/kg</w:t>
            </w:r>
          </w:p>
        </w:tc>
        <w:tc>
          <w:tcPr>
            <w:tcW w:w="452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7A266E8">
            <w:pPr>
              <w:pStyle w:val="19"/>
              <w:bidi w:val="0"/>
              <w:spacing w:line="240" w:lineRule="auto"/>
              <w:ind w:left="0" w:leftChars="0" w:right="0" w:rightChars="0" w:firstLine="0" w:firstLineChars="0"/>
            </w:pPr>
            <w:r>
              <w:t>严格  &gt; 0 ；保留 4 位小数；LCA 核心计算参数</w:t>
            </w:r>
          </w:p>
        </w:tc>
      </w:tr>
      <w:tr w14:paraId="523A74E6">
        <w:tblPrEx>
          <w:tblCellMar>
            <w:top w:w="0" w:type="dxa"/>
            <w:left w:w="108" w:type="dxa"/>
            <w:bottom w:w="0" w:type="dxa"/>
            <w:right w:w="108" w:type="dxa"/>
          </w:tblCellMar>
        </w:tblPrEx>
        <w:trPr>
          <w:jc w:val="center"/>
        </w:trPr>
        <w:tc>
          <w:tcPr>
            <w:tcW w:w="8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A915997">
            <w:pPr>
              <w:pStyle w:val="19"/>
              <w:bidi w:val="0"/>
              <w:spacing w:line="240" w:lineRule="auto"/>
              <w:ind w:left="0" w:leftChars="0" w:right="0" w:rightChars="0" w:firstLine="0" w:firstLineChars="0"/>
            </w:pPr>
            <w: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FB51A9C">
            <w:pPr>
              <w:pStyle w:val="19"/>
              <w:bidi w:val="0"/>
              <w:spacing w:line="240" w:lineRule="auto"/>
              <w:ind w:left="0" w:leftChars="0" w:right="0" w:rightChars="0" w:firstLine="0" w:firstLineChars="0"/>
            </w:pPr>
            <w:r>
              <w:t>默认/基准因子值</w:t>
            </w:r>
          </w:p>
        </w:tc>
        <w:tc>
          <w:tcPr>
            <w:tcW w:w="14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4F86868">
            <w:pPr>
              <w:pStyle w:val="19"/>
              <w:bidi w:val="0"/>
              <w:spacing w:line="240" w:lineRule="auto"/>
              <w:ind w:left="0" w:leftChars="0" w:right="0" w:rightChars="0" w:firstLine="0" w:firstLineChars="0"/>
            </w:pPr>
            <w: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8C92A6C">
            <w:pPr>
              <w:pStyle w:val="19"/>
              <w:bidi w:val="0"/>
              <w:spacing w:line="240" w:lineRule="auto"/>
              <w:ind w:left="0" w:leftChars="0" w:right="0" w:rightChars="0" w:firstLine="0" w:firstLineChars="0"/>
            </w:pPr>
            <w:r>
              <w:t>kgCO2e/kg</w:t>
            </w:r>
          </w:p>
        </w:tc>
        <w:tc>
          <w:tcPr>
            <w:tcW w:w="45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12D4E59">
            <w:pPr>
              <w:pStyle w:val="19"/>
              <w:bidi w:val="0"/>
              <w:spacing w:line="240" w:lineRule="auto"/>
              <w:ind w:left="0" w:leftChars="0" w:right="0" w:rightChars="0" w:firstLine="0" w:firstLineChars="0"/>
            </w:pPr>
            <w:r>
              <w:t>初始等于当前值；版本更新后自动沉淀为上一版本值</w:t>
            </w:r>
          </w:p>
        </w:tc>
      </w:tr>
      <w:tr w14:paraId="4ED59396">
        <w:tblPrEx>
          <w:tblCellMar>
            <w:top w:w="0" w:type="dxa"/>
            <w:left w:w="108" w:type="dxa"/>
            <w:bottom w:w="0" w:type="dxa"/>
            <w:right w:w="108" w:type="dxa"/>
          </w:tblCellMar>
        </w:tblPrEx>
        <w:trPr>
          <w:jc w:val="center"/>
        </w:trPr>
        <w:tc>
          <w:tcPr>
            <w:tcW w:w="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2BF6987">
            <w:pPr>
              <w:pStyle w:val="19"/>
              <w:bidi w:val="0"/>
              <w:spacing w:line="240" w:lineRule="auto"/>
              <w:ind w:left="0" w:leftChars="0" w:right="0" w:rightChars="0" w:firstLine="0" w:firstLineChars="0"/>
            </w:pPr>
            <w: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440CE9F">
            <w:pPr>
              <w:pStyle w:val="19"/>
              <w:bidi w:val="0"/>
              <w:spacing w:line="240" w:lineRule="auto"/>
              <w:ind w:left="0" w:leftChars="0" w:right="0" w:rightChars="0" w:firstLine="0" w:firstLineChars="0"/>
            </w:pPr>
            <w:r>
              <w:t>法定量纲单位</w:t>
            </w:r>
          </w:p>
        </w:tc>
        <w:tc>
          <w:tcPr>
            <w:tcW w:w="147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A3745AA">
            <w:pPr>
              <w:pStyle w:val="19"/>
              <w:bidi w:val="0"/>
              <w:spacing w:line="240" w:lineRule="auto"/>
              <w:ind w:left="0" w:leftChars="0" w:right="0" w:rightChars="0" w:firstLine="0" w:firstLineChars="0"/>
            </w:pPr>
            <w: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832BF85">
            <w:pPr>
              <w:pStyle w:val="19"/>
              <w:bidi w:val="0"/>
              <w:spacing w:line="240" w:lineRule="auto"/>
              <w:ind w:left="0" w:leftChars="0" w:right="0" w:rightChars="0" w:firstLine="0" w:firstLineChars="0"/>
            </w:pPr>
            <w:r>
              <w:t>kgCO2e/kg</w:t>
            </w:r>
          </w:p>
        </w:tc>
        <w:tc>
          <w:tcPr>
            <w:tcW w:w="452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39E3068">
            <w:pPr>
              <w:pStyle w:val="19"/>
              <w:bidi w:val="0"/>
              <w:spacing w:line="240" w:lineRule="auto"/>
              <w:ind w:left="0" w:leftChars="0" w:right="0" w:rightChars="0" w:firstLine="0" w:firstLineChars="0"/>
            </w:pPr>
            <w:r>
              <w:t>全系统强制统一为  kgCO2e/kg ，严禁量纲混淆</w:t>
            </w:r>
          </w:p>
        </w:tc>
      </w:tr>
      <w:tr w14:paraId="1A6AA761">
        <w:tblPrEx>
          <w:tblCellMar>
            <w:top w:w="0" w:type="dxa"/>
            <w:left w:w="108" w:type="dxa"/>
            <w:bottom w:w="0" w:type="dxa"/>
            <w:right w:w="108" w:type="dxa"/>
          </w:tblCellMar>
        </w:tblPrEx>
        <w:trPr>
          <w:jc w:val="center"/>
        </w:trPr>
        <w:tc>
          <w:tcPr>
            <w:tcW w:w="8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39322FC">
            <w:pPr>
              <w:pStyle w:val="19"/>
              <w:bidi w:val="0"/>
              <w:spacing w:line="240" w:lineRule="auto"/>
              <w:ind w:left="0" w:leftChars="0" w:right="0" w:rightChars="0" w:firstLine="0" w:firstLineChars="0"/>
            </w:pPr>
            <w: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1286FB0">
            <w:pPr>
              <w:pStyle w:val="19"/>
              <w:bidi w:val="0"/>
              <w:spacing w:line="240" w:lineRule="auto"/>
              <w:ind w:left="0" w:leftChars="0" w:right="0" w:rightChars="0" w:firstLine="0" w:firstLineChars="0"/>
            </w:pPr>
            <w:r>
              <w:t>数据来源层级</w:t>
            </w:r>
          </w:p>
        </w:tc>
        <w:tc>
          <w:tcPr>
            <w:tcW w:w="14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CD2949B">
            <w:pPr>
              <w:pStyle w:val="19"/>
              <w:bidi w:val="0"/>
              <w:spacing w:line="240" w:lineRule="auto"/>
              <w:ind w:left="0" w:leftChars="0" w:right="0" w:rightChars="0" w:firstLine="0" w:firstLineChars="0"/>
            </w:pPr>
            <w:r>
              <w:t>Enum</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E9A1C03">
            <w:pPr>
              <w:pStyle w:val="19"/>
              <w:bidi w:val="0"/>
              <w:spacing w:line="240" w:lineRule="auto"/>
              <w:ind w:left="0" w:leftChars="0" w:right="0" w:rightChars="0" w:firstLine="0" w:firstLineChars="0"/>
            </w:pPr>
            <w:r>
              <w:t>—</w:t>
            </w:r>
          </w:p>
        </w:tc>
        <w:tc>
          <w:tcPr>
            <w:tcW w:w="45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5826B0B">
            <w:pPr>
              <w:pStyle w:val="19"/>
              <w:bidi w:val="0"/>
              <w:spacing w:line="240" w:lineRule="auto"/>
              <w:ind w:left="0" w:leftChars="0" w:right="0" w:rightChars="0" w:firstLine="0" w:firstLineChars="0"/>
            </w:pPr>
            <w:r>
              <w:t xml:space="preserve">枚举： 供应商实测  /  第三方核证  /  行业标准  /  公用数据库  /  IPCC缺省值 </w:t>
            </w:r>
          </w:p>
        </w:tc>
      </w:tr>
      <w:tr w14:paraId="4486324D">
        <w:tblPrEx>
          <w:tblCellMar>
            <w:top w:w="0" w:type="dxa"/>
            <w:left w:w="108" w:type="dxa"/>
            <w:bottom w:w="0" w:type="dxa"/>
            <w:right w:w="108" w:type="dxa"/>
          </w:tblCellMar>
        </w:tblPrEx>
        <w:trPr>
          <w:jc w:val="center"/>
        </w:trPr>
        <w:tc>
          <w:tcPr>
            <w:tcW w:w="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7E1C82B">
            <w:pPr>
              <w:pStyle w:val="19"/>
              <w:bidi w:val="0"/>
              <w:spacing w:line="240" w:lineRule="auto"/>
              <w:ind w:left="0" w:leftChars="0" w:right="0" w:rightChars="0" w:firstLine="0" w:firstLineChars="0"/>
            </w:pPr>
            <w:r>
              <w:t>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F8522BB">
            <w:pPr>
              <w:pStyle w:val="19"/>
              <w:bidi w:val="0"/>
              <w:spacing w:line="240" w:lineRule="auto"/>
              <w:ind w:left="0" w:leftChars="0" w:right="0" w:rightChars="0" w:firstLine="0" w:firstLineChars="0"/>
            </w:pPr>
            <w:r>
              <w:t>提供方/数据库名称</w:t>
            </w:r>
          </w:p>
        </w:tc>
        <w:tc>
          <w:tcPr>
            <w:tcW w:w="147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D110420">
            <w:pPr>
              <w:pStyle w:val="19"/>
              <w:bidi w:val="0"/>
              <w:spacing w:line="240" w:lineRule="auto"/>
              <w:ind w:left="0" w:leftChars="0" w:right="0" w:rightChars="0" w:firstLine="0" w:firstLineChars="0"/>
            </w:pPr>
            <w: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9716E07">
            <w:pPr>
              <w:pStyle w:val="19"/>
              <w:bidi w:val="0"/>
              <w:spacing w:line="240" w:lineRule="auto"/>
              <w:ind w:left="0" w:leftChars="0" w:right="0" w:rightChars="0" w:firstLine="0" w:firstLineChars="0"/>
            </w:pPr>
            <w:r>
              <w:t>—</w:t>
            </w:r>
          </w:p>
        </w:tc>
        <w:tc>
          <w:tcPr>
            <w:tcW w:w="452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9D1B9B8">
            <w:pPr>
              <w:pStyle w:val="19"/>
              <w:bidi w:val="0"/>
              <w:spacing w:line="240" w:lineRule="auto"/>
              <w:ind w:left="0" w:leftChars="0" w:right="0" w:rightChars="0" w:firstLine="0" w:firstLineChars="0"/>
            </w:pPr>
            <w:r>
              <w:t>如  宝钢实测报告 、 Ecoinvent 3.10 、 CLCD  等</w:t>
            </w:r>
          </w:p>
        </w:tc>
      </w:tr>
      <w:tr w14:paraId="1EE24198">
        <w:tblPrEx>
          <w:tblCellMar>
            <w:top w:w="0" w:type="dxa"/>
            <w:left w:w="108" w:type="dxa"/>
            <w:bottom w:w="0" w:type="dxa"/>
            <w:right w:w="108" w:type="dxa"/>
          </w:tblCellMar>
        </w:tblPrEx>
        <w:trPr>
          <w:jc w:val="center"/>
        </w:trPr>
        <w:tc>
          <w:tcPr>
            <w:tcW w:w="8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CB2B90C">
            <w:pPr>
              <w:pStyle w:val="19"/>
              <w:bidi w:val="0"/>
              <w:spacing w:line="240" w:lineRule="auto"/>
              <w:ind w:left="0" w:leftChars="0" w:right="0" w:rightChars="0" w:firstLine="0" w:firstLineChars="0"/>
            </w:pPr>
            <w:r>
              <w:t>9</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12B9CCF">
            <w:pPr>
              <w:pStyle w:val="19"/>
              <w:bidi w:val="0"/>
              <w:spacing w:line="240" w:lineRule="auto"/>
              <w:ind w:left="0" w:leftChars="0" w:right="0" w:rightChars="0" w:firstLine="0" w:firstLineChars="0"/>
            </w:pPr>
            <w:r>
              <w:t>系统边界定义</w:t>
            </w:r>
          </w:p>
        </w:tc>
        <w:tc>
          <w:tcPr>
            <w:tcW w:w="14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1A0943D">
            <w:pPr>
              <w:pStyle w:val="19"/>
              <w:bidi w:val="0"/>
              <w:spacing w:line="240" w:lineRule="auto"/>
              <w:ind w:left="0" w:leftChars="0" w:right="0" w:rightChars="0" w:firstLine="0" w:firstLineChars="0"/>
            </w:pPr>
            <w: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D1A4805">
            <w:pPr>
              <w:pStyle w:val="19"/>
              <w:bidi w:val="0"/>
              <w:spacing w:line="240" w:lineRule="auto"/>
              <w:ind w:left="0" w:leftChars="0" w:right="0" w:rightChars="0" w:firstLine="0" w:firstLineChars="0"/>
            </w:pPr>
            <w:r>
              <w:t>—</w:t>
            </w:r>
          </w:p>
        </w:tc>
        <w:tc>
          <w:tcPr>
            <w:tcW w:w="45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7F94049">
            <w:pPr>
              <w:pStyle w:val="19"/>
              <w:bidi w:val="0"/>
              <w:spacing w:line="240" w:lineRule="auto"/>
              <w:ind w:left="0" w:leftChars="0" w:right="0" w:rightChars="0" w:firstLine="0" w:firstLineChars="0"/>
            </w:pPr>
            <w:r>
              <w:t xml:space="preserve">固定为  摇篮到大门 (Cradle-to-Gate) </w:t>
            </w:r>
          </w:p>
        </w:tc>
      </w:tr>
      <w:tr w14:paraId="26602157">
        <w:tblPrEx>
          <w:tblCellMar>
            <w:top w:w="0" w:type="dxa"/>
            <w:left w:w="108" w:type="dxa"/>
            <w:bottom w:w="0" w:type="dxa"/>
            <w:right w:w="108" w:type="dxa"/>
          </w:tblCellMar>
        </w:tblPrEx>
        <w:trPr>
          <w:jc w:val="center"/>
        </w:trPr>
        <w:tc>
          <w:tcPr>
            <w:tcW w:w="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B1E8B0C">
            <w:pPr>
              <w:pStyle w:val="19"/>
              <w:bidi w:val="0"/>
              <w:spacing w:line="240" w:lineRule="auto"/>
              <w:ind w:left="0" w:leftChars="0" w:right="0" w:rightChars="0" w:firstLine="0" w:firstLineChars="0"/>
            </w:pPr>
            <w:r>
              <w:t>10</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5BA764C">
            <w:pPr>
              <w:pStyle w:val="19"/>
              <w:bidi w:val="0"/>
              <w:spacing w:line="240" w:lineRule="auto"/>
              <w:ind w:left="0" w:leftChars="0" w:right="0" w:rightChars="0" w:firstLine="0" w:firstLineChars="0"/>
            </w:pPr>
            <w:r>
              <w:t>当前发布版本号</w:t>
            </w:r>
          </w:p>
        </w:tc>
        <w:tc>
          <w:tcPr>
            <w:tcW w:w="147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5BDFB40">
            <w:pPr>
              <w:pStyle w:val="19"/>
              <w:bidi w:val="0"/>
              <w:spacing w:line="240" w:lineRule="auto"/>
              <w:ind w:left="0" w:leftChars="0" w:right="0" w:rightChars="0" w:firstLine="0" w:firstLineChars="0"/>
            </w:pPr>
            <w: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C21ED08">
            <w:pPr>
              <w:pStyle w:val="19"/>
              <w:bidi w:val="0"/>
              <w:spacing w:line="240" w:lineRule="auto"/>
              <w:ind w:left="0" w:leftChars="0" w:right="0" w:rightChars="0" w:firstLine="0" w:firstLineChars="0"/>
            </w:pPr>
            <w:r>
              <w:t>—</w:t>
            </w:r>
          </w:p>
        </w:tc>
        <w:tc>
          <w:tcPr>
            <w:tcW w:w="452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3EC87F3">
            <w:pPr>
              <w:pStyle w:val="19"/>
              <w:bidi w:val="0"/>
              <w:spacing w:line="240" w:lineRule="auto"/>
              <w:ind w:left="0" w:leftChars="0" w:right="0" w:rightChars="0" w:firstLine="0" w:firstLineChars="0"/>
            </w:pPr>
            <w:r>
              <w:t>格式  vX.Y （如  v3.2 ），严格单调递增</w:t>
            </w:r>
          </w:p>
        </w:tc>
      </w:tr>
      <w:tr w14:paraId="1E699954">
        <w:tblPrEx>
          <w:tblCellMar>
            <w:top w:w="0" w:type="dxa"/>
            <w:left w:w="108" w:type="dxa"/>
            <w:bottom w:w="0" w:type="dxa"/>
            <w:right w:w="108" w:type="dxa"/>
          </w:tblCellMar>
        </w:tblPrEx>
        <w:trPr>
          <w:jc w:val="center"/>
        </w:trPr>
        <w:tc>
          <w:tcPr>
            <w:tcW w:w="8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6AFAF60">
            <w:pPr>
              <w:pStyle w:val="19"/>
              <w:bidi w:val="0"/>
              <w:spacing w:line="240" w:lineRule="auto"/>
              <w:ind w:left="0" w:leftChars="0" w:right="0" w:rightChars="0" w:firstLine="0" w:firstLineChars="0"/>
            </w:pPr>
            <w:r>
              <w:t>11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0056756">
            <w:pPr>
              <w:pStyle w:val="19"/>
              <w:bidi w:val="0"/>
              <w:spacing w:line="240" w:lineRule="auto"/>
              <w:ind w:left="0" w:leftChars="0" w:right="0" w:rightChars="0" w:firstLine="0" w:firstLineChars="0"/>
            </w:pPr>
            <w:r>
              <w:t>数据质量评级 (DQR)</w:t>
            </w:r>
          </w:p>
        </w:tc>
        <w:tc>
          <w:tcPr>
            <w:tcW w:w="14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A26012C">
            <w:pPr>
              <w:pStyle w:val="19"/>
              <w:bidi w:val="0"/>
              <w:spacing w:line="240" w:lineRule="auto"/>
              <w:ind w:left="0" w:leftChars="0" w:right="0" w:rightChars="0" w:firstLine="0" w:firstLineChars="0"/>
            </w:pPr>
            <w: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9187B48">
            <w:pPr>
              <w:pStyle w:val="19"/>
              <w:bidi w:val="0"/>
              <w:spacing w:line="240" w:lineRule="auto"/>
              <w:ind w:left="0" w:leftChars="0" w:right="0" w:rightChars="0" w:firstLine="0" w:firstLineChars="0"/>
            </w:pPr>
            <w:r>
              <w:t>—</w:t>
            </w:r>
          </w:p>
        </w:tc>
        <w:tc>
          <w:tcPr>
            <w:tcW w:w="45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6C63CD2">
            <w:pPr>
              <w:pStyle w:val="19"/>
              <w:bidi w:val="0"/>
              <w:spacing w:line="240" w:lineRule="auto"/>
              <w:ind w:left="0" w:leftChars="0" w:right="0" w:rightChars="0" w:firstLine="0" w:firstLineChars="0"/>
            </w:pPr>
            <w:r>
              <w:t>[1.00, 5.00] ，四维综合评分，数值越低代表质量越高</w:t>
            </w:r>
          </w:p>
        </w:tc>
      </w:tr>
      <w:tr w14:paraId="4EFEAEA1">
        <w:tblPrEx>
          <w:tblCellMar>
            <w:top w:w="0" w:type="dxa"/>
            <w:left w:w="108" w:type="dxa"/>
            <w:bottom w:w="0" w:type="dxa"/>
            <w:right w:w="108" w:type="dxa"/>
          </w:tblCellMar>
        </w:tblPrEx>
        <w:trPr>
          <w:jc w:val="center"/>
        </w:trPr>
        <w:tc>
          <w:tcPr>
            <w:tcW w:w="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11923B2">
            <w:pPr>
              <w:pStyle w:val="19"/>
              <w:bidi w:val="0"/>
              <w:spacing w:line="240" w:lineRule="auto"/>
              <w:ind w:left="0" w:leftChars="0" w:right="0" w:rightChars="0" w:firstLine="0" w:firstLineChars="0"/>
            </w:pPr>
            <w:r>
              <w:t>12</w:t>
            </w:r>
          </w:p>
        </w:tc>
        <w:tc>
          <w:tcPr>
            <w:tcW w:w="167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550E85B">
            <w:pPr>
              <w:pStyle w:val="19"/>
              <w:bidi w:val="0"/>
              <w:spacing w:line="240" w:lineRule="auto"/>
              <w:ind w:left="0" w:leftChars="0" w:right="0" w:rightChars="0" w:firstLine="0" w:firstLineChars="0"/>
            </w:pPr>
            <w:r>
              <w:t>引用锁定防删标识</w:t>
            </w:r>
          </w:p>
        </w:tc>
        <w:tc>
          <w:tcPr>
            <w:tcW w:w="147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04FD003">
            <w:pPr>
              <w:pStyle w:val="19"/>
              <w:bidi w:val="0"/>
              <w:spacing w:line="240" w:lineRule="auto"/>
              <w:ind w:left="0" w:leftChars="0" w:right="0" w:rightChars="0" w:firstLine="0" w:firstLineChars="0"/>
            </w:pPr>
            <w:r>
              <w:t>Boolean</w:t>
            </w:r>
          </w:p>
        </w:tc>
        <w:tc>
          <w:tcPr>
            <w:tcW w:w="122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A8A0316">
            <w:pPr>
              <w:pStyle w:val="19"/>
              <w:bidi w:val="0"/>
              <w:spacing w:line="240" w:lineRule="auto"/>
              <w:ind w:left="0" w:leftChars="0" w:right="0" w:rightChars="0" w:firstLine="0" w:firstLineChars="0"/>
            </w:pPr>
            <w:r>
              <w:t>—</w:t>
            </w:r>
          </w:p>
        </w:tc>
        <w:tc>
          <w:tcPr>
            <w:tcW w:w="452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1D59726">
            <w:pPr>
              <w:pStyle w:val="19"/>
              <w:bidi w:val="0"/>
              <w:spacing w:line="240" w:lineRule="auto"/>
              <w:ind w:left="0" w:leftChars="0" w:right="0" w:rightChars="0" w:firstLine="0" w:firstLineChars="0"/>
            </w:pPr>
            <w:r>
              <w:t>被已生效报告引用后置为  true ，前端禁用删除按钮</w:t>
            </w:r>
          </w:p>
        </w:tc>
      </w:tr>
    </w:tbl>
    <w:p w14:paraId="64D88984">
      <w:pPr>
        <w:pStyle w:val="19"/>
        <w:bidi w:val="0"/>
      </w:pPr>
    </w:p>
    <w:p w14:paraId="6877C008">
      <w:pPr>
        <w:pStyle w:val="6"/>
        <w:numPr>
          <w:ilvl w:val="0"/>
          <w:numId w:val="195"/>
        </w:numPr>
        <w:bidi w:val="0"/>
        <w:ind w:left="0" w:leftChars="0" w:firstLine="0" w:firstLineChars="0"/>
        <w:rPr>
          <w:rFonts w:hint="eastAsia" w:ascii="黑体" w:hAnsi="黑体" w:eastAsia="黑体" w:cs="黑体"/>
          <w:sz w:val="28"/>
          <w:szCs w:val="28"/>
        </w:rPr>
      </w:pPr>
      <w:r>
        <w:rPr>
          <w:rFonts w:hint="eastAsia" w:ascii="黑体" w:hAnsi="黑体" w:eastAsia="黑体" w:cs="黑体"/>
          <w:sz w:val="28"/>
          <w:szCs w:val="28"/>
        </w:rPr>
        <w:t>核心数学模型与算法框架</w:t>
      </w:r>
    </w:p>
    <w:tbl>
      <w:tblPr>
        <w:tblStyle w:val="38"/>
        <w:tblW w:w="0" w:type="auto"/>
        <w:jc w:val="center"/>
        <w:tblLayout w:type="fixed"/>
        <w:tblCellMar>
          <w:top w:w="0" w:type="dxa"/>
          <w:left w:w="108" w:type="dxa"/>
          <w:bottom w:w="0" w:type="dxa"/>
          <w:right w:w="108" w:type="dxa"/>
        </w:tblCellMar>
      </w:tblPr>
      <w:tblGrid>
        <w:gridCol w:w="9648"/>
      </w:tblGrid>
      <w:tr w14:paraId="545F70B3">
        <w:tblPrEx>
          <w:tblCellMar>
            <w:top w:w="0" w:type="dxa"/>
            <w:left w:w="108" w:type="dxa"/>
            <w:bottom w:w="0" w:type="dxa"/>
            <w:right w:w="108" w:type="dxa"/>
          </w:tblCellMar>
        </w:tblPrEx>
        <w:trPr>
          <w:jc w:val="center"/>
        </w:trPr>
        <w:tc>
          <w:tcPr>
            <w:tcW w:w="9648" w:type="dxa"/>
            <w:tcBorders>
              <w:top w:val="nil"/>
              <w:left w:val="single" w:color="16A34A" w:sz="24" w:space="0"/>
              <w:bottom w:val="nil"/>
              <w:right w:val="nil"/>
            </w:tcBorders>
            <w:shd w:val="clear" w:color="auto" w:fill="F0FDF4"/>
            <w:tcMar>
              <w:top w:w="70" w:type="dxa"/>
              <w:left w:w="100" w:type="dxa"/>
              <w:bottom w:w="70" w:type="dxa"/>
              <w:right w:w="100" w:type="dxa"/>
            </w:tcMar>
          </w:tcPr>
          <w:p w14:paraId="74610C1D">
            <w:pPr>
              <w:pStyle w:val="19"/>
              <w:bidi w:val="0"/>
            </w:pPr>
            <w:r>
              <w:t>EF_{\text{mat}} = \sum_{k=1}^{m} \left( \frac{W_k}{\sum_{j=1}^{m} W_j} \times EF_k \right) \quad (\text{多供应商混料加权综合因子})</w:t>
            </w:r>
          </w:p>
          <w:p w14:paraId="1FFD3CFC">
            <w:pPr>
              <w:pStyle w:val="19"/>
              <w:bidi w:val="0"/>
            </w:pPr>
            <w:r>
              <w:t>\Delta EF_{\text{pct}} = \frac{EF_{\text{current}} - EF_{\text{default}}}{EF_{\text{default}}} \times 100\% \quad (\text{因子版本变动偏离率})</w:t>
            </w:r>
          </w:p>
          <w:p w14:paraId="762DD64D">
            <w:pPr>
              <w:pStyle w:val="19"/>
              <w:bidi w:val="0"/>
            </w:pPr>
            <w:r>
              <w:t>DQR = \frac{TeR + GeR + TiR + ReR}{4} \quad (\text{数据质量四维综合评级})</w:t>
            </w:r>
          </w:p>
          <w:p w14:paraId="1EA5931C">
            <w:pPr>
              <w:pStyle w:val="19"/>
              <w:bidi w:val="0"/>
            </w:pPr>
            <w:r>
              <w:t>C_{\text{material}} = \sum_{i=1}^{n} ( M_i \times EF_{\text{mat}, i} ) \quad (\text{产品原材料阶段总碳足迹})</w:t>
            </w:r>
          </w:p>
        </w:tc>
      </w:tr>
    </w:tbl>
    <w:p w14:paraId="17D0FA48">
      <w:pPr>
        <w:pStyle w:val="19"/>
        <w:bidi w:val="0"/>
      </w:pPr>
      <w:r>
        <w:t>变量定义与取值约定：</w:t>
      </w:r>
    </w:p>
    <w:p w14:paraId="6C1B277E">
      <w:pPr>
        <w:pStyle w:val="19"/>
        <w:bidi w:val="0"/>
      </w:pPr>
      <w:r>
        <w:t>W_k 为向第 k 家供应商采购该物料的实际重量（kg 或 t）；EF_k 为对应供应商核证因子；</w:t>
      </w:r>
    </w:p>
    <w:p w14:paraId="64C7E0A4">
      <w:pPr>
        <w:pStyle w:val="19"/>
        <w:bidi w:val="0"/>
      </w:pPr>
      <w:r>
        <w:t>• TeR（技术代表性）、GeR（地理代表性）、TiR（时间代表性）、ReR（可靠性）分别按 1~5 档评分；</w:t>
      </w:r>
    </w:p>
    <w:p w14:paraId="67637497">
      <w:pPr>
        <w:pStyle w:val="19"/>
        <w:bidi w:val="0"/>
      </w:pPr>
      <w:r>
        <w:t>• DQR 分级标准：DQR \le 1.6 判定为高质量（一级数据）；1.6 &lt; DQR \le 3.0 判定为中质量；DQR &gt; 3.0 判定为低质量并触发合规预警；</w:t>
      </w:r>
    </w:p>
    <w:p w14:paraId="5C08BEED">
      <w:pPr>
        <w:pStyle w:val="19"/>
        <w:bidi w:val="0"/>
      </w:pPr>
      <w:r>
        <w:t>• \Delta EF_{\text{pct}} 为负值代表物料绿色低碳化升级，正值代表碳排放强度上升。</w:t>
      </w:r>
    </w:p>
    <w:p w14:paraId="256F21CF">
      <w:pPr>
        <w:pStyle w:val="6"/>
        <w:numPr>
          <w:ilvl w:val="0"/>
          <w:numId w:val="195"/>
        </w:numPr>
        <w:bidi w:val="0"/>
        <w:ind w:left="0" w:leftChars="0" w:firstLine="0" w:firstLineChars="0"/>
        <w:rPr>
          <w:rFonts w:hint="eastAsia" w:ascii="黑体" w:hAnsi="黑体" w:eastAsia="黑体" w:cs="黑体"/>
          <w:sz w:val="28"/>
          <w:szCs w:val="28"/>
        </w:rPr>
      </w:pPr>
      <w:r>
        <w:rPr>
          <w:rFonts w:hint="eastAsia" w:ascii="黑体" w:hAnsi="黑体" w:eastAsia="黑体" w:cs="黑体"/>
          <w:sz w:val="28"/>
          <w:szCs w:val="28"/>
        </w:rPr>
        <w:t>展示、对标与判定口径</w:t>
      </w:r>
    </w:p>
    <w:p w14:paraId="1DE9BFA2">
      <w:pPr>
        <w:pStyle w:val="19"/>
        <w:bidi w:val="0"/>
      </w:pPr>
      <w:r>
        <w:rPr>
          <w:b/>
          <w:bCs/>
        </w:rPr>
        <w:t>双轨口径</w:t>
      </w:r>
      <w:r>
        <w:t>：因子列表常态展示当前值与默认值，默认值作为时序对标基准。</w:t>
      </w:r>
    </w:p>
    <w:p w14:paraId="65975C83">
      <w:pPr>
        <w:pStyle w:val="19"/>
        <w:bidi w:val="0"/>
      </w:pPr>
      <w:r>
        <w:rPr>
          <w:b/>
          <w:bCs/>
        </w:rPr>
        <w:t>偏离口径</w:t>
      </w:r>
      <w:r>
        <w:t>：-5.00\% 标记绿色优化箭头，-5.00\% &lt; \Delta EF_{\text{pct}} \le +5.00\% 标记灰色持平，\Delta EF_{\text{pct}} &gt; +5.00\% 标记黄色提示。</w:t>
      </w:r>
    </w:p>
    <w:p w14:paraId="01B136E7">
      <w:pPr>
        <w:pStyle w:val="19"/>
        <w:bidi w:val="0"/>
      </w:pPr>
      <w:r>
        <w:rPr>
          <w:b/>
          <w:bCs/>
        </w:rPr>
        <w:t>锁定口径</w:t>
      </w:r>
      <w:r>
        <w:t>：凡被标记为  LCA_CERTIFIED  或  CBAM_DECLARED  报告所引用的因子版本强制锁定，仅允许通过发布新版本推进。</w:t>
      </w:r>
    </w:p>
    <w:p w14:paraId="7801D5BA">
      <w:pPr>
        <w:pStyle w:val="19"/>
        <w:bidi w:val="0"/>
      </w:pPr>
      <w:r>
        <w:rPr>
          <w:b/>
          <w:bCs/>
        </w:rPr>
        <w:t>空值口径</w:t>
      </w:r>
      <w:r>
        <w:t>：新建因子无历史基准时默认值显示  -- ；缺失实测值时强制匹配公用数据库缺省值，严禁显示  0 。</w:t>
      </w:r>
    </w:p>
    <w:p w14:paraId="214A671D">
      <w:pPr>
        <w:pStyle w:val="19"/>
        <w:bidi w:val="0"/>
      </w:pPr>
      <w:r>
        <w:rPr>
          <w:b/>
          <w:bCs/>
        </w:rPr>
        <w:t>溯源口径</w:t>
      </w:r>
      <w:r>
        <w:t>：每个因子卡片与行内明确展示版本号、核验机构、有效截止期与操作员工号，保障审计双向追溯。</w:t>
      </w:r>
    </w:p>
    <w:p w14:paraId="7719793E">
      <w:pPr>
        <w:pStyle w:val="6"/>
        <w:numPr>
          <w:ilvl w:val="0"/>
          <w:numId w:val="195"/>
        </w:numPr>
        <w:bidi w:val="0"/>
        <w:ind w:left="0" w:leftChars="0" w:firstLine="0" w:firstLineChars="0"/>
        <w:rPr>
          <w:rFonts w:hint="eastAsia" w:ascii="黑体" w:hAnsi="黑体" w:eastAsia="黑体" w:cs="黑体"/>
          <w:sz w:val="28"/>
          <w:szCs w:val="28"/>
        </w:rPr>
      </w:pPr>
      <w:r>
        <w:rPr>
          <w:rFonts w:hint="eastAsia" w:ascii="黑体" w:hAnsi="黑体" w:eastAsia="黑体" w:cs="黑体"/>
          <w:sz w:val="28"/>
          <w:szCs w:val="28"/>
        </w:rPr>
        <w:t>边界条件、异常处理与防错规则</w:t>
      </w:r>
    </w:p>
    <w:p w14:paraId="5C6E871C">
      <w:pPr>
        <w:pStyle w:val="175"/>
        <w:bidi w:val="0"/>
      </w:pPr>
      <w:r>
        <w:t>除零安全防御：多供应商加权核算中，当采购总重 \sum W_j = 0 时，加权因子自动兜底采用国家标准缺省值，记录  E_CALC_FACTOR_WEIGHT_ZERO_FALLBACK ，系统不出现  NaN  或白屏。</w:t>
      </w:r>
    </w:p>
    <w:p w14:paraId="3574A199">
      <w:pPr>
        <w:pStyle w:val="175"/>
        <w:bidi w:val="0"/>
      </w:pPr>
      <w:r>
        <w:t>因子数值非正数强阻断：录入因子必须满足 EF_{\text{current}} &gt; 0，输入 \le 0 时阻断提交并提示“因子数值必须严格大于0”，触发  E_VAL_FACTOR_NON_POSITIVE 。</w:t>
      </w:r>
    </w:p>
    <w:p w14:paraId="580D7E01">
      <w:pPr>
        <w:pStyle w:val="175"/>
        <w:bidi w:val="0"/>
      </w:pPr>
      <w:r>
        <w:t>在用因子物理删除阻断：已被认证报告引用的因子版本禁止执行物理删除，系统弹出强阻断提示并返回错误码  E_FACTOR_IN_USE_DELETE_DENIED 。</w:t>
      </w:r>
    </w:p>
    <w:p w14:paraId="2A6389C9">
      <w:pPr>
        <w:pStyle w:val="175"/>
        <w:bidi w:val="0"/>
      </w:pPr>
      <w:r>
        <w:t>版本号冲突阻断：手动录入版本号若低于当前版本或与已有版本重复，系统阻断保存，触发  E_FACTOR_VERSION_CONFLICT 。</w:t>
      </w:r>
    </w:p>
    <w:p w14:paraId="2E9D9E67">
      <w:pPr>
        <w:pStyle w:val="175"/>
        <w:bidi w:val="0"/>
      </w:pPr>
      <w:r>
        <w:t>RBAC 越权拦截：仅 P4 角色具备因子新增、编辑与回滚权限，非授权角色操作返回  HTTP 403 ，触发  E_AUTH_RBAC_FORBIDDEN 。</w:t>
      </w:r>
    </w:p>
    <w:p w14:paraId="0C32C0B6">
      <w:pPr>
        <w:pStyle w:val="175"/>
        <w:bidi w:val="0"/>
      </w:pPr>
      <w:r>
        <w:t>回滚必须留痕：执行版本回滚必须填写不少于 10 个字符的业务原因说明，空理由禁止提交。</w:t>
      </w:r>
    </w:p>
    <w:p w14:paraId="1EB759FD">
      <w:pPr>
        <w:pStyle w:val="6"/>
        <w:numPr>
          <w:ilvl w:val="0"/>
          <w:numId w:val="195"/>
        </w:numPr>
        <w:bidi w:val="0"/>
        <w:ind w:left="0" w:leftChars="0" w:firstLine="0" w:firstLineChars="0"/>
        <w:rPr>
          <w:rFonts w:hint="eastAsia" w:ascii="黑体" w:hAnsi="黑体" w:eastAsia="黑体" w:cs="黑体"/>
          <w:sz w:val="28"/>
          <w:szCs w:val="28"/>
        </w:rPr>
      </w:pPr>
      <w:r>
        <w:rPr>
          <w:rFonts w:hint="eastAsia" w:ascii="黑体" w:hAnsi="黑体" w:eastAsia="黑体" w:cs="黑体"/>
          <w:sz w:val="28"/>
          <w:szCs w:val="28"/>
        </w:rPr>
        <w:t>QA 自动化验收准则（Gherkin BDD）</w:t>
      </w:r>
    </w:p>
    <w:tbl>
      <w:tblPr>
        <w:tblStyle w:val="38"/>
        <w:tblW w:w="0" w:type="auto"/>
        <w:jc w:val="center"/>
        <w:tblLayout w:type="fixed"/>
        <w:tblCellMar>
          <w:top w:w="0" w:type="dxa"/>
          <w:left w:w="108" w:type="dxa"/>
          <w:bottom w:w="0" w:type="dxa"/>
          <w:right w:w="108" w:type="dxa"/>
        </w:tblCellMar>
      </w:tblPr>
      <w:tblGrid>
        <w:gridCol w:w="9648"/>
      </w:tblGrid>
      <w:tr w14:paraId="7937E4F0">
        <w:tblPrEx>
          <w:tblCellMar>
            <w:top w:w="0" w:type="dxa"/>
            <w:left w:w="108" w:type="dxa"/>
            <w:bottom w:w="0" w:type="dxa"/>
            <w:right w:w="108" w:type="dxa"/>
          </w:tblCellMar>
        </w:tblPrEx>
        <w:trPr>
          <w:jc w:val="center"/>
        </w:trPr>
        <w:tc>
          <w:tcPr>
            <w:tcW w:w="9648" w:type="dxa"/>
            <w:tcBorders>
              <w:top w:val="nil"/>
              <w:left w:val="single" w:color="7C3AED" w:sz="24" w:space="0"/>
              <w:bottom w:val="nil"/>
              <w:right w:val="nil"/>
            </w:tcBorders>
            <w:shd w:val="clear" w:color="auto" w:fill="F5F3FF"/>
            <w:tcMar>
              <w:top w:w="70" w:type="dxa"/>
              <w:left w:w="100" w:type="dxa"/>
              <w:bottom w:w="70" w:type="dxa"/>
              <w:right w:w="100" w:type="dxa"/>
            </w:tcMar>
          </w:tcPr>
          <w:p w14:paraId="2796A486">
            <w:pPr>
              <w:pStyle w:val="19"/>
              <w:bidi w:val="0"/>
            </w:pPr>
            <w:r>
              <w:t>Feature: 原材料碳排因子全生命周期治理与版本控制</w:t>
            </w:r>
          </w:p>
          <w:p w14:paraId="5B847ED2">
            <w:pPr>
              <w:pStyle w:val="19"/>
              <w:bidi w:val="0"/>
            </w:pPr>
            <w:r>
              <w:t xml:space="preserve">  Scenario: 供应商实测高保真因子新增与版本初始化</w:t>
            </w:r>
          </w:p>
          <w:p w14:paraId="3A9ABBAE">
            <w:pPr>
              <w:pStyle w:val="19"/>
              <w:bidi w:val="0"/>
            </w:pPr>
            <w:r>
              <w:t xml:space="preserve">    Given P4 认证工程师登录</w:t>
            </w:r>
            <w:r>
              <w:rPr>
                <w:rFonts w:hint="eastAsia"/>
                <w:lang w:eastAsia="zh-CN"/>
              </w:rPr>
              <w:t>进入</w:t>
            </w:r>
            <w:r>
              <w:t>变压器产业原材料因子管理界面</w:t>
            </w:r>
          </w:p>
          <w:p w14:paraId="71DF962F">
            <w:pPr>
              <w:pStyle w:val="19"/>
              <w:bidi w:val="0"/>
            </w:pPr>
            <w:r>
              <w:t xml:space="preserve">    When 点击新建因子，录入名称 "高磁导取向硅钢片", 产业 "变压器产业", 因子值 1.9500, 单位 "kgCO2e/kg", 来源 "供应商实测", 提供方 "宝钢股份"</w:t>
            </w:r>
          </w:p>
          <w:p w14:paraId="45735678">
            <w:pPr>
              <w:pStyle w:val="19"/>
              <w:bidi w:val="0"/>
              <w:rPr>
                <w:rFonts w:hint="eastAsia" w:eastAsia="宋体"/>
                <w:lang w:eastAsia="zh-CN"/>
              </w:rPr>
            </w:pPr>
            <w:r>
              <w:rPr>
                <w:rFonts w:hint="eastAsia"/>
                <w:lang w:eastAsia="zh-CN"/>
              </w:rPr>
              <w:t xml:space="preserve">    Then 系统保存成功，生成RM开头的唯一编码</w:t>
            </w:r>
          </w:p>
          <w:p w14:paraId="162B7428">
            <w:pPr>
              <w:pStyle w:val="19"/>
              <w:bidi w:val="0"/>
            </w:pPr>
            <w:r>
              <w:t xml:space="preserve">    And 当前生效因子值显示为 1.9500</w:t>
            </w:r>
          </w:p>
          <w:p w14:paraId="2AF3C080">
            <w:pPr>
              <w:pStyle w:val="19"/>
              <w:bidi w:val="0"/>
            </w:pPr>
            <w:r>
              <w:t xml:space="preserve">    And 默认值列自动初始化为 1.9500</w:t>
            </w:r>
          </w:p>
          <w:p w14:paraId="7C1B7463">
            <w:pPr>
              <w:pStyle w:val="19"/>
              <w:bidi w:val="0"/>
            </w:pPr>
            <w:r>
              <w:t xml:space="preserve">    And 历史版本流水写入版本号 "v1.0" 与操作人员工号</w:t>
            </w:r>
          </w:p>
          <w:p w14:paraId="1D134F08">
            <w:pPr>
              <w:pStyle w:val="19"/>
              <w:bidi w:val="0"/>
            </w:pPr>
          </w:p>
          <w:p w14:paraId="4ED0F149">
            <w:pPr>
              <w:pStyle w:val="19"/>
              <w:bidi w:val="0"/>
            </w:pPr>
            <w:r>
              <w:t xml:space="preserve">  Scenario: 被引用因子不可变性与删除强阻断防御</w:t>
            </w:r>
          </w:p>
          <w:p w14:paraId="1CC6A82A">
            <w:pPr>
              <w:pStyle w:val="19"/>
              <w:bidi w:val="0"/>
            </w:pPr>
            <w:r>
              <w:t xml:space="preserve">    Given 原材料因子 "电解铜" (RM002, v3.2) 已被型号 "SZ11-50000/110" 的已归档 LCA 报告引用</w:t>
            </w:r>
          </w:p>
          <w:p w14:paraId="03AD4AAD">
            <w:pPr>
              <w:pStyle w:val="19"/>
              <w:bidi w:val="0"/>
            </w:pPr>
            <w:r>
              <w:t xml:space="preserve">    When 用户</w:t>
            </w:r>
            <w:r>
              <w:rPr>
                <w:rFonts w:hint="eastAsia"/>
                <w:lang w:eastAsia="zh-CN"/>
              </w:rPr>
              <w:t>尝试点击</w:t>
            </w:r>
            <w:r>
              <w:t>列表操作列</w:t>
            </w:r>
            <w:r>
              <w:rPr>
                <w:rFonts w:hint="eastAsia"/>
                <w:lang w:eastAsia="zh-CN"/>
              </w:rPr>
              <w:t>的</w:t>
            </w:r>
            <w:r>
              <w:t xml:space="preserve"> "删除" 按钮</w:t>
            </w:r>
          </w:p>
          <w:p w14:paraId="62A2DA25">
            <w:pPr>
              <w:pStyle w:val="19"/>
              <w:bidi w:val="0"/>
            </w:pPr>
            <w:r>
              <w:t xml:space="preserve">    Then "删除" 按钮置灰禁用</w:t>
            </w:r>
            <w:r>
              <w:rPr>
                <w:rFonts w:hint="eastAsia"/>
                <w:lang w:eastAsia="zh-CN"/>
              </w:rPr>
              <w:t>，</w:t>
            </w:r>
            <w:r>
              <w:t>悬停提示 "该因子已被生效报告引用，禁止删除"</w:t>
            </w:r>
          </w:p>
          <w:p w14:paraId="161527CA">
            <w:pPr>
              <w:pStyle w:val="19"/>
              <w:bidi w:val="0"/>
            </w:pPr>
            <w:r>
              <w:t xml:space="preserve">    And 后台 API 拦截该 DELETE 请求</w:t>
            </w:r>
            <w:r>
              <w:rPr>
                <w:rFonts w:hint="eastAsia"/>
                <w:lang w:eastAsia="zh-CN"/>
              </w:rPr>
              <w:t>，</w:t>
            </w:r>
            <w:r>
              <w:t>返回错误码 E_FACTOR_IN_USE_DELETE_DENIED</w:t>
            </w:r>
          </w:p>
          <w:p w14:paraId="07A22D40">
            <w:pPr>
              <w:pStyle w:val="19"/>
              <w:bidi w:val="0"/>
            </w:pPr>
            <w:r>
              <w:t xml:space="preserve">    And 数据库中该行数据保持完整</w:t>
            </w:r>
          </w:p>
          <w:p w14:paraId="367AE58D">
            <w:pPr>
              <w:pStyle w:val="19"/>
              <w:bidi w:val="0"/>
            </w:pPr>
          </w:p>
          <w:p w14:paraId="68D6E8B4">
            <w:pPr>
              <w:pStyle w:val="19"/>
              <w:bidi w:val="0"/>
            </w:pPr>
            <w:r>
              <w:t xml:space="preserve">  Scenario: 因子版本一键回滚与默认值重置流水断言</w:t>
            </w:r>
          </w:p>
          <w:p w14:paraId="34A64697">
            <w:pPr>
              <w:pStyle w:val="19"/>
              <w:bidi w:val="0"/>
            </w:pPr>
            <w:r>
              <w:t xml:space="preserve">    Given 原材料因子 "电工铝锭" 当前版本 "v2.6"</w:t>
            </w:r>
            <w:r>
              <w:rPr>
                <w:rFonts w:hint="eastAsia"/>
                <w:lang w:eastAsia="zh-CN"/>
              </w:rPr>
              <w:t>、</w:t>
            </w:r>
            <w:r>
              <w:t>因子值 8.1000</w:t>
            </w:r>
            <w:r>
              <w:rPr>
                <w:rFonts w:hint="eastAsia"/>
                <w:lang w:eastAsia="zh-CN"/>
              </w:rPr>
              <w:t>，</w:t>
            </w:r>
            <w:r>
              <w:t>历史存在版本 "v2.5" (因子值 7.8000)</w:t>
            </w:r>
          </w:p>
          <w:p w14:paraId="4E0E22EA">
            <w:pPr>
              <w:pStyle w:val="19"/>
              <w:bidi w:val="0"/>
            </w:pPr>
            <w:r>
              <w:t xml:space="preserve">    When 用户在版本抽屉选中 "v2.5" 点击 "回滚至此版本"</w:t>
            </w:r>
            <w:r>
              <w:rPr>
                <w:rFonts w:hint="eastAsia"/>
                <w:lang w:eastAsia="zh-CN"/>
              </w:rPr>
              <w:t>，</w:t>
            </w:r>
            <w:r>
              <w:t>填写理由 "有色协会数据复测更正说明"</w:t>
            </w:r>
          </w:p>
          <w:p w14:paraId="640E6477">
            <w:pPr>
              <w:pStyle w:val="19"/>
              <w:bidi w:val="0"/>
            </w:pPr>
            <w:r>
              <w:t xml:space="preserve">    Then 因子当前生效值更新为 7.8000</w:t>
            </w:r>
          </w:p>
          <w:p w14:paraId="11397872">
            <w:pPr>
              <w:pStyle w:val="19"/>
              <w:bidi w:val="0"/>
            </w:pPr>
            <w:r>
              <w:t xml:space="preserve">    And 默认值列自动变更为回滚前当前值 8.1000</w:t>
            </w:r>
          </w:p>
          <w:p w14:paraId="0E2B0916">
            <w:pPr>
              <w:pStyle w:val="19"/>
              <w:bidi w:val="0"/>
            </w:pPr>
            <w:r>
              <w:t xml:space="preserve">    And 系统生成新版本节点 "v3.0 (回滚自 v2.5)"</w:t>
            </w:r>
          </w:p>
          <w:p w14:paraId="089BC415">
            <w:pPr>
              <w:pStyle w:val="19"/>
              <w:bidi w:val="0"/>
              <w:rPr>
                <w:rFonts w:hint="eastAsia" w:eastAsia="宋体"/>
                <w:lang w:eastAsia="zh-CN"/>
              </w:rPr>
            </w:pPr>
            <w:r>
              <w:rPr>
                <w:rFonts w:hint="eastAsia"/>
                <w:lang w:eastAsia="zh-CN"/>
              </w:rPr>
              <w:t xml:space="preserve">    And 审计日志表新增 "因子版本回滚" 操作留痕</w:t>
            </w:r>
          </w:p>
          <w:p w14:paraId="0506A701">
            <w:pPr>
              <w:pStyle w:val="19"/>
              <w:bidi w:val="0"/>
            </w:pPr>
          </w:p>
          <w:p w14:paraId="14E8A328">
            <w:pPr>
              <w:pStyle w:val="19"/>
              <w:bidi w:val="0"/>
            </w:pPr>
            <w:r>
              <w:t xml:space="preserve">  Scenario: 极限数值除零防御与非法输入拦截</w:t>
            </w:r>
          </w:p>
          <w:p w14:paraId="66BB79D2">
            <w:pPr>
              <w:pStyle w:val="19"/>
              <w:bidi w:val="0"/>
            </w:pPr>
            <w:r>
              <w:t xml:space="preserve">    Given 用户在录入界面将因子值输入为 "0" 或 "-1.25"</w:t>
            </w:r>
          </w:p>
          <w:p w14:paraId="58D8DC7F">
            <w:pPr>
              <w:pStyle w:val="19"/>
              <w:bidi w:val="0"/>
            </w:pPr>
            <w:r>
              <w:t xml:space="preserve">    When 用户点击确认提交</w:t>
            </w:r>
          </w:p>
          <w:p w14:paraId="02C90075">
            <w:pPr>
              <w:pStyle w:val="19"/>
              <w:bidi w:val="0"/>
            </w:pPr>
            <w:r>
              <w:t xml:space="preserve">    Then 输入框下方</w:t>
            </w:r>
            <w:r>
              <w:rPr>
                <w:rFonts w:hint="eastAsia"/>
                <w:lang w:eastAsia="zh-CN"/>
              </w:rPr>
              <w:t>显示</w:t>
            </w:r>
            <w:r>
              <w:t>红色校验告警 "因子数值必须严格大于0"</w:t>
            </w:r>
          </w:p>
          <w:p w14:paraId="4AD01CAA">
            <w:pPr>
              <w:pStyle w:val="19"/>
              <w:bidi w:val="0"/>
              <w:rPr>
                <w:rFonts w:hint="eastAsia" w:eastAsia="宋体"/>
                <w:lang w:eastAsia="zh-CN"/>
              </w:rPr>
            </w:pPr>
            <w:r>
              <w:rPr>
                <w:rFonts w:hint="eastAsia"/>
                <w:lang w:eastAsia="zh-CN"/>
              </w:rPr>
              <w:t xml:space="preserve">    And 提交按钮禁用，阻断后端无效请求</w:t>
            </w:r>
          </w:p>
          <w:p w14:paraId="22D46EF9">
            <w:pPr>
              <w:pStyle w:val="19"/>
              <w:bidi w:val="0"/>
            </w:pPr>
            <w:r>
              <w:t xml:space="preserve">    And 系统</w:t>
            </w:r>
            <w:r>
              <w:rPr>
                <w:rFonts w:hint="eastAsia"/>
                <w:lang w:eastAsia="zh-CN"/>
              </w:rPr>
              <w:t>无</w:t>
            </w:r>
            <w:r>
              <w:t>前端脚本崩溃或未捕获异常</w:t>
            </w:r>
          </w:p>
        </w:tc>
      </w:tr>
    </w:tbl>
    <w:p w14:paraId="5D4D83FF">
      <w:pPr>
        <w:rPr>
          <w:rFonts w:hint="eastAsia" w:ascii="宋体" w:hAnsi="宋体" w:eastAsia="宋体" w:cs="宋体"/>
          <w:i w:val="0"/>
          <w:iCs w:val="0"/>
          <w:sz w:val="24"/>
          <w:szCs w:val="24"/>
        </w:rPr>
      </w:pPr>
    </w:p>
    <w:p w14:paraId="59CD8406">
      <w:pPr>
        <w:pStyle w:val="5"/>
        <w:numPr>
          <w:ilvl w:val="0"/>
          <w:numId w:val="194"/>
        </w:numPr>
        <w:ind w:left="0" w:leftChars="0" w:firstLine="0" w:firstLineChars="0"/>
        <w:outlineLvl w:val="1"/>
        <w:rPr>
          <w:rFonts w:ascii="Times New Roman" w:hAnsi="Times New Roman" w:eastAsia="黑体" w:cs="Times New Roman"/>
          <w:b w:val="0"/>
          <w:bCs w:val="0"/>
          <w:sz w:val="30"/>
          <w:szCs w:val="24"/>
        </w:rPr>
      </w:pPr>
      <w:bookmarkStart w:id="59" w:name="_Toc18568"/>
      <w:r>
        <w:rPr>
          <w:rFonts w:hint="eastAsia" w:cs="Times New Roman"/>
          <w:b w:val="0"/>
          <w:bCs w:val="0"/>
          <w:sz w:val="30"/>
          <w:szCs w:val="24"/>
          <w:lang w:val="en-US" w:eastAsia="zh-CN"/>
        </w:rPr>
        <w:t>电力碳排因子</w:t>
      </w:r>
      <w:bookmarkEnd w:id="59"/>
    </w:p>
    <w:p w14:paraId="6E36B94B">
      <w:pPr>
        <w:keepNext/>
        <w:keepLines/>
        <w:widowControl w:val="0"/>
        <w:numPr>
          <w:ilvl w:val="0"/>
          <w:numId w:val="0"/>
        </w:numPr>
        <w:adjustRightInd w:val="0"/>
        <w:spacing w:before="200" w:line="300" w:lineRule="auto"/>
        <w:ind w:leftChars="0"/>
        <w:jc w:val="both"/>
        <w:outlineLvl w:val="9"/>
        <w:rPr>
          <w:rFonts w:hint="eastAsia" w:ascii="Times New Roman" w:hAnsi="Times New Roman" w:eastAsia="黑体" w:cs="Times New Roman"/>
          <w:b w:val="0"/>
          <w:bCs/>
          <w:kern w:val="2"/>
          <w:sz w:val="28"/>
          <w:szCs w:val="28"/>
          <w:lang w:bidi="ar-SA"/>
        </w:rPr>
      </w:pPr>
      <w:r>
        <w:drawing>
          <wp:inline distT="0" distB="0" distL="114300" distR="114300">
            <wp:extent cx="5900420" cy="2925445"/>
            <wp:effectExtent l="0" t="0" r="5080" b="8255"/>
            <wp:docPr id="78"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34"/>
                    <pic:cNvPicPr>
                      <a:picLocks noChangeAspect="1"/>
                    </pic:cNvPicPr>
                  </pic:nvPicPr>
                  <pic:blipFill>
                    <a:blip r:embed="rId92"/>
                    <a:stretch>
                      <a:fillRect/>
                    </a:stretch>
                  </pic:blipFill>
                  <pic:spPr>
                    <a:xfrm>
                      <a:off x="0" y="0"/>
                      <a:ext cx="5900420" cy="2925445"/>
                    </a:xfrm>
                    <a:prstGeom prst="rect">
                      <a:avLst/>
                    </a:prstGeom>
                    <a:noFill/>
                    <a:ln>
                      <a:noFill/>
                    </a:ln>
                  </pic:spPr>
                </pic:pic>
              </a:graphicData>
            </a:graphic>
          </wp:inline>
        </w:drawing>
      </w:r>
    </w:p>
    <w:p w14:paraId="0E183B19">
      <w:pPr>
        <w:pStyle w:val="6"/>
        <w:numPr>
          <w:ilvl w:val="0"/>
          <w:numId w:val="196"/>
        </w:numPr>
        <w:bidi w:val="0"/>
        <w:ind w:left="0" w:leftChars="0" w:firstLine="0" w:firstLineChars="0"/>
        <w:rPr>
          <w:b/>
          <w:bCs/>
          <w:sz w:val="28"/>
          <w:szCs w:val="28"/>
        </w:rPr>
      </w:pPr>
      <w:r>
        <w:rPr>
          <w:b/>
          <w:bCs/>
          <w:sz w:val="28"/>
          <w:szCs w:val="28"/>
        </w:rPr>
        <w:t>定位与架构角色</w:t>
      </w:r>
    </w:p>
    <w:p w14:paraId="2C117617">
      <w:pPr>
        <w:pStyle w:val="19"/>
        <w:bidi w:val="0"/>
      </w:pPr>
      <w:r>
        <w:t>• 功能定位：作为全集团范围二（Scope 2）外购电力间接温室气体排放核算、车间工序分时用电碳排分析与市场化绿电消纳抵扣的核心参数库，实现国家级、区域电网级、省域电网级以及特定清洁电源级因子的统一纳管与版本同步。</w:t>
      </w:r>
    </w:p>
    <w:p w14:paraId="46E9A3F7">
      <w:pPr>
        <w:pStyle w:val="19"/>
        <w:bidi w:val="0"/>
      </w:pPr>
      <w:r>
        <w:t>• 承载角色：P1 集团决策层（只读查验全网平均因子）、P2 园区能碳专员（属地电网因子匹配）、P4 碳核算工程师（绿电消纳核准与证书冲抵）。</w:t>
      </w:r>
    </w:p>
    <w:p w14:paraId="4B63A99A">
      <w:pPr>
        <w:pStyle w:val="6"/>
        <w:numPr>
          <w:ilvl w:val="0"/>
          <w:numId w:val="196"/>
        </w:numPr>
        <w:bidi w:val="0"/>
        <w:ind w:left="0" w:leftChars="0" w:firstLine="0" w:firstLineChars="0"/>
        <w:rPr>
          <w:b/>
          <w:bCs/>
          <w:sz w:val="28"/>
          <w:szCs w:val="28"/>
        </w:rPr>
      </w:pPr>
      <w:r>
        <w:rPr>
          <w:b/>
          <w:bCs/>
          <w:sz w:val="28"/>
          <w:szCs w:val="28"/>
        </w:rPr>
        <w:t>业务场景与用户故事</w:t>
      </w:r>
    </w:p>
    <w:p w14:paraId="6D5C5C53">
      <w:pPr>
        <w:pStyle w:val="19"/>
        <w:bidi w:val="0"/>
      </w:pPr>
      <w:r>
        <w:t>• 业务场景描述：特变电工全</w:t>
      </w:r>
      <w:r>
        <w:rPr>
          <w:rFonts w:hint="eastAsia"/>
          <w:lang w:eastAsia="zh-CN"/>
        </w:rPr>
        <w:t>国共</w:t>
      </w:r>
      <w:r>
        <w:t>15大现代化产业园区，分布于新疆（西北电网）、天津/北京（华北电网）、上海（华东电网）、湖南（华中电网）、辽宁（东北电网）与广东（南方电网）</w:t>
      </w:r>
      <w:r>
        <w:rPr>
          <w:rFonts w:hint="eastAsia"/>
          <w:lang w:eastAsia="zh-CN"/>
        </w:rPr>
        <w:t>；</w:t>
      </w:r>
      <w:r>
        <w:t>不同属地电网能源结构</w:t>
      </w:r>
      <w:r>
        <w:rPr>
          <w:rFonts w:hint="eastAsia"/>
          <w:lang w:eastAsia="zh-CN"/>
        </w:rPr>
        <w:t>不同</w:t>
      </w:r>
      <w:r>
        <w:t>，</w:t>
      </w:r>
      <w:r>
        <w:rPr>
          <w:rFonts w:hint="eastAsia"/>
          <w:lang w:eastAsia="zh-CN"/>
        </w:rPr>
        <w:t>电力排放因子差异显著（从华东0.5257到西北0.6127 kgCO2e/kWh），各厂区均消纳屋顶光伏与直购绿电，</w:t>
      </w:r>
      <w:r>
        <w:t>系统需根据生产工厂</w:t>
      </w:r>
      <w:r>
        <w:rPr>
          <w:rFonts w:hint="eastAsia"/>
          <w:lang w:eastAsia="zh-CN"/>
        </w:rPr>
        <w:t>属地</w:t>
      </w:r>
      <w:r>
        <w:t>电网与绿电交易凭证精准匹配电力碳排因子。</w:t>
      </w:r>
    </w:p>
    <w:p w14:paraId="28933033">
      <w:pPr>
        <w:pStyle w:val="19"/>
        <w:bidi w:val="0"/>
      </w:pPr>
      <w:r>
        <w:t>• 用户故事：</w:t>
      </w:r>
    </w:p>
    <w:p w14:paraId="7DF06D01">
      <w:pPr>
        <w:pStyle w:val="19"/>
        <w:bidi w:val="0"/>
      </w:pPr>
      <w:r>
        <w:t xml:space="preserve">  As a 园区能碳专员 (Persona P2)，</w:t>
      </w:r>
    </w:p>
    <w:p w14:paraId="1A3C4F1C">
      <w:pPr>
        <w:pStyle w:val="19"/>
        <w:bidi w:val="0"/>
      </w:pPr>
      <w:r>
        <w:t xml:space="preserve">  I want 按照工厂属地省份与区域电网检索生效的电力碳排因子，并查看常规市电、自发自用光伏与绿电交易的对应因子值，</w:t>
      </w:r>
    </w:p>
    <w:p w14:paraId="2D71E16D">
      <w:pPr>
        <w:pStyle w:val="19"/>
        <w:bidi w:val="0"/>
      </w:pPr>
      <w:r>
        <w:t xml:space="preserve">  So that 我能准确核算车间及全厂外购电力的真实 Scope 2 间接排放，并在核销绿电后合规享受零碳排放核减。</w:t>
      </w:r>
    </w:p>
    <w:p w14:paraId="278AA572">
      <w:pPr>
        <w:pStyle w:val="19"/>
        <w:bidi w:val="0"/>
      </w:pPr>
    </w:p>
    <w:p w14:paraId="1B6B5A34">
      <w:pPr>
        <w:pStyle w:val="6"/>
        <w:numPr>
          <w:ilvl w:val="0"/>
          <w:numId w:val="196"/>
        </w:numPr>
        <w:bidi w:val="0"/>
        <w:ind w:left="0" w:leftChars="0" w:firstLine="0" w:firstLineChars="0"/>
        <w:rPr>
          <w:b/>
          <w:bCs/>
          <w:sz w:val="28"/>
          <w:szCs w:val="28"/>
        </w:rPr>
      </w:pPr>
      <w:r>
        <w:rPr>
          <w:b/>
          <w:bCs/>
          <w:sz w:val="28"/>
          <w:szCs w:val="28"/>
        </w:rPr>
        <w:t>功能规格与交互契约</w:t>
      </w:r>
    </w:p>
    <w:p w14:paraId="184E08F1">
      <w:pPr>
        <w:pStyle w:val="19"/>
        <w:bidi w:val="0"/>
      </w:pPr>
      <w:r>
        <w:t>• 多维组合筛选与视图组织：</w:t>
      </w:r>
    </w:p>
    <w:p w14:paraId="78942170">
      <w:pPr>
        <w:pStyle w:val="19"/>
        <w:bidi w:val="0"/>
        <w:rPr>
          <w:rFonts w:hint="eastAsia" w:eastAsia="宋体"/>
          <w:lang w:eastAsia="zh-CN"/>
        </w:rPr>
      </w:pPr>
      <w:r>
        <w:rPr>
          <w:rFonts w:hint="eastAsia"/>
          <w:lang w:eastAsia="zh-CN"/>
        </w:rPr>
        <w:t>• 顶部设【区域电网】切片：华北/华东/华中/东北/西北/南方/全国统一；</w:t>
      </w:r>
    </w:p>
    <w:p w14:paraId="438AA730">
      <w:pPr>
        <w:pStyle w:val="19"/>
        <w:bidi w:val="0"/>
        <w:rPr>
          <w:rFonts w:hint="eastAsia" w:eastAsia="宋体"/>
          <w:lang w:eastAsia="zh-CN"/>
        </w:rPr>
      </w:pPr>
      <w:r>
        <w:rPr>
          <w:rFonts w:hint="eastAsia"/>
          <w:lang w:eastAsia="zh-CN"/>
        </w:rPr>
        <w:t>• 提供【省份下钻】下拉选框，包含北京、天津等省市；</w:t>
      </w:r>
    </w:p>
    <w:p w14:paraId="21F9BEFB">
      <w:pPr>
        <w:pStyle w:val="19"/>
        <w:bidi w:val="0"/>
        <w:rPr>
          <w:rFonts w:hint="eastAsia" w:eastAsia="宋体"/>
          <w:lang w:eastAsia="zh-CN"/>
        </w:rPr>
      </w:pPr>
      <w:r>
        <w:rPr>
          <w:rFonts w:hint="eastAsia"/>
          <w:lang w:eastAsia="zh-CN"/>
        </w:rPr>
        <w:t>• 提供【电力来源】过滤：电网平均/燃煤自备电厂/光伏发电/风力发电/水力发电/绿电（市场化交易）；</w:t>
      </w:r>
    </w:p>
    <w:p w14:paraId="1CB20805">
      <w:pPr>
        <w:pStyle w:val="19"/>
        <w:bidi w:val="0"/>
      </w:pPr>
      <w:r>
        <w:t>• 电网因子当前值与默认值对照：</w:t>
      </w:r>
    </w:p>
    <w:p w14:paraId="56658E6F">
      <w:pPr>
        <w:pStyle w:val="19"/>
        <w:bidi w:val="0"/>
        <w:rPr>
          <w:rFonts w:hint="eastAsia" w:eastAsia="宋体"/>
          <w:lang w:eastAsia="zh-CN"/>
        </w:rPr>
      </w:pPr>
      <w:r>
        <w:rPr>
          <w:rFonts w:hint="eastAsia"/>
          <w:lang w:eastAsia="zh-CN"/>
        </w:rPr>
        <w:t>• 因子值列统一以当前值/默认值显示，单位kgCO2e/kWh；</w:t>
      </w:r>
    </w:p>
    <w:p w14:paraId="6A7A27AE">
      <w:pPr>
        <w:pStyle w:val="19"/>
        <w:bidi w:val="0"/>
        <w:rPr>
          <w:rFonts w:hint="eastAsia" w:eastAsia="宋体"/>
          <w:lang w:eastAsia="zh-CN"/>
        </w:rPr>
      </w:pPr>
      <w:r>
        <w:rPr>
          <w:rFonts w:hint="eastAsia"/>
          <w:lang w:eastAsia="zh-CN"/>
        </w:rPr>
        <w:t>• 经权威核销的绿电（市场化交易）因子显示为0.0000 kgCO2e/kWh，标注实心绿底Zero-Emission徽章；</w:t>
      </w:r>
    </w:p>
    <w:p w14:paraId="679E2313">
      <w:pPr>
        <w:pStyle w:val="19"/>
        <w:bidi w:val="0"/>
      </w:pPr>
      <w:r>
        <w:t>• 年度电网因子版本快照机制：</w:t>
      </w:r>
    </w:p>
    <w:p w14:paraId="594DA526">
      <w:pPr>
        <w:pStyle w:val="19"/>
        <w:bidi w:val="0"/>
        <w:rPr>
          <w:rFonts w:hint="eastAsia" w:eastAsia="宋体"/>
          <w:lang w:eastAsia="zh-CN"/>
        </w:rPr>
      </w:pPr>
      <w:r>
        <w:rPr>
          <w:rFonts w:hint="eastAsia"/>
          <w:lang w:eastAsia="zh-CN"/>
        </w:rPr>
        <w:t>• 生态环境部发布新年度电网因子后，系统建立新版本（如v2024.1），历史版本（如v2023.1）自动冻结归档，仅供追溯历史数据；</w:t>
      </w:r>
    </w:p>
    <w:p w14:paraId="0297F0FA">
      <w:pPr>
        <w:pStyle w:val="19"/>
        <w:bidi w:val="0"/>
      </w:pPr>
      <w:r>
        <w:t>• 📌 【业务约束与工程规范契约】：</w:t>
      </w:r>
    </w:p>
    <w:p w14:paraId="4742C38F">
      <w:pPr>
        <w:pStyle w:val="19"/>
        <w:bidi w:val="0"/>
      </w:pPr>
      <w:r>
        <w:t>• 绿电唯一性核销契约：直购绿电或绿色电力证书（GEC）冲抵碳</w:t>
      </w:r>
      <w:r>
        <w:rPr>
          <w:rFonts w:hint="eastAsia"/>
          <w:lang w:eastAsia="zh-CN"/>
        </w:rPr>
        <w:t>排放</w:t>
      </w:r>
      <w:r>
        <w:t>时，必须</w:t>
      </w:r>
      <w:r>
        <w:rPr>
          <w:rFonts w:hint="eastAsia"/>
          <w:lang w:eastAsia="zh-CN"/>
        </w:rPr>
        <w:t>具备</w:t>
      </w:r>
      <w:r>
        <w:t>国家可再生能源信息管理中心的唯一证书编号，严禁“一证多抵”；</w:t>
      </w:r>
    </w:p>
    <w:p w14:paraId="2159E2AB">
      <w:pPr>
        <w:pStyle w:val="19"/>
        <w:bidi w:val="0"/>
        <w:rPr>
          <w:rFonts w:hint="eastAsia" w:eastAsia="宋体"/>
          <w:lang w:eastAsia="zh-CN"/>
        </w:rPr>
      </w:pPr>
      <w:r>
        <w:rPr>
          <w:rFonts w:hint="eastAsia"/>
          <w:lang w:eastAsia="zh-CN"/>
        </w:rPr>
        <w:t>• 自备电厂独立口径：拥有燃煤自备电厂的实体单位，自备发电必须采用机组实测供电碳排放强度，严禁套用公用电网均值掩盖排放。</w:t>
      </w:r>
    </w:p>
    <w:p w14:paraId="0068270F">
      <w:pPr>
        <w:pStyle w:val="6"/>
        <w:numPr>
          <w:ilvl w:val="0"/>
          <w:numId w:val="196"/>
        </w:numPr>
        <w:bidi w:val="0"/>
        <w:ind w:left="0" w:leftChars="0" w:firstLine="0" w:firstLineChars="0"/>
        <w:rPr>
          <w:b/>
          <w:bCs/>
          <w:sz w:val="28"/>
          <w:szCs w:val="28"/>
        </w:rPr>
      </w:pPr>
      <w:r>
        <w:rPr>
          <w:b/>
          <w:bCs/>
          <w:sz w:val="28"/>
          <w:szCs w:val="28"/>
        </w:rPr>
        <w:t>页面字段字典与数据契约</w:t>
      </w:r>
    </w:p>
    <w:tbl>
      <w:tblPr>
        <w:tblStyle w:val="38"/>
        <w:tblW w:w="9784" w:type="dxa"/>
        <w:jc w:val="center"/>
        <w:tblLayout w:type="fixed"/>
        <w:tblCellMar>
          <w:top w:w="0" w:type="dxa"/>
          <w:left w:w="108" w:type="dxa"/>
          <w:bottom w:w="0" w:type="dxa"/>
          <w:right w:w="108" w:type="dxa"/>
        </w:tblCellMar>
      </w:tblPr>
      <w:tblGrid>
        <w:gridCol w:w="734"/>
        <w:gridCol w:w="1573"/>
        <w:gridCol w:w="1112"/>
        <w:gridCol w:w="1560"/>
        <w:gridCol w:w="4805"/>
      </w:tblGrid>
      <w:tr w14:paraId="5211FFE0">
        <w:tblPrEx>
          <w:tblCellMar>
            <w:top w:w="0" w:type="dxa"/>
            <w:left w:w="108" w:type="dxa"/>
            <w:bottom w:w="0" w:type="dxa"/>
            <w:right w:w="108" w:type="dxa"/>
          </w:tblCellMar>
        </w:tblPrEx>
        <w:trPr>
          <w:jc w:val="center"/>
        </w:trPr>
        <w:tc>
          <w:tcPr>
            <w:tcW w:w="73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57E9C42">
            <w:pPr>
              <w:pStyle w:val="19"/>
              <w:bidi w:val="0"/>
              <w:spacing w:line="240" w:lineRule="auto"/>
              <w:ind w:left="0" w:leftChars="0" w:right="0" w:rightChars="0" w:firstLine="0" w:firstLineChars="0"/>
              <w:jc w:val="both"/>
            </w:pPr>
            <w:r>
              <w:t>序号</w:t>
            </w:r>
          </w:p>
        </w:tc>
        <w:tc>
          <w:tcPr>
            <w:tcW w:w="157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391D21F">
            <w:pPr>
              <w:pStyle w:val="19"/>
              <w:bidi w:val="0"/>
              <w:spacing w:line="240" w:lineRule="auto"/>
              <w:ind w:left="0" w:leftChars="0" w:right="0" w:rightChars="0" w:firstLine="0" w:firstLineChars="0"/>
              <w:jc w:val="both"/>
            </w:pPr>
            <w:r>
              <w:t>字段中文名称</w:t>
            </w:r>
          </w:p>
        </w:tc>
        <w:tc>
          <w:tcPr>
            <w:tcW w:w="111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4FA9A4A">
            <w:pPr>
              <w:pStyle w:val="19"/>
              <w:bidi w:val="0"/>
              <w:spacing w:line="240" w:lineRule="auto"/>
              <w:ind w:left="0" w:leftChars="0" w:right="0" w:rightChars="0" w:firstLine="0" w:firstLineChars="0"/>
              <w:jc w:val="both"/>
            </w:pPr>
            <w:r>
              <w:t>数据类型</w:t>
            </w:r>
          </w:p>
        </w:tc>
        <w:tc>
          <w:tcPr>
            <w:tcW w:w="156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FC4E86D">
            <w:pPr>
              <w:pStyle w:val="19"/>
              <w:bidi w:val="0"/>
              <w:spacing w:line="240" w:lineRule="auto"/>
              <w:ind w:left="0" w:leftChars="0" w:right="0" w:rightChars="0" w:firstLine="0" w:firstLineChars="0"/>
              <w:jc w:val="both"/>
            </w:pPr>
            <w:r>
              <w:t>工程单位</w:t>
            </w:r>
          </w:p>
        </w:tc>
        <w:tc>
          <w:tcPr>
            <w:tcW w:w="480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75F9AFF">
            <w:pPr>
              <w:pStyle w:val="19"/>
              <w:bidi w:val="0"/>
              <w:spacing w:line="240" w:lineRule="auto"/>
              <w:ind w:left="0" w:leftChars="0" w:right="0" w:rightChars="0" w:firstLine="0" w:firstLineChars="0"/>
              <w:jc w:val="both"/>
            </w:pPr>
            <w:r>
              <w:t>校验与约束规则</w:t>
            </w:r>
          </w:p>
        </w:tc>
      </w:tr>
      <w:tr w14:paraId="3B3A8DA9">
        <w:tblPrEx>
          <w:tblCellMar>
            <w:top w:w="0" w:type="dxa"/>
            <w:left w:w="108" w:type="dxa"/>
            <w:bottom w:w="0" w:type="dxa"/>
            <w:right w:w="108" w:type="dxa"/>
          </w:tblCellMar>
        </w:tblPrEx>
        <w:trPr>
          <w:jc w:val="center"/>
        </w:trPr>
        <w:tc>
          <w:tcPr>
            <w:tcW w:w="73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4EB5CDA">
            <w:pPr>
              <w:pStyle w:val="19"/>
              <w:bidi w:val="0"/>
              <w:spacing w:line="240" w:lineRule="auto"/>
              <w:ind w:left="0" w:leftChars="0" w:right="0" w:rightChars="0" w:firstLine="0" w:firstLineChars="0"/>
              <w:jc w:val="both"/>
            </w:pPr>
            <w:r>
              <w:t>1</w:t>
            </w:r>
          </w:p>
        </w:tc>
        <w:tc>
          <w:tcPr>
            <w:tcW w:w="157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89D42A3">
            <w:pPr>
              <w:pStyle w:val="19"/>
              <w:bidi w:val="0"/>
              <w:spacing w:line="240" w:lineRule="auto"/>
              <w:ind w:left="0" w:leftChars="0" w:right="0" w:rightChars="0" w:firstLine="0" w:firstLineChars="0"/>
              <w:jc w:val="both"/>
            </w:pPr>
            <w:r>
              <w:t>电力因子唯一编码</w:t>
            </w:r>
          </w:p>
        </w:tc>
        <w:tc>
          <w:tcPr>
            <w:tcW w:w="111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49D4827">
            <w:pPr>
              <w:pStyle w:val="19"/>
              <w:bidi w:val="0"/>
              <w:spacing w:line="240" w:lineRule="auto"/>
              <w:ind w:left="0" w:leftChars="0" w:right="0" w:rightChars="0" w:firstLine="0" w:firstLineChars="0"/>
              <w:jc w:val="both"/>
            </w:pPr>
            <w:r>
              <w:t>String</w:t>
            </w:r>
          </w:p>
        </w:tc>
        <w:tc>
          <w:tcPr>
            <w:tcW w:w="156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003CAC7">
            <w:pPr>
              <w:pStyle w:val="19"/>
              <w:bidi w:val="0"/>
              <w:spacing w:line="240" w:lineRule="auto"/>
              <w:ind w:left="0" w:leftChars="0" w:right="0" w:rightChars="0" w:firstLine="0" w:firstLineChars="0"/>
              <w:jc w:val="both"/>
            </w:pPr>
            <w:r>
              <w:t>—</w:t>
            </w:r>
          </w:p>
        </w:tc>
        <w:tc>
          <w:tcPr>
            <w:tcW w:w="480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C1A7E6D">
            <w:pPr>
              <w:pStyle w:val="19"/>
              <w:bidi w:val="0"/>
              <w:spacing w:line="240" w:lineRule="auto"/>
              <w:ind w:left="0" w:leftChars="0" w:right="0" w:rightChars="0" w:firstLine="0" w:firstLineChars="0"/>
              <w:jc w:val="both"/>
            </w:pPr>
            <w:r>
              <w:t xml:space="preserve">唯一，格式  PW&lt;3位流水&gt;&lt;2位校验码&gt; </w:t>
            </w:r>
          </w:p>
        </w:tc>
      </w:tr>
      <w:tr w14:paraId="68912F45">
        <w:tblPrEx>
          <w:tblCellMar>
            <w:top w:w="0" w:type="dxa"/>
            <w:left w:w="108" w:type="dxa"/>
            <w:bottom w:w="0" w:type="dxa"/>
            <w:right w:w="108" w:type="dxa"/>
          </w:tblCellMar>
        </w:tblPrEx>
        <w:trPr>
          <w:jc w:val="center"/>
        </w:trPr>
        <w:tc>
          <w:tcPr>
            <w:tcW w:w="73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3F6C93A">
            <w:pPr>
              <w:pStyle w:val="19"/>
              <w:bidi w:val="0"/>
              <w:spacing w:line="240" w:lineRule="auto"/>
              <w:ind w:left="0" w:leftChars="0" w:right="0" w:rightChars="0" w:firstLine="0" w:firstLineChars="0"/>
              <w:jc w:val="both"/>
            </w:pPr>
            <w:r>
              <w:t>2</w:t>
            </w:r>
          </w:p>
        </w:tc>
        <w:tc>
          <w:tcPr>
            <w:tcW w:w="157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F5CB5F4">
            <w:pPr>
              <w:pStyle w:val="19"/>
              <w:bidi w:val="0"/>
              <w:spacing w:line="240" w:lineRule="auto"/>
              <w:ind w:left="0" w:leftChars="0" w:right="0" w:rightChars="0" w:firstLine="0" w:firstLineChars="0"/>
              <w:jc w:val="both"/>
            </w:pPr>
            <w:r>
              <w:t>所属行政省份</w:t>
            </w:r>
          </w:p>
        </w:tc>
        <w:tc>
          <w:tcPr>
            <w:tcW w:w="111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63A023A">
            <w:pPr>
              <w:pStyle w:val="19"/>
              <w:bidi w:val="0"/>
              <w:spacing w:line="240" w:lineRule="auto"/>
              <w:ind w:left="0" w:leftChars="0" w:right="0" w:rightChars="0" w:firstLine="0" w:firstLineChars="0"/>
              <w:jc w:val="both"/>
            </w:pPr>
            <w:r>
              <w:t>String</w:t>
            </w:r>
          </w:p>
        </w:tc>
        <w:tc>
          <w:tcPr>
            <w:tcW w:w="15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4AC672D">
            <w:pPr>
              <w:pStyle w:val="19"/>
              <w:bidi w:val="0"/>
              <w:spacing w:line="240" w:lineRule="auto"/>
              <w:ind w:left="0" w:leftChars="0" w:right="0" w:rightChars="0" w:firstLine="0" w:firstLineChars="0"/>
              <w:jc w:val="both"/>
            </w:pPr>
            <w:r>
              <w:t>—</w:t>
            </w:r>
          </w:p>
        </w:tc>
        <w:tc>
          <w:tcPr>
            <w:tcW w:w="48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E7A312F">
            <w:pPr>
              <w:pStyle w:val="19"/>
              <w:bidi w:val="0"/>
              <w:spacing w:line="240" w:lineRule="auto"/>
              <w:ind w:left="0" w:leftChars="0" w:right="0" w:rightChars="0" w:firstLine="0" w:firstLineChars="0"/>
              <w:jc w:val="both"/>
            </w:pPr>
            <w:r>
              <w:t>涵盖集团各厂区属地，如  新疆 、 湖南 、 辽宁  等</w:t>
            </w:r>
          </w:p>
        </w:tc>
      </w:tr>
      <w:tr w14:paraId="4280D65F">
        <w:tblPrEx>
          <w:tblCellMar>
            <w:top w:w="0" w:type="dxa"/>
            <w:left w:w="108" w:type="dxa"/>
            <w:bottom w:w="0" w:type="dxa"/>
            <w:right w:w="108" w:type="dxa"/>
          </w:tblCellMar>
        </w:tblPrEx>
        <w:trPr>
          <w:jc w:val="center"/>
        </w:trPr>
        <w:tc>
          <w:tcPr>
            <w:tcW w:w="73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C51720A">
            <w:pPr>
              <w:pStyle w:val="19"/>
              <w:bidi w:val="0"/>
              <w:spacing w:line="240" w:lineRule="auto"/>
              <w:ind w:left="0" w:leftChars="0" w:right="0" w:rightChars="0" w:firstLine="0" w:firstLineChars="0"/>
              <w:jc w:val="both"/>
            </w:pPr>
            <w:r>
              <w:t>3</w:t>
            </w:r>
          </w:p>
        </w:tc>
        <w:tc>
          <w:tcPr>
            <w:tcW w:w="157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550DA24">
            <w:pPr>
              <w:pStyle w:val="19"/>
              <w:bidi w:val="0"/>
              <w:spacing w:line="240" w:lineRule="auto"/>
              <w:ind w:left="0" w:leftChars="0" w:right="0" w:rightChars="0" w:firstLine="0" w:firstLineChars="0"/>
              <w:jc w:val="both"/>
            </w:pPr>
            <w:r>
              <w:t>所属区域电网</w:t>
            </w:r>
          </w:p>
        </w:tc>
        <w:tc>
          <w:tcPr>
            <w:tcW w:w="111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569C3AD">
            <w:pPr>
              <w:pStyle w:val="19"/>
              <w:bidi w:val="0"/>
              <w:spacing w:line="240" w:lineRule="auto"/>
              <w:ind w:left="0" w:leftChars="0" w:right="0" w:rightChars="0" w:firstLine="0" w:firstLineChars="0"/>
              <w:jc w:val="both"/>
            </w:pPr>
            <w:r>
              <w:t>Enum</w:t>
            </w:r>
          </w:p>
        </w:tc>
        <w:tc>
          <w:tcPr>
            <w:tcW w:w="156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C1F29A4">
            <w:pPr>
              <w:pStyle w:val="19"/>
              <w:bidi w:val="0"/>
              <w:spacing w:line="240" w:lineRule="auto"/>
              <w:ind w:left="0" w:leftChars="0" w:right="0" w:rightChars="0" w:firstLine="0" w:firstLineChars="0"/>
              <w:jc w:val="both"/>
            </w:pPr>
            <w:r>
              <w:t>—</w:t>
            </w:r>
          </w:p>
        </w:tc>
        <w:tc>
          <w:tcPr>
            <w:tcW w:w="480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E8AE13B">
            <w:pPr>
              <w:pStyle w:val="19"/>
              <w:bidi w:val="0"/>
              <w:spacing w:line="240" w:lineRule="auto"/>
              <w:ind w:left="0" w:leftChars="0" w:right="0" w:rightChars="0" w:firstLine="0" w:firstLineChars="0"/>
              <w:jc w:val="both"/>
            </w:pPr>
            <w:r>
              <w:t>枚举：华北 / 华东 / 华中 / 东北 / 西北 / 南方区域电网</w:t>
            </w:r>
          </w:p>
        </w:tc>
      </w:tr>
      <w:tr w14:paraId="5143BCA1">
        <w:tblPrEx>
          <w:tblCellMar>
            <w:top w:w="0" w:type="dxa"/>
            <w:left w:w="108" w:type="dxa"/>
            <w:bottom w:w="0" w:type="dxa"/>
            <w:right w:w="108" w:type="dxa"/>
          </w:tblCellMar>
        </w:tblPrEx>
        <w:trPr>
          <w:jc w:val="center"/>
        </w:trPr>
        <w:tc>
          <w:tcPr>
            <w:tcW w:w="73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55D24CC">
            <w:pPr>
              <w:pStyle w:val="19"/>
              <w:bidi w:val="0"/>
              <w:spacing w:line="240" w:lineRule="auto"/>
              <w:ind w:left="0" w:leftChars="0" w:right="0" w:rightChars="0" w:firstLine="0" w:firstLineChars="0"/>
              <w:jc w:val="both"/>
            </w:pPr>
            <w:r>
              <w:t>4</w:t>
            </w:r>
          </w:p>
        </w:tc>
        <w:tc>
          <w:tcPr>
            <w:tcW w:w="157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ED5E087">
            <w:pPr>
              <w:pStyle w:val="19"/>
              <w:bidi w:val="0"/>
              <w:spacing w:line="240" w:lineRule="auto"/>
              <w:ind w:left="0" w:leftChars="0" w:right="0" w:rightChars="0" w:firstLine="0" w:firstLineChars="0"/>
              <w:jc w:val="both"/>
            </w:pPr>
            <w:r>
              <w:t>电力来源类别</w:t>
            </w:r>
          </w:p>
        </w:tc>
        <w:tc>
          <w:tcPr>
            <w:tcW w:w="111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562CF67">
            <w:pPr>
              <w:pStyle w:val="19"/>
              <w:bidi w:val="0"/>
              <w:spacing w:line="240" w:lineRule="auto"/>
              <w:ind w:left="0" w:leftChars="0" w:right="0" w:rightChars="0" w:firstLine="0" w:firstLineChars="0"/>
              <w:jc w:val="both"/>
            </w:pPr>
            <w:r>
              <w:t>Enum</w:t>
            </w:r>
          </w:p>
        </w:tc>
        <w:tc>
          <w:tcPr>
            <w:tcW w:w="15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4AFDE09">
            <w:pPr>
              <w:pStyle w:val="19"/>
              <w:bidi w:val="0"/>
              <w:spacing w:line="240" w:lineRule="auto"/>
              <w:ind w:left="0" w:leftChars="0" w:right="0" w:rightChars="0" w:firstLine="0" w:firstLineChars="0"/>
              <w:jc w:val="both"/>
            </w:pPr>
            <w:r>
              <w:t>—</w:t>
            </w:r>
          </w:p>
        </w:tc>
        <w:tc>
          <w:tcPr>
            <w:tcW w:w="48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9EF3521">
            <w:pPr>
              <w:pStyle w:val="19"/>
              <w:bidi w:val="0"/>
              <w:spacing w:line="240" w:lineRule="auto"/>
              <w:ind w:left="0" w:leftChars="0" w:right="0" w:rightChars="0" w:firstLine="0" w:firstLineChars="0"/>
              <w:jc w:val="both"/>
            </w:pPr>
            <w:r>
              <w:t>电网平均 / 燃煤自备电厂 / 光伏发电 / 风力发电 / 水力发电 / 市场化绿电</w:t>
            </w:r>
          </w:p>
        </w:tc>
      </w:tr>
      <w:tr w14:paraId="39DFDD86">
        <w:tblPrEx>
          <w:tblCellMar>
            <w:top w:w="0" w:type="dxa"/>
            <w:left w:w="108" w:type="dxa"/>
            <w:bottom w:w="0" w:type="dxa"/>
            <w:right w:w="108" w:type="dxa"/>
          </w:tblCellMar>
        </w:tblPrEx>
        <w:trPr>
          <w:jc w:val="center"/>
        </w:trPr>
        <w:tc>
          <w:tcPr>
            <w:tcW w:w="73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F4AB0EF">
            <w:pPr>
              <w:pStyle w:val="19"/>
              <w:bidi w:val="0"/>
              <w:spacing w:line="240" w:lineRule="auto"/>
              <w:ind w:left="0" w:leftChars="0" w:right="0" w:rightChars="0" w:firstLine="0" w:firstLineChars="0"/>
              <w:jc w:val="both"/>
            </w:pPr>
            <w:r>
              <w:t>5</w:t>
            </w:r>
          </w:p>
        </w:tc>
        <w:tc>
          <w:tcPr>
            <w:tcW w:w="157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7F61DAA">
            <w:pPr>
              <w:pStyle w:val="19"/>
              <w:bidi w:val="0"/>
              <w:spacing w:line="240" w:lineRule="auto"/>
              <w:ind w:left="0" w:leftChars="0" w:right="0" w:rightChars="0" w:firstLine="0" w:firstLineChars="0"/>
              <w:jc w:val="both"/>
            </w:pPr>
            <w:r>
              <w:t>当前生效因子值</w:t>
            </w:r>
          </w:p>
        </w:tc>
        <w:tc>
          <w:tcPr>
            <w:tcW w:w="111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6641332">
            <w:pPr>
              <w:pStyle w:val="19"/>
              <w:bidi w:val="0"/>
              <w:spacing w:line="240" w:lineRule="auto"/>
              <w:ind w:left="0" w:leftChars="0" w:right="0" w:rightChars="0" w:firstLine="0" w:firstLineChars="0"/>
              <w:jc w:val="both"/>
            </w:pPr>
            <w:r>
              <w:t>Decimal</w:t>
            </w:r>
          </w:p>
        </w:tc>
        <w:tc>
          <w:tcPr>
            <w:tcW w:w="156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6817270">
            <w:pPr>
              <w:pStyle w:val="19"/>
              <w:bidi w:val="0"/>
              <w:spacing w:line="240" w:lineRule="auto"/>
              <w:ind w:left="0" w:leftChars="0" w:right="0" w:rightChars="0" w:firstLine="0" w:firstLineChars="0"/>
              <w:jc w:val="both"/>
            </w:pPr>
            <w:r>
              <w:t>kgCO2e/kWh</w:t>
            </w:r>
          </w:p>
        </w:tc>
        <w:tc>
          <w:tcPr>
            <w:tcW w:w="480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70F2F89">
            <w:pPr>
              <w:pStyle w:val="19"/>
              <w:bidi w:val="0"/>
              <w:spacing w:line="240" w:lineRule="auto"/>
              <w:ind w:left="0" w:leftChars="0" w:right="0" w:rightChars="0" w:firstLine="0" w:firstLineChars="0"/>
              <w:jc w:val="both"/>
            </w:pPr>
            <w:r>
              <w:t xml:space="preserve">&gt;= 0 ；绿电核销后为 0.0000；常规电网取值区间  [0.3000, 1.2000] </w:t>
            </w:r>
          </w:p>
        </w:tc>
      </w:tr>
      <w:tr w14:paraId="20F2C33B">
        <w:tblPrEx>
          <w:tblCellMar>
            <w:top w:w="0" w:type="dxa"/>
            <w:left w:w="108" w:type="dxa"/>
            <w:bottom w:w="0" w:type="dxa"/>
            <w:right w:w="108" w:type="dxa"/>
          </w:tblCellMar>
        </w:tblPrEx>
        <w:trPr>
          <w:jc w:val="center"/>
        </w:trPr>
        <w:tc>
          <w:tcPr>
            <w:tcW w:w="73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1567C25">
            <w:pPr>
              <w:pStyle w:val="19"/>
              <w:bidi w:val="0"/>
              <w:spacing w:line="240" w:lineRule="auto"/>
              <w:ind w:left="0" w:leftChars="0" w:right="0" w:rightChars="0" w:firstLine="0" w:firstLineChars="0"/>
              <w:jc w:val="both"/>
            </w:pPr>
            <w:r>
              <w:t>6</w:t>
            </w:r>
          </w:p>
        </w:tc>
        <w:tc>
          <w:tcPr>
            <w:tcW w:w="157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6B9047A">
            <w:pPr>
              <w:pStyle w:val="19"/>
              <w:bidi w:val="0"/>
              <w:spacing w:line="240" w:lineRule="auto"/>
              <w:ind w:left="0" w:leftChars="0" w:right="0" w:rightChars="0" w:firstLine="0" w:firstLineChars="0"/>
              <w:jc w:val="both"/>
            </w:pPr>
            <w:r>
              <w:t>默认/基准因子值</w:t>
            </w:r>
          </w:p>
        </w:tc>
        <w:tc>
          <w:tcPr>
            <w:tcW w:w="111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189434B">
            <w:pPr>
              <w:pStyle w:val="19"/>
              <w:bidi w:val="0"/>
              <w:spacing w:line="240" w:lineRule="auto"/>
              <w:ind w:left="0" w:leftChars="0" w:right="0" w:rightChars="0" w:firstLine="0" w:firstLineChars="0"/>
              <w:jc w:val="both"/>
            </w:pPr>
            <w:r>
              <w:t>Decimal</w:t>
            </w:r>
          </w:p>
        </w:tc>
        <w:tc>
          <w:tcPr>
            <w:tcW w:w="15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672E830">
            <w:pPr>
              <w:pStyle w:val="19"/>
              <w:bidi w:val="0"/>
              <w:spacing w:line="240" w:lineRule="auto"/>
              <w:ind w:left="0" w:leftChars="0" w:right="0" w:rightChars="0" w:firstLine="0" w:firstLineChars="0"/>
              <w:jc w:val="both"/>
            </w:pPr>
            <w:r>
              <w:t>kgCO2e/kWh</w:t>
            </w:r>
          </w:p>
        </w:tc>
        <w:tc>
          <w:tcPr>
            <w:tcW w:w="48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C6EDB7E">
            <w:pPr>
              <w:pStyle w:val="19"/>
              <w:bidi w:val="0"/>
              <w:spacing w:line="240" w:lineRule="auto"/>
              <w:ind w:left="0" w:leftChars="0" w:right="0" w:rightChars="0" w:firstLine="0" w:firstLineChars="0"/>
              <w:jc w:val="both"/>
            </w:pPr>
            <w:r>
              <w:t>取上一年度生态环境部发布的官方基准因子值</w:t>
            </w:r>
          </w:p>
        </w:tc>
      </w:tr>
      <w:tr w14:paraId="3B712730">
        <w:tblPrEx>
          <w:tblCellMar>
            <w:top w:w="0" w:type="dxa"/>
            <w:left w:w="108" w:type="dxa"/>
            <w:bottom w:w="0" w:type="dxa"/>
            <w:right w:w="108" w:type="dxa"/>
          </w:tblCellMar>
        </w:tblPrEx>
        <w:trPr>
          <w:jc w:val="center"/>
        </w:trPr>
        <w:tc>
          <w:tcPr>
            <w:tcW w:w="73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EEF34DD">
            <w:pPr>
              <w:pStyle w:val="19"/>
              <w:bidi w:val="0"/>
              <w:spacing w:line="240" w:lineRule="auto"/>
              <w:ind w:left="0" w:leftChars="0" w:right="0" w:rightChars="0" w:firstLine="0" w:firstLineChars="0"/>
              <w:jc w:val="both"/>
            </w:pPr>
            <w:r>
              <w:t>7</w:t>
            </w:r>
          </w:p>
        </w:tc>
        <w:tc>
          <w:tcPr>
            <w:tcW w:w="157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41CD242">
            <w:pPr>
              <w:pStyle w:val="19"/>
              <w:bidi w:val="0"/>
              <w:spacing w:line="240" w:lineRule="auto"/>
              <w:ind w:left="0" w:leftChars="0" w:right="0" w:rightChars="0" w:firstLine="0" w:firstLineChars="0"/>
              <w:jc w:val="both"/>
            </w:pPr>
            <w:r>
              <w:t>法定量纲单位</w:t>
            </w:r>
          </w:p>
        </w:tc>
        <w:tc>
          <w:tcPr>
            <w:tcW w:w="111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F30B3D6">
            <w:pPr>
              <w:pStyle w:val="19"/>
              <w:bidi w:val="0"/>
              <w:spacing w:line="240" w:lineRule="auto"/>
              <w:ind w:left="0" w:leftChars="0" w:right="0" w:rightChars="0" w:firstLine="0" w:firstLineChars="0"/>
              <w:jc w:val="both"/>
            </w:pPr>
            <w:r>
              <w:t>String</w:t>
            </w:r>
          </w:p>
        </w:tc>
        <w:tc>
          <w:tcPr>
            <w:tcW w:w="156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F31ABA7">
            <w:pPr>
              <w:pStyle w:val="19"/>
              <w:bidi w:val="0"/>
              <w:spacing w:line="240" w:lineRule="auto"/>
              <w:ind w:left="0" w:leftChars="0" w:right="0" w:rightChars="0" w:firstLine="0" w:firstLineChars="0"/>
              <w:jc w:val="both"/>
            </w:pPr>
            <w:r>
              <w:t>kgCO2e/kWh</w:t>
            </w:r>
          </w:p>
        </w:tc>
        <w:tc>
          <w:tcPr>
            <w:tcW w:w="480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30E267A">
            <w:pPr>
              <w:pStyle w:val="19"/>
              <w:bidi w:val="0"/>
              <w:spacing w:line="240" w:lineRule="auto"/>
              <w:ind w:left="0" w:leftChars="0" w:right="0" w:rightChars="0" w:firstLine="0" w:firstLineChars="0"/>
              <w:jc w:val="both"/>
            </w:pPr>
            <w:r>
              <w:t>统一为  kgCO2e/kWh ，禁止混入 MWh 或度</w:t>
            </w:r>
          </w:p>
        </w:tc>
      </w:tr>
      <w:tr w14:paraId="24FE1211">
        <w:tblPrEx>
          <w:tblCellMar>
            <w:top w:w="0" w:type="dxa"/>
            <w:left w:w="108" w:type="dxa"/>
            <w:bottom w:w="0" w:type="dxa"/>
            <w:right w:w="108" w:type="dxa"/>
          </w:tblCellMar>
        </w:tblPrEx>
        <w:trPr>
          <w:jc w:val="center"/>
        </w:trPr>
        <w:tc>
          <w:tcPr>
            <w:tcW w:w="73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F53D04C">
            <w:pPr>
              <w:pStyle w:val="19"/>
              <w:bidi w:val="0"/>
              <w:spacing w:line="240" w:lineRule="auto"/>
              <w:ind w:left="0" w:leftChars="0" w:right="0" w:rightChars="0" w:firstLine="0" w:firstLineChars="0"/>
              <w:jc w:val="both"/>
            </w:pPr>
            <w:r>
              <w:t>8</w:t>
            </w:r>
          </w:p>
        </w:tc>
        <w:tc>
          <w:tcPr>
            <w:tcW w:w="157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83353ED">
            <w:pPr>
              <w:pStyle w:val="19"/>
              <w:bidi w:val="0"/>
              <w:spacing w:line="240" w:lineRule="auto"/>
              <w:ind w:left="0" w:leftChars="0" w:right="0" w:rightChars="0" w:firstLine="0" w:firstLineChars="0"/>
              <w:jc w:val="both"/>
            </w:pPr>
            <w:r>
              <w:t>来源发布机构</w:t>
            </w:r>
          </w:p>
        </w:tc>
        <w:tc>
          <w:tcPr>
            <w:tcW w:w="111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B0D67A8">
            <w:pPr>
              <w:pStyle w:val="19"/>
              <w:bidi w:val="0"/>
              <w:spacing w:line="240" w:lineRule="auto"/>
              <w:ind w:left="0" w:leftChars="0" w:right="0" w:rightChars="0" w:firstLine="0" w:firstLineChars="0"/>
              <w:jc w:val="both"/>
            </w:pPr>
            <w:r>
              <w:t>String</w:t>
            </w:r>
          </w:p>
        </w:tc>
        <w:tc>
          <w:tcPr>
            <w:tcW w:w="15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B7011E6">
            <w:pPr>
              <w:pStyle w:val="19"/>
              <w:bidi w:val="0"/>
              <w:spacing w:line="240" w:lineRule="auto"/>
              <w:ind w:left="0" w:leftChars="0" w:right="0" w:rightChars="0" w:firstLine="0" w:firstLineChars="0"/>
              <w:jc w:val="both"/>
            </w:pPr>
            <w:r>
              <w:t>—</w:t>
            </w:r>
          </w:p>
        </w:tc>
        <w:tc>
          <w:tcPr>
            <w:tcW w:w="48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1DF4E16">
            <w:pPr>
              <w:pStyle w:val="19"/>
              <w:bidi w:val="0"/>
              <w:spacing w:line="240" w:lineRule="auto"/>
              <w:ind w:left="0" w:leftChars="0" w:right="0" w:rightChars="0" w:firstLine="0" w:firstLineChars="0"/>
              <w:jc w:val="both"/>
            </w:pPr>
            <w:r>
              <w:t xml:space="preserve">如  生态环境部 、 省级生态环境厅 、 国家电力调度中心 </w:t>
            </w:r>
          </w:p>
        </w:tc>
      </w:tr>
      <w:tr w14:paraId="3F2AD8FC">
        <w:tblPrEx>
          <w:tblCellMar>
            <w:top w:w="0" w:type="dxa"/>
            <w:left w:w="108" w:type="dxa"/>
            <w:bottom w:w="0" w:type="dxa"/>
            <w:right w:w="108" w:type="dxa"/>
          </w:tblCellMar>
        </w:tblPrEx>
        <w:trPr>
          <w:jc w:val="center"/>
        </w:trPr>
        <w:tc>
          <w:tcPr>
            <w:tcW w:w="73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C16A975">
            <w:pPr>
              <w:pStyle w:val="19"/>
              <w:bidi w:val="0"/>
              <w:spacing w:line="240" w:lineRule="auto"/>
              <w:ind w:left="0" w:leftChars="0" w:right="0" w:rightChars="0" w:firstLine="0" w:firstLineChars="0"/>
              <w:jc w:val="both"/>
            </w:pPr>
            <w:r>
              <w:t>9</w:t>
            </w:r>
          </w:p>
        </w:tc>
        <w:tc>
          <w:tcPr>
            <w:tcW w:w="157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32E52F8">
            <w:pPr>
              <w:pStyle w:val="19"/>
              <w:bidi w:val="0"/>
              <w:spacing w:line="240" w:lineRule="auto"/>
              <w:ind w:left="0" w:leftChars="0" w:right="0" w:rightChars="0" w:firstLine="0" w:firstLineChars="0"/>
              <w:jc w:val="both"/>
            </w:pPr>
            <w:r>
              <w:t>适用发布年度版本</w:t>
            </w:r>
          </w:p>
        </w:tc>
        <w:tc>
          <w:tcPr>
            <w:tcW w:w="111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478DAAB">
            <w:pPr>
              <w:pStyle w:val="19"/>
              <w:bidi w:val="0"/>
              <w:spacing w:line="240" w:lineRule="auto"/>
              <w:ind w:left="0" w:leftChars="0" w:right="0" w:rightChars="0" w:firstLine="0" w:firstLineChars="0"/>
              <w:jc w:val="both"/>
            </w:pPr>
            <w:r>
              <w:t>String</w:t>
            </w:r>
          </w:p>
        </w:tc>
        <w:tc>
          <w:tcPr>
            <w:tcW w:w="156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817B8AE">
            <w:pPr>
              <w:pStyle w:val="19"/>
              <w:bidi w:val="0"/>
              <w:spacing w:line="240" w:lineRule="auto"/>
              <w:ind w:left="0" w:leftChars="0" w:right="0" w:rightChars="0" w:firstLine="0" w:firstLineChars="0"/>
              <w:jc w:val="both"/>
            </w:pPr>
            <w:r>
              <w:t>—</w:t>
            </w:r>
          </w:p>
        </w:tc>
        <w:tc>
          <w:tcPr>
            <w:tcW w:w="480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B95ADB1">
            <w:pPr>
              <w:pStyle w:val="19"/>
              <w:bidi w:val="0"/>
              <w:spacing w:line="240" w:lineRule="auto"/>
              <w:ind w:left="0" w:leftChars="0" w:right="0" w:rightChars="0" w:firstLine="0" w:firstLineChars="0"/>
              <w:jc w:val="both"/>
            </w:pPr>
            <w:r>
              <w:t>格式  v&lt;年&gt;.&lt;版本&gt; （如  v2024.1 ）</w:t>
            </w:r>
          </w:p>
        </w:tc>
      </w:tr>
      <w:tr w14:paraId="65B059F3">
        <w:tblPrEx>
          <w:tblCellMar>
            <w:top w:w="0" w:type="dxa"/>
            <w:left w:w="108" w:type="dxa"/>
            <w:bottom w:w="0" w:type="dxa"/>
            <w:right w:w="108" w:type="dxa"/>
          </w:tblCellMar>
        </w:tblPrEx>
        <w:trPr>
          <w:jc w:val="center"/>
        </w:trPr>
        <w:tc>
          <w:tcPr>
            <w:tcW w:w="73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2095715">
            <w:pPr>
              <w:pStyle w:val="19"/>
              <w:bidi w:val="0"/>
              <w:spacing w:line="240" w:lineRule="auto"/>
              <w:ind w:left="0" w:leftChars="0" w:right="0" w:rightChars="0" w:firstLine="0" w:firstLineChars="0"/>
              <w:jc w:val="both"/>
            </w:pPr>
            <w:r>
              <w:t>10</w:t>
            </w:r>
          </w:p>
        </w:tc>
        <w:tc>
          <w:tcPr>
            <w:tcW w:w="157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C271BC9">
            <w:pPr>
              <w:pStyle w:val="19"/>
              <w:bidi w:val="0"/>
              <w:spacing w:line="240" w:lineRule="auto"/>
              <w:ind w:left="0" w:leftChars="0" w:right="0" w:rightChars="0" w:firstLine="0" w:firstLineChars="0"/>
              <w:jc w:val="both"/>
            </w:pPr>
            <w:r>
              <w:t>是否属于零碳绿电</w:t>
            </w:r>
          </w:p>
        </w:tc>
        <w:tc>
          <w:tcPr>
            <w:tcW w:w="111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C45C8C4">
            <w:pPr>
              <w:pStyle w:val="19"/>
              <w:bidi w:val="0"/>
              <w:spacing w:line="240" w:lineRule="auto"/>
              <w:ind w:left="0" w:leftChars="0" w:right="0" w:rightChars="0" w:firstLine="0" w:firstLineChars="0"/>
              <w:jc w:val="both"/>
            </w:pPr>
            <w:r>
              <w:t>Boolean</w:t>
            </w:r>
          </w:p>
        </w:tc>
        <w:tc>
          <w:tcPr>
            <w:tcW w:w="15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AA04B65">
            <w:pPr>
              <w:pStyle w:val="19"/>
              <w:bidi w:val="0"/>
              <w:spacing w:line="240" w:lineRule="auto"/>
              <w:ind w:left="0" w:leftChars="0" w:right="0" w:rightChars="0" w:firstLine="0" w:firstLineChars="0"/>
              <w:jc w:val="both"/>
            </w:pPr>
            <w:r>
              <w:t>—</w:t>
            </w:r>
          </w:p>
        </w:tc>
        <w:tc>
          <w:tcPr>
            <w:tcW w:w="48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087770A">
            <w:pPr>
              <w:pStyle w:val="19"/>
              <w:bidi w:val="0"/>
              <w:spacing w:line="240" w:lineRule="auto"/>
              <w:ind w:left="0" w:leftChars="0" w:right="0" w:rightChars="0" w:firstLine="0" w:firstLineChars="0"/>
              <w:jc w:val="both"/>
            </w:pPr>
            <w:r>
              <w:t>true  为可再生能源/市场化核销绿电， false  为化石市电</w:t>
            </w:r>
          </w:p>
        </w:tc>
      </w:tr>
    </w:tbl>
    <w:p w14:paraId="4CADAED2">
      <w:pPr>
        <w:pStyle w:val="19"/>
        <w:bidi w:val="0"/>
      </w:pPr>
    </w:p>
    <w:p w14:paraId="17D7999A">
      <w:pPr>
        <w:pStyle w:val="19"/>
        <w:bidi w:val="0"/>
      </w:pPr>
    </w:p>
    <w:p w14:paraId="1C8C603D">
      <w:pPr>
        <w:pStyle w:val="6"/>
        <w:numPr>
          <w:ilvl w:val="0"/>
          <w:numId w:val="196"/>
        </w:numPr>
        <w:bidi w:val="0"/>
        <w:ind w:left="0" w:leftChars="0" w:firstLine="0" w:firstLineChars="0"/>
        <w:rPr>
          <w:b/>
          <w:bCs/>
          <w:sz w:val="28"/>
          <w:szCs w:val="28"/>
        </w:rPr>
      </w:pPr>
      <w:r>
        <w:rPr>
          <w:b/>
          <w:bCs/>
          <w:sz w:val="28"/>
          <w:szCs w:val="28"/>
        </w:rPr>
        <w:t>核心数学模型与算法框架</w:t>
      </w:r>
    </w:p>
    <w:tbl>
      <w:tblPr>
        <w:tblStyle w:val="38"/>
        <w:tblW w:w="0" w:type="auto"/>
        <w:jc w:val="center"/>
        <w:tblLayout w:type="fixed"/>
        <w:tblCellMar>
          <w:top w:w="0" w:type="dxa"/>
          <w:left w:w="108" w:type="dxa"/>
          <w:bottom w:w="0" w:type="dxa"/>
          <w:right w:w="108" w:type="dxa"/>
        </w:tblCellMar>
      </w:tblPr>
      <w:tblGrid>
        <w:gridCol w:w="9648"/>
      </w:tblGrid>
      <w:tr w14:paraId="65CFAAE9">
        <w:tblPrEx>
          <w:tblCellMar>
            <w:top w:w="0" w:type="dxa"/>
            <w:left w:w="108" w:type="dxa"/>
            <w:bottom w:w="0" w:type="dxa"/>
            <w:right w:w="108" w:type="dxa"/>
          </w:tblCellMar>
        </w:tblPrEx>
        <w:trPr>
          <w:jc w:val="center"/>
        </w:trPr>
        <w:tc>
          <w:tcPr>
            <w:tcW w:w="9648" w:type="dxa"/>
            <w:tcBorders>
              <w:top w:val="nil"/>
              <w:left w:val="single" w:color="16A34A" w:sz="24" w:space="0"/>
              <w:bottom w:val="nil"/>
              <w:right w:val="nil"/>
            </w:tcBorders>
            <w:shd w:val="clear" w:color="auto" w:fill="F0FDF4"/>
            <w:tcMar>
              <w:top w:w="70" w:type="dxa"/>
              <w:left w:w="100" w:type="dxa"/>
              <w:bottom w:w="70" w:type="dxa"/>
              <w:right w:w="100" w:type="dxa"/>
            </w:tcMar>
          </w:tcPr>
          <w:p w14:paraId="394321A4">
            <w:pPr>
              <w:pStyle w:val="19"/>
              <w:bidi w:val="0"/>
            </w:pPr>
            <w:r>
              <w:t>EF_{\text{grid\_composite}} = \frac{\sum_{i=1}^{p} ( Q_{\text{purchased}, i} \times EF_{\text{grid}, i} )}{\sum_{i=1}^{p} Q_{\text{purchased}, i}} \quad (\text{全集团购网电力综合加权因子})</w:t>
            </w:r>
          </w:p>
          <w:p w14:paraId="620EE713">
            <w:pPr>
              <w:pStyle w:val="19"/>
              <w:bidi w:val="0"/>
            </w:pPr>
            <w:r>
              <w:t>C_{\text{Scope2, elec}} = ( Q_{\text{grid\_total}} - Q_{\text{green\_verified}} ) \times EF_{\text{grid}} + Q_{\text{green\_verified}} \times 0 \quad (\text{电力间接排放净额})</w:t>
            </w:r>
          </w:p>
          <w:p w14:paraId="07961D45">
            <w:pPr>
              <w:pStyle w:val="19"/>
              <w:bidi w:val="0"/>
            </w:pPr>
            <w:r>
              <w:t>R_{\text{green\_power}} = \frac{Q_{\text{pv\_self}} + Q_{\text{green\_market}}}{Q_{\text{grid\_total}} + Q_{\text{pv\_self}}} \times 100\% \quad (\text{绿电综合消纳占比})</w:t>
            </w:r>
          </w:p>
        </w:tc>
      </w:tr>
    </w:tbl>
    <w:p w14:paraId="58E0816B">
      <w:pPr>
        <w:pStyle w:val="19"/>
        <w:bidi w:val="0"/>
      </w:pPr>
    </w:p>
    <w:p w14:paraId="0160A5D4">
      <w:pPr>
        <w:pStyle w:val="19"/>
        <w:bidi w:val="0"/>
      </w:pPr>
      <w:r>
        <w:t>• 变量定义与取值约定：</w:t>
      </w:r>
    </w:p>
    <w:p w14:paraId="64B4DC93">
      <w:pPr>
        <w:pStyle w:val="19"/>
        <w:bidi w:val="0"/>
      </w:pPr>
      <w:r>
        <w:t>• Q_{\text{purchased}, i}：第 i 个园区购入市电量（kWh）；</w:t>
      </w:r>
    </w:p>
    <w:p w14:paraId="0D2EA630">
      <w:pPr>
        <w:pStyle w:val="19"/>
        <w:bidi w:val="0"/>
      </w:pPr>
      <w:r>
        <w:t>• EF_{\text{grid}, i}：第 i 个园区所在地电网排放因子（kgCO2e/kWh）；</w:t>
      </w:r>
    </w:p>
    <w:p w14:paraId="3FA5FF4B">
      <w:pPr>
        <w:pStyle w:val="19"/>
        <w:bidi w:val="0"/>
      </w:pPr>
      <w:r>
        <w:t>• Q_{\text{green\_verified}}：取得官方核销绿证对应的结算电量（kWh）；</w:t>
      </w:r>
    </w:p>
    <w:p w14:paraId="712B38F8">
      <w:pPr>
        <w:pStyle w:val="19"/>
        <w:bidi w:val="0"/>
      </w:pPr>
      <w:r>
        <w:t>• 严禁出现负碳计算：当 Q_{\text{green\_verified}} &gt; Q_{\text{grid\_total}} 时，C_{\text{Scope2, elec}} 兜底锁定为  0.00 ，不得产生“负碳抵消外部化石燃料”。</w:t>
      </w:r>
    </w:p>
    <w:p w14:paraId="0F872FD4">
      <w:pPr>
        <w:pStyle w:val="6"/>
        <w:numPr>
          <w:ilvl w:val="0"/>
          <w:numId w:val="196"/>
        </w:numPr>
        <w:bidi w:val="0"/>
        <w:ind w:left="0" w:leftChars="0" w:firstLine="0" w:firstLineChars="0"/>
        <w:rPr>
          <w:b/>
          <w:bCs/>
          <w:sz w:val="28"/>
          <w:szCs w:val="28"/>
        </w:rPr>
      </w:pPr>
      <w:r>
        <w:rPr>
          <w:b/>
          <w:bCs/>
          <w:sz w:val="28"/>
          <w:szCs w:val="28"/>
        </w:rPr>
        <w:t>展示、对标与判定口径</w:t>
      </w:r>
    </w:p>
    <w:p w14:paraId="764D4A1B">
      <w:pPr>
        <w:pStyle w:val="19"/>
        <w:bidi w:val="0"/>
      </w:pPr>
      <w:r>
        <w:t>• 分级对标口径：各园区电力排放因子常态与全国平均电网因子（全国基准线 0.5703）横向对齐；</w:t>
      </w:r>
    </w:p>
    <w:p w14:paraId="10EFB98B">
      <w:pPr>
        <w:pStyle w:val="19"/>
        <w:bidi w:val="0"/>
      </w:pPr>
      <w:r>
        <w:t>• 消纳认定口径：厂房屋顶分布式光伏自发自用电量，因子按  0.0000 kgCO2e/kWh  认定，全生命周期 LCA 制造端分摊按  0.0480 kgCO2e/kWh  认定；</w:t>
      </w:r>
    </w:p>
    <w:p w14:paraId="44422508">
      <w:pPr>
        <w:pStyle w:val="19"/>
        <w:bidi w:val="0"/>
      </w:pPr>
      <w:r>
        <w:t>• 空值口径：对于未联网的小微测点，因子默认继承所在地所属省级电网平均因子，严禁显示  --  导致计算中断。</w:t>
      </w:r>
    </w:p>
    <w:p w14:paraId="38FE526F">
      <w:pPr>
        <w:pStyle w:val="6"/>
        <w:numPr>
          <w:ilvl w:val="0"/>
          <w:numId w:val="196"/>
        </w:numPr>
        <w:bidi w:val="0"/>
        <w:ind w:left="0" w:leftChars="0" w:firstLine="0" w:firstLineChars="0"/>
        <w:rPr>
          <w:b/>
          <w:bCs/>
          <w:sz w:val="28"/>
          <w:szCs w:val="28"/>
        </w:rPr>
      </w:pPr>
      <w:r>
        <w:rPr>
          <w:b/>
          <w:bCs/>
          <w:sz w:val="28"/>
          <w:szCs w:val="28"/>
        </w:rPr>
        <w:t>边界条件、异常处理与防错规则</w:t>
      </w:r>
    </w:p>
    <w:p w14:paraId="2168F819">
      <w:pPr>
        <w:pStyle w:val="175"/>
        <w:bidi w:val="0"/>
      </w:pPr>
      <w:r>
        <w:t>• 历史关账月度强冻结：已完成财务锁账的月份，其核算所引用的电力因子版本自动固化，即便后续生态环境部补丁修正因子，历史月份禁止自动刷新，触发  E_SYS_FACTOR_LOCKED_HISTORIC ；</w:t>
      </w:r>
    </w:p>
    <w:p w14:paraId="35DDACB7">
      <w:pPr>
        <w:pStyle w:val="175"/>
        <w:bidi w:val="0"/>
      </w:pPr>
      <w:r>
        <w:t>• 绿电超量抵扣截断：绿电核销申报量大于用电总量时，系统自动截断至总用电量，溢出部分自动流转至下一统计周期，记录告警  E_CALC_GREEN_OFFSET_OVERFLOW ；</w:t>
      </w:r>
    </w:p>
    <w:p w14:paraId="55D7AB9A">
      <w:pPr>
        <w:pStyle w:val="175"/>
        <w:bidi w:val="0"/>
      </w:pPr>
      <w:r>
        <w:t>• 自备电厂实测脱失拦截：自备电厂当月未上传连续在线监测（CEMS）烟气实测值时，系统阻断其提交“超低因子”，强制采用燃煤发电机组上限值 0.8320 kgCO2e/kWh，抛出  E_VAL_CEMS_OFFLINE_PENALTY 。</w:t>
      </w:r>
    </w:p>
    <w:p w14:paraId="56464043">
      <w:pPr>
        <w:pStyle w:val="6"/>
        <w:numPr>
          <w:ilvl w:val="0"/>
          <w:numId w:val="196"/>
        </w:numPr>
        <w:bidi w:val="0"/>
        <w:ind w:left="0" w:leftChars="0" w:firstLine="0" w:firstLineChars="0"/>
        <w:rPr>
          <w:b/>
          <w:bCs/>
          <w:sz w:val="28"/>
          <w:szCs w:val="28"/>
        </w:rPr>
      </w:pPr>
      <w:r>
        <w:rPr>
          <w:b/>
          <w:bCs/>
          <w:sz w:val="28"/>
          <w:szCs w:val="28"/>
        </w:rPr>
        <w:t>QA 自动化验收准则（Gherkin BDD）</w:t>
      </w:r>
    </w:p>
    <w:tbl>
      <w:tblPr>
        <w:tblStyle w:val="38"/>
        <w:tblW w:w="0" w:type="auto"/>
        <w:jc w:val="center"/>
        <w:tblLayout w:type="fixed"/>
        <w:tblCellMar>
          <w:top w:w="0" w:type="dxa"/>
          <w:left w:w="108" w:type="dxa"/>
          <w:bottom w:w="0" w:type="dxa"/>
          <w:right w:w="108" w:type="dxa"/>
        </w:tblCellMar>
      </w:tblPr>
      <w:tblGrid>
        <w:gridCol w:w="9648"/>
      </w:tblGrid>
      <w:tr w14:paraId="5B3A7FBC">
        <w:tblPrEx>
          <w:tblCellMar>
            <w:top w:w="0" w:type="dxa"/>
            <w:left w:w="108" w:type="dxa"/>
            <w:bottom w:w="0" w:type="dxa"/>
            <w:right w:w="108" w:type="dxa"/>
          </w:tblCellMar>
        </w:tblPrEx>
        <w:trPr>
          <w:jc w:val="center"/>
        </w:trPr>
        <w:tc>
          <w:tcPr>
            <w:tcW w:w="9648" w:type="dxa"/>
            <w:tcBorders>
              <w:top w:val="nil"/>
              <w:left w:val="single" w:color="7C3AED" w:sz="24" w:space="0"/>
              <w:bottom w:val="nil"/>
              <w:right w:val="nil"/>
            </w:tcBorders>
            <w:shd w:val="clear" w:color="auto" w:fill="F5F3FF"/>
            <w:tcMar>
              <w:top w:w="70" w:type="dxa"/>
              <w:left w:w="100" w:type="dxa"/>
              <w:bottom w:w="70" w:type="dxa"/>
              <w:right w:w="100" w:type="dxa"/>
            </w:tcMar>
          </w:tcPr>
          <w:p w14:paraId="339AC5B2">
            <w:pPr>
              <w:pStyle w:val="19"/>
              <w:bidi w:val="0"/>
            </w:pPr>
            <w:r>
              <w:t>Feature: 电力碳排因子多电网匹配与绿电核销</w:t>
            </w:r>
          </w:p>
          <w:p w14:paraId="06F86175">
            <w:pPr>
              <w:pStyle w:val="19"/>
              <w:bidi w:val="0"/>
            </w:pPr>
            <w:r>
              <w:t xml:space="preserve">  Scenario: 跨省多园区属地电网因子精准匹配</w:t>
            </w:r>
          </w:p>
          <w:p w14:paraId="5DEC416C">
            <w:pPr>
              <w:pStyle w:val="19"/>
              <w:bidi w:val="0"/>
            </w:pPr>
            <w:r>
              <w:t xml:space="preserve">    Given 新疆变压器厂位于乌鲁木齐，上海销售技术中心位于上海闵行</w:t>
            </w:r>
          </w:p>
          <w:p w14:paraId="3D3D161E">
            <w:pPr>
              <w:pStyle w:val="19"/>
              <w:bidi w:val="0"/>
            </w:pPr>
            <w:r>
              <w:t xml:space="preserve">    When 系统分别抓取两地当月市电消耗的计算因子</w:t>
            </w:r>
          </w:p>
          <w:p w14:paraId="2579BA5F">
            <w:pPr>
              <w:pStyle w:val="19"/>
              <w:bidi w:val="0"/>
            </w:pPr>
            <w:r>
              <w:t xml:space="preserve">    Then 新疆园区自动匹配西北电网因子 0.6127 kgCO2e/kWh</w:t>
            </w:r>
          </w:p>
          <w:p w14:paraId="7465C930">
            <w:pPr>
              <w:pStyle w:val="19"/>
              <w:bidi w:val="0"/>
            </w:pPr>
            <w:r>
              <w:t xml:space="preserve">    And 上海中心自动匹配华东电网因子 0.5257 kgCO2e/kWh</w:t>
            </w:r>
          </w:p>
          <w:p w14:paraId="7CD826CE">
            <w:pPr>
              <w:pStyle w:val="19"/>
              <w:bidi w:val="0"/>
            </w:pPr>
            <w:r>
              <w:t xml:space="preserve">    And 系统不产生跨电网串用</w:t>
            </w:r>
          </w:p>
          <w:p w14:paraId="67AC0DFF">
            <w:pPr>
              <w:pStyle w:val="19"/>
              <w:bidi w:val="0"/>
            </w:pPr>
          </w:p>
          <w:p w14:paraId="2E1FD314">
            <w:pPr>
              <w:pStyle w:val="19"/>
              <w:bidi w:val="0"/>
            </w:pPr>
            <w:r>
              <w:t xml:space="preserve">  Scenario: 市场化绿电凭证冲抵归零断言</w:t>
            </w:r>
          </w:p>
          <w:p w14:paraId="18D31097">
            <w:pPr>
              <w:pStyle w:val="19"/>
              <w:bidi w:val="0"/>
            </w:pPr>
            <w:r>
              <w:t xml:space="preserve">    Given 某车间当月市电消耗 100,000 kWh, 录入合规核销绿电凭证 40,000 kWh</w:t>
            </w:r>
          </w:p>
          <w:p w14:paraId="40B9EFDF">
            <w:pPr>
              <w:pStyle w:val="19"/>
              <w:bidi w:val="0"/>
            </w:pPr>
            <w:r>
              <w:t xml:space="preserve">    When 系统计算该车间当月外购电力 Scope 2 间接排放</w:t>
            </w:r>
          </w:p>
          <w:p w14:paraId="7452AC57">
            <w:pPr>
              <w:pStyle w:val="19"/>
              <w:bidi w:val="0"/>
            </w:pPr>
            <w:r>
              <w:t xml:space="preserve">    Then 40,000 kWh 绿电部分按 0.0000 kgCO2e/kWh 核算</w:t>
            </w:r>
          </w:p>
          <w:p w14:paraId="12E3A060">
            <w:pPr>
              <w:pStyle w:val="19"/>
              <w:bidi w:val="0"/>
            </w:pPr>
            <w:r>
              <w:t xml:space="preserve">    And 剩余 60,000 kWh 按属地电网因子核算</w:t>
            </w:r>
          </w:p>
          <w:p w14:paraId="39616011">
            <w:pPr>
              <w:pStyle w:val="19"/>
              <w:bidi w:val="0"/>
            </w:pPr>
            <w:r>
              <w:t xml:space="preserve">    And 总电力排放精准等于 60,000 × EF_grid</w:t>
            </w:r>
          </w:p>
        </w:tc>
      </w:tr>
    </w:tbl>
    <w:p w14:paraId="2327B818">
      <w:pPr>
        <w:pStyle w:val="19"/>
        <w:bidi w:val="0"/>
      </w:pPr>
    </w:p>
    <w:p w14:paraId="35D5EB07">
      <w:pPr>
        <w:pStyle w:val="5"/>
        <w:numPr>
          <w:ilvl w:val="0"/>
          <w:numId w:val="194"/>
        </w:numPr>
        <w:ind w:left="0" w:leftChars="0" w:firstLine="0" w:firstLineChars="0"/>
        <w:outlineLvl w:val="1"/>
        <w:rPr>
          <w:rFonts w:ascii="Times New Roman" w:hAnsi="Times New Roman" w:eastAsia="黑体" w:cs="Times New Roman"/>
          <w:b w:val="0"/>
          <w:bCs w:val="0"/>
          <w:sz w:val="30"/>
          <w:szCs w:val="24"/>
        </w:rPr>
      </w:pPr>
      <w:bookmarkStart w:id="60" w:name="_Toc25421"/>
      <w:r>
        <w:rPr>
          <w:rFonts w:hint="eastAsia" w:cs="Times New Roman"/>
          <w:b w:val="0"/>
          <w:bCs w:val="0"/>
          <w:sz w:val="30"/>
          <w:szCs w:val="24"/>
          <w:lang w:val="en-US" w:eastAsia="zh-CN"/>
        </w:rPr>
        <w:t>能源活动碳排因子</w:t>
      </w:r>
      <w:bookmarkEnd w:id="60"/>
    </w:p>
    <w:p w14:paraId="007AC635">
      <w:pPr>
        <w:keepNext/>
        <w:keepLines/>
        <w:widowControl w:val="0"/>
        <w:numPr>
          <w:ilvl w:val="0"/>
          <w:numId w:val="0"/>
        </w:numPr>
        <w:adjustRightInd w:val="0"/>
        <w:spacing w:before="200" w:line="300" w:lineRule="auto"/>
        <w:ind w:leftChars="0"/>
        <w:jc w:val="both"/>
        <w:outlineLvl w:val="9"/>
        <w:rPr>
          <w:rFonts w:hint="eastAsia" w:ascii="Times New Roman" w:hAnsi="Times New Roman" w:eastAsia="黑体" w:cs="Times New Roman"/>
          <w:b w:val="0"/>
          <w:bCs/>
          <w:kern w:val="2"/>
          <w:sz w:val="28"/>
          <w:szCs w:val="28"/>
          <w:lang w:bidi="ar-SA"/>
        </w:rPr>
      </w:pPr>
      <w:r>
        <w:drawing>
          <wp:inline distT="0" distB="0" distL="114300" distR="114300">
            <wp:extent cx="5900420" cy="2925445"/>
            <wp:effectExtent l="0" t="0" r="5080" b="8255"/>
            <wp:docPr id="79"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35"/>
                    <pic:cNvPicPr>
                      <a:picLocks noChangeAspect="1"/>
                    </pic:cNvPicPr>
                  </pic:nvPicPr>
                  <pic:blipFill>
                    <a:blip r:embed="rId93"/>
                    <a:stretch>
                      <a:fillRect/>
                    </a:stretch>
                  </pic:blipFill>
                  <pic:spPr>
                    <a:xfrm>
                      <a:off x="0" y="0"/>
                      <a:ext cx="5900420" cy="2925445"/>
                    </a:xfrm>
                    <a:prstGeom prst="rect">
                      <a:avLst/>
                    </a:prstGeom>
                    <a:noFill/>
                    <a:ln>
                      <a:noFill/>
                    </a:ln>
                  </pic:spPr>
                </pic:pic>
              </a:graphicData>
            </a:graphic>
          </wp:inline>
        </w:drawing>
      </w:r>
    </w:p>
    <w:p w14:paraId="7D02E7BF">
      <w:pPr>
        <w:pStyle w:val="6"/>
        <w:numPr>
          <w:ilvl w:val="0"/>
          <w:numId w:val="197"/>
        </w:numPr>
        <w:bidi w:val="0"/>
        <w:ind w:left="0" w:leftChars="0" w:firstLine="0" w:firstLineChars="0"/>
        <w:rPr>
          <w:b/>
          <w:bCs/>
          <w:sz w:val="28"/>
          <w:szCs w:val="28"/>
        </w:rPr>
      </w:pPr>
      <w:r>
        <w:rPr>
          <w:b/>
          <w:bCs/>
          <w:sz w:val="28"/>
          <w:szCs w:val="28"/>
        </w:rPr>
        <w:t>定位与架构角色</w:t>
      </w:r>
    </w:p>
    <w:p w14:paraId="1B62BAEB">
      <w:pPr>
        <w:pStyle w:val="19"/>
        <w:bidi w:val="0"/>
      </w:pPr>
      <w:r>
        <w:t>• 功能定位：作为全集团范围一（Scope 1）化石燃料直接燃烧温室气体排放及外购热力蒸汽排放的核算参数中枢，管理化石燃料（天然气、柴油、汽油、原煤、液化石油气）、外购工业蒸汽以及设备逸散制冷剂（如 R134a、R410A）的核心排放参数。</w:t>
      </w:r>
    </w:p>
    <w:p w14:paraId="3E4204C1">
      <w:pPr>
        <w:pStyle w:val="19"/>
        <w:bidi w:val="0"/>
      </w:pPr>
      <w:r>
        <w:t>• 承载角色：P2 园区能碳专员（燃料消耗录入与检验单上传）、P4 碳核算工程师（因子基线核准与低位发热量实测修正）。</w:t>
      </w:r>
    </w:p>
    <w:p w14:paraId="3DF26ED6">
      <w:pPr>
        <w:pStyle w:val="6"/>
        <w:numPr>
          <w:ilvl w:val="0"/>
          <w:numId w:val="197"/>
        </w:numPr>
        <w:bidi w:val="0"/>
        <w:ind w:left="0" w:leftChars="0" w:firstLine="0" w:firstLineChars="0"/>
        <w:rPr>
          <w:b/>
          <w:bCs/>
          <w:sz w:val="28"/>
          <w:szCs w:val="28"/>
        </w:rPr>
      </w:pPr>
      <w:r>
        <w:rPr>
          <w:b/>
          <w:bCs/>
          <w:sz w:val="28"/>
          <w:szCs w:val="28"/>
        </w:rPr>
        <w:t>业务场景与用户故事</w:t>
      </w:r>
    </w:p>
    <w:p w14:paraId="0D4EF278">
      <w:pPr>
        <w:pStyle w:val="19"/>
        <w:bidi w:val="0"/>
      </w:pPr>
      <w:r>
        <w:t>• 业务场景描述：特变电工大型变压器绝缘干燥车间配有大型燃气热风炉与煤油气相干燥罐，线缆拉丝车间退火炉常年消耗管道天然气；厂区物流叉车与应急柴油发电机定期消耗轻柴油；高压试验室大型空调系统存在微量制冷剂逸散。上述能源活动的物理消耗量必须精准乘以对应能源活动碳排因子，转化为二氧化碳当量（tCO2e）。</w:t>
      </w:r>
    </w:p>
    <w:p w14:paraId="169D1516">
      <w:pPr>
        <w:pStyle w:val="19"/>
        <w:bidi w:val="0"/>
      </w:pPr>
      <w:r>
        <w:t>• 用户故事：</w:t>
      </w:r>
    </w:p>
    <w:p w14:paraId="3DE27FB1">
      <w:pPr>
        <w:pStyle w:val="19"/>
        <w:bidi w:val="0"/>
      </w:pPr>
      <w:r>
        <w:t xml:space="preserve">  As a 园区能碳专员 (Persona P2)，</w:t>
      </w:r>
    </w:p>
    <w:p w14:paraId="554AC305">
      <w:pPr>
        <w:pStyle w:val="19"/>
        <w:bidi w:val="0"/>
      </w:pPr>
      <w:r>
        <w:t xml:space="preserve">  I want 在能源活动碳排因子库中查看各类燃料的标准因子值，并能根据天然气每月化验单录入低位热值与含碳量以动态刷新实测因子，</w:t>
      </w:r>
    </w:p>
    <w:p w14:paraId="6E2983E9">
      <w:pPr>
        <w:pStyle w:val="19"/>
        <w:bidi w:val="0"/>
        <w:rPr>
          <w:b/>
          <w:bCs/>
        </w:rPr>
      </w:pPr>
      <w:r>
        <w:t xml:space="preserve">  So that 我能依据精准的燃料特性核算车间工业炉窑的直接燃烧碳排放，避免采用保守缺省值虚增企业碳排。</w:t>
      </w:r>
    </w:p>
    <w:p w14:paraId="370178F3">
      <w:pPr>
        <w:pStyle w:val="6"/>
        <w:numPr>
          <w:ilvl w:val="0"/>
          <w:numId w:val="197"/>
        </w:numPr>
        <w:bidi w:val="0"/>
        <w:ind w:left="0" w:leftChars="0" w:firstLine="0" w:firstLineChars="0"/>
        <w:rPr>
          <w:b/>
          <w:bCs/>
          <w:sz w:val="28"/>
          <w:szCs w:val="28"/>
        </w:rPr>
      </w:pPr>
      <w:r>
        <w:rPr>
          <w:b/>
          <w:bCs/>
          <w:sz w:val="28"/>
          <w:szCs w:val="28"/>
        </w:rPr>
        <w:t>功能规格与交互契约</w:t>
      </w:r>
    </w:p>
    <w:p w14:paraId="610D49FD">
      <w:pPr>
        <w:pStyle w:val="19"/>
        <w:bidi w:val="0"/>
      </w:pPr>
      <w:r>
        <w:t>• 分类导航与界面排版：</w:t>
      </w:r>
    </w:p>
    <w:p w14:paraId="114BB704">
      <w:pPr>
        <w:pStyle w:val="19"/>
        <w:bidi w:val="0"/>
      </w:pPr>
      <w:r>
        <w:t>• 顶部提供【能源活动类别】切片（ 全部  /  化石燃料  /  热力/蒸汽  /  制冷剂  /  其他 ）；</w:t>
      </w:r>
    </w:p>
    <w:p w14:paraId="151D17F9">
      <w:pPr>
        <w:pStyle w:val="19"/>
        <w:bidi w:val="0"/>
      </w:pPr>
      <w:r>
        <w:t>• 因子值列复合呈现： 当前生效值 / 默认缺省值 （例如天然气  2.1622 / 2.1800 kgCO2e/m³ ，柴油  3.0959 / 3.1200 kgCO2e/kg ）。</w:t>
      </w:r>
    </w:p>
    <w:p w14:paraId="3BD58965">
      <w:pPr>
        <w:pStyle w:val="19"/>
        <w:bidi w:val="0"/>
      </w:pPr>
      <w:r>
        <w:t>• 三参数三层级透明穿透展示：</w:t>
      </w:r>
    </w:p>
    <w:p w14:paraId="27F0F62F">
      <w:pPr>
        <w:pStyle w:val="19"/>
        <w:bidi w:val="0"/>
      </w:pPr>
      <w:r>
        <w:t>• 点击化石燃料因子行展开，展示底层三大核算参数：</w:t>
      </w:r>
    </w:p>
    <w:p w14:paraId="72E73820">
      <w:pPr>
        <w:pStyle w:val="19"/>
        <w:bidi w:val="0"/>
      </w:pPr>
      <w:r>
        <w:t>1. 低位发热量 (NCV)：如天然气标况  38.931 MJ/m³ ；</w:t>
      </w:r>
    </w:p>
    <w:p w14:paraId="2166C56B">
      <w:pPr>
        <w:pStyle w:val="19"/>
        <w:bidi w:val="0"/>
      </w:pPr>
      <w:r>
        <w:t>2. 单位热值含碳量 (CC)：如天然气  15.32 tC/TJ ；</w:t>
      </w:r>
    </w:p>
    <w:p w14:paraId="15BDE078">
      <w:pPr>
        <w:pStyle w:val="19"/>
        <w:bidi w:val="0"/>
      </w:pPr>
      <w:r>
        <w:t>3. 碳氧化率 (OF)：如工业炉天然气燃烧  99.0% ；</w:t>
      </w:r>
    </w:p>
    <w:p w14:paraId="0C50317D">
      <w:pPr>
        <w:pStyle w:val="19"/>
        <w:bidi w:val="0"/>
      </w:pPr>
      <w:r>
        <w:t>• 清晰标注该因子是采用国家指南缺省值，还是基于燃气化验单的实测修正值。</w:t>
      </w:r>
    </w:p>
    <w:p w14:paraId="6392CC9B">
      <w:pPr>
        <w:pStyle w:val="19"/>
        <w:bidi w:val="0"/>
      </w:pPr>
      <w:r>
        <w:t>• 外购工业蒸汽因子温压解耦与热焓计算：</w:t>
      </w:r>
    </w:p>
    <w:p w14:paraId="1B3068C6">
      <w:pPr>
        <w:pStyle w:val="19"/>
        <w:bidi w:val="0"/>
      </w:pPr>
      <w:r>
        <w:t>• 外购蒸汽因子支持根据蒸汽供汽类型（低压饱和蒸汽 / 过热蒸汽）与表压（MPa）、温度（°C）自动从国际水蒸气热焓表（IAPWS-IF97）插值匹配比焓值，计算专属排放因子（如  0.1100 kgCO2e/MJ  或  276.5 kgCO2e/t ）。</w:t>
      </w:r>
    </w:p>
    <w:p w14:paraId="41318AD7">
      <w:pPr>
        <w:pStyle w:val="19"/>
        <w:bidi w:val="0"/>
      </w:pPr>
      <w:r>
        <w:t>• 📌 【业务约束与工程规范契约】：</w:t>
      </w:r>
    </w:p>
    <w:p w14:paraId="6D4D07B5">
      <w:pPr>
        <w:pStyle w:val="19"/>
        <w:bidi w:val="0"/>
      </w:pPr>
      <w:r>
        <w:t>• 制冷剂逸散全球变暖潜能值 (GWP) 强制锚定 IPCC 第五次评估报告 (AR5)，R134a 强制锁定为 1430，严禁任意篡改。</w:t>
      </w:r>
    </w:p>
    <w:p w14:paraId="246E1509">
      <w:pPr>
        <w:pStyle w:val="6"/>
        <w:numPr>
          <w:ilvl w:val="0"/>
          <w:numId w:val="197"/>
        </w:numPr>
        <w:bidi w:val="0"/>
        <w:ind w:left="0" w:leftChars="0" w:firstLine="0" w:firstLineChars="0"/>
        <w:rPr>
          <w:b/>
          <w:bCs/>
          <w:sz w:val="28"/>
          <w:szCs w:val="28"/>
        </w:rPr>
      </w:pPr>
      <w:r>
        <w:rPr>
          <w:b/>
          <w:bCs/>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89"/>
        <w:gridCol w:w="1657"/>
        <w:gridCol w:w="1468"/>
        <w:gridCol w:w="1291"/>
        <w:gridCol w:w="4479"/>
      </w:tblGrid>
      <w:tr w14:paraId="580EDBF6">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508F811">
            <w:pPr>
              <w:pStyle w:val="19"/>
              <w:bidi w:val="0"/>
              <w:spacing w:line="240" w:lineRule="auto"/>
              <w:ind w:left="0" w:leftChars="0" w:right="0" w:rightChars="0" w:firstLine="0" w:firstLineChars="0"/>
              <w:jc w:val="both"/>
            </w:pPr>
            <w: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B0E7132">
            <w:pPr>
              <w:pStyle w:val="19"/>
              <w:bidi w:val="0"/>
              <w:spacing w:line="240" w:lineRule="auto"/>
              <w:ind w:left="0" w:leftChars="0" w:right="0" w:rightChars="0" w:firstLine="0" w:firstLineChars="0"/>
              <w:jc w:val="both"/>
            </w:pPr>
            <w:r>
              <w:t>字段中文名称</w:t>
            </w:r>
          </w:p>
        </w:tc>
        <w:tc>
          <w:tcPr>
            <w:tcW w:w="146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0500BE5">
            <w:pPr>
              <w:pStyle w:val="19"/>
              <w:bidi w:val="0"/>
              <w:spacing w:line="240" w:lineRule="auto"/>
              <w:ind w:left="0" w:leftChars="0" w:right="0" w:rightChars="0" w:firstLine="0" w:firstLineChars="0"/>
              <w:jc w:val="both"/>
            </w:pPr>
            <w:r>
              <w:t>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FF23A2B">
            <w:pPr>
              <w:pStyle w:val="19"/>
              <w:bidi w:val="0"/>
              <w:spacing w:line="240" w:lineRule="auto"/>
              <w:ind w:left="0" w:leftChars="0" w:right="0" w:rightChars="0" w:firstLine="0" w:firstLineChars="0"/>
              <w:jc w:val="both"/>
            </w:pPr>
            <w:r>
              <w:t>工程单位</w:t>
            </w:r>
          </w:p>
        </w:tc>
        <w:tc>
          <w:tcPr>
            <w:tcW w:w="447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FDF9AED">
            <w:pPr>
              <w:pStyle w:val="19"/>
              <w:bidi w:val="0"/>
              <w:spacing w:line="240" w:lineRule="auto"/>
              <w:ind w:left="0" w:leftChars="0" w:right="0" w:rightChars="0" w:firstLine="0" w:firstLineChars="0"/>
              <w:jc w:val="both"/>
            </w:pPr>
            <w:r>
              <w:t>校验与约束规则</w:t>
            </w:r>
          </w:p>
        </w:tc>
      </w:tr>
      <w:tr w14:paraId="3C12BA8D">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B84EA63">
            <w:pPr>
              <w:pStyle w:val="19"/>
              <w:bidi w:val="0"/>
              <w:spacing w:line="240" w:lineRule="auto"/>
              <w:ind w:left="0" w:leftChars="0" w:right="0" w:rightChars="0" w:firstLine="0" w:firstLineChars="0"/>
              <w:jc w:val="both"/>
            </w:pPr>
            <w: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E464698">
            <w:pPr>
              <w:pStyle w:val="19"/>
              <w:bidi w:val="0"/>
              <w:spacing w:line="240" w:lineRule="auto"/>
              <w:ind w:left="0" w:leftChars="0" w:right="0" w:rightChars="0" w:firstLine="0" w:firstLineChars="0"/>
              <w:jc w:val="both"/>
            </w:pPr>
            <w:r>
              <w:t>能源活动因子编码</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BC35CD3">
            <w:pPr>
              <w:pStyle w:val="19"/>
              <w:bidi w:val="0"/>
              <w:spacing w:line="240" w:lineRule="auto"/>
              <w:ind w:left="0" w:leftChars="0" w:right="0" w:rightChars="0" w:firstLine="0" w:firstLineChars="0"/>
              <w:jc w:val="both"/>
            </w:pPr>
            <w: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ABE686F">
            <w:pPr>
              <w:pStyle w:val="19"/>
              <w:bidi w:val="0"/>
              <w:spacing w:line="240" w:lineRule="auto"/>
              <w:ind w:left="0" w:leftChars="0" w:right="0" w:rightChars="0" w:firstLine="0" w:firstLineChars="0"/>
              <w:jc w:val="both"/>
            </w:pPr>
            <w:r>
              <w:t>—</w:t>
            </w: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DEE1DB7">
            <w:pPr>
              <w:pStyle w:val="19"/>
              <w:bidi w:val="0"/>
              <w:spacing w:line="240" w:lineRule="auto"/>
              <w:ind w:left="0" w:leftChars="0" w:right="0" w:rightChars="0" w:firstLine="0" w:firstLineChars="0"/>
              <w:jc w:val="both"/>
            </w:pPr>
            <w:r>
              <w:t xml:space="preserve">唯一，格式  EA&lt;3位流水&gt;&lt;2位校验码&gt; </w:t>
            </w:r>
          </w:p>
        </w:tc>
      </w:tr>
      <w:tr w14:paraId="5EBE19E5">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BA12459">
            <w:pPr>
              <w:pStyle w:val="19"/>
              <w:bidi w:val="0"/>
              <w:spacing w:line="240" w:lineRule="auto"/>
              <w:ind w:left="0" w:leftChars="0" w:right="0" w:rightChars="0" w:firstLine="0" w:firstLineChars="0"/>
              <w:jc w:val="both"/>
            </w:pPr>
            <w: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89108B8">
            <w:pPr>
              <w:pStyle w:val="19"/>
              <w:bidi w:val="0"/>
              <w:spacing w:line="240" w:lineRule="auto"/>
              <w:ind w:left="0" w:leftChars="0" w:right="0" w:rightChars="0" w:firstLine="0" w:firstLineChars="0"/>
              <w:jc w:val="both"/>
            </w:pPr>
            <w:r>
              <w:t>能源活动/燃料名称</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1256B3B">
            <w:pPr>
              <w:pStyle w:val="19"/>
              <w:bidi w:val="0"/>
              <w:spacing w:line="240" w:lineRule="auto"/>
              <w:ind w:left="0" w:leftChars="0" w:right="0" w:rightChars="0" w:firstLine="0" w:firstLineChars="0"/>
              <w:jc w:val="both"/>
            </w:pPr>
            <w:r>
              <w:t>String</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711F49D">
            <w:pPr>
              <w:pStyle w:val="19"/>
              <w:bidi w:val="0"/>
              <w:spacing w:line="240" w:lineRule="auto"/>
              <w:ind w:left="0" w:leftChars="0" w:right="0" w:rightChars="0" w:firstLine="0" w:firstLineChars="0"/>
              <w:jc w:val="both"/>
            </w:pPr>
            <w:r>
              <w:t>—</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2495559">
            <w:pPr>
              <w:pStyle w:val="19"/>
              <w:bidi w:val="0"/>
              <w:spacing w:line="240" w:lineRule="auto"/>
              <w:ind w:left="0" w:leftChars="0" w:right="0" w:rightChars="0" w:firstLine="0" w:firstLineChars="0"/>
              <w:jc w:val="both"/>
            </w:pPr>
            <w:r>
              <w:t xml:space="preserve">如  管道天然气 、 轻柴油 、 原煤(烟煤) 、 外购蒸汽 </w:t>
            </w:r>
          </w:p>
        </w:tc>
      </w:tr>
      <w:tr w14:paraId="4EB0085B">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32EC4C5">
            <w:pPr>
              <w:pStyle w:val="19"/>
              <w:bidi w:val="0"/>
              <w:spacing w:line="240" w:lineRule="auto"/>
              <w:ind w:left="0" w:leftChars="0" w:right="0" w:rightChars="0" w:firstLine="0" w:firstLineChars="0"/>
              <w:jc w:val="both"/>
            </w:pPr>
            <w: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D6E8CAA">
            <w:pPr>
              <w:pStyle w:val="19"/>
              <w:bidi w:val="0"/>
              <w:spacing w:line="240" w:lineRule="auto"/>
              <w:ind w:left="0" w:leftChars="0" w:right="0" w:rightChars="0" w:firstLine="0" w:firstLineChars="0"/>
              <w:jc w:val="both"/>
            </w:pPr>
            <w:r>
              <w:t>能源大类归属</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ADFB677">
            <w:pPr>
              <w:pStyle w:val="19"/>
              <w:bidi w:val="0"/>
              <w:spacing w:line="240" w:lineRule="auto"/>
              <w:ind w:left="0" w:leftChars="0" w:right="0" w:rightChars="0" w:firstLine="0" w:firstLineChars="0"/>
              <w:jc w:val="both"/>
            </w:pPr>
            <w:r>
              <w:t>Enum</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B11D0D7">
            <w:pPr>
              <w:pStyle w:val="19"/>
              <w:bidi w:val="0"/>
              <w:spacing w:line="240" w:lineRule="auto"/>
              <w:ind w:left="0" w:leftChars="0" w:right="0" w:rightChars="0" w:firstLine="0" w:firstLineChars="0"/>
              <w:jc w:val="both"/>
            </w:pPr>
            <w:r>
              <w:t>—</w:t>
            </w: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93369C8">
            <w:pPr>
              <w:pStyle w:val="19"/>
              <w:bidi w:val="0"/>
              <w:spacing w:line="240" w:lineRule="auto"/>
              <w:ind w:left="0" w:leftChars="0" w:right="0" w:rightChars="0" w:firstLine="0" w:firstLineChars="0"/>
              <w:jc w:val="both"/>
            </w:pPr>
            <w:r>
              <w:t>化石燃料 / 热力/蒸汽 / 制冷剂 / 其他</w:t>
            </w:r>
          </w:p>
        </w:tc>
      </w:tr>
      <w:tr w14:paraId="3C30BB72">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463FCD0">
            <w:pPr>
              <w:pStyle w:val="19"/>
              <w:bidi w:val="0"/>
              <w:spacing w:line="240" w:lineRule="auto"/>
              <w:ind w:left="0" w:leftChars="0" w:right="0" w:rightChars="0" w:firstLine="0" w:firstLineChars="0"/>
              <w:jc w:val="both"/>
            </w:pPr>
            <w: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DF11A45">
            <w:pPr>
              <w:pStyle w:val="19"/>
              <w:bidi w:val="0"/>
              <w:spacing w:line="240" w:lineRule="auto"/>
              <w:ind w:left="0" w:leftChars="0" w:right="0" w:rightChars="0" w:firstLine="0" w:firstLineChars="0"/>
              <w:jc w:val="both"/>
            </w:pPr>
            <w:r>
              <w:t>当前生效因子值</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93B14D7">
            <w:pPr>
              <w:pStyle w:val="19"/>
              <w:bidi w:val="0"/>
              <w:spacing w:line="240" w:lineRule="auto"/>
              <w:ind w:left="0" w:leftChars="0" w:right="0" w:rightChars="0" w:firstLine="0" w:firstLineChars="0"/>
              <w:jc w:val="both"/>
            </w:pPr>
            <w: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F3201BC">
            <w:pPr>
              <w:pStyle w:val="19"/>
              <w:bidi w:val="0"/>
              <w:spacing w:line="240" w:lineRule="auto"/>
              <w:ind w:left="0" w:leftChars="0" w:right="0" w:rightChars="0" w:firstLine="0" w:firstLineChars="0"/>
              <w:jc w:val="both"/>
            </w:pPr>
            <w:r>
              <w:t>实物单位</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4AC7D09">
            <w:pPr>
              <w:pStyle w:val="19"/>
              <w:bidi w:val="0"/>
              <w:spacing w:line="240" w:lineRule="auto"/>
              <w:ind w:left="0" w:leftChars="0" w:right="0" w:rightChars="0" w:firstLine="0" w:firstLineChars="0"/>
              <w:jc w:val="both"/>
            </w:pPr>
            <w:r>
              <w:t xml:space="preserve">严格  &gt; 0 ；天然气为  kgCO2e/m³ ，燃料油为  kgCO2e/kg ，蒸汽为  kgCO2e/MJ </w:t>
            </w:r>
          </w:p>
        </w:tc>
      </w:tr>
      <w:tr w14:paraId="49350FAF">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CB3DEB2">
            <w:pPr>
              <w:pStyle w:val="19"/>
              <w:bidi w:val="0"/>
              <w:spacing w:line="240" w:lineRule="auto"/>
              <w:ind w:left="0" w:leftChars="0" w:right="0" w:rightChars="0" w:firstLine="0" w:firstLineChars="0"/>
              <w:jc w:val="both"/>
            </w:pPr>
            <w: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A0AB268">
            <w:pPr>
              <w:pStyle w:val="19"/>
              <w:bidi w:val="0"/>
              <w:spacing w:line="240" w:lineRule="auto"/>
              <w:ind w:left="0" w:leftChars="0" w:right="0" w:rightChars="0" w:firstLine="0" w:firstLineChars="0"/>
              <w:jc w:val="both"/>
            </w:pPr>
            <w:r>
              <w:t>默认/缺省因子值</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19E21AB">
            <w:pPr>
              <w:pStyle w:val="19"/>
              <w:bidi w:val="0"/>
              <w:spacing w:line="240" w:lineRule="auto"/>
              <w:ind w:left="0" w:leftChars="0" w:right="0" w:rightChars="0" w:firstLine="0" w:firstLineChars="0"/>
              <w:jc w:val="both"/>
            </w:pPr>
            <w: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1084F62">
            <w:pPr>
              <w:pStyle w:val="19"/>
              <w:bidi w:val="0"/>
              <w:spacing w:line="240" w:lineRule="auto"/>
              <w:ind w:left="0" w:leftChars="0" w:right="0" w:rightChars="0" w:firstLine="0" w:firstLineChars="0"/>
              <w:jc w:val="both"/>
            </w:pPr>
            <w:r>
              <w:t>实物单位</w:t>
            </w: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6237572">
            <w:pPr>
              <w:pStyle w:val="19"/>
              <w:bidi w:val="0"/>
              <w:spacing w:line="240" w:lineRule="auto"/>
              <w:ind w:left="0" w:leftChars="0" w:right="0" w:rightChars="0" w:firstLine="0" w:firstLineChars="0"/>
              <w:jc w:val="both"/>
            </w:pPr>
            <w:r>
              <w:t>国家发改委核算指南推荐缺省值</w:t>
            </w:r>
          </w:p>
        </w:tc>
      </w:tr>
      <w:tr w14:paraId="63C1ED2F">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4E05124">
            <w:pPr>
              <w:pStyle w:val="19"/>
              <w:bidi w:val="0"/>
              <w:spacing w:line="240" w:lineRule="auto"/>
              <w:ind w:left="0" w:leftChars="0" w:right="0" w:rightChars="0" w:firstLine="0" w:firstLineChars="0"/>
              <w:jc w:val="both"/>
            </w:pPr>
            <w: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A932E35">
            <w:pPr>
              <w:pStyle w:val="19"/>
              <w:bidi w:val="0"/>
              <w:spacing w:line="240" w:lineRule="auto"/>
              <w:ind w:left="0" w:leftChars="0" w:right="0" w:rightChars="0" w:firstLine="0" w:firstLineChars="0"/>
              <w:jc w:val="both"/>
            </w:pPr>
            <w:r>
              <w:t>低位发热量 (NCV)</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F82F145">
            <w:pPr>
              <w:pStyle w:val="19"/>
              <w:bidi w:val="0"/>
              <w:spacing w:line="240" w:lineRule="auto"/>
              <w:ind w:left="0" w:leftChars="0" w:right="0" w:rightChars="0" w:firstLine="0" w:firstLineChars="0"/>
              <w:jc w:val="both"/>
            </w:pPr>
            <w: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E43418F">
            <w:pPr>
              <w:pStyle w:val="19"/>
              <w:bidi w:val="0"/>
              <w:spacing w:line="240" w:lineRule="auto"/>
              <w:ind w:left="0" w:leftChars="0" w:right="0" w:rightChars="0" w:firstLine="0" w:firstLineChars="0"/>
              <w:jc w:val="both"/>
            </w:pPr>
            <w:r>
              <w:t>MJ/kg 或 MJ/m³</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EC68FD1">
            <w:pPr>
              <w:pStyle w:val="19"/>
              <w:bidi w:val="0"/>
              <w:spacing w:line="240" w:lineRule="auto"/>
              <w:ind w:left="0" w:leftChars="0" w:right="0" w:rightChars="0" w:firstLine="0" w:firstLineChars="0"/>
              <w:jc w:val="both"/>
            </w:pPr>
            <w:r>
              <w:t>严格  &gt; 0 ；按实测或国标录入</w:t>
            </w:r>
          </w:p>
        </w:tc>
      </w:tr>
      <w:tr w14:paraId="308787A1">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3B84723">
            <w:pPr>
              <w:pStyle w:val="19"/>
              <w:bidi w:val="0"/>
              <w:spacing w:line="240" w:lineRule="auto"/>
              <w:ind w:left="0" w:leftChars="0" w:right="0" w:rightChars="0" w:firstLine="0" w:firstLineChars="0"/>
              <w:jc w:val="both"/>
            </w:pPr>
            <w: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FE46967">
            <w:pPr>
              <w:pStyle w:val="19"/>
              <w:bidi w:val="0"/>
              <w:spacing w:line="240" w:lineRule="auto"/>
              <w:ind w:left="0" w:leftChars="0" w:right="0" w:rightChars="0" w:firstLine="0" w:firstLineChars="0"/>
              <w:jc w:val="both"/>
            </w:pPr>
            <w:r>
              <w:t>单位热值含碳量 (CC)</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BCCDD18">
            <w:pPr>
              <w:pStyle w:val="19"/>
              <w:bidi w:val="0"/>
              <w:spacing w:line="240" w:lineRule="auto"/>
              <w:ind w:left="0" w:leftChars="0" w:right="0" w:rightChars="0" w:firstLine="0" w:firstLineChars="0"/>
              <w:jc w:val="both"/>
            </w:pPr>
            <w: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396592D">
            <w:pPr>
              <w:pStyle w:val="19"/>
              <w:bidi w:val="0"/>
              <w:spacing w:line="240" w:lineRule="auto"/>
              <w:ind w:left="0" w:leftChars="0" w:right="0" w:rightChars="0" w:firstLine="0" w:firstLineChars="0"/>
              <w:jc w:val="both"/>
            </w:pPr>
            <w:r>
              <w:t>tC/TJ</w:t>
            </w: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10441F8">
            <w:pPr>
              <w:pStyle w:val="19"/>
              <w:bidi w:val="0"/>
              <w:spacing w:line="240" w:lineRule="auto"/>
              <w:ind w:left="0" w:leftChars="0" w:right="0" w:rightChars="0" w:firstLine="0" w:firstLineChars="0"/>
              <w:jc w:val="both"/>
            </w:pPr>
            <w:r>
              <w:t>严格  &gt; 0 ；碳核算关键中间参数</w:t>
            </w:r>
          </w:p>
        </w:tc>
      </w:tr>
      <w:tr w14:paraId="6BD3446F">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13BB3BF">
            <w:pPr>
              <w:pStyle w:val="19"/>
              <w:bidi w:val="0"/>
              <w:spacing w:line="240" w:lineRule="auto"/>
              <w:ind w:left="0" w:leftChars="0" w:right="0" w:rightChars="0" w:firstLine="0" w:firstLineChars="0"/>
              <w:jc w:val="both"/>
            </w:pPr>
            <w:r>
              <w:t>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89F43FE">
            <w:pPr>
              <w:pStyle w:val="19"/>
              <w:bidi w:val="0"/>
              <w:spacing w:line="240" w:lineRule="auto"/>
              <w:ind w:left="0" w:leftChars="0" w:right="0" w:rightChars="0" w:firstLine="0" w:firstLineChars="0"/>
              <w:jc w:val="both"/>
            </w:pPr>
            <w:r>
              <w:t>碳氧化率 (OF)</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EEBDF92">
            <w:pPr>
              <w:pStyle w:val="19"/>
              <w:bidi w:val="0"/>
              <w:spacing w:line="240" w:lineRule="auto"/>
              <w:ind w:left="0" w:leftChars="0" w:right="0" w:rightChars="0" w:firstLine="0" w:firstLineChars="0"/>
              <w:jc w:val="both"/>
            </w:pPr>
            <w: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1C1E596">
            <w:pPr>
              <w:pStyle w:val="19"/>
              <w:bidi w:val="0"/>
              <w:spacing w:line="240" w:lineRule="auto"/>
              <w:ind w:left="0" w:leftChars="0" w:right="0" w:rightChars="0" w:firstLine="0" w:firstLineChars="0"/>
              <w:jc w:val="both"/>
            </w:pPr>
            <w:r>
              <w:t>%</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8D94CAE">
            <w:pPr>
              <w:pStyle w:val="19"/>
              <w:bidi w:val="0"/>
              <w:spacing w:line="240" w:lineRule="auto"/>
              <w:ind w:left="0" w:leftChars="0" w:right="0" w:rightChars="0" w:firstLine="0" w:firstLineChars="0"/>
              <w:jc w:val="both"/>
            </w:pPr>
            <w:r>
              <w:t>取值区间  [90.0, 100.0] ，炉窑燃烧效率</w:t>
            </w:r>
          </w:p>
        </w:tc>
      </w:tr>
      <w:tr w14:paraId="6CCF80D2">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F933852">
            <w:pPr>
              <w:pStyle w:val="19"/>
              <w:bidi w:val="0"/>
              <w:spacing w:line="240" w:lineRule="auto"/>
              <w:ind w:left="0" w:leftChars="0" w:right="0" w:rightChars="0" w:firstLine="0" w:firstLineChars="0"/>
              <w:jc w:val="both"/>
            </w:pPr>
            <w:r>
              <w:t>9</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B1CE308">
            <w:pPr>
              <w:pStyle w:val="19"/>
              <w:bidi w:val="0"/>
              <w:spacing w:line="240" w:lineRule="auto"/>
              <w:ind w:left="0" w:leftChars="0" w:right="0" w:rightChars="0" w:firstLine="0" w:firstLineChars="0"/>
              <w:jc w:val="both"/>
            </w:pPr>
            <w:r>
              <w:t>制冷剂潜能值 (GWP)</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AA14375">
            <w:pPr>
              <w:pStyle w:val="19"/>
              <w:bidi w:val="0"/>
              <w:spacing w:line="240" w:lineRule="auto"/>
              <w:ind w:left="0" w:leftChars="0" w:right="0" w:rightChars="0" w:firstLine="0" w:firstLineChars="0"/>
              <w:jc w:val="both"/>
            </w:pPr>
            <w:r>
              <w:t>Integer</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2932682">
            <w:pPr>
              <w:pStyle w:val="19"/>
              <w:bidi w:val="0"/>
              <w:spacing w:line="240" w:lineRule="auto"/>
              <w:ind w:left="0" w:leftChars="0" w:right="0" w:rightChars="0" w:firstLine="0" w:firstLineChars="0"/>
              <w:jc w:val="both"/>
            </w:pPr>
            <w:r>
              <w:t>—</w:t>
            </w: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98475CB">
            <w:pPr>
              <w:pStyle w:val="19"/>
              <w:bidi w:val="0"/>
              <w:spacing w:line="240" w:lineRule="auto"/>
              <w:ind w:left="0" w:leftChars="0" w:right="0" w:rightChars="0" w:firstLine="0" w:firstLineChars="0"/>
              <w:jc w:val="both"/>
            </w:pPr>
            <w:r>
              <w:t>仅制冷剂类型有效，如 R134a 锁定为 1430</w:t>
            </w:r>
          </w:p>
        </w:tc>
      </w:tr>
      <w:tr w14:paraId="45E3B1EE">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33AF595">
            <w:pPr>
              <w:pStyle w:val="19"/>
              <w:bidi w:val="0"/>
              <w:spacing w:line="240" w:lineRule="auto"/>
              <w:ind w:left="0" w:leftChars="0" w:right="0" w:rightChars="0" w:firstLine="0" w:firstLineChars="0"/>
              <w:jc w:val="both"/>
            </w:pPr>
            <w:r>
              <w:t>10</w:t>
            </w:r>
          </w:p>
        </w:tc>
        <w:tc>
          <w:tcPr>
            <w:tcW w:w="165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B6F24A3">
            <w:pPr>
              <w:pStyle w:val="19"/>
              <w:bidi w:val="0"/>
              <w:spacing w:line="240" w:lineRule="auto"/>
              <w:ind w:left="0" w:leftChars="0" w:right="0" w:rightChars="0" w:firstLine="0" w:firstLineChars="0"/>
              <w:jc w:val="both"/>
            </w:pPr>
            <w:r>
              <w:t>因子版本发布代号</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5FBF430">
            <w:pPr>
              <w:pStyle w:val="19"/>
              <w:bidi w:val="0"/>
              <w:spacing w:line="240" w:lineRule="auto"/>
              <w:ind w:left="0" w:leftChars="0" w:right="0" w:rightChars="0" w:firstLine="0" w:firstLineChars="0"/>
              <w:jc w:val="both"/>
            </w:pPr>
            <w:r>
              <w:t>String</w:t>
            </w:r>
          </w:p>
        </w:tc>
        <w:tc>
          <w:tcPr>
            <w:tcW w:w="129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19AEEA2">
            <w:pPr>
              <w:pStyle w:val="19"/>
              <w:bidi w:val="0"/>
              <w:spacing w:line="240" w:lineRule="auto"/>
              <w:ind w:left="0" w:leftChars="0" w:right="0" w:rightChars="0" w:firstLine="0" w:firstLineChars="0"/>
              <w:jc w:val="both"/>
            </w:pPr>
            <w:r>
              <w:t>—</w:t>
            </w: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7FC193F">
            <w:pPr>
              <w:pStyle w:val="19"/>
              <w:bidi w:val="0"/>
              <w:spacing w:line="240" w:lineRule="auto"/>
              <w:ind w:left="0" w:leftChars="0" w:right="0" w:rightChars="0" w:firstLine="0" w:firstLineChars="0"/>
              <w:jc w:val="both"/>
            </w:pPr>
            <w:r>
              <w:t>格式  v&lt;年份&gt;.&lt;流水&gt; （如  v2023.2 ）</w:t>
            </w:r>
          </w:p>
        </w:tc>
      </w:tr>
    </w:tbl>
    <w:p w14:paraId="6D6C79E8">
      <w:pPr>
        <w:pStyle w:val="19"/>
        <w:bidi w:val="0"/>
      </w:pPr>
    </w:p>
    <w:p w14:paraId="3A9BF347">
      <w:pPr>
        <w:pStyle w:val="6"/>
        <w:numPr>
          <w:ilvl w:val="0"/>
          <w:numId w:val="197"/>
        </w:numPr>
        <w:bidi w:val="0"/>
        <w:ind w:left="0" w:leftChars="0" w:firstLine="0" w:firstLineChars="0"/>
        <w:rPr>
          <w:b/>
          <w:bCs/>
          <w:sz w:val="28"/>
          <w:szCs w:val="28"/>
        </w:rPr>
      </w:pPr>
      <w:r>
        <w:rPr>
          <w:b/>
          <w:bCs/>
          <w:sz w:val="28"/>
          <w:szCs w:val="28"/>
        </w:rPr>
        <w:t>核心数学模型与算法框架</w:t>
      </w:r>
    </w:p>
    <w:tbl>
      <w:tblPr>
        <w:tblStyle w:val="38"/>
        <w:tblW w:w="0" w:type="auto"/>
        <w:jc w:val="center"/>
        <w:tblLayout w:type="fixed"/>
        <w:tblCellMar>
          <w:top w:w="0" w:type="dxa"/>
          <w:left w:w="108" w:type="dxa"/>
          <w:bottom w:w="0" w:type="dxa"/>
          <w:right w:w="108" w:type="dxa"/>
        </w:tblCellMar>
      </w:tblPr>
      <w:tblGrid>
        <w:gridCol w:w="9648"/>
      </w:tblGrid>
      <w:tr w14:paraId="16CF7482">
        <w:tblPrEx>
          <w:tblCellMar>
            <w:top w:w="0" w:type="dxa"/>
            <w:left w:w="108" w:type="dxa"/>
            <w:bottom w:w="0" w:type="dxa"/>
            <w:right w:w="108" w:type="dxa"/>
          </w:tblCellMar>
        </w:tblPrEx>
        <w:trPr>
          <w:jc w:val="center"/>
        </w:trPr>
        <w:tc>
          <w:tcPr>
            <w:tcW w:w="9648" w:type="dxa"/>
            <w:tcBorders>
              <w:top w:val="nil"/>
              <w:left w:val="single" w:color="16A34A" w:sz="24" w:space="0"/>
              <w:bottom w:val="nil"/>
              <w:right w:val="nil"/>
            </w:tcBorders>
            <w:shd w:val="clear" w:color="auto" w:fill="F0FDF4"/>
            <w:tcMar>
              <w:top w:w="70" w:type="dxa"/>
              <w:left w:w="100" w:type="dxa"/>
              <w:bottom w:w="70" w:type="dxa"/>
              <w:right w:w="100" w:type="dxa"/>
            </w:tcMar>
          </w:tcPr>
          <w:p w14:paraId="50BAF69A">
            <w:pPr>
              <w:pStyle w:val="19"/>
              <w:bidi w:val="0"/>
            </w:pPr>
            <w:r>
              <w:t>EF_{\text{fossil}} = \text{NCV} \times \text{CC} \times \text{OF} \times \frac{44}{12} \times 10^{-3} \quad (\text{化石燃料直接燃烧排放因子})</w:t>
            </w:r>
          </w:p>
          <w:p w14:paraId="155C403E">
            <w:pPr>
              <w:pStyle w:val="19"/>
              <w:bidi w:val="0"/>
            </w:pPr>
            <w:r>
              <w:t>EF_{\text{steam}} = \frac{h_{\text{steam}} - h_{\text{water}}}{\eta_{\text{boiler}}} \times EF_{\text{fuel}} \quad (\text{外购工业蒸汽折算因子})</w:t>
            </w:r>
          </w:p>
          <w:p w14:paraId="0B4EC246">
            <w:pPr>
              <w:pStyle w:val="19"/>
              <w:bidi w:val="0"/>
            </w:pPr>
            <w:r>
              <w:t>C_{\text{Scope1, total}} = \sum_{j=1}^{k} \left( Q_{\text{fuel}, j} \times EF_{\text{fossil}, j} \right) + \sum_{m=1}^{r} \left( L_{\text{refrig}, m} \times \text{GWP}_m \right) \quad (\text{范围一直接排放量})</w:t>
            </w:r>
          </w:p>
        </w:tc>
      </w:tr>
    </w:tbl>
    <w:p w14:paraId="49949F1C">
      <w:pPr>
        <w:pStyle w:val="19"/>
        <w:bidi w:val="0"/>
      </w:pPr>
    </w:p>
    <w:p w14:paraId="5DDB198E">
      <w:pPr>
        <w:pStyle w:val="19"/>
        <w:bidi w:val="0"/>
      </w:pPr>
      <w:r>
        <w:t>• 变量定义与取值约定：</w:t>
      </w:r>
    </w:p>
    <w:p w14:paraId="1C1044E8">
      <w:pPr>
        <w:pStyle w:val="19"/>
        <w:bidi w:val="0"/>
      </w:pPr>
      <w:r>
        <w:t>• \text{NCV}：平均低位发热量（固体/液体为 \text{kJ/kg}，气体为 \text{kJ/m}^3）；</w:t>
      </w:r>
    </w:p>
    <w:p w14:paraId="25BA16FE">
      <w:pPr>
        <w:pStyle w:val="19"/>
        <w:bidi w:val="0"/>
      </w:pPr>
      <w:r>
        <w:t>• \text{CC}：单位热值含碳量（\text{tC/TJ}）；</w:t>
      </w:r>
    </w:p>
    <w:p w14:paraId="1318EC0C">
      <w:pPr>
        <w:pStyle w:val="19"/>
        <w:bidi w:val="0"/>
      </w:pPr>
      <w:r>
        <w:t>• \text{OF}：碳氧化率（百分比）；</w:t>
      </w:r>
    </w:p>
    <w:p w14:paraId="4150B28A">
      <w:pPr>
        <w:pStyle w:val="19"/>
        <w:bidi w:val="0"/>
      </w:pPr>
      <w:r>
        <w:t>• 44/12：二氧化碳与碳的分子量比率（约等于 3.6667）；</w:t>
      </w:r>
    </w:p>
    <w:p w14:paraId="2D761165">
      <w:pPr>
        <w:pStyle w:val="19"/>
        <w:bidi w:val="0"/>
      </w:pPr>
      <w:r>
        <w:t>• h_{\text{steam}}：蒸汽供汽比焓（\text{kJ/kg}）；h_{\text{water}}：锅炉给水温度比焓（\text{kJ/kg}）；\eta_{\text{boiler}}：供热锅炉综合热效率（系统缺省取 80.0\%）。</w:t>
      </w:r>
    </w:p>
    <w:p w14:paraId="0DE42529">
      <w:pPr>
        <w:pStyle w:val="6"/>
        <w:numPr>
          <w:ilvl w:val="0"/>
          <w:numId w:val="197"/>
        </w:numPr>
        <w:bidi w:val="0"/>
        <w:ind w:left="0" w:leftChars="0" w:firstLine="0" w:firstLineChars="0"/>
        <w:rPr>
          <w:b/>
          <w:bCs/>
          <w:sz w:val="28"/>
          <w:szCs w:val="28"/>
        </w:rPr>
      </w:pPr>
      <w:r>
        <w:rPr>
          <w:b/>
          <w:bCs/>
          <w:sz w:val="28"/>
          <w:szCs w:val="28"/>
        </w:rPr>
        <w:t>展示、对标与判定口径</w:t>
      </w:r>
    </w:p>
    <w:p w14:paraId="1A0B7C30">
      <w:pPr>
        <w:pStyle w:val="19"/>
        <w:bidi w:val="0"/>
      </w:pPr>
      <w:r>
        <w:t>• 双轨展示：因子卡片明确标注实测值与发改委缺省值对比；</w:t>
      </w:r>
    </w:p>
    <w:p w14:paraId="0CE06F2E">
      <w:pPr>
        <w:pStyle w:val="19"/>
        <w:bidi w:val="0"/>
      </w:pPr>
      <w:r>
        <w:t>• 温室气体折算口径：所有能源活动排放结果统一以二氧化碳当量（\text{tCO}_2\text{e}）汇总，非二氧化碳温室气体（如甲烷 \text{CH}_4、氧化亚氮 \text{N}_2\text{O}）已按 GWP 统一折算入综合因子中；</w:t>
      </w:r>
    </w:p>
    <w:p w14:paraId="69B40EC4">
      <w:pPr>
        <w:pStyle w:val="19"/>
        <w:bidi w:val="0"/>
      </w:pPr>
      <w:r>
        <w:t>• 空值口径：任何车间新增特种燃气或工业副产气未录入实测热值时，系统强制回退采用通用化石燃料上限缺省值，严禁空值运行。</w:t>
      </w:r>
    </w:p>
    <w:p w14:paraId="3A81B9F3">
      <w:pPr>
        <w:pStyle w:val="6"/>
        <w:numPr>
          <w:ilvl w:val="0"/>
          <w:numId w:val="197"/>
        </w:numPr>
        <w:bidi w:val="0"/>
        <w:ind w:left="0" w:leftChars="0" w:firstLine="0" w:firstLineChars="0"/>
        <w:rPr>
          <w:b/>
          <w:bCs/>
          <w:sz w:val="28"/>
          <w:szCs w:val="28"/>
        </w:rPr>
      </w:pPr>
      <w:r>
        <w:rPr>
          <w:b/>
          <w:bCs/>
          <w:sz w:val="28"/>
          <w:szCs w:val="28"/>
        </w:rPr>
        <w:t>边界条件、异常处理与防错规则</w:t>
      </w:r>
    </w:p>
    <w:p w14:paraId="574967E7">
      <w:pPr>
        <w:pStyle w:val="175"/>
        <w:bidi w:val="0"/>
      </w:pPr>
      <w:r>
        <w:t>• 发热量非物理极值拦截：低位发热量输入超过热力学物理极限（如天然气输入 &gt; 50 \text{ MJ/m}^3）时，系统强阻断保存，抛出  E_VAL_NCV_OUT_OF_PHYSICAL_RANGE ；</w:t>
      </w:r>
    </w:p>
    <w:p w14:paraId="308D92C0">
      <w:pPr>
        <w:pStyle w:val="175"/>
        <w:bidi w:val="0"/>
      </w:pPr>
      <w:r>
        <w:t>• 碳氧化率非法越界阻断：碳氧化率输入必须在  [90.0%, 100.0%]  之间，大于 100% 阻断提交，记录  E_VAL_OF_RATE_INVALID ；</w:t>
      </w:r>
    </w:p>
    <w:p w14:paraId="144A748A">
      <w:pPr>
        <w:pStyle w:val="175"/>
        <w:bidi w:val="0"/>
      </w:pPr>
      <w:r>
        <w:t>• 蒸汽热焓查表失效兜底：当输入表压与温度在 IAPWS 饱和区外时，系统自动使用经验线性插值计算，并弹出黄色非标提示，避免算式除零崩溃。</w:t>
      </w:r>
    </w:p>
    <w:p w14:paraId="15E18D80">
      <w:pPr>
        <w:pStyle w:val="6"/>
        <w:numPr>
          <w:ilvl w:val="0"/>
          <w:numId w:val="197"/>
        </w:numPr>
        <w:bidi w:val="0"/>
        <w:ind w:left="0" w:leftChars="0" w:firstLine="0" w:firstLineChars="0"/>
        <w:rPr>
          <w:b/>
          <w:bCs/>
          <w:sz w:val="28"/>
          <w:szCs w:val="28"/>
        </w:rPr>
      </w:pPr>
      <w:r>
        <w:rPr>
          <w:b/>
          <w:bCs/>
          <w:sz w:val="28"/>
          <w:szCs w:val="28"/>
        </w:rPr>
        <w:t>QA 自动化验收准则（Gherkin BDD）</w:t>
      </w:r>
    </w:p>
    <w:tbl>
      <w:tblPr>
        <w:tblStyle w:val="38"/>
        <w:tblW w:w="0" w:type="auto"/>
        <w:jc w:val="center"/>
        <w:tblLayout w:type="fixed"/>
        <w:tblCellMar>
          <w:top w:w="0" w:type="dxa"/>
          <w:left w:w="108" w:type="dxa"/>
          <w:bottom w:w="0" w:type="dxa"/>
          <w:right w:w="108" w:type="dxa"/>
        </w:tblCellMar>
      </w:tblPr>
      <w:tblGrid>
        <w:gridCol w:w="9648"/>
      </w:tblGrid>
      <w:tr w14:paraId="4B15588D">
        <w:tblPrEx>
          <w:tblCellMar>
            <w:top w:w="0" w:type="dxa"/>
            <w:left w:w="108" w:type="dxa"/>
            <w:bottom w:w="0" w:type="dxa"/>
            <w:right w:w="108" w:type="dxa"/>
          </w:tblCellMar>
        </w:tblPrEx>
        <w:trPr>
          <w:jc w:val="center"/>
        </w:trPr>
        <w:tc>
          <w:tcPr>
            <w:tcW w:w="9648" w:type="dxa"/>
            <w:tcBorders>
              <w:top w:val="nil"/>
              <w:left w:val="single" w:color="7C3AED" w:sz="24" w:space="0"/>
              <w:bottom w:val="nil"/>
              <w:right w:val="nil"/>
            </w:tcBorders>
            <w:shd w:val="clear" w:color="auto" w:fill="F5F3FF"/>
            <w:tcMar>
              <w:top w:w="70" w:type="dxa"/>
              <w:left w:w="100" w:type="dxa"/>
              <w:bottom w:w="70" w:type="dxa"/>
              <w:right w:w="100" w:type="dxa"/>
            </w:tcMar>
          </w:tcPr>
          <w:p w14:paraId="2CDDCF18">
            <w:pPr>
              <w:pStyle w:val="19"/>
              <w:bidi w:val="0"/>
            </w:pPr>
            <w:r>
              <w:t>Feature: 能源活动与化石燃料碳排因子核算验证</w:t>
            </w:r>
          </w:p>
          <w:p w14:paraId="4FC501C3">
            <w:pPr>
              <w:pStyle w:val="19"/>
              <w:bidi w:val="0"/>
            </w:pPr>
            <w:r>
              <w:t xml:space="preserve">  Scenario: 天然气三参数动态计算排放因子精度</w:t>
            </w:r>
          </w:p>
          <w:p w14:paraId="19F12E59">
            <w:pPr>
              <w:pStyle w:val="19"/>
              <w:bidi w:val="0"/>
            </w:pPr>
            <w:r>
              <w:t xml:space="preserve">    Given 天然气实测低位热值 NCV 为 38.931 MJ/m³, 单位热值含碳量 CC 为 15.32 tC/TJ, 碳氧化率 OF 为 99.0%</w:t>
            </w:r>
          </w:p>
          <w:p w14:paraId="1F13A529">
            <w:pPr>
              <w:pStyle w:val="19"/>
              <w:bidi w:val="0"/>
            </w:pPr>
            <w:r>
              <w:t xml:space="preserve">    When 碳核算引擎计算其综合二氧化碳排放因子</w:t>
            </w:r>
          </w:p>
          <w:p w14:paraId="43950581">
            <w:pPr>
              <w:pStyle w:val="19"/>
              <w:bidi w:val="0"/>
            </w:pPr>
            <w:r>
              <w:t xml:space="preserve">    Then 计算出的因子值精确等于 2.1622 kgCO2e/m³ (容差 &lt;= 0.0001)</w:t>
            </w:r>
          </w:p>
          <w:p w14:paraId="62E3E4F5">
            <w:pPr>
              <w:pStyle w:val="19"/>
              <w:bidi w:val="0"/>
            </w:pPr>
            <w:r>
              <w:t xml:space="preserve">    And 界面因子当前值同步更新并标注为实测修正源</w:t>
            </w:r>
          </w:p>
          <w:p w14:paraId="6E8259C4">
            <w:pPr>
              <w:pStyle w:val="19"/>
              <w:bidi w:val="0"/>
            </w:pPr>
          </w:p>
          <w:p w14:paraId="3505336F">
            <w:pPr>
              <w:pStyle w:val="19"/>
              <w:bidi w:val="0"/>
            </w:pPr>
            <w:r>
              <w:t xml:space="preserve">  Scenario: 碳氧化率越界与极端物理量防御</w:t>
            </w:r>
          </w:p>
          <w:p w14:paraId="652993A0">
            <w:pPr>
              <w:pStyle w:val="19"/>
              <w:bidi w:val="0"/>
            </w:pPr>
            <w:r>
              <w:t xml:space="preserve">    Given 用户在录入柴油因子时，误将碳氧化率输入为 105.0%</w:t>
            </w:r>
          </w:p>
          <w:p w14:paraId="0F168855">
            <w:pPr>
              <w:pStyle w:val="19"/>
              <w:bidi w:val="0"/>
            </w:pPr>
            <w:r>
              <w:t xml:space="preserve">    When 用户点击确认提交保存</w:t>
            </w:r>
          </w:p>
          <w:p w14:paraId="63B97736">
            <w:pPr>
              <w:pStyle w:val="19"/>
              <w:bidi w:val="0"/>
            </w:pPr>
            <w:r>
              <w:t xml:space="preserve">    Then 表单标红提示 "碳氧化率不得超过100.0%"</w:t>
            </w:r>
          </w:p>
          <w:p w14:paraId="5F4B0A9E">
            <w:pPr>
              <w:pStyle w:val="19"/>
              <w:bidi w:val="0"/>
            </w:pPr>
            <w:r>
              <w:t xml:space="preserve">    And 提交动作被底层安全校验直接拦截</w:t>
            </w:r>
          </w:p>
          <w:p w14:paraId="22052E70">
            <w:pPr>
              <w:pStyle w:val="19"/>
              <w:bidi w:val="0"/>
            </w:pPr>
            <w:r>
              <w:t xml:space="preserve">    And 数据库不写入任何脏数据</w:t>
            </w:r>
          </w:p>
        </w:tc>
      </w:tr>
    </w:tbl>
    <w:p w14:paraId="3B115513">
      <w:pPr>
        <w:pStyle w:val="19"/>
        <w:widowControl/>
        <w:numPr>
          <w:ilvl w:val="0"/>
          <w:numId w:val="0"/>
        </w:numPr>
        <w:rPr>
          <w:rFonts w:eastAsia="宋体"/>
          <w:b/>
          <w:i w:val="0"/>
          <w:color w:val="0284C7"/>
          <w:sz w:val="24"/>
          <w:szCs w:val="24"/>
        </w:rPr>
      </w:pPr>
    </w:p>
    <w:p w14:paraId="60F7BEEE">
      <w:pPr>
        <w:rPr>
          <w:rFonts w:hint="eastAsia" w:ascii="宋体" w:hAnsi="宋体" w:eastAsia="宋体" w:cs="宋体"/>
          <w:i w:val="0"/>
          <w:iCs w:val="0"/>
          <w:sz w:val="24"/>
          <w:szCs w:val="24"/>
        </w:rPr>
      </w:pPr>
    </w:p>
    <w:p w14:paraId="45FD9E1B">
      <w:pPr>
        <w:pStyle w:val="5"/>
        <w:numPr>
          <w:ilvl w:val="0"/>
          <w:numId w:val="194"/>
        </w:numPr>
        <w:ind w:left="0" w:leftChars="0" w:firstLine="0" w:firstLineChars="0"/>
        <w:outlineLvl w:val="1"/>
        <w:rPr>
          <w:rFonts w:ascii="Times New Roman" w:hAnsi="Times New Roman" w:eastAsia="黑体" w:cs="Times New Roman"/>
          <w:b w:val="0"/>
          <w:bCs w:val="0"/>
          <w:sz w:val="30"/>
          <w:szCs w:val="24"/>
        </w:rPr>
      </w:pPr>
      <w:bookmarkStart w:id="61" w:name="_Toc24030"/>
      <w:r>
        <w:rPr>
          <w:rFonts w:hint="eastAsia" w:cs="Times New Roman"/>
          <w:b w:val="0"/>
          <w:bCs w:val="0"/>
          <w:sz w:val="30"/>
          <w:szCs w:val="24"/>
          <w:lang w:val="en-US" w:eastAsia="zh-CN"/>
        </w:rPr>
        <w:t>折标煤系数库</w:t>
      </w:r>
      <w:bookmarkEnd w:id="61"/>
    </w:p>
    <w:p w14:paraId="351A766C">
      <w:pPr>
        <w:keepNext/>
        <w:keepLines/>
        <w:widowControl w:val="0"/>
        <w:numPr>
          <w:ilvl w:val="0"/>
          <w:numId w:val="0"/>
        </w:numPr>
        <w:adjustRightInd w:val="0"/>
        <w:spacing w:before="200" w:line="300" w:lineRule="auto"/>
        <w:ind w:leftChars="0"/>
        <w:jc w:val="both"/>
        <w:outlineLvl w:val="9"/>
        <w:rPr>
          <w:rFonts w:hint="eastAsia" w:ascii="Times New Roman" w:hAnsi="Times New Roman" w:eastAsia="黑体" w:cs="Times New Roman"/>
          <w:b w:val="0"/>
          <w:bCs/>
          <w:kern w:val="2"/>
          <w:sz w:val="28"/>
          <w:szCs w:val="28"/>
          <w:lang w:bidi="ar-SA"/>
        </w:rPr>
      </w:pPr>
      <w:r>
        <w:drawing>
          <wp:inline distT="0" distB="0" distL="114300" distR="114300">
            <wp:extent cx="5900420" cy="2925445"/>
            <wp:effectExtent l="0" t="0" r="5080" b="8255"/>
            <wp:docPr id="81"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36"/>
                    <pic:cNvPicPr>
                      <a:picLocks noChangeAspect="1"/>
                    </pic:cNvPicPr>
                  </pic:nvPicPr>
                  <pic:blipFill>
                    <a:blip r:embed="rId94"/>
                    <a:stretch>
                      <a:fillRect/>
                    </a:stretch>
                  </pic:blipFill>
                  <pic:spPr>
                    <a:xfrm>
                      <a:off x="0" y="0"/>
                      <a:ext cx="5900420" cy="2925445"/>
                    </a:xfrm>
                    <a:prstGeom prst="rect">
                      <a:avLst/>
                    </a:prstGeom>
                    <a:noFill/>
                    <a:ln>
                      <a:noFill/>
                    </a:ln>
                  </pic:spPr>
                </pic:pic>
              </a:graphicData>
            </a:graphic>
          </wp:inline>
        </w:drawing>
      </w:r>
    </w:p>
    <w:p w14:paraId="5C255F35">
      <w:pPr>
        <w:pStyle w:val="6"/>
        <w:numPr>
          <w:ilvl w:val="0"/>
          <w:numId w:val="198"/>
        </w:numPr>
        <w:bidi w:val="0"/>
        <w:ind w:left="0" w:leftChars="0" w:firstLine="0" w:firstLineChars="0"/>
        <w:rPr>
          <w:b/>
          <w:bCs/>
          <w:sz w:val="28"/>
          <w:szCs w:val="28"/>
        </w:rPr>
      </w:pPr>
      <w:r>
        <w:rPr>
          <w:b/>
          <w:bCs/>
          <w:sz w:val="28"/>
          <w:szCs w:val="28"/>
        </w:rPr>
        <w:t>定位与架构角色</w:t>
      </w:r>
    </w:p>
    <w:p w14:paraId="2566A57B">
      <w:pPr>
        <w:pStyle w:val="19"/>
        <w:bidi w:val="0"/>
      </w:pPr>
      <w:r>
        <w:t>• 功能定位：严格依据国家标准 GB/T 2589-2020《综合能耗计算通则》，构建全集团各类能源介质（电力、天然气、原煤、柴油、汽油、外购蒸汽、新鲜水、氮气、压缩空气等）实物计量单位向“千克标准煤 (kgce)”与“吨标准煤 (tce)”转换的法定换算中枢。</w:t>
      </w:r>
    </w:p>
    <w:p w14:paraId="663423E3">
      <w:pPr>
        <w:pStyle w:val="19"/>
        <w:bidi w:val="0"/>
      </w:pPr>
      <w:r>
        <w:t>• 承载角色：P1 集团决策层（集团综合能效核准）、P2 园区能碳专员（车间折标能耗统计）、PM 业务总监（指标考核基准锁定）。</w:t>
      </w:r>
    </w:p>
    <w:p w14:paraId="64BAED7F">
      <w:pPr>
        <w:pStyle w:val="6"/>
        <w:numPr>
          <w:ilvl w:val="0"/>
          <w:numId w:val="198"/>
        </w:numPr>
        <w:bidi w:val="0"/>
        <w:ind w:left="0" w:leftChars="0" w:firstLine="0" w:firstLineChars="0"/>
        <w:rPr>
          <w:b/>
          <w:bCs/>
          <w:sz w:val="28"/>
          <w:szCs w:val="28"/>
        </w:rPr>
      </w:pPr>
      <w:r>
        <w:rPr>
          <w:b/>
          <w:bCs/>
          <w:sz w:val="28"/>
          <w:szCs w:val="28"/>
        </w:rPr>
        <w:t>业务场景与用户故事</w:t>
      </w:r>
    </w:p>
    <w:p w14:paraId="678419DE">
      <w:pPr>
        <w:pStyle w:val="19"/>
        <w:bidi w:val="0"/>
      </w:pPr>
      <w:r>
        <w:t>• 业务场景描述：特变电工在统计全厂能源消费时，面临电（kWh）、气（m³）、煤（kg）、水（t）、汽（MJ/t）量纲不统一的现实问题，无法直接累加。必须通过折标煤系数库将各介质实物消费量换算为标准煤（当量热值 29,307.6 \text{ kJ/kgce}），以此核算全集团、各园区及关键工序的综合能源消费总量与万元产值能耗指标。</w:t>
      </w:r>
    </w:p>
    <w:p w14:paraId="67F378DC">
      <w:pPr>
        <w:pStyle w:val="19"/>
        <w:bidi w:val="0"/>
      </w:pPr>
      <w:r>
        <w:t>• 用户故事：</w:t>
      </w:r>
    </w:p>
    <w:p w14:paraId="18861EC3">
      <w:pPr>
        <w:pStyle w:val="19"/>
        <w:bidi w:val="0"/>
      </w:pPr>
      <w:r>
        <w:t xml:space="preserve">  As a 园区能碳专员 (Persona P2)，</w:t>
      </w:r>
    </w:p>
    <w:p w14:paraId="1BCC8EBD">
      <w:pPr>
        <w:pStyle w:val="19"/>
        <w:bidi w:val="0"/>
      </w:pPr>
      <w:r>
        <w:t xml:space="preserve">  I want 按照法定国标查验电力、天然气、外购蒸汽等各类能源介质的折标煤系数及低位发热量，</w:t>
      </w:r>
    </w:p>
    <w:p w14:paraId="03174532">
      <w:pPr>
        <w:pStyle w:val="19"/>
        <w:bidi w:val="0"/>
      </w:pPr>
      <w:r>
        <w:t xml:space="preserve">  So that 我能依据国家标准精准核算车间及全厂的综合能源消费量 (tce)，确保对标管理与政府能效报送口径 100% 合规。</w:t>
      </w:r>
    </w:p>
    <w:p w14:paraId="2036041A">
      <w:pPr>
        <w:pStyle w:val="6"/>
        <w:numPr>
          <w:ilvl w:val="0"/>
          <w:numId w:val="198"/>
        </w:numPr>
        <w:bidi w:val="0"/>
        <w:ind w:left="0" w:leftChars="0" w:firstLine="0" w:firstLineChars="0"/>
        <w:rPr>
          <w:b/>
          <w:bCs/>
          <w:sz w:val="28"/>
          <w:szCs w:val="28"/>
        </w:rPr>
      </w:pPr>
      <w:r>
        <w:rPr>
          <w:b/>
          <w:bCs/>
          <w:sz w:val="28"/>
          <w:szCs w:val="28"/>
        </w:rPr>
        <w:t>功能规格与交互契约</w:t>
      </w:r>
    </w:p>
    <w:p w14:paraId="5881F5A1">
      <w:pPr>
        <w:pStyle w:val="19"/>
        <w:bidi w:val="0"/>
      </w:pPr>
      <w:r>
        <w:t>• 界面结构与国标展示：</w:t>
      </w:r>
    </w:p>
    <w:p w14:paraId="5A2FB15A">
      <w:pPr>
        <w:pStyle w:val="19"/>
        <w:bidi w:val="0"/>
      </w:pPr>
      <w:r>
        <w:t>• 列表清晰展示能源品种、折标系数（ kgce/实物单位 ）、低位热值基准（MJ/实物单位）、数据来源及版本依据；</w:t>
      </w:r>
    </w:p>
    <w:p w14:paraId="720D382F">
      <w:pPr>
        <w:pStyle w:val="19"/>
        <w:bidi w:val="0"/>
      </w:pPr>
      <w:r>
        <w:t>• 界面顶部常态置顶展示国标基准徽章： GB/T 2589-2020 强制性国家标准 。</w:t>
      </w:r>
    </w:p>
    <w:p w14:paraId="7FBBB729">
      <w:pPr>
        <w:pStyle w:val="19"/>
        <w:bidi w:val="0"/>
      </w:pPr>
      <w:r>
        <w:t>• 双口径折标系数透明并存：</w:t>
      </w:r>
    </w:p>
    <w:p w14:paraId="46DACBF9">
      <w:pPr>
        <w:pStyle w:val="19"/>
        <w:bidi w:val="0"/>
      </w:pPr>
      <w:r>
        <w:t>• 当量值折标 (Equivalent)：电力固定为  0.1229 kgce/kWh （理论热值折算）；</w:t>
      </w:r>
    </w:p>
    <w:p w14:paraId="08F2CE31">
      <w:pPr>
        <w:pStyle w:val="19"/>
        <w:bidi w:val="0"/>
      </w:pPr>
      <w:r>
        <w:t>• 等价热值折标 (Primary Energy Equiv)：根据年度供电煤耗动态配置（如国家统计局公布的火电供电平均煤耗约  0.2850 kgce/kWh ），支持双模式切换展示与报表生成。</w:t>
      </w:r>
    </w:p>
    <w:p w14:paraId="7B8E355A">
      <w:pPr>
        <w:pStyle w:val="19"/>
        <w:bidi w:val="0"/>
      </w:pPr>
      <w:r>
        <w:t>• 耗能工质综合转换矩阵：</w:t>
      </w:r>
    </w:p>
    <w:p w14:paraId="49A470EB">
      <w:pPr>
        <w:pStyle w:val="19"/>
        <w:bidi w:val="0"/>
      </w:pPr>
      <w:r>
        <w:t>• 不仅涵盖一次能源与二次能源，全量集成耗能工质折标系数：工业新鲜水（0.0857 \text{ kgce/t}）、软化水（0.4857 \text{ kgce/t}）、压缩空气（0.0400 \text{ kgce/m}^3）、高纯液氮（0.6714 \text{ kgce/m}^3）。</w:t>
      </w:r>
    </w:p>
    <w:p w14:paraId="4D5616ED">
      <w:pPr>
        <w:pStyle w:val="19"/>
        <w:bidi w:val="0"/>
      </w:pPr>
      <w:r>
        <w:t>• 📌 【业务约束与工程规范契约】：</w:t>
      </w:r>
    </w:p>
    <w:p w14:paraId="3CD7FE7C">
      <w:pPr>
        <w:pStyle w:val="19"/>
        <w:bidi w:val="0"/>
      </w:pPr>
      <w:r>
        <w:t>• 国标常量强制只读防篡改：电力当量值 0.1229、天然气 1.2143 等法定标准常数被系统加锁锁定，除国家发布新修订标准外，任何用户（包括超级管理员）禁止随意在线修改系数；</w:t>
      </w:r>
    </w:p>
    <w:p w14:paraId="05E75610">
      <w:pPr>
        <w:pStyle w:val="19"/>
        <w:bidi w:val="0"/>
      </w:pPr>
      <w:r>
        <w:t>• 分母为零安全兜底：当基于折标煤计算单位产品单耗时，产量或产值为 0 必须安全输出  -- ，严禁抛出异常。</w:t>
      </w:r>
    </w:p>
    <w:p w14:paraId="69221586">
      <w:pPr>
        <w:pStyle w:val="6"/>
        <w:numPr>
          <w:ilvl w:val="0"/>
          <w:numId w:val="198"/>
        </w:numPr>
        <w:bidi w:val="0"/>
        <w:ind w:left="0" w:leftChars="0" w:firstLine="0" w:firstLineChars="0"/>
        <w:rPr>
          <w:b/>
          <w:bCs/>
          <w:sz w:val="28"/>
          <w:szCs w:val="28"/>
        </w:rPr>
      </w:pPr>
      <w:r>
        <w:rPr>
          <w:b/>
          <w:bCs/>
          <w:sz w:val="28"/>
          <w:szCs w:val="28"/>
        </w:rPr>
        <w:t>页面字段字典与数据契约</w:t>
      </w:r>
    </w:p>
    <w:tbl>
      <w:tblPr>
        <w:tblStyle w:val="38"/>
        <w:tblW w:w="9530" w:type="dxa"/>
        <w:jc w:val="center"/>
        <w:tblLayout w:type="autofit"/>
        <w:tblCellMar>
          <w:top w:w="0" w:type="dxa"/>
          <w:left w:w="108" w:type="dxa"/>
          <w:bottom w:w="0" w:type="dxa"/>
          <w:right w:w="108" w:type="dxa"/>
        </w:tblCellMar>
      </w:tblPr>
      <w:tblGrid>
        <w:gridCol w:w="885"/>
        <w:gridCol w:w="1724"/>
        <w:gridCol w:w="1475"/>
        <w:gridCol w:w="1309"/>
        <w:gridCol w:w="4137"/>
      </w:tblGrid>
      <w:tr w14:paraId="36787D9D">
        <w:tblPrEx>
          <w:tblCellMar>
            <w:top w:w="0" w:type="dxa"/>
            <w:left w:w="108" w:type="dxa"/>
            <w:bottom w:w="0" w:type="dxa"/>
            <w:right w:w="108" w:type="dxa"/>
          </w:tblCellMar>
        </w:tblPrEx>
        <w:trPr>
          <w:jc w:val="center"/>
        </w:trPr>
        <w:tc>
          <w:tcPr>
            <w:tcW w:w="88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D9A3B0E">
            <w:pPr>
              <w:pStyle w:val="19"/>
              <w:bidi w:val="0"/>
              <w:spacing w:line="240" w:lineRule="auto"/>
              <w:ind w:left="0" w:leftChars="0" w:right="0" w:rightChars="0" w:firstLine="0" w:firstLineChars="0"/>
              <w:jc w:val="both"/>
            </w:pPr>
            <w: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B939CDD">
            <w:pPr>
              <w:pStyle w:val="19"/>
              <w:bidi w:val="0"/>
              <w:spacing w:line="240" w:lineRule="auto"/>
              <w:ind w:left="0" w:leftChars="0" w:right="0" w:rightChars="0" w:firstLine="0" w:firstLineChars="0"/>
              <w:jc w:val="both"/>
            </w:pPr>
            <w:r>
              <w:t>字段中文名称</w:t>
            </w:r>
          </w:p>
        </w:tc>
        <w:tc>
          <w:tcPr>
            <w:tcW w:w="147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0CBE7A1">
            <w:pPr>
              <w:pStyle w:val="19"/>
              <w:bidi w:val="0"/>
              <w:spacing w:line="240" w:lineRule="auto"/>
              <w:ind w:left="0" w:leftChars="0" w:right="0" w:rightChars="0" w:firstLine="0" w:firstLineChars="0"/>
              <w:jc w:val="both"/>
            </w:pPr>
            <w:r>
              <w:t>数据类型</w:t>
            </w:r>
          </w:p>
        </w:tc>
        <w:tc>
          <w:tcPr>
            <w:tcW w:w="130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9B3A9E7">
            <w:pPr>
              <w:pStyle w:val="19"/>
              <w:bidi w:val="0"/>
              <w:spacing w:line="240" w:lineRule="auto"/>
              <w:ind w:left="0" w:leftChars="0" w:right="0" w:rightChars="0" w:firstLine="0" w:firstLineChars="0"/>
              <w:jc w:val="both"/>
            </w:pPr>
            <w:r>
              <w:t>工程单位</w:t>
            </w:r>
          </w:p>
        </w:tc>
        <w:tc>
          <w:tcPr>
            <w:tcW w:w="413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F380B62">
            <w:pPr>
              <w:pStyle w:val="19"/>
              <w:bidi w:val="0"/>
              <w:spacing w:line="240" w:lineRule="auto"/>
              <w:ind w:left="0" w:leftChars="0" w:right="0" w:rightChars="0" w:firstLine="0" w:firstLineChars="0"/>
              <w:jc w:val="both"/>
            </w:pPr>
            <w:r>
              <w:t>校验与约束规则</w:t>
            </w:r>
          </w:p>
        </w:tc>
      </w:tr>
      <w:tr w14:paraId="04F5C126">
        <w:tblPrEx>
          <w:tblCellMar>
            <w:top w:w="0" w:type="dxa"/>
            <w:left w:w="108" w:type="dxa"/>
            <w:bottom w:w="0" w:type="dxa"/>
            <w:right w:w="108" w:type="dxa"/>
          </w:tblCellMar>
        </w:tblPrEx>
        <w:trPr>
          <w:jc w:val="center"/>
        </w:trPr>
        <w:tc>
          <w:tcPr>
            <w:tcW w:w="8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1F2E407">
            <w:pPr>
              <w:pStyle w:val="19"/>
              <w:bidi w:val="0"/>
              <w:spacing w:line="240" w:lineRule="auto"/>
              <w:ind w:left="0" w:leftChars="0" w:right="0" w:rightChars="0" w:firstLine="0" w:firstLineChars="0"/>
              <w:jc w:val="both"/>
            </w:pPr>
            <w: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0D89827">
            <w:pPr>
              <w:pStyle w:val="19"/>
              <w:bidi w:val="0"/>
              <w:spacing w:line="240" w:lineRule="auto"/>
              <w:ind w:left="0" w:leftChars="0" w:right="0" w:rightChars="0" w:firstLine="0" w:firstLineChars="0"/>
              <w:jc w:val="both"/>
            </w:pPr>
            <w:r>
              <w:t>折标系数唯一编码</w:t>
            </w:r>
          </w:p>
        </w:tc>
        <w:tc>
          <w:tcPr>
            <w:tcW w:w="147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E87190D">
            <w:pPr>
              <w:pStyle w:val="19"/>
              <w:bidi w:val="0"/>
              <w:spacing w:line="240" w:lineRule="auto"/>
              <w:ind w:left="0" w:leftChars="0" w:right="0" w:rightChars="0" w:firstLine="0" w:firstLineChars="0"/>
              <w:jc w:val="both"/>
            </w:pPr>
            <w:r>
              <w:t>String</w:t>
            </w:r>
          </w:p>
        </w:tc>
        <w:tc>
          <w:tcPr>
            <w:tcW w:w="130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38CF53F">
            <w:pPr>
              <w:pStyle w:val="19"/>
              <w:bidi w:val="0"/>
              <w:spacing w:line="240" w:lineRule="auto"/>
              <w:ind w:left="0" w:leftChars="0" w:right="0" w:rightChars="0" w:firstLine="0" w:firstLineChars="0"/>
              <w:jc w:val="both"/>
            </w:pPr>
            <w:r>
              <w:t>—</w:t>
            </w:r>
          </w:p>
        </w:tc>
        <w:tc>
          <w:tcPr>
            <w:tcW w:w="41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80356CF">
            <w:pPr>
              <w:pStyle w:val="19"/>
              <w:bidi w:val="0"/>
              <w:spacing w:line="240" w:lineRule="auto"/>
              <w:ind w:left="0" w:leftChars="0" w:right="0" w:rightChars="0" w:firstLine="0" w:firstLineChars="0"/>
              <w:jc w:val="both"/>
            </w:pPr>
            <w:r>
              <w:t xml:space="preserve">唯一，格式  CC&lt;3位流水&gt;&lt;2位校验码&gt; </w:t>
            </w:r>
          </w:p>
        </w:tc>
      </w:tr>
      <w:tr w14:paraId="5634FFA5">
        <w:tblPrEx>
          <w:tblCellMar>
            <w:top w:w="0" w:type="dxa"/>
            <w:left w:w="108" w:type="dxa"/>
            <w:bottom w:w="0" w:type="dxa"/>
            <w:right w:w="108" w:type="dxa"/>
          </w:tblCellMar>
        </w:tblPrEx>
        <w:trPr>
          <w:jc w:val="center"/>
        </w:trPr>
        <w:tc>
          <w:tcPr>
            <w:tcW w:w="8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C7490C4">
            <w:pPr>
              <w:pStyle w:val="19"/>
              <w:bidi w:val="0"/>
              <w:spacing w:line="240" w:lineRule="auto"/>
              <w:ind w:left="0" w:leftChars="0" w:right="0" w:rightChars="0" w:firstLine="0" w:firstLineChars="0"/>
              <w:jc w:val="both"/>
            </w:pPr>
            <w: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AAB5A50">
            <w:pPr>
              <w:pStyle w:val="19"/>
              <w:bidi w:val="0"/>
              <w:spacing w:line="240" w:lineRule="auto"/>
              <w:ind w:left="0" w:leftChars="0" w:right="0" w:rightChars="0" w:firstLine="0" w:firstLineChars="0"/>
              <w:jc w:val="both"/>
            </w:pPr>
            <w:r>
              <w:t>能源品种/工质名称</w:t>
            </w:r>
          </w:p>
        </w:tc>
        <w:tc>
          <w:tcPr>
            <w:tcW w:w="147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E7FBBF8">
            <w:pPr>
              <w:pStyle w:val="19"/>
              <w:bidi w:val="0"/>
              <w:spacing w:line="240" w:lineRule="auto"/>
              <w:ind w:left="0" w:leftChars="0" w:right="0" w:rightChars="0" w:firstLine="0" w:firstLineChars="0"/>
              <w:jc w:val="both"/>
            </w:pPr>
            <w:r>
              <w:t>String</w:t>
            </w:r>
          </w:p>
        </w:tc>
        <w:tc>
          <w:tcPr>
            <w:tcW w:w="130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591CB3B">
            <w:pPr>
              <w:pStyle w:val="19"/>
              <w:bidi w:val="0"/>
              <w:spacing w:line="240" w:lineRule="auto"/>
              <w:ind w:left="0" w:leftChars="0" w:right="0" w:rightChars="0" w:firstLine="0" w:firstLineChars="0"/>
              <w:jc w:val="both"/>
            </w:pPr>
            <w:r>
              <w:t>—</w:t>
            </w:r>
          </w:p>
        </w:tc>
        <w:tc>
          <w:tcPr>
            <w:tcW w:w="41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5772BEB">
            <w:pPr>
              <w:pStyle w:val="19"/>
              <w:bidi w:val="0"/>
              <w:spacing w:line="240" w:lineRule="auto"/>
              <w:ind w:left="0" w:leftChars="0" w:right="0" w:rightChars="0" w:firstLine="0" w:firstLineChars="0"/>
              <w:jc w:val="both"/>
            </w:pPr>
            <w:r>
              <w:t xml:space="preserve">如  电力 、 天然气 、 原煤 、 柴油 、 外购蒸汽 、 新鲜水 </w:t>
            </w:r>
          </w:p>
        </w:tc>
      </w:tr>
      <w:tr w14:paraId="1AB4C22F">
        <w:tblPrEx>
          <w:tblCellMar>
            <w:top w:w="0" w:type="dxa"/>
            <w:left w:w="108" w:type="dxa"/>
            <w:bottom w:w="0" w:type="dxa"/>
            <w:right w:w="108" w:type="dxa"/>
          </w:tblCellMar>
        </w:tblPrEx>
        <w:trPr>
          <w:jc w:val="center"/>
        </w:trPr>
        <w:tc>
          <w:tcPr>
            <w:tcW w:w="8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D45F4FF">
            <w:pPr>
              <w:pStyle w:val="19"/>
              <w:bidi w:val="0"/>
              <w:spacing w:line="240" w:lineRule="auto"/>
              <w:ind w:left="0" w:leftChars="0" w:right="0" w:rightChars="0" w:firstLine="0" w:firstLineChars="0"/>
              <w:jc w:val="both"/>
            </w:pPr>
            <w: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00EC4B8">
            <w:pPr>
              <w:pStyle w:val="19"/>
              <w:bidi w:val="0"/>
              <w:spacing w:line="240" w:lineRule="auto"/>
              <w:ind w:left="0" w:leftChars="0" w:right="0" w:rightChars="0" w:firstLine="0" w:firstLineChars="0"/>
              <w:jc w:val="both"/>
            </w:pPr>
            <w:r>
              <w:t>当量折标煤系数</w:t>
            </w:r>
          </w:p>
        </w:tc>
        <w:tc>
          <w:tcPr>
            <w:tcW w:w="147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8018FB6">
            <w:pPr>
              <w:pStyle w:val="19"/>
              <w:bidi w:val="0"/>
              <w:spacing w:line="240" w:lineRule="auto"/>
              <w:ind w:left="0" w:leftChars="0" w:right="0" w:rightChars="0" w:firstLine="0" w:firstLineChars="0"/>
              <w:jc w:val="both"/>
            </w:pPr>
            <w:r>
              <w:t>Decimal</w:t>
            </w:r>
          </w:p>
        </w:tc>
        <w:tc>
          <w:tcPr>
            <w:tcW w:w="130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43E7CCC">
            <w:pPr>
              <w:pStyle w:val="19"/>
              <w:bidi w:val="0"/>
              <w:spacing w:line="240" w:lineRule="auto"/>
              <w:ind w:left="0" w:leftChars="0" w:right="0" w:rightChars="0" w:firstLine="0" w:firstLineChars="0"/>
              <w:jc w:val="both"/>
            </w:pPr>
            <w:r>
              <w:t>kgce/实物单位</w:t>
            </w:r>
          </w:p>
        </w:tc>
        <w:tc>
          <w:tcPr>
            <w:tcW w:w="41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10BEC80">
            <w:pPr>
              <w:pStyle w:val="19"/>
              <w:bidi w:val="0"/>
              <w:spacing w:line="240" w:lineRule="auto"/>
              <w:ind w:left="0" w:leftChars="0" w:right="0" w:rightChars="0" w:firstLine="0" w:firstLineChars="0"/>
              <w:jc w:val="both"/>
            </w:pPr>
            <w:r>
              <w:t>严格依据 GB/T 2589-2020；电力为 0.1229，天然气为 1.2143</w:t>
            </w:r>
          </w:p>
        </w:tc>
      </w:tr>
      <w:tr w14:paraId="39991EF5">
        <w:tblPrEx>
          <w:tblCellMar>
            <w:top w:w="0" w:type="dxa"/>
            <w:left w:w="108" w:type="dxa"/>
            <w:bottom w:w="0" w:type="dxa"/>
            <w:right w:w="108" w:type="dxa"/>
          </w:tblCellMar>
        </w:tblPrEx>
        <w:trPr>
          <w:jc w:val="center"/>
        </w:trPr>
        <w:tc>
          <w:tcPr>
            <w:tcW w:w="8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7470B3B">
            <w:pPr>
              <w:pStyle w:val="19"/>
              <w:bidi w:val="0"/>
              <w:spacing w:line="240" w:lineRule="auto"/>
              <w:ind w:left="0" w:leftChars="0" w:right="0" w:rightChars="0" w:firstLine="0" w:firstLineChars="0"/>
              <w:jc w:val="both"/>
            </w:pPr>
            <w: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6830617">
            <w:pPr>
              <w:pStyle w:val="19"/>
              <w:bidi w:val="0"/>
              <w:spacing w:line="240" w:lineRule="auto"/>
              <w:ind w:left="0" w:leftChars="0" w:right="0" w:rightChars="0" w:firstLine="0" w:firstLineChars="0"/>
              <w:jc w:val="both"/>
            </w:pPr>
            <w:r>
              <w:t>等价折标煤系数</w:t>
            </w:r>
          </w:p>
        </w:tc>
        <w:tc>
          <w:tcPr>
            <w:tcW w:w="147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939A5A3">
            <w:pPr>
              <w:pStyle w:val="19"/>
              <w:bidi w:val="0"/>
              <w:spacing w:line="240" w:lineRule="auto"/>
              <w:ind w:left="0" w:leftChars="0" w:right="0" w:rightChars="0" w:firstLine="0" w:firstLineChars="0"/>
              <w:jc w:val="both"/>
            </w:pPr>
            <w:r>
              <w:t>Decimal</w:t>
            </w:r>
          </w:p>
        </w:tc>
        <w:tc>
          <w:tcPr>
            <w:tcW w:w="130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AA1A3BA">
            <w:pPr>
              <w:pStyle w:val="19"/>
              <w:bidi w:val="0"/>
              <w:spacing w:line="240" w:lineRule="auto"/>
              <w:ind w:left="0" w:leftChars="0" w:right="0" w:rightChars="0" w:firstLine="0" w:firstLineChars="0"/>
              <w:jc w:val="both"/>
            </w:pPr>
            <w:r>
              <w:t>kgce/实物单位</w:t>
            </w:r>
          </w:p>
        </w:tc>
        <w:tc>
          <w:tcPr>
            <w:tcW w:w="41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E063D3F">
            <w:pPr>
              <w:pStyle w:val="19"/>
              <w:bidi w:val="0"/>
              <w:spacing w:line="240" w:lineRule="auto"/>
              <w:ind w:left="0" w:leftChars="0" w:right="0" w:rightChars="0" w:firstLine="0" w:firstLineChars="0"/>
              <w:jc w:val="both"/>
            </w:pPr>
            <w:r>
              <w:t>供电煤耗等价值，按年度发布</w:t>
            </w:r>
          </w:p>
        </w:tc>
      </w:tr>
      <w:tr w14:paraId="6B11A0DC">
        <w:tblPrEx>
          <w:tblCellMar>
            <w:top w:w="0" w:type="dxa"/>
            <w:left w:w="108" w:type="dxa"/>
            <w:bottom w:w="0" w:type="dxa"/>
            <w:right w:w="108" w:type="dxa"/>
          </w:tblCellMar>
        </w:tblPrEx>
        <w:trPr>
          <w:jc w:val="center"/>
        </w:trPr>
        <w:tc>
          <w:tcPr>
            <w:tcW w:w="8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3DF03E4">
            <w:pPr>
              <w:pStyle w:val="19"/>
              <w:bidi w:val="0"/>
              <w:spacing w:line="240" w:lineRule="auto"/>
              <w:ind w:left="0" w:leftChars="0" w:right="0" w:rightChars="0" w:firstLine="0" w:firstLineChars="0"/>
              <w:jc w:val="both"/>
            </w:pPr>
            <w: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D978801">
            <w:pPr>
              <w:pStyle w:val="19"/>
              <w:bidi w:val="0"/>
              <w:spacing w:line="240" w:lineRule="auto"/>
              <w:ind w:left="0" w:leftChars="0" w:right="0" w:rightChars="0" w:firstLine="0" w:firstLineChars="0"/>
              <w:jc w:val="both"/>
            </w:pPr>
            <w:r>
              <w:t>基准低位发热量</w:t>
            </w:r>
          </w:p>
        </w:tc>
        <w:tc>
          <w:tcPr>
            <w:tcW w:w="147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B054D94">
            <w:pPr>
              <w:pStyle w:val="19"/>
              <w:bidi w:val="0"/>
              <w:spacing w:line="240" w:lineRule="auto"/>
              <w:ind w:left="0" w:leftChars="0" w:right="0" w:rightChars="0" w:firstLine="0" w:firstLineChars="0"/>
              <w:jc w:val="both"/>
            </w:pPr>
            <w:r>
              <w:t>Decimal</w:t>
            </w:r>
          </w:p>
        </w:tc>
        <w:tc>
          <w:tcPr>
            <w:tcW w:w="130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C142B2D">
            <w:pPr>
              <w:pStyle w:val="19"/>
              <w:bidi w:val="0"/>
              <w:spacing w:line="240" w:lineRule="auto"/>
              <w:ind w:left="0" w:leftChars="0" w:right="0" w:rightChars="0" w:firstLine="0" w:firstLineChars="0"/>
              <w:jc w:val="both"/>
            </w:pPr>
            <w:r>
              <w:t>MJ/实物单位</w:t>
            </w:r>
          </w:p>
        </w:tc>
        <w:tc>
          <w:tcPr>
            <w:tcW w:w="41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FE788F3">
            <w:pPr>
              <w:pStyle w:val="19"/>
              <w:bidi w:val="0"/>
              <w:spacing w:line="240" w:lineRule="auto"/>
              <w:ind w:left="0" w:leftChars="0" w:right="0" w:rightChars="0" w:firstLine="0" w:firstLineChars="0"/>
              <w:jc w:val="both"/>
            </w:pPr>
            <w:r>
              <w:t>天然气标况 35.588，标准煤理论 29.3076</w:t>
            </w:r>
          </w:p>
        </w:tc>
      </w:tr>
      <w:tr w14:paraId="47B100A8">
        <w:tblPrEx>
          <w:tblCellMar>
            <w:top w:w="0" w:type="dxa"/>
            <w:left w:w="108" w:type="dxa"/>
            <w:bottom w:w="0" w:type="dxa"/>
            <w:right w:w="108" w:type="dxa"/>
          </w:tblCellMar>
        </w:tblPrEx>
        <w:trPr>
          <w:jc w:val="center"/>
        </w:trPr>
        <w:tc>
          <w:tcPr>
            <w:tcW w:w="8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4282BC9">
            <w:pPr>
              <w:pStyle w:val="19"/>
              <w:bidi w:val="0"/>
              <w:spacing w:line="240" w:lineRule="auto"/>
              <w:ind w:left="0" w:leftChars="0" w:right="0" w:rightChars="0" w:firstLine="0" w:firstLineChars="0"/>
              <w:jc w:val="both"/>
            </w:pPr>
            <w: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B125A63">
            <w:pPr>
              <w:pStyle w:val="19"/>
              <w:bidi w:val="0"/>
              <w:spacing w:line="240" w:lineRule="auto"/>
              <w:ind w:left="0" w:leftChars="0" w:right="0" w:rightChars="0" w:firstLine="0" w:firstLineChars="0"/>
              <w:jc w:val="both"/>
            </w:pPr>
            <w:r>
              <w:t>引用国标标准代号</w:t>
            </w:r>
          </w:p>
        </w:tc>
        <w:tc>
          <w:tcPr>
            <w:tcW w:w="147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2CE997A">
            <w:pPr>
              <w:pStyle w:val="19"/>
              <w:bidi w:val="0"/>
              <w:spacing w:line="240" w:lineRule="auto"/>
              <w:ind w:left="0" w:leftChars="0" w:right="0" w:rightChars="0" w:firstLine="0" w:firstLineChars="0"/>
              <w:jc w:val="both"/>
            </w:pPr>
            <w:r>
              <w:t>String</w:t>
            </w:r>
          </w:p>
        </w:tc>
        <w:tc>
          <w:tcPr>
            <w:tcW w:w="130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B643594">
            <w:pPr>
              <w:pStyle w:val="19"/>
              <w:bidi w:val="0"/>
              <w:spacing w:line="240" w:lineRule="auto"/>
              <w:ind w:left="0" w:leftChars="0" w:right="0" w:rightChars="0" w:firstLine="0" w:firstLineChars="0"/>
              <w:jc w:val="both"/>
            </w:pPr>
            <w:r>
              <w:t>—</w:t>
            </w:r>
          </w:p>
        </w:tc>
        <w:tc>
          <w:tcPr>
            <w:tcW w:w="41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1FC1D19">
            <w:pPr>
              <w:pStyle w:val="19"/>
              <w:bidi w:val="0"/>
              <w:spacing w:line="240" w:lineRule="auto"/>
              <w:ind w:left="0" w:leftChars="0" w:right="0" w:rightChars="0" w:firstLine="0" w:firstLineChars="0"/>
              <w:jc w:val="both"/>
            </w:pPr>
            <w:r>
              <w:t xml:space="preserve">固定为  GB/T 2589-2020 </w:t>
            </w:r>
          </w:p>
        </w:tc>
      </w:tr>
      <w:tr w14:paraId="2913112F">
        <w:tblPrEx>
          <w:tblCellMar>
            <w:top w:w="0" w:type="dxa"/>
            <w:left w:w="108" w:type="dxa"/>
            <w:bottom w:w="0" w:type="dxa"/>
            <w:right w:w="108" w:type="dxa"/>
          </w:tblCellMar>
        </w:tblPrEx>
        <w:trPr>
          <w:jc w:val="center"/>
        </w:trPr>
        <w:tc>
          <w:tcPr>
            <w:tcW w:w="8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BFE466B">
            <w:pPr>
              <w:pStyle w:val="19"/>
              <w:bidi w:val="0"/>
              <w:spacing w:line="240" w:lineRule="auto"/>
              <w:ind w:left="0" w:leftChars="0" w:right="0" w:rightChars="0" w:firstLine="0" w:firstLineChars="0"/>
              <w:jc w:val="both"/>
            </w:pPr>
            <w: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2E0722E">
            <w:pPr>
              <w:pStyle w:val="19"/>
              <w:bidi w:val="0"/>
              <w:spacing w:line="240" w:lineRule="auto"/>
              <w:ind w:left="0" w:leftChars="0" w:right="0" w:rightChars="0" w:firstLine="0" w:firstLineChars="0"/>
              <w:jc w:val="both"/>
            </w:pPr>
            <w:r>
              <w:t>是否为法定耗能工质</w:t>
            </w:r>
          </w:p>
        </w:tc>
        <w:tc>
          <w:tcPr>
            <w:tcW w:w="147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9FB7B9F">
            <w:pPr>
              <w:pStyle w:val="19"/>
              <w:bidi w:val="0"/>
              <w:spacing w:line="240" w:lineRule="auto"/>
              <w:ind w:left="0" w:leftChars="0" w:right="0" w:rightChars="0" w:firstLine="0" w:firstLineChars="0"/>
              <w:jc w:val="both"/>
            </w:pPr>
            <w:r>
              <w:t>Boolean</w:t>
            </w:r>
          </w:p>
        </w:tc>
        <w:tc>
          <w:tcPr>
            <w:tcW w:w="130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F23EE97">
            <w:pPr>
              <w:pStyle w:val="19"/>
              <w:bidi w:val="0"/>
              <w:spacing w:line="240" w:lineRule="auto"/>
              <w:ind w:left="0" w:leftChars="0" w:right="0" w:rightChars="0" w:firstLine="0" w:firstLineChars="0"/>
              <w:jc w:val="both"/>
            </w:pPr>
            <w:r>
              <w:t>—</w:t>
            </w:r>
          </w:p>
        </w:tc>
        <w:tc>
          <w:tcPr>
            <w:tcW w:w="41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381F38F">
            <w:pPr>
              <w:pStyle w:val="19"/>
              <w:bidi w:val="0"/>
              <w:spacing w:line="240" w:lineRule="auto"/>
              <w:ind w:left="0" w:leftChars="0" w:right="0" w:rightChars="0" w:firstLine="0" w:firstLineChars="0"/>
              <w:jc w:val="both"/>
            </w:pPr>
            <w:r>
              <w:t>true  为新鲜水/软水/氮气/压缩空气， false  为常规能源</w:t>
            </w:r>
          </w:p>
        </w:tc>
      </w:tr>
      <w:tr w14:paraId="63F7EDD0">
        <w:tblPrEx>
          <w:tblCellMar>
            <w:top w:w="0" w:type="dxa"/>
            <w:left w:w="108" w:type="dxa"/>
            <w:bottom w:w="0" w:type="dxa"/>
            <w:right w:w="108" w:type="dxa"/>
          </w:tblCellMar>
        </w:tblPrEx>
        <w:trPr>
          <w:jc w:val="center"/>
        </w:trPr>
        <w:tc>
          <w:tcPr>
            <w:tcW w:w="8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DB83FE4">
            <w:pPr>
              <w:pStyle w:val="19"/>
              <w:bidi w:val="0"/>
              <w:spacing w:line="240" w:lineRule="auto"/>
              <w:ind w:left="0" w:leftChars="0" w:right="0" w:rightChars="0" w:firstLine="0" w:firstLineChars="0"/>
              <w:jc w:val="both"/>
            </w:pPr>
            <w:r>
              <w:t>8</w:t>
            </w:r>
          </w:p>
        </w:tc>
        <w:tc>
          <w:tcPr>
            <w:tcW w:w="172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2FAF0F8">
            <w:pPr>
              <w:pStyle w:val="19"/>
              <w:bidi w:val="0"/>
              <w:spacing w:line="240" w:lineRule="auto"/>
              <w:ind w:left="0" w:leftChars="0" w:right="0" w:rightChars="0" w:firstLine="0" w:firstLineChars="0"/>
              <w:jc w:val="both"/>
            </w:pPr>
            <w:r>
              <w:t>当前启用状态</w:t>
            </w:r>
          </w:p>
        </w:tc>
        <w:tc>
          <w:tcPr>
            <w:tcW w:w="147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79DC0EF">
            <w:pPr>
              <w:pStyle w:val="19"/>
              <w:bidi w:val="0"/>
              <w:spacing w:line="240" w:lineRule="auto"/>
              <w:ind w:left="0" w:leftChars="0" w:right="0" w:rightChars="0" w:firstLine="0" w:firstLineChars="0"/>
              <w:jc w:val="both"/>
            </w:pPr>
            <w:r>
              <w:t>Enum</w:t>
            </w:r>
          </w:p>
        </w:tc>
        <w:tc>
          <w:tcPr>
            <w:tcW w:w="130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42B359D">
            <w:pPr>
              <w:pStyle w:val="19"/>
              <w:bidi w:val="0"/>
              <w:spacing w:line="240" w:lineRule="auto"/>
              <w:ind w:left="0" w:leftChars="0" w:right="0" w:rightChars="0" w:firstLine="0" w:firstLineChars="0"/>
              <w:jc w:val="both"/>
            </w:pPr>
            <w:r>
              <w:t>—</w:t>
            </w:r>
          </w:p>
        </w:tc>
        <w:tc>
          <w:tcPr>
            <w:tcW w:w="41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371E643">
            <w:pPr>
              <w:pStyle w:val="19"/>
              <w:bidi w:val="0"/>
              <w:spacing w:line="240" w:lineRule="auto"/>
              <w:ind w:left="0" w:leftChars="0" w:right="0" w:rightChars="0" w:firstLine="0" w:firstLineChars="0"/>
              <w:jc w:val="both"/>
            </w:pPr>
            <w:r>
              <w:t xml:space="preserve">枚举： 启用  /  停用 </w:t>
            </w:r>
          </w:p>
        </w:tc>
      </w:tr>
    </w:tbl>
    <w:p w14:paraId="0A3F81C2">
      <w:pPr>
        <w:pStyle w:val="19"/>
        <w:bidi w:val="0"/>
      </w:pPr>
    </w:p>
    <w:p w14:paraId="030F52F9">
      <w:pPr>
        <w:pStyle w:val="6"/>
        <w:numPr>
          <w:ilvl w:val="0"/>
          <w:numId w:val="198"/>
        </w:numPr>
        <w:bidi w:val="0"/>
        <w:ind w:left="0" w:leftChars="0" w:firstLine="0" w:firstLineChars="0"/>
        <w:rPr>
          <w:b/>
          <w:bCs/>
          <w:sz w:val="28"/>
          <w:szCs w:val="28"/>
        </w:rPr>
      </w:pPr>
      <w:r>
        <w:rPr>
          <w:b/>
          <w:bCs/>
          <w:sz w:val="28"/>
          <w:szCs w:val="28"/>
        </w:rPr>
        <w:t>核心数学模型与算法框架</w:t>
      </w:r>
    </w:p>
    <w:tbl>
      <w:tblPr>
        <w:tblStyle w:val="38"/>
        <w:tblW w:w="0" w:type="auto"/>
        <w:jc w:val="center"/>
        <w:tblLayout w:type="fixed"/>
        <w:tblCellMar>
          <w:top w:w="0" w:type="dxa"/>
          <w:left w:w="108" w:type="dxa"/>
          <w:bottom w:w="0" w:type="dxa"/>
          <w:right w:w="108" w:type="dxa"/>
        </w:tblCellMar>
      </w:tblPr>
      <w:tblGrid>
        <w:gridCol w:w="9648"/>
      </w:tblGrid>
      <w:tr w14:paraId="7A1CD730">
        <w:tblPrEx>
          <w:tblCellMar>
            <w:top w:w="0" w:type="dxa"/>
            <w:left w:w="108" w:type="dxa"/>
            <w:bottom w:w="0" w:type="dxa"/>
            <w:right w:w="108" w:type="dxa"/>
          </w:tblCellMar>
        </w:tblPrEx>
        <w:trPr>
          <w:jc w:val="center"/>
        </w:trPr>
        <w:tc>
          <w:tcPr>
            <w:tcW w:w="9648" w:type="dxa"/>
            <w:tcBorders>
              <w:top w:val="nil"/>
              <w:left w:val="single" w:color="16A34A" w:sz="24" w:space="0"/>
              <w:bottom w:val="nil"/>
              <w:right w:val="nil"/>
            </w:tcBorders>
            <w:shd w:val="clear" w:color="auto" w:fill="F0FDF4"/>
            <w:tcMar>
              <w:top w:w="70" w:type="dxa"/>
              <w:left w:w="100" w:type="dxa"/>
              <w:bottom w:w="70" w:type="dxa"/>
              <w:right w:w="100" w:type="dxa"/>
            </w:tcMar>
          </w:tcPr>
          <w:p w14:paraId="046D59BD">
            <w:pPr>
              <w:pStyle w:val="19"/>
              <w:bidi w:val="0"/>
            </w:pPr>
            <w:r>
              <w:t>E_{\text{tce}} = \sum_{i=1}^{n} \frac{E_i \times k_i}{1000} \quad (\text{全厂综合能耗折标煤总量，单位: tce})</w:t>
            </w:r>
          </w:p>
          <w:p w14:paraId="3754A276">
            <w:pPr>
              <w:pStyle w:val="19"/>
              <w:bidi w:val="0"/>
            </w:pPr>
            <w:r>
              <w:t>k_i = \frac{\text{NCV}_i}{29307.6 \text{ kJ/kgce}} \quad (\text{理论低位发热量换算折标系数公式})</w:t>
            </w:r>
          </w:p>
          <w:p w14:paraId="26EEA572">
            <w:pPr>
              <w:pStyle w:val="19"/>
              <w:bidi w:val="0"/>
            </w:pPr>
            <w:r>
              <w:t>e_{\text{output\_val}} = \begin{cases} \frac{E_{\text{tce}}}{G_{\text{output}} / 10000}, &amp; G_{\text{output}} &gt; 0 \\ \text{兜底: "--"}, &amp; G_{\text{output}} = 0 \end{cases} \quad (\text{万元产值综合能耗，单位: tce/万元})</w:t>
            </w:r>
          </w:p>
        </w:tc>
      </w:tr>
    </w:tbl>
    <w:p w14:paraId="1622FAD1">
      <w:pPr>
        <w:pStyle w:val="19"/>
        <w:bidi w:val="0"/>
      </w:pPr>
    </w:p>
    <w:p w14:paraId="5209D369">
      <w:pPr>
        <w:pStyle w:val="19"/>
        <w:bidi w:val="0"/>
      </w:pPr>
      <w:r>
        <w:t>• 变量定义与取值约定：</w:t>
      </w:r>
    </w:p>
    <w:p w14:paraId="070F857C">
      <w:pPr>
        <w:pStyle w:val="19"/>
        <w:bidi w:val="0"/>
      </w:pPr>
      <w:r>
        <w:t>• E_i：第 i 种能源实物消费量（如 kWh, m³, kg, t）；</w:t>
      </w:r>
    </w:p>
    <w:p w14:paraId="3934D91C">
      <w:pPr>
        <w:pStyle w:val="19"/>
        <w:bidi w:val="0"/>
      </w:pPr>
      <w:r>
        <w:t>• k_i：第 i 种能源对应的国家标准折标煤系数（\text{kgce/实物单位}）；</w:t>
      </w:r>
    </w:p>
    <w:p w14:paraId="364B2F61">
      <w:pPr>
        <w:pStyle w:val="19"/>
        <w:bidi w:val="0"/>
      </w:pPr>
      <w:r>
        <w:t>• 1000：千克标准煤与吨标准煤进位制（1 \text{ tce} = 1000 \text{ kgce}）；</w:t>
      </w:r>
    </w:p>
    <w:p w14:paraId="64005DF4">
      <w:pPr>
        <w:pStyle w:val="19"/>
        <w:bidi w:val="0"/>
      </w:pPr>
      <w:r>
        <w:t>• G_{\text{output}}：工业产值（元），分母为 0 时安全兜底显示  -- 。</w:t>
      </w:r>
    </w:p>
    <w:p w14:paraId="12AAB55C">
      <w:pPr>
        <w:pStyle w:val="6"/>
        <w:numPr>
          <w:ilvl w:val="0"/>
          <w:numId w:val="198"/>
        </w:numPr>
        <w:bidi w:val="0"/>
        <w:ind w:left="0" w:leftChars="0" w:firstLine="0" w:firstLineChars="0"/>
        <w:rPr>
          <w:b/>
          <w:bCs/>
          <w:sz w:val="28"/>
          <w:szCs w:val="28"/>
        </w:rPr>
      </w:pPr>
      <w:r>
        <w:rPr>
          <w:b/>
          <w:bCs/>
          <w:sz w:val="28"/>
          <w:szCs w:val="28"/>
        </w:rPr>
        <w:t>展示、对标与判定口径</w:t>
      </w:r>
    </w:p>
    <w:p w14:paraId="0F7753F1">
      <w:pPr>
        <w:pStyle w:val="19"/>
        <w:bidi w:val="0"/>
      </w:pPr>
      <w:r>
        <w:t>• 统一当量展示：系统全景图表默认均采用“当量热值”折标计算，报表导出提供“当量/等价”双列切换；</w:t>
      </w:r>
    </w:p>
    <w:p w14:paraId="0AFF9E8B">
      <w:pPr>
        <w:pStyle w:val="19"/>
        <w:bidi w:val="0"/>
      </w:pPr>
      <w:r>
        <w:t>• 精度口径：tce 保留 4 位小数，kgce 保留 2 位小数；</w:t>
      </w:r>
    </w:p>
    <w:p w14:paraId="61D4CEFB">
      <w:pPr>
        <w:pStyle w:val="19"/>
        <w:bidi w:val="0"/>
      </w:pPr>
      <w:r>
        <w:t>• 空值口径：若工厂当期某能源消费为 0，折标煤量如实显示  0.0000 tce ；若仪表断网未上报，统一显示  -- ，严禁将断网视为 0 能耗。</w:t>
      </w:r>
    </w:p>
    <w:p w14:paraId="2BD03D27">
      <w:pPr>
        <w:pStyle w:val="6"/>
        <w:numPr>
          <w:ilvl w:val="0"/>
          <w:numId w:val="198"/>
        </w:numPr>
        <w:bidi w:val="0"/>
        <w:ind w:left="0" w:leftChars="0" w:firstLine="0" w:firstLineChars="0"/>
        <w:rPr>
          <w:b/>
          <w:bCs/>
          <w:sz w:val="28"/>
          <w:szCs w:val="28"/>
        </w:rPr>
      </w:pPr>
      <w:r>
        <w:rPr>
          <w:b/>
          <w:bCs/>
          <w:sz w:val="28"/>
          <w:szCs w:val="28"/>
        </w:rPr>
        <w:t>边界条件、异常处理与防错规则</w:t>
      </w:r>
    </w:p>
    <w:p w14:paraId="06707CF1">
      <w:pPr>
        <w:pStyle w:val="175"/>
        <w:bidi w:val="0"/>
      </w:pPr>
      <w:r>
        <w:t>• 单耗计算除零软拦截：产值或产品产量为0时，折标单耗</w:t>
      </w:r>
      <w:r>
        <w:rPr>
          <w:rFonts w:hint="eastAsia"/>
          <w:lang w:eastAsia="zh-CN"/>
        </w:rPr>
        <w:t>不得</w:t>
      </w:r>
      <w:r>
        <w:t>除零崩溃，</w:t>
      </w:r>
      <w:r>
        <w:rPr>
          <w:rFonts w:hint="eastAsia"/>
          <w:lang w:eastAsia="zh-CN"/>
        </w:rPr>
        <w:t>返回--，</w:t>
      </w:r>
      <w:r>
        <w:t>抛出软告警E_CALC_UNIT_DIV_ZERO_SOFT；</w:t>
      </w:r>
    </w:p>
    <w:p w14:paraId="5DBFC0B7">
      <w:pPr>
        <w:pStyle w:val="175"/>
        <w:bidi w:val="0"/>
      </w:pPr>
      <w:r>
        <w:t>• 国标核心字段修改阻断：任何角色在线编辑电力（0.1229）、天然气（1.2143）系数时，系统弹出阻断并提示“GB/T 2589-2020 强制国标受控字段不可在线直接编辑”，触发  E_SYS_GB_STD_IMMUTABLE ；</w:t>
      </w:r>
    </w:p>
    <w:p w14:paraId="675E234D">
      <w:pPr>
        <w:pStyle w:val="175"/>
        <w:bidi w:val="0"/>
      </w:pPr>
      <w:r>
        <w:t>• 实物物理量负数校验：能耗实物量输入 &lt; 0 时拦截保存，触发  E_VAL_ENERGY_USAGE_NEGATIVE 。</w:t>
      </w:r>
    </w:p>
    <w:p w14:paraId="3E597588">
      <w:pPr>
        <w:pStyle w:val="6"/>
        <w:numPr>
          <w:ilvl w:val="0"/>
          <w:numId w:val="198"/>
        </w:numPr>
        <w:bidi w:val="0"/>
        <w:ind w:left="0" w:leftChars="0" w:firstLine="0" w:firstLineChars="0"/>
        <w:rPr>
          <w:b/>
          <w:bCs/>
          <w:sz w:val="28"/>
          <w:szCs w:val="28"/>
        </w:rPr>
      </w:pPr>
      <w:r>
        <w:rPr>
          <w:b/>
          <w:bCs/>
          <w:sz w:val="28"/>
          <w:szCs w:val="28"/>
        </w:rPr>
        <w:t>QA 自动化验收准则（Gherkin BDD）</w:t>
      </w:r>
    </w:p>
    <w:tbl>
      <w:tblPr>
        <w:tblStyle w:val="38"/>
        <w:tblW w:w="0" w:type="auto"/>
        <w:jc w:val="center"/>
        <w:tblLayout w:type="fixed"/>
        <w:tblCellMar>
          <w:top w:w="0" w:type="dxa"/>
          <w:left w:w="108" w:type="dxa"/>
          <w:bottom w:w="0" w:type="dxa"/>
          <w:right w:w="108" w:type="dxa"/>
        </w:tblCellMar>
      </w:tblPr>
      <w:tblGrid>
        <w:gridCol w:w="9648"/>
      </w:tblGrid>
      <w:tr w14:paraId="31299910">
        <w:tblPrEx>
          <w:tblCellMar>
            <w:top w:w="0" w:type="dxa"/>
            <w:left w:w="108" w:type="dxa"/>
            <w:bottom w:w="0" w:type="dxa"/>
            <w:right w:w="108" w:type="dxa"/>
          </w:tblCellMar>
        </w:tblPrEx>
        <w:trPr>
          <w:jc w:val="center"/>
        </w:trPr>
        <w:tc>
          <w:tcPr>
            <w:tcW w:w="9648" w:type="dxa"/>
            <w:tcBorders>
              <w:top w:val="nil"/>
              <w:left w:val="single" w:color="7C3AED" w:sz="24" w:space="0"/>
              <w:bottom w:val="nil"/>
              <w:right w:val="nil"/>
            </w:tcBorders>
            <w:shd w:val="clear" w:color="auto" w:fill="F5F3FF"/>
            <w:tcMar>
              <w:top w:w="70" w:type="dxa"/>
              <w:left w:w="100" w:type="dxa"/>
              <w:bottom w:w="70" w:type="dxa"/>
              <w:right w:w="100" w:type="dxa"/>
            </w:tcMar>
          </w:tcPr>
          <w:p w14:paraId="23676B52">
            <w:pPr>
              <w:pStyle w:val="19"/>
              <w:bidi w:val="0"/>
            </w:pPr>
            <w:r>
              <w:t>Feature: GB/T 2589-2020 折标煤模型与除零防御</w:t>
            </w:r>
          </w:p>
          <w:p w14:paraId="510C7C42">
            <w:pPr>
              <w:pStyle w:val="19"/>
              <w:bidi w:val="0"/>
            </w:pPr>
            <w:r>
              <w:t xml:space="preserve">  Scenario: 全介质实物量转标煤计算精度验证</w:t>
            </w:r>
          </w:p>
          <w:p w14:paraId="12AB8B09">
            <w:pPr>
              <w:pStyle w:val="19"/>
              <w:bidi w:val="0"/>
            </w:pPr>
            <w:r>
              <w:t xml:space="preserve">    Given 某车间月度消耗电力 10,000 kWh, 天然气 1,000 m³, 工业新鲜水 500 t</w:t>
            </w:r>
          </w:p>
          <w:p w14:paraId="723826EA">
            <w:pPr>
              <w:pStyle w:val="19"/>
              <w:bidi w:val="0"/>
            </w:pPr>
            <w:r>
              <w:t xml:space="preserve">    When 系统调用折标煤系数库执行综合能耗核算</w:t>
            </w:r>
          </w:p>
          <w:p w14:paraId="43E0353C">
            <w:pPr>
              <w:pStyle w:val="19"/>
              <w:bidi w:val="0"/>
            </w:pPr>
            <w:r>
              <w:t xml:space="preserve">    Then 电力折标煤量精确等于 1.2290 tce</w:t>
            </w:r>
          </w:p>
          <w:p w14:paraId="66D3FB14">
            <w:pPr>
              <w:pStyle w:val="19"/>
              <w:bidi w:val="0"/>
            </w:pPr>
            <w:r>
              <w:t xml:space="preserve">    And 天然气折标煤量精确等于 1.2143 tce</w:t>
            </w:r>
          </w:p>
          <w:p w14:paraId="1C2FA87D">
            <w:pPr>
              <w:pStyle w:val="19"/>
              <w:bidi w:val="0"/>
            </w:pPr>
            <w:r>
              <w:t xml:space="preserve">    And 新鲜水工质折算量精确等于 0.0429 tce</w:t>
            </w:r>
          </w:p>
          <w:p w14:paraId="78361076">
            <w:pPr>
              <w:pStyle w:val="19"/>
              <w:bidi w:val="0"/>
            </w:pPr>
            <w:r>
              <w:t xml:space="preserve">    And 车间总综合能耗精确等于 2.4862 tce (容差 &lt;= 0.0001)</w:t>
            </w:r>
          </w:p>
          <w:p w14:paraId="5D30DC06">
            <w:pPr>
              <w:pStyle w:val="19"/>
              <w:bidi w:val="0"/>
            </w:pPr>
          </w:p>
          <w:p w14:paraId="6B688765">
            <w:pPr>
              <w:pStyle w:val="19"/>
              <w:bidi w:val="0"/>
            </w:pPr>
            <w:r>
              <w:t xml:space="preserve">  Scenario: 万元产值能耗除零极限边界防御</w:t>
            </w:r>
          </w:p>
          <w:p w14:paraId="24AFB2F8">
            <w:pPr>
              <w:pStyle w:val="19"/>
              <w:bidi w:val="0"/>
            </w:pPr>
            <w:r>
              <w:t xml:space="preserve">    Given 某新建车间当月综合能耗为 5.5000 tce，但产值报工为 0 元</w:t>
            </w:r>
          </w:p>
          <w:p w14:paraId="7A7B359E">
            <w:pPr>
              <w:pStyle w:val="19"/>
              <w:bidi w:val="0"/>
            </w:pPr>
            <w:r>
              <w:t xml:space="preserve">    When 系统渲染该车间万元产值综合能耗指标</w:t>
            </w:r>
          </w:p>
          <w:p w14:paraId="42E0016F">
            <w:pPr>
              <w:pStyle w:val="19"/>
              <w:bidi w:val="0"/>
            </w:pPr>
            <w:r>
              <w:t xml:space="preserve">    Then 页面安全展示为 "--"</w:t>
            </w:r>
          </w:p>
          <w:p w14:paraId="09DC7F50">
            <w:pPr>
              <w:pStyle w:val="19"/>
              <w:bidi w:val="0"/>
            </w:pPr>
            <w:r>
              <w:t xml:space="preserve">    And 系统不出现 NaN、Infinity 或前端崩溃异常</w:t>
            </w:r>
          </w:p>
          <w:p w14:paraId="552645E4">
            <w:pPr>
              <w:pStyle w:val="19"/>
              <w:bidi w:val="0"/>
            </w:pPr>
            <w:r>
              <w:t xml:space="preserve">    And 后台记录软处理告警 E_CALC_UNIT_DIV_ZERO_SOFT</w:t>
            </w:r>
          </w:p>
        </w:tc>
      </w:tr>
    </w:tbl>
    <w:p w14:paraId="6D553808">
      <w:pPr>
        <w:pStyle w:val="19"/>
        <w:widowControl/>
        <w:numPr>
          <w:ilvl w:val="0"/>
          <w:numId w:val="0"/>
        </w:numPr>
        <w:rPr>
          <w:rFonts w:eastAsia="宋体"/>
          <w:b/>
          <w:i w:val="0"/>
          <w:color w:val="0284C7"/>
          <w:sz w:val="24"/>
          <w:szCs w:val="24"/>
        </w:rPr>
      </w:pPr>
    </w:p>
    <w:p w14:paraId="27248435">
      <w:pPr>
        <w:rPr>
          <w:rFonts w:hint="eastAsia" w:ascii="宋体" w:hAnsi="宋体" w:eastAsia="宋体" w:cs="宋体"/>
          <w:i w:val="0"/>
          <w:iCs w:val="0"/>
          <w:sz w:val="24"/>
          <w:szCs w:val="24"/>
        </w:rPr>
      </w:pPr>
      <w:r>
        <w:rPr>
          <w:rFonts w:hint="eastAsia" w:ascii="宋体" w:hAnsi="宋体" w:eastAsia="宋体" w:cs="宋体"/>
          <w:i w:val="0"/>
          <w:iCs w:val="0"/>
          <w:sz w:val="24"/>
          <w:szCs w:val="24"/>
        </w:rPr>
        <w:br w:type="page"/>
      </w:r>
    </w:p>
    <w:p w14:paraId="64B50CB0">
      <w:pPr>
        <w:pStyle w:val="3"/>
        <w:numPr>
          <w:ilvl w:val="0"/>
          <w:numId w:val="7"/>
        </w:numPr>
        <w:ind w:left="0" w:leftChars="0" w:firstLine="0" w:firstLineChars="0"/>
        <w:rPr>
          <w:rFonts w:eastAsia="黑体"/>
          <w:b w:val="0"/>
          <w:bCs w:val="0"/>
          <w:sz w:val="32"/>
          <w:szCs w:val="44"/>
        </w:rPr>
      </w:pPr>
      <w:bookmarkStart w:id="62" w:name="_Toc14842"/>
      <w:r>
        <w:rPr>
          <w:rFonts w:hint="eastAsia"/>
          <w:b w:val="0"/>
          <w:bCs w:val="0"/>
          <w:sz w:val="32"/>
          <w:szCs w:val="44"/>
          <w:lang w:val="en-US" w:eastAsia="zh-CN"/>
        </w:rPr>
        <w:t>系统管理、基础参数设置</w:t>
      </w:r>
      <w:bookmarkEnd w:id="62"/>
    </w:p>
    <w:p w14:paraId="782737AF">
      <w:pPr>
        <w:pStyle w:val="19"/>
        <w:bidi w:val="0"/>
        <w:rPr>
          <w:rFonts w:hint="eastAsia" w:eastAsia="宋体"/>
          <w:lang w:eastAsia="zh-CN"/>
        </w:rPr>
      </w:pPr>
      <w:r>
        <w:rPr>
          <w:rFonts w:hint="eastAsia"/>
          <w:lang w:val="en-US" w:eastAsia="zh-CN"/>
        </w:rPr>
        <w:t>系统管理模块是专门面向系统管理员使用的综合基础数据管理平台，它作为整个特变电工能碳数字化双中心平台的核心基础支撑模块，承担着整个平台底层基础数据管控与调度的核心功能，允许拥有最高管理权限的系统管理员，对整个平台内覆盖业务全流程的各类基础核心数据，包括参与平台使用的各类用户账号信息、不同岗位角色对应的功能访问权限配置、入驻平台开展业务的企业主体基础信息、日常生产运营环节产生的各类生产相关数据、生产现场稳定运行的各类设备基础信息等内容进行统一的维护与管理。完成配置调整后的各类基础参数，将在能碳集控中心和能碳集采中心两个核心业务模块中动态获取并更新数据，支撑业务模块的稳定运行。</w:t>
      </w:r>
    </w:p>
    <w:p w14:paraId="5AF00808">
      <w:pPr>
        <w:pStyle w:val="4"/>
        <w:numPr>
          <w:ilvl w:val="0"/>
          <w:numId w:val="199"/>
        </w:numPr>
        <w:topLinePunct w:val="0"/>
        <w:ind w:left="0" w:leftChars="0" w:firstLine="0" w:firstLineChars="0"/>
        <w:outlineLvl w:val="0"/>
        <w:rPr>
          <w:rFonts w:hint="default" w:ascii="Times New Roman" w:hAnsi="Times New Roman" w:eastAsia="黑体" w:cs="Times New Roman"/>
          <w:b w:val="0"/>
          <w:bCs w:val="0"/>
          <w:sz w:val="30"/>
          <w:szCs w:val="32"/>
          <w:lang w:val="en-US" w:eastAsia="zh-CN"/>
        </w:rPr>
      </w:pPr>
      <w:bookmarkStart w:id="63" w:name="_Toc31977"/>
      <w:r>
        <w:rPr>
          <w:rFonts w:hint="eastAsia" w:ascii="Times New Roman" w:hAnsi="Times New Roman" w:eastAsia="黑体" w:cs="Times New Roman"/>
          <w:b w:val="0"/>
          <w:bCs w:val="0"/>
          <w:sz w:val="30"/>
          <w:szCs w:val="32"/>
          <w:lang w:val="en-US" w:eastAsia="zh-CN"/>
        </w:rPr>
        <w:t>权限管控</w:t>
      </w:r>
      <w:bookmarkEnd w:id="63"/>
    </w:p>
    <w:p w14:paraId="5ADA5FB8">
      <w:pPr>
        <w:pStyle w:val="5"/>
        <w:numPr>
          <w:ilvl w:val="0"/>
          <w:numId w:val="200"/>
        </w:numPr>
        <w:ind w:left="0" w:leftChars="0" w:firstLine="0" w:firstLineChars="0"/>
        <w:outlineLvl w:val="1"/>
        <w:rPr>
          <w:rFonts w:hint="default" w:cs="Times New Roman"/>
          <w:b w:val="0"/>
          <w:bCs w:val="0"/>
          <w:sz w:val="30"/>
          <w:szCs w:val="24"/>
          <w:lang w:val="en-US" w:eastAsia="zh-CN"/>
        </w:rPr>
      </w:pPr>
      <w:bookmarkStart w:id="64" w:name="_Toc15939"/>
      <w:r>
        <w:rPr>
          <w:rFonts w:hint="eastAsia" w:cs="Times New Roman"/>
          <w:b w:val="0"/>
          <w:bCs w:val="0"/>
          <w:sz w:val="30"/>
          <w:szCs w:val="24"/>
          <w:lang w:val="en-US" w:eastAsia="zh-CN"/>
        </w:rPr>
        <w:t>组织管理</w:t>
      </w:r>
      <w:bookmarkEnd w:id="64"/>
    </w:p>
    <w:p w14:paraId="6EEBE3EF">
      <w:r>
        <w:drawing>
          <wp:inline distT="0" distB="0" distL="114300" distR="114300">
            <wp:extent cx="5900420" cy="2925445"/>
            <wp:effectExtent l="0" t="0" r="5080" b="8255"/>
            <wp:docPr id="82"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37"/>
                    <pic:cNvPicPr>
                      <a:picLocks noChangeAspect="1"/>
                    </pic:cNvPicPr>
                  </pic:nvPicPr>
                  <pic:blipFill>
                    <a:blip r:embed="rId95"/>
                    <a:stretch>
                      <a:fillRect/>
                    </a:stretch>
                  </pic:blipFill>
                  <pic:spPr>
                    <a:xfrm>
                      <a:off x="0" y="0"/>
                      <a:ext cx="5900420" cy="2925445"/>
                    </a:xfrm>
                    <a:prstGeom prst="rect">
                      <a:avLst/>
                    </a:prstGeom>
                    <a:noFill/>
                    <a:ln>
                      <a:noFill/>
                    </a:ln>
                  </pic:spPr>
                </pic:pic>
              </a:graphicData>
            </a:graphic>
          </wp:inline>
        </w:drawing>
      </w:r>
    </w:p>
    <w:p w14:paraId="4655D22B">
      <w:pPr>
        <w:pStyle w:val="6"/>
        <w:numPr>
          <w:ilvl w:val="0"/>
          <w:numId w:val="201"/>
        </w:numPr>
        <w:bidi w:val="0"/>
        <w:spacing w:after="120"/>
        <w:ind w:left="0" w:leftChars="0" w:firstLine="0" w:firstLineChars="0"/>
        <w:rPr>
          <w:b w:val="0"/>
          <w:bCs w:val="0"/>
          <w:sz w:val="28"/>
          <w:szCs w:val="28"/>
        </w:rPr>
      </w:pPr>
      <w:r>
        <w:rPr>
          <w:b w:val="0"/>
          <w:bCs w:val="0"/>
          <w:sz w:val="28"/>
          <w:szCs w:val="28"/>
        </w:rPr>
        <w:t>定位与架构角色</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6C8D07B">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72425CC0">
            <w:pPr>
              <w:spacing w:after="200"/>
              <w:rPr>
                <w:rFonts w:hint="eastAsia" w:ascii="宋体" w:hAnsi="宋体" w:eastAsia="宋体" w:cs="宋体"/>
                <w:i w:val="0"/>
                <w:iCs w:val="0"/>
                <w:sz w:val="24"/>
                <w:szCs w:val="24"/>
                <w:lang w:val="en-US" w:eastAsia="en-US" w:bidi="ar-SA"/>
              </w:rPr>
            </w:pPr>
            <w:r>
              <w:rPr>
                <w:rFonts w:hint="eastAsia" w:ascii="宋体" w:hAnsi="宋体" w:eastAsia="宋体" w:cs="宋体"/>
                <w:b/>
                <w:sz w:val="24"/>
                <w:szCs w:val="24"/>
                <w:lang w:val="en-US" w:eastAsia="en-US" w:bidi="ar-SA"/>
              </w:rPr>
              <w:t>• 功能定位：</w:t>
            </w:r>
            <w:r>
              <w:rPr>
                <w:rFonts w:hint="eastAsia" w:ascii="宋体" w:hAnsi="宋体" w:eastAsia="宋体" w:cs="宋体"/>
                <w:b w:val="0"/>
                <w:i w:val="0"/>
                <w:iCs w:val="0"/>
                <w:caps w:val="0"/>
                <w:color w:val="000000"/>
                <w:spacing w:val="0"/>
                <w:kern w:val="0"/>
                <w:sz w:val="24"/>
                <w:szCs w:val="24"/>
                <w:lang w:val="en-US" w:eastAsia="zh-CN" w:bidi="ar"/>
              </w:rPr>
              <w:t>作为系统管理模块的基础数据枢纽与权限管控源头，构建全集团六级组织架构（集团总部→产业集团→二级公司→工厂）层级映射关系，为全系统权限体系、人员归属、业务流转提供唯一、标准的组织架构数据基准，是所有业务模块启动配置的前置核心依赖。</w:t>
            </w:r>
          </w:p>
          <w:p w14:paraId="03C665B4">
            <w:pPr>
              <w:spacing w:after="200"/>
              <w:rPr>
                <w:rFonts w:hint="eastAsia" w:ascii="宋体" w:hAnsi="宋体" w:eastAsia="宋体" w:cs="宋体"/>
                <w:sz w:val="24"/>
                <w:szCs w:val="24"/>
                <w:lang w:val="en-US" w:eastAsia="en-US" w:bidi="ar-SA"/>
              </w:rPr>
            </w:pPr>
            <w:r>
              <w:rPr>
                <w:rFonts w:hint="eastAsia" w:ascii="宋体" w:hAnsi="宋体" w:eastAsia="宋体" w:cs="宋体"/>
                <w:b/>
                <w:sz w:val="24"/>
                <w:szCs w:val="24"/>
                <w:lang w:val="en-US" w:eastAsia="en-US" w:bidi="ar-SA"/>
              </w:rPr>
              <w:t>• 承载角色：</w:t>
            </w:r>
            <w:r>
              <w:rPr>
                <w:rFonts w:hint="eastAsia" w:ascii="宋体" w:hAnsi="宋体" w:eastAsia="宋体" w:cs="宋体"/>
                <w:b w:val="0"/>
                <w:i w:val="0"/>
                <w:iCs w:val="0"/>
                <w:caps w:val="0"/>
                <w:color w:val="000000"/>
                <w:spacing w:val="0"/>
                <w:kern w:val="0"/>
                <w:sz w:val="24"/>
                <w:szCs w:val="24"/>
                <w:lang w:val="en-US" w:eastAsia="zh-CN" w:bidi="ar"/>
              </w:rPr>
              <w:t>PM 系统管理员（全量组织数据统筹管理）。</w:t>
            </w:r>
          </w:p>
        </w:tc>
      </w:tr>
    </w:tbl>
    <w:p w14:paraId="7799B600"/>
    <w:p w14:paraId="6A9ED44F">
      <w:pPr>
        <w:pStyle w:val="6"/>
        <w:numPr>
          <w:ilvl w:val="0"/>
          <w:numId w:val="201"/>
        </w:numPr>
        <w:bidi w:val="0"/>
        <w:ind w:left="0" w:leftChars="0" w:firstLine="0" w:firstLineChars="0"/>
        <w:rPr>
          <w:b w:val="0"/>
          <w:bCs w:val="0"/>
          <w:sz w:val="28"/>
          <w:szCs w:val="28"/>
        </w:rPr>
      </w:pPr>
      <w:r>
        <w:rPr>
          <w:b w:val="0"/>
          <w:bCs w:val="0"/>
          <w:sz w:val="28"/>
          <w:szCs w:val="28"/>
        </w:rPr>
        <w:t>业务场景与用户故事</w:t>
      </w:r>
    </w:p>
    <w:tbl>
      <w:tblPr>
        <w:tblStyle w:val="38"/>
        <w:tblW w:w="0" w:type="auto"/>
        <w:jc w:val="center"/>
        <w:tblBorders>
          <w:top w:val="none" w:color="auto" w:sz="0" w:space="0"/>
          <w:left w:val="single" w:color="44546A" w:themeColor="text2"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22AF99D1">
        <w:tblPrEx>
          <w:tblBorders>
            <w:top w:val="none" w:color="auto" w:sz="0" w:space="0"/>
            <w:left w:val="single" w:color="44546A" w:themeColor="text2"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tcPr>
          <w:p w14:paraId="1FF265A3">
            <w:pPr>
              <w:pStyle w:val="19"/>
              <w:bidi w:val="0"/>
              <w:ind w:left="0" w:leftChars="0" w:firstLine="0" w:firstLineChars="0"/>
              <w:rPr>
                <w:rFonts w:ascii="宋体" w:hAnsi="宋体" w:eastAsia="宋体" w:cs="宋体"/>
                <w:sz w:val="24"/>
                <w:szCs w:val="24"/>
              </w:rPr>
            </w:pPr>
            <w:r>
              <w:rPr>
                <w:rFonts w:ascii="宋体" w:hAnsi="宋体" w:eastAsia="宋体" w:cs="宋体"/>
                <w:b/>
                <w:bCs/>
                <w:sz w:val="24"/>
                <w:szCs w:val="24"/>
              </w:rPr>
              <w:t>业务场景</w:t>
            </w:r>
            <w:r>
              <w:rPr>
                <w:rFonts w:ascii="宋体" w:hAnsi="宋体" w:eastAsia="宋体" w:cs="宋体"/>
                <w:sz w:val="24"/>
                <w:szCs w:val="24"/>
              </w:rPr>
              <w:t xml:space="preserve">：面向系统管理员维护集团多级组织架构，搭建集团、园区、工厂层级机构树，统一管理 15 大园区、21 家实体工厂组织基础信息，为指挥大厅大屏制造基地空间分布展示、数据权限隔离提供组织主数据支撑。 </w:t>
            </w:r>
          </w:p>
          <w:p w14:paraId="3260270C">
            <w:pPr>
              <w:pStyle w:val="19"/>
              <w:bidi w:val="0"/>
              <w:ind w:left="0" w:leftChars="0" w:firstLine="0" w:firstLineChars="0"/>
              <w:rPr>
                <w:rFonts w:ascii="宋体" w:hAnsi="宋体" w:eastAsia="宋体" w:cs="宋体"/>
                <w:sz w:val="24"/>
                <w:szCs w:val="24"/>
              </w:rPr>
            </w:pPr>
            <w:r>
              <w:rPr>
                <w:rFonts w:ascii="宋体" w:hAnsi="宋体" w:eastAsia="宋体" w:cs="宋体"/>
                <w:b/>
                <w:bCs/>
                <w:sz w:val="24"/>
                <w:szCs w:val="24"/>
              </w:rPr>
              <w:t>用户故事</w:t>
            </w:r>
            <w:r>
              <w:rPr>
                <w:rFonts w:ascii="宋体" w:hAnsi="宋体" w:eastAsia="宋体" w:cs="宋体"/>
                <w:sz w:val="24"/>
                <w:szCs w:val="24"/>
              </w:rPr>
              <w:t>：</w:t>
            </w:r>
          </w:p>
          <w:p w14:paraId="53FC43D3">
            <w:pPr>
              <w:pStyle w:val="19"/>
              <w:bidi w:val="0"/>
              <w:ind w:left="0" w:leftChars="0" w:firstLine="439" w:firstLineChars="183"/>
              <w:rPr>
                <w:rFonts w:ascii="宋体" w:hAnsi="宋体" w:eastAsia="宋体" w:cs="宋体"/>
                <w:sz w:val="24"/>
                <w:szCs w:val="24"/>
              </w:rPr>
            </w:pPr>
            <w:r>
              <w:rPr>
                <w:rFonts w:ascii="宋体" w:hAnsi="宋体" w:eastAsia="宋体" w:cs="宋体"/>
                <w:sz w:val="24"/>
                <w:szCs w:val="24"/>
              </w:rPr>
              <w:t xml:space="preserve">As a 系统管理员 (Persona PM)， </w:t>
            </w:r>
          </w:p>
          <w:p w14:paraId="3F5C9AE4">
            <w:pPr>
              <w:pStyle w:val="19"/>
              <w:bidi w:val="0"/>
              <w:ind w:left="0" w:leftChars="0" w:firstLine="439" w:firstLineChars="183"/>
              <w:rPr>
                <w:rFonts w:ascii="宋体" w:hAnsi="宋体" w:eastAsia="宋体" w:cs="宋体"/>
                <w:sz w:val="24"/>
                <w:szCs w:val="24"/>
              </w:rPr>
            </w:pPr>
            <w:r>
              <w:rPr>
                <w:rFonts w:ascii="宋体" w:hAnsi="宋体" w:eastAsia="宋体" w:cs="宋体"/>
                <w:sz w:val="24"/>
                <w:szCs w:val="24"/>
              </w:rPr>
              <w:t xml:space="preserve">I want 维护集团组织机构树，新增、编辑、管理各级园区与工厂机构信息，定义组织层级与归属关系， </w:t>
            </w:r>
          </w:p>
          <w:p w14:paraId="02918A21">
            <w:pPr>
              <w:pStyle w:val="19"/>
              <w:bidi w:val="0"/>
              <w:ind w:left="0" w:leftChars="0" w:firstLine="439" w:firstLineChars="183"/>
            </w:pPr>
            <w:r>
              <w:rPr>
                <w:rFonts w:ascii="宋体" w:hAnsi="宋体" w:eastAsia="宋体" w:cs="宋体"/>
                <w:sz w:val="24"/>
                <w:szCs w:val="24"/>
              </w:rPr>
              <w:t>So that 我能够为集控环幕大屏提供集团制造基地空间分布基础数据，实现按组织隔离能碳数据，保障集团多园区多工厂数据归集与权限管控。</w:t>
            </w:r>
          </w:p>
        </w:tc>
      </w:tr>
    </w:tbl>
    <w:p w14:paraId="2D1CFE2B"/>
    <w:p w14:paraId="11AC1D09">
      <w:pPr>
        <w:pStyle w:val="6"/>
        <w:numPr>
          <w:ilvl w:val="0"/>
          <w:numId w:val="201"/>
        </w:numPr>
        <w:bidi w:val="0"/>
        <w:ind w:left="0" w:leftChars="0" w:firstLine="0" w:firstLineChars="0"/>
        <w:rPr>
          <w:b w:val="0"/>
          <w:bCs w:val="0"/>
          <w:sz w:val="28"/>
          <w:szCs w:val="28"/>
        </w:rPr>
      </w:pPr>
      <w:r>
        <w:rPr>
          <w:b w:val="0"/>
          <w:bCs w:val="0"/>
          <w:sz w:val="28"/>
          <w:szCs w:val="28"/>
        </w:rPr>
        <w:t>功能规格与交互契约</w:t>
      </w:r>
    </w:p>
    <w:tbl>
      <w:tblPr>
        <w:tblStyle w:val="38"/>
        <w:tblW w:w="0" w:type="auto"/>
        <w:jc w:val="center"/>
        <w:tblBorders>
          <w:top w:val="none" w:color="auto" w:sz="0" w:space="0"/>
          <w:left w:val="single" w:color="EE822F" w:themeColor="accent2"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40DBB782">
        <w:tblPrEx>
          <w:tblBorders>
            <w:top w:val="none" w:color="auto" w:sz="0" w:space="0"/>
            <w:left w:val="single" w:color="EE822F" w:themeColor="accent2"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tcPr>
          <w:p w14:paraId="2970C5BF">
            <w:pPr>
              <w:pStyle w:val="19"/>
              <w:numPr>
                <w:ilvl w:val="0"/>
                <w:numId w:val="202"/>
              </w:numPr>
              <w:bidi w:val="0"/>
              <w:ind w:left="0" w:leftChars="0" w:firstLine="480" w:firstLineChars="200"/>
            </w:pPr>
            <w:r>
              <w:t>左侧：</w:t>
            </w:r>
            <w:r>
              <w:rPr>
                <w:rFonts w:hint="eastAsia"/>
                <w:lang w:val="en-US" w:eastAsia="zh-CN"/>
              </w:rPr>
              <w:t>3</w:t>
            </w:r>
            <w:r>
              <w:t xml:space="preserve"> 级组织树，选中组织节点，右侧机构列表、机构详情自动刷新；支持下钻至园区 / 工厂节点。</w:t>
            </w:r>
          </w:p>
          <w:p w14:paraId="53B30330">
            <w:pPr>
              <w:pStyle w:val="19"/>
              <w:numPr>
                <w:ilvl w:val="0"/>
                <w:numId w:val="202"/>
              </w:numPr>
              <w:bidi w:val="0"/>
              <w:ind w:left="0" w:leftChars="0" w:firstLine="480" w:firstLineChars="200"/>
            </w:pPr>
            <w:r>
              <w:rPr>
                <w:rFonts w:hint="eastAsia"/>
                <w:lang w:val="en-US" w:eastAsia="zh-CN"/>
              </w:rPr>
              <w:t>点击【新增机构】</w:t>
            </w:r>
            <w:r>
              <w:t>：</w:t>
            </w:r>
            <w:r>
              <w:rPr>
                <w:rFonts w:hint="eastAsia"/>
                <w:lang w:val="en-US" w:eastAsia="zh-CN"/>
              </w:rPr>
              <w:t>打开新增机构弹窗</w:t>
            </w:r>
            <w:r>
              <w:t>。</w:t>
            </w:r>
          </w:p>
          <w:p w14:paraId="67DAD514">
            <w:pPr>
              <w:pStyle w:val="19"/>
              <w:numPr>
                <w:ilvl w:val="0"/>
                <w:numId w:val="202"/>
              </w:numPr>
              <w:bidi w:val="0"/>
              <w:ind w:left="0" w:leftChars="0" w:firstLine="480" w:firstLineChars="200"/>
            </w:pPr>
            <w:r>
              <w:rPr>
                <w:rFonts w:hint="eastAsia"/>
                <w:lang w:val="en-US" w:eastAsia="zh-CN"/>
              </w:rPr>
              <w:t>点击【编辑】</w:t>
            </w:r>
            <w:r>
              <w:t>：</w:t>
            </w:r>
            <w:r>
              <w:rPr>
                <w:rFonts w:hint="eastAsia"/>
                <w:lang w:val="en-US" w:eastAsia="zh-CN"/>
              </w:rPr>
              <w:t>打开编辑信息弹窗</w:t>
            </w:r>
            <w:r>
              <w:t>。</w:t>
            </w:r>
          </w:p>
          <w:p w14:paraId="1CA4CB16">
            <w:pPr>
              <w:pStyle w:val="19"/>
              <w:numPr>
                <w:ilvl w:val="0"/>
                <w:numId w:val="202"/>
              </w:numPr>
              <w:bidi w:val="0"/>
              <w:ind w:left="0" w:leftChars="0" w:firstLine="480" w:firstLineChars="200"/>
            </w:pPr>
            <w:r>
              <w:rPr>
                <w:rFonts w:hint="eastAsia"/>
                <w:lang w:val="en-US" w:eastAsia="zh-CN"/>
              </w:rPr>
              <w:t>点击【删除】</w:t>
            </w:r>
            <w:r>
              <w:t>：</w:t>
            </w:r>
            <w:r>
              <w:rPr>
                <w:rFonts w:hint="eastAsia"/>
                <w:lang w:val="en-US" w:eastAsia="zh-CN"/>
              </w:rPr>
              <w:t>打开确认删除弹窗，确认后关闭弹窗并</w:t>
            </w:r>
            <w:r>
              <w:t>删除机构。</w:t>
            </w:r>
          </w:p>
        </w:tc>
      </w:tr>
    </w:tbl>
    <w:p w14:paraId="05BD9060"/>
    <w:p w14:paraId="259DF531">
      <w:pPr>
        <w:pStyle w:val="6"/>
        <w:numPr>
          <w:ilvl w:val="0"/>
          <w:numId w:val="201"/>
        </w:numPr>
        <w:bidi w:val="0"/>
        <w:ind w:left="0" w:leftChars="0" w:firstLine="0" w:firstLineChars="0"/>
        <w:rPr>
          <w:b w:val="0"/>
          <w:bCs w:val="0"/>
          <w:sz w:val="28"/>
          <w:szCs w:val="28"/>
        </w:rPr>
      </w:pPr>
      <w:r>
        <w:rPr>
          <w:b w:val="0"/>
          <w:bCs w:val="0"/>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89"/>
        <w:gridCol w:w="1738"/>
        <w:gridCol w:w="1468"/>
        <w:gridCol w:w="1210"/>
        <w:gridCol w:w="4479"/>
      </w:tblGrid>
      <w:tr w14:paraId="3A328774">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03F1640">
            <w:pPr>
              <w:pStyle w:val="19"/>
              <w:bidi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ED64CEB">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字段中文名称</w:t>
            </w:r>
          </w:p>
        </w:tc>
        <w:tc>
          <w:tcPr>
            <w:tcW w:w="146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8DA8939">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985CB80">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工程单位</w:t>
            </w:r>
          </w:p>
        </w:tc>
        <w:tc>
          <w:tcPr>
            <w:tcW w:w="447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E04BF3E">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校验与约束规则</w:t>
            </w:r>
          </w:p>
        </w:tc>
      </w:tr>
      <w:tr w14:paraId="28F6BF75">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FCB3878">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CEF3DAE">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机构层级</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E5FC604">
            <w:pPr>
              <w:pStyle w:val="19"/>
              <w:bidi w:val="0"/>
              <w:spacing w:line="240" w:lineRule="auto"/>
              <w:ind w:left="0" w:leftChars="0" w:right="0" w:rightChars="0" w:firstLine="0" w:firstLineChars="0"/>
              <w:jc w:val="both"/>
              <w:rPr>
                <w:rFonts w:hint="eastAsia" w:ascii="宋体" w:hAnsi="宋体" w:eastAsia="宋体" w:cs="宋体"/>
                <w:sz w:val="24"/>
                <w:szCs w:val="24"/>
              </w:rPr>
            </w:pP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408D961">
            <w:pPr>
              <w:pStyle w:val="19"/>
              <w:bidi w:val="0"/>
              <w:spacing w:line="240" w:lineRule="auto"/>
              <w:ind w:left="0" w:leftChars="0" w:right="0" w:rightChars="0" w:firstLine="0" w:firstLineChars="0"/>
              <w:jc w:val="both"/>
              <w:rPr>
                <w:rFonts w:hint="eastAsia" w:ascii="宋体" w:hAnsi="宋体" w:eastAsia="宋体" w:cs="宋体"/>
                <w:sz w:val="24"/>
                <w:szCs w:val="24"/>
              </w:rPr>
            </w:pP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4DDAD71">
            <w:pPr>
              <w:pStyle w:val="19"/>
              <w:bidi w:val="0"/>
              <w:spacing w:line="240" w:lineRule="auto"/>
              <w:ind w:left="0" w:leftChars="0" w:right="0" w:rightChars="0" w:firstLine="0" w:firstLineChars="0"/>
              <w:jc w:val="both"/>
              <w:rPr>
                <w:rFonts w:hint="eastAsia" w:ascii="宋体" w:hAnsi="宋体" w:eastAsia="宋体" w:cs="宋体"/>
                <w:sz w:val="24"/>
                <w:szCs w:val="24"/>
              </w:rPr>
            </w:pPr>
          </w:p>
        </w:tc>
      </w:tr>
      <w:tr w14:paraId="48D8B486">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C134A3D">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718E5F9">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下级机构</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9DBC5A7">
            <w:pPr>
              <w:pStyle w:val="19"/>
              <w:bidi w:val="0"/>
              <w:spacing w:line="240" w:lineRule="auto"/>
              <w:ind w:left="0" w:leftChars="0" w:right="0" w:rightChars="0" w:firstLine="0" w:firstLineChars="0"/>
              <w:jc w:val="both"/>
              <w:rPr>
                <w:rFonts w:hint="eastAsia" w:ascii="宋体" w:hAnsi="宋体" w:eastAsia="宋体" w:cs="宋体"/>
                <w:sz w:val="24"/>
                <w:szCs w:val="24"/>
              </w:rPr>
            </w:pP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8143E14">
            <w:pPr>
              <w:pStyle w:val="19"/>
              <w:bidi w:val="0"/>
              <w:spacing w:line="240" w:lineRule="auto"/>
              <w:ind w:left="0" w:leftChars="0" w:right="0" w:rightChars="0" w:firstLine="0" w:firstLineChars="0"/>
              <w:jc w:val="both"/>
              <w:rPr>
                <w:rFonts w:hint="eastAsia" w:ascii="宋体" w:hAnsi="宋体" w:eastAsia="宋体" w:cs="宋体"/>
                <w:sz w:val="24"/>
                <w:szCs w:val="24"/>
              </w:rPr>
            </w:pP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5704C45">
            <w:pPr>
              <w:pStyle w:val="19"/>
              <w:bidi w:val="0"/>
              <w:spacing w:line="240" w:lineRule="auto"/>
              <w:ind w:left="0" w:leftChars="0" w:right="0" w:rightChars="0" w:firstLine="0" w:firstLineChars="0"/>
              <w:jc w:val="both"/>
              <w:rPr>
                <w:rFonts w:hint="eastAsia" w:ascii="宋体" w:hAnsi="宋体" w:eastAsia="宋体" w:cs="宋体"/>
                <w:sz w:val="24"/>
                <w:szCs w:val="24"/>
              </w:rPr>
            </w:pPr>
          </w:p>
        </w:tc>
      </w:tr>
      <w:tr w14:paraId="66ACE8C8">
        <w:tblPrEx>
          <w:tblCellMar>
            <w:top w:w="0" w:type="dxa"/>
            <w:left w:w="108" w:type="dxa"/>
            <w:bottom w:w="0" w:type="dxa"/>
            <w:right w:w="108" w:type="dxa"/>
          </w:tblCellMar>
        </w:tblPrEx>
        <w:trPr>
          <w:trHeight w:val="90" w:hRule="atLeast"/>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5717686">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B4DD162">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所属产业</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1A7D9D7">
            <w:pPr>
              <w:pStyle w:val="19"/>
              <w:bidi w:val="0"/>
              <w:spacing w:line="240" w:lineRule="auto"/>
              <w:ind w:left="0" w:leftChars="0" w:right="0" w:rightChars="0" w:firstLine="0" w:firstLineChars="0"/>
              <w:jc w:val="both"/>
              <w:rPr>
                <w:rFonts w:hint="eastAsia" w:ascii="宋体" w:hAnsi="宋体" w:eastAsia="宋体" w:cs="宋体"/>
                <w:sz w:val="24"/>
                <w:szCs w:val="24"/>
              </w:rPr>
            </w:pP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2B0E45B">
            <w:pPr>
              <w:pStyle w:val="19"/>
              <w:bidi w:val="0"/>
              <w:spacing w:line="240" w:lineRule="auto"/>
              <w:ind w:left="0" w:leftChars="0" w:right="0" w:rightChars="0" w:firstLine="0" w:firstLineChars="0"/>
              <w:jc w:val="both"/>
              <w:rPr>
                <w:rFonts w:hint="eastAsia" w:ascii="宋体" w:hAnsi="宋体" w:eastAsia="宋体" w:cs="宋体"/>
                <w:sz w:val="24"/>
                <w:szCs w:val="24"/>
              </w:rPr>
            </w:pP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651E2F2">
            <w:pPr>
              <w:pStyle w:val="19"/>
              <w:bidi w:val="0"/>
              <w:spacing w:line="240" w:lineRule="auto"/>
              <w:ind w:left="0" w:leftChars="0" w:right="0" w:rightChars="0" w:firstLine="0" w:firstLineChars="0"/>
              <w:jc w:val="both"/>
              <w:rPr>
                <w:rFonts w:hint="eastAsia" w:ascii="宋体" w:hAnsi="宋体" w:eastAsia="宋体" w:cs="宋体"/>
                <w:sz w:val="24"/>
                <w:szCs w:val="24"/>
              </w:rPr>
            </w:pPr>
          </w:p>
        </w:tc>
      </w:tr>
      <w:tr w14:paraId="0431836A">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683BE41">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48885C1">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管辖范围</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A9DF767">
            <w:pPr>
              <w:pStyle w:val="19"/>
              <w:bidi w:val="0"/>
              <w:spacing w:line="240" w:lineRule="auto"/>
              <w:ind w:left="0" w:leftChars="0" w:right="0" w:rightChars="0" w:firstLine="0" w:firstLineChars="0"/>
              <w:jc w:val="both"/>
              <w:rPr>
                <w:rFonts w:hint="eastAsia" w:ascii="宋体" w:hAnsi="宋体" w:eastAsia="宋体" w:cs="宋体"/>
                <w:sz w:val="24"/>
                <w:szCs w:val="24"/>
              </w:rPr>
            </w:pP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1F16EF1">
            <w:pPr>
              <w:pStyle w:val="19"/>
              <w:bidi w:val="0"/>
              <w:spacing w:line="240" w:lineRule="auto"/>
              <w:ind w:left="0" w:leftChars="0" w:right="0" w:rightChars="0" w:firstLine="0" w:firstLineChars="0"/>
              <w:jc w:val="both"/>
              <w:rPr>
                <w:rFonts w:hint="eastAsia" w:ascii="宋体" w:hAnsi="宋体" w:eastAsia="宋体" w:cs="宋体"/>
                <w:sz w:val="24"/>
                <w:szCs w:val="24"/>
              </w:rPr>
            </w:pP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FFD823F">
            <w:pPr>
              <w:pStyle w:val="19"/>
              <w:bidi w:val="0"/>
              <w:spacing w:line="240" w:lineRule="auto"/>
              <w:ind w:left="0" w:leftChars="0" w:right="0" w:rightChars="0" w:firstLine="0" w:firstLineChars="0"/>
              <w:jc w:val="both"/>
              <w:rPr>
                <w:rFonts w:hint="eastAsia" w:ascii="宋体" w:hAnsi="宋体" w:eastAsia="宋体" w:cs="宋体"/>
                <w:sz w:val="24"/>
                <w:szCs w:val="24"/>
              </w:rPr>
            </w:pPr>
          </w:p>
        </w:tc>
      </w:tr>
      <w:tr w14:paraId="2F79551D">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887FAF5">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F0856CA">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机构编码</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CD585C1">
            <w:pPr>
              <w:pStyle w:val="19"/>
              <w:bidi w:val="0"/>
              <w:spacing w:line="240" w:lineRule="auto"/>
              <w:ind w:left="0" w:leftChars="0" w:right="0" w:rightChars="0" w:firstLine="0" w:firstLineChars="0"/>
              <w:jc w:val="both"/>
              <w:rPr>
                <w:rFonts w:hint="eastAsia" w:ascii="宋体" w:hAnsi="宋体" w:eastAsia="宋体" w:cs="宋体"/>
                <w:sz w:val="24"/>
                <w:szCs w:val="24"/>
              </w:rPr>
            </w:pP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3FF1B3D">
            <w:pPr>
              <w:pStyle w:val="19"/>
              <w:bidi w:val="0"/>
              <w:spacing w:line="240" w:lineRule="auto"/>
              <w:ind w:left="0" w:leftChars="0" w:right="0" w:rightChars="0" w:firstLine="0" w:firstLineChars="0"/>
              <w:jc w:val="both"/>
              <w:rPr>
                <w:rFonts w:hint="eastAsia" w:ascii="宋体" w:hAnsi="宋体" w:eastAsia="宋体" w:cs="宋体"/>
                <w:sz w:val="24"/>
                <w:szCs w:val="24"/>
              </w:rPr>
            </w:pP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5FB0EC7">
            <w:pPr>
              <w:pStyle w:val="19"/>
              <w:bidi w:val="0"/>
              <w:spacing w:line="240" w:lineRule="auto"/>
              <w:ind w:left="0" w:leftChars="0" w:right="0" w:rightChars="0" w:firstLine="0" w:firstLineChars="0"/>
              <w:jc w:val="both"/>
              <w:rPr>
                <w:rFonts w:hint="eastAsia" w:ascii="宋体" w:hAnsi="宋体" w:eastAsia="宋体" w:cs="宋体"/>
                <w:sz w:val="24"/>
                <w:szCs w:val="24"/>
              </w:rPr>
            </w:pPr>
          </w:p>
        </w:tc>
      </w:tr>
      <w:tr w14:paraId="4679EA9C">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3F67AC5">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3DC5D4E">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状态</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BE27337">
            <w:pPr>
              <w:pStyle w:val="19"/>
              <w:bidi w:val="0"/>
              <w:spacing w:line="240" w:lineRule="auto"/>
              <w:ind w:left="0" w:leftChars="0" w:right="0" w:rightChars="0" w:firstLine="0" w:firstLineChars="0"/>
              <w:jc w:val="both"/>
              <w:rPr>
                <w:rFonts w:hint="eastAsia" w:ascii="宋体" w:hAnsi="宋体" w:eastAsia="宋体" w:cs="宋体"/>
                <w:sz w:val="24"/>
                <w:szCs w:val="24"/>
              </w:rPr>
            </w:pP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E1007CC">
            <w:pPr>
              <w:pStyle w:val="19"/>
              <w:bidi w:val="0"/>
              <w:spacing w:line="240" w:lineRule="auto"/>
              <w:ind w:left="0" w:leftChars="0" w:right="0" w:rightChars="0" w:firstLine="0" w:firstLineChars="0"/>
              <w:jc w:val="both"/>
              <w:rPr>
                <w:rFonts w:hint="eastAsia" w:ascii="宋体" w:hAnsi="宋体" w:eastAsia="宋体" w:cs="宋体"/>
                <w:sz w:val="24"/>
                <w:szCs w:val="24"/>
              </w:rPr>
            </w:pP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608FF53">
            <w:pPr>
              <w:pStyle w:val="19"/>
              <w:bidi w:val="0"/>
              <w:spacing w:line="240" w:lineRule="auto"/>
              <w:ind w:left="0" w:leftChars="0" w:right="0" w:rightChars="0" w:firstLine="0" w:firstLineChars="0"/>
              <w:jc w:val="both"/>
              <w:rPr>
                <w:rFonts w:hint="eastAsia" w:ascii="宋体" w:hAnsi="宋体" w:eastAsia="宋体" w:cs="宋体"/>
                <w:sz w:val="24"/>
                <w:szCs w:val="24"/>
              </w:rPr>
            </w:pPr>
          </w:p>
        </w:tc>
      </w:tr>
    </w:tbl>
    <w:p w14:paraId="4D6ACF52">
      <w:pPr>
        <w:pStyle w:val="19"/>
        <w:bidi w:val="0"/>
      </w:pPr>
    </w:p>
    <w:p w14:paraId="76819C97">
      <w:pPr>
        <w:pStyle w:val="6"/>
        <w:numPr>
          <w:ilvl w:val="0"/>
          <w:numId w:val="201"/>
        </w:numPr>
        <w:bidi w:val="0"/>
        <w:ind w:left="0" w:leftChars="0" w:firstLine="0" w:firstLineChars="0"/>
        <w:rPr>
          <w:b w:val="0"/>
          <w:bCs w:val="0"/>
          <w:sz w:val="28"/>
          <w:szCs w:val="28"/>
        </w:rPr>
      </w:pPr>
      <w:r>
        <w:rPr>
          <w:b w:val="0"/>
          <w:bCs w:val="0"/>
          <w:sz w:val="28"/>
          <w:szCs w:val="28"/>
        </w:rPr>
        <w:t>核心数学模型与算法框架</w:t>
      </w:r>
    </w:p>
    <w:tbl>
      <w:tblPr>
        <w:tblStyle w:val="38"/>
        <w:tblW w:w="0" w:type="auto"/>
        <w:jc w:val="center"/>
        <w:tblLayout w:type="fixed"/>
        <w:tblCellMar>
          <w:top w:w="0" w:type="dxa"/>
          <w:left w:w="108" w:type="dxa"/>
          <w:bottom w:w="0" w:type="dxa"/>
          <w:right w:w="108" w:type="dxa"/>
        </w:tblCellMar>
      </w:tblPr>
      <w:tblGrid>
        <w:gridCol w:w="9648"/>
      </w:tblGrid>
      <w:tr w14:paraId="0994B11B">
        <w:tblPrEx>
          <w:tblCellMar>
            <w:top w:w="0" w:type="dxa"/>
            <w:left w:w="108" w:type="dxa"/>
            <w:bottom w:w="0" w:type="dxa"/>
            <w:right w:w="108" w:type="dxa"/>
          </w:tblCellMar>
        </w:tblPrEx>
        <w:trPr>
          <w:jc w:val="center"/>
        </w:trPr>
        <w:tc>
          <w:tcPr>
            <w:tcW w:w="9648" w:type="dxa"/>
            <w:tcBorders>
              <w:top w:val="nil"/>
              <w:left w:val="single" w:color="16A34A" w:sz="24" w:space="0"/>
              <w:bottom w:val="nil"/>
              <w:right w:val="nil"/>
            </w:tcBorders>
            <w:shd w:val="clear" w:color="auto" w:fill="F0FDF4"/>
            <w:tcMar>
              <w:top w:w="70" w:type="dxa"/>
              <w:left w:w="100" w:type="dxa"/>
              <w:bottom w:w="70" w:type="dxa"/>
              <w:right w:w="100" w:type="dxa"/>
            </w:tcMar>
          </w:tcPr>
          <w:p w14:paraId="6A62B929">
            <w:pPr>
              <w:pStyle w:val="19"/>
              <w:bidi w:val="0"/>
              <w:rPr>
                <w:rFonts w:hint="eastAsia" w:eastAsia="宋体"/>
                <w:lang w:val="en-US" w:eastAsia="zh-CN"/>
              </w:rPr>
            </w:pPr>
            <w:r>
              <w:rPr>
                <w:rFonts w:hint="eastAsia"/>
                <w:lang w:val="en-US" w:eastAsia="zh-CN"/>
              </w:rPr>
              <w:t>无</w:t>
            </w:r>
          </w:p>
        </w:tc>
      </w:tr>
    </w:tbl>
    <w:p w14:paraId="516C00F0">
      <w:pPr>
        <w:pStyle w:val="19"/>
        <w:bidi w:val="0"/>
      </w:pPr>
    </w:p>
    <w:p w14:paraId="57C450DD">
      <w:pPr>
        <w:pStyle w:val="6"/>
        <w:numPr>
          <w:ilvl w:val="0"/>
          <w:numId w:val="201"/>
        </w:numPr>
        <w:bidi w:val="0"/>
        <w:ind w:left="0" w:leftChars="0" w:firstLine="0" w:firstLineChars="0"/>
        <w:rPr>
          <w:b w:val="0"/>
          <w:bCs w:val="0"/>
          <w:sz w:val="28"/>
          <w:szCs w:val="28"/>
        </w:rPr>
      </w:pPr>
      <w:r>
        <w:rPr>
          <w:b w:val="0"/>
          <w:bCs w:val="0"/>
          <w:sz w:val="28"/>
          <w:szCs w:val="28"/>
        </w:rPr>
        <w:t>展示、对标与判定口径</w:t>
      </w:r>
    </w:p>
    <w:tbl>
      <w:tblPr>
        <w:tblStyle w:val="38"/>
        <w:tblW w:w="0" w:type="auto"/>
        <w:jc w:val="center"/>
        <w:tblBorders>
          <w:top w:val="none" w:color="auto" w:sz="0" w:space="0"/>
          <w:left w:val="single" w:color="4874CB" w:themeColor="accent1"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4113DF8">
        <w:tblPrEx>
          <w:tblBorders>
            <w:top w:val="none" w:color="auto" w:sz="0" w:space="0"/>
            <w:left w:val="single" w:color="4874CB" w:themeColor="accent1"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tcPr>
          <w:p w14:paraId="01255F89">
            <w:pPr>
              <w:pStyle w:val="19"/>
              <w:bidi w:val="0"/>
            </w:pPr>
          </w:p>
        </w:tc>
      </w:tr>
    </w:tbl>
    <w:p w14:paraId="62C202E5">
      <w:pPr>
        <w:pStyle w:val="19"/>
        <w:bidi w:val="0"/>
      </w:pPr>
    </w:p>
    <w:p w14:paraId="5DDA836C">
      <w:pPr>
        <w:pStyle w:val="6"/>
        <w:numPr>
          <w:ilvl w:val="0"/>
          <w:numId w:val="201"/>
        </w:numPr>
        <w:bidi w:val="0"/>
        <w:ind w:left="0" w:leftChars="0" w:firstLine="0" w:firstLineChars="0"/>
        <w:rPr>
          <w:b w:val="0"/>
          <w:bCs w:val="0"/>
          <w:sz w:val="28"/>
          <w:szCs w:val="28"/>
        </w:rPr>
      </w:pPr>
      <w:r>
        <w:rPr>
          <w:b w:val="0"/>
          <w:bCs w:val="0"/>
          <w:sz w:val="28"/>
          <w:szCs w:val="28"/>
        </w:rPr>
        <w:t>边界条件、异常处理与防错规则</w:t>
      </w:r>
    </w:p>
    <w:tbl>
      <w:tblPr>
        <w:tblStyle w:val="38"/>
        <w:tblW w:w="0" w:type="auto"/>
        <w:jc w:val="center"/>
        <w:tblBorders>
          <w:top w:val="none" w:color="auto" w:sz="0" w:space="0"/>
          <w:left w:val="single" w:color="E54C5E" w:themeColor="accent6"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2FD046BF">
        <w:tblPrEx>
          <w:tblBorders>
            <w:top w:val="none" w:color="auto" w:sz="0" w:space="0"/>
            <w:left w:val="single" w:color="E54C5E" w:themeColor="accent6"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5F3FF"/>
            <w:tcMar>
              <w:top w:w="70" w:type="dxa"/>
              <w:left w:w="100" w:type="dxa"/>
              <w:bottom w:w="70" w:type="dxa"/>
              <w:right w:w="100" w:type="dxa"/>
            </w:tcMar>
          </w:tcPr>
          <w:p w14:paraId="70EDBC38">
            <w:pPr>
              <w:pStyle w:val="19"/>
              <w:bidi w:val="0"/>
            </w:pPr>
          </w:p>
        </w:tc>
      </w:tr>
    </w:tbl>
    <w:p w14:paraId="3378F497"/>
    <w:p w14:paraId="0A8447DA">
      <w:pPr>
        <w:pStyle w:val="6"/>
        <w:numPr>
          <w:ilvl w:val="0"/>
          <w:numId w:val="201"/>
        </w:numPr>
        <w:bidi w:val="0"/>
        <w:ind w:left="0" w:leftChars="0" w:firstLine="0" w:firstLineChars="0"/>
        <w:rPr>
          <w:b w:val="0"/>
          <w:bCs w:val="0"/>
          <w:sz w:val="28"/>
          <w:szCs w:val="28"/>
        </w:rPr>
      </w:pPr>
      <w:r>
        <w:rPr>
          <w:b w:val="0"/>
          <w:bCs w:val="0"/>
          <w:sz w:val="28"/>
          <w:szCs w:val="28"/>
        </w:rPr>
        <w:t>QA 自动化验收准则（Gherkin BDD）</w:t>
      </w:r>
    </w:p>
    <w:tbl>
      <w:tblPr>
        <w:tblStyle w:val="38"/>
        <w:tblW w:w="0" w:type="auto"/>
        <w:jc w:val="center"/>
        <w:tblLayout w:type="fixed"/>
        <w:tblCellMar>
          <w:top w:w="0" w:type="dxa"/>
          <w:left w:w="108" w:type="dxa"/>
          <w:bottom w:w="0" w:type="dxa"/>
          <w:right w:w="108" w:type="dxa"/>
        </w:tblCellMar>
      </w:tblPr>
      <w:tblGrid>
        <w:gridCol w:w="9648"/>
      </w:tblGrid>
      <w:tr w14:paraId="008E6408">
        <w:tblPrEx>
          <w:tblCellMar>
            <w:top w:w="0" w:type="dxa"/>
            <w:left w:w="108" w:type="dxa"/>
            <w:bottom w:w="0" w:type="dxa"/>
            <w:right w:w="108" w:type="dxa"/>
          </w:tblCellMar>
        </w:tblPrEx>
        <w:trPr>
          <w:jc w:val="center"/>
        </w:trPr>
        <w:tc>
          <w:tcPr>
            <w:tcW w:w="9648" w:type="dxa"/>
            <w:tcBorders>
              <w:top w:val="nil"/>
              <w:left w:val="single" w:color="7C3AED" w:sz="24" w:space="0"/>
              <w:bottom w:val="nil"/>
              <w:right w:val="nil"/>
            </w:tcBorders>
            <w:shd w:val="clear" w:color="auto" w:fill="F5F3FF"/>
            <w:tcMar>
              <w:top w:w="70" w:type="dxa"/>
              <w:left w:w="100" w:type="dxa"/>
              <w:bottom w:w="70" w:type="dxa"/>
              <w:right w:w="100" w:type="dxa"/>
            </w:tcMar>
          </w:tcPr>
          <w:p w14:paraId="76F52BD8">
            <w:pPr>
              <w:pStyle w:val="19"/>
              <w:bidi w:val="0"/>
            </w:pPr>
          </w:p>
        </w:tc>
      </w:tr>
    </w:tbl>
    <w:p w14:paraId="1D7DAD75">
      <w:pPr>
        <w:rPr>
          <w:rFonts w:hint="default"/>
          <w:lang w:val="en-US" w:eastAsia="zh-CN"/>
        </w:rPr>
      </w:pPr>
    </w:p>
    <w:p w14:paraId="136B6084">
      <w:pPr>
        <w:pStyle w:val="5"/>
        <w:numPr>
          <w:ilvl w:val="0"/>
          <w:numId w:val="200"/>
        </w:numPr>
        <w:ind w:left="0" w:leftChars="0" w:firstLine="0" w:firstLineChars="0"/>
        <w:outlineLvl w:val="1"/>
        <w:rPr>
          <w:rFonts w:hint="default" w:cs="Times New Roman"/>
          <w:b w:val="0"/>
          <w:bCs w:val="0"/>
          <w:sz w:val="30"/>
          <w:szCs w:val="24"/>
          <w:lang w:val="en-US" w:eastAsia="zh-CN"/>
        </w:rPr>
      </w:pPr>
      <w:bookmarkStart w:id="65" w:name="_Toc27635"/>
      <w:r>
        <w:rPr>
          <w:rFonts w:hint="eastAsia" w:cs="Times New Roman"/>
          <w:b w:val="0"/>
          <w:bCs w:val="0"/>
          <w:sz w:val="30"/>
          <w:szCs w:val="24"/>
          <w:lang w:val="en-US" w:eastAsia="zh-CN"/>
        </w:rPr>
        <w:t>用户管理</w:t>
      </w:r>
      <w:bookmarkEnd w:id="65"/>
    </w:p>
    <w:p w14:paraId="68C8A608">
      <w:r>
        <w:drawing>
          <wp:inline distT="0" distB="0" distL="114300" distR="114300">
            <wp:extent cx="5900420" cy="2925445"/>
            <wp:effectExtent l="0" t="0" r="5080" b="8255"/>
            <wp:docPr id="83"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38"/>
                    <pic:cNvPicPr>
                      <a:picLocks noChangeAspect="1"/>
                    </pic:cNvPicPr>
                  </pic:nvPicPr>
                  <pic:blipFill>
                    <a:blip r:embed="rId96"/>
                    <a:stretch>
                      <a:fillRect/>
                    </a:stretch>
                  </pic:blipFill>
                  <pic:spPr>
                    <a:xfrm>
                      <a:off x="0" y="0"/>
                      <a:ext cx="5900420" cy="2925445"/>
                    </a:xfrm>
                    <a:prstGeom prst="rect">
                      <a:avLst/>
                    </a:prstGeom>
                    <a:noFill/>
                    <a:ln>
                      <a:noFill/>
                    </a:ln>
                  </pic:spPr>
                </pic:pic>
              </a:graphicData>
            </a:graphic>
          </wp:inline>
        </w:drawing>
      </w:r>
    </w:p>
    <w:p w14:paraId="1A37204E">
      <w:pPr>
        <w:pStyle w:val="6"/>
        <w:numPr>
          <w:ilvl w:val="0"/>
          <w:numId w:val="203"/>
        </w:numPr>
        <w:bidi w:val="0"/>
        <w:ind w:left="0" w:leftChars="0" w:firstLine="0" w:firstLineChars="0"/>
        <w:rPr>
          <w:b w:val="0"/>
          <w:bCs w:val="0"/>
          <w:sz w:val="28"/>
          <w:szCs w:val="28"/>
        </w:rPr>
      </w:pPr>
      <w:r>
        <w:rPr>
          <w:b w:val="0"/>
          <w:bCs w:val="0"/>
          <w:sz w:val="28"/>
          <w:szCs w:val="28"/>
        </w:rPr>
        <w:t>定位与架构角色</w:t>
      </w:r>
    </w:p>
    <w:tbl>
      <w:tblPr>
        <w:tblStyle w:val="38"/>
        <w:tblW w:w="9648" w:type="dxa"/>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4A681912">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vAlign w:val="center"/>
          </w:tcPr>
          <w:p w14:paraId="2BEF90DD">
            <w:pPr>
              <w:pStyle w:val="19"/>
              <w:bidi w:val="0"/>
              <w:spacing w:after="200" w:afterLines="0"/>
              <w:ind w:left="0" w:leftChars="0" w:firstLine="0" w:firstLineChars="0"/>
              <w:rPr>
                <w:rFonts w:ascii="宋体" w:hAnsi="宋体" w:eastAsia="宋体" w:cs="宋体"/>
                <w:sz w:val="24"/>
                <w:szCs w:val="24"/>
              </w:rPr>
            </w:pPr>
            <w:r>
              <w:rPr>
                <w:rFonts w:ascii="宋体" w:hAnsi="宋体" w:eastAsia="宋体" w:cs="宋体"/>
                <w:b/>
                <w:bCs/>
                <w:sz w:val="24"/>
                <w:szCs w:val="24"/>
              </w:rPr>
              <w:t>・功能定位</w:t>
            </w:r>
            <w:r>
              <w:rPr>
                <w:rFonts w:ascii="宋体" w:hAnsi="宋体" w:eastAsia="宋体" w:cs="宋体"/>
                <w:sz w:val="24"/>
                <w:szCs w:val="24"/>
              </w:rPr>
              <w:t xml:space="preserve">：作为权限管控模块下的账号生命周期管理单元，依托组织架构基准数据，完成系统账号新增、信息维护、启停与密码重置管理，绑定账号 - 角色 - 所属机构 - 数据范围映射关系，为全系统访问身份识别、数据权限隔离提供账号主体支撑，是权限体系落地的核心载体。 </w:t>
            </w:r>
          </w:p>
          <w:p w14:paraId="4C7756DD">
            <w:pPr>
              <w:pStyle w:val="19"/>
              <w:bidi w:val="0"/>
              <w:spacing w:after="200" w:afterLines="0"/>
              <w:ind w:left="0" w:leftChars="0" w:firstLine="0" w:firstLineChars="0"/>
              <w:rPr>
                <w:rFonts w:ascii="Times New Roman" w:hAnsi="Times New Roman" w:eastAsia="宋体" w:cs="Times New Roman"/>
                <w:b w:val="0"/>
                <w:bCs w:val="0"/>
                <w:kern w:val="2"/>
                <w:sz w:val="24"/>
                <w:szCs w:val="24"/>
                <w:lang w:bidi="ar-SA"/>
              </w:rPr>
            </w:pPr>
            <w:r>
              <w:rPr>
                <w:rFonts w:ascii="宋体" w:hAnsi="宋体" w:eastAsia="宋体" w:cs="宋体"/>
                <w:b/>
                <w:bCs/>
                <w:sz w:val="24"/>
                <w:szCs w:val="24"/>
              </w:rPr>
              <w:t>・承载角色</w:t>
            </w:r>
            <w:r>
              <w:rPr>
                <w:rFonts w:ascii="宋体" w:hAnsi="宋体" w:eastAsia="宋体" w:cs="宋体"/>
                <w:sz w:val="24"/>
                <w:szCs w:val="24"/>
              </w:rPr>
              <w:t>：PM 系统管理员（全量用户账号的创建、维护、状态管控）。</w:t>
            </w:r>
          </w:p>
        </w:tc>
      </w:tr>
    </w:tbl>
    <w:p w14:paraId="3B4D1A73"/>
    <w:p w14:paraId="455A18C6">
      <w:pPr>
        <w:pStyle w:val="6"/>
        <w:numPr>
          <w:ilvl w:val="0"/>
          <w:numId w:val="203"/>
        </w:numPr>
        <w:bidi w:val="0"/>
        <w:ind w:left="0" w:leftChars="0" w:firstLine="0" w:firstLineChars="0"/>
        <w:rPr>
          <w:b w:val="0"/>
          <w:bCs w:val="0"/>
          <w:sz w:val="28"/>
          <w:szCs w:val="28"/>
        </w:rPr>
      </w:pPr>
      <w:r>
        <w:rPr>
          <w:b w:val="0"/>
          <w:bCs w:val="0"/>
          <w:sz w:val="28"/>
          <w:szCs w:val="28"/>
        </w:rPr>
        <w:t>业务场景与用户故事</w:t>
      </w:r>
    </w:p>
    <w:tbl>
      <w:tblPr>
        <w:tblStyle w:val="38"/>
        <w:tblW w:w="0" w:type="auto"/>
        <w:jc w:val="center"/>
        <w:tblBorders>
          <w:top w:val="none" w:color="auto" w:sz="0" w:space="0"/>
          <w:left w:val="single" w:color="44546A" w:themeColor="text2"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6C6A9793">
        <w:tblPrEx>
          <w:tblBorders>
            <w:top w:val="none" w:color="auto" w:sz="0" w:space="0"/>
            <w:left w:val="single" w:color="44546A" w:themeColor="text2"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tcPr>
          <w:p w14:paraId="1971D439">
            <w:pPr>
              <w:pStyle w:val="19"/>
              <w:bidi w:val="0"/>
              <w:ind w:left="0" w:leftChars="0" w:firstLine="0" w:firstLineChars="0"/>
            </w:pPr>
            <w:r>
              <w:rPr>
                <w:b/>
                <w:bCs/>
                <w:lang w:val="en-US" w:eastAsia="zh-CN"/>
              </w:rPr>
              <w:t>业务场景</w:t>
            </w:r>
            <w:r>
              <w:rPr>
                <w:lang w:val="en-US" w:eastAsia="zh-CN"/>
              </w:rPr>
              <w:t>：面向系统管理员进行平台账号体系规范化管控场景，统一维护全平台操作人员账号信息、账号状态与归属权限，保障后台配置入口安全可控。</w:t>
            </w:r>
          </w:p>
          <w:p w14:paraId="24910A3E">
            <w:pPr>
              <w:pStyle w:val="19"/>
              <w:bidi w:val="0"/>
              <w:ind w:left="0" w:leftChars="0" w:firstLine="0" w:firstLineChars="0"/>
            </w:pPr>
            <w:r>
              <w:rPr>
                <w:b/>
                <w:bCs/>
                <w:lang w:val="en-US" w:eastAsia="zh-CN"/>
              </w:rPr>
              <w:t>用户故事</w:t>
            </w:r>
            <w:r>
              <w:rPr>
                <w:lang w:val="en-US" w:eastAsia="zh-CN"/>
              </w:rPr>
              <w:t>：</w:t>
            </w:r>
          </w:p>
          <w:p w14:paraId="4431981E">
            <w:pPr>
              <w:pStyle w:val="19"/>
              <w:bidi w:val="0"/>
            </w:pPr>
            <w:r>
              <w:rPr>
                <w:lang w:val="en-US" w:eastAsia="zh-CN"/>
              </w:rPr>
              <w:t>As a 系统管理员 (Persona PM)，</w:t>
            </w:r>
          </w:p>
          <w:p w14:paraId="46AED607">
            <w:pPr>
              <w:pStyle w:val="19"/>
              <w:bidi w:val="0"/>
            </w:pPr>
            <w:r>
              <w:rPr>
                <w:lang w:val="en-US" w:eastAsia="zh-CN"/>
              </w:rPr>
              <w:t>I want 统一维护平台所有用户账号、启停状态与基础信息，实现账号全生命周期管控，</w:t>
            </w:r>
          </w:p>
          <w:p w14:paraId="553F43BB">
            <w:pPr>
              <w:pStyle w:val="19"/>
              <w:bidi w:val="0"/>
            </w:pPr>
            <w:r>
              <w:rPr>
                <w:lang w:val="en-US" w:eastAsia="zh-CN"/>
              </w:rPr>
              <w:t>So that 我能规范平台访问权限准入，保障能碳系统后台配置安全、权责可追溯。</w:t>
            </w:r>
          </w:p>
        </w:tc>
      </w:tr>
    </w:tbl>
    <w:p w14:paraId="742D9DAE"/>
    <w:p w14:paraId="5B448A63">
      <w:pPr>
        <w:pStyle w:val="6"/>
        <w:numPr>
          <w:ilvl w:val="0"/>
          <w:numId w:val="203"/>
        </w:numPr>
        <w:bidi w:val="0"/>
        <w:ind w:left="0" w:leftChars="0" w:firstLine="0" w:firstLineChars="0"/>
        <w:rPr>
          <w:b w:val="0"/>
          <w:bCs w:val="0"/>
          <w:sz w:val="28"/>
          <w:szCs w:val="28"/>
        </w:rPr>
      </w:pPr>
      <w:r>
        <w:rPr>
          <w:b w:val="0"/>
          <w:bCs w:val="0"/>
          <w:sz w:val="28"/>
          <w:szCs w:val="28"/>
        </w:rPr>
        <w:t>功能规格与交互契约</w:t>
      </w:r>
    </w:p>
    <w:tbl>
      <w:tblPr>
        <w:tblStyle w:val="38"/>
        <w:tblW w:w="0" w:type="auto"/>
        <w:jc w:val="center"/>
        <w:tblBorders>
          <w:top w:val="none" w:color="auto" w:sz="0" w:space="0"/>
          <w:left w:val="single" w:color="EE822F" w:themeColor="accent2"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645B3F55">
        <w:tblPrEx>
          <w:tblBorders>
            <w:top w:val="none" w:color="auto" w:sz="0" w:space="0"/>
            <w:left w:val="single" w:color="EE822F" w:themeColor="accent2"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tcPr>
          <w:p w14:paraId="1CC48697">
            <w:pPr>
              <w:pStyle w:val="19"/>
              <w:numPr>
                <w:ilvl w:val="0"/>
                <w:numId w:val="204"/>
              </w:numPr>
              <w:bidi w:val="0"/>
              <w:ind w:left="0" w:leftChars="0" w:firstLine="439" w:firstLineChars="183"/>
              <w:rPr>
                <w:rFonts w:hint="default" w:eastAsia="宋体"/>
                <w:lang w:val="en-US" w:eastAsia="zh-CN"/>
              </w:rPr>
            </w:pPr>
            <w:r>
              <w:rPr>
                <w:rFonts w:hint="eastAsia"/>
                <w:lang w:val="en-US" w:eastAsia="zh-CN"/>
              </w:rPr>
              <w:t>选择查询条件，点击“查询”按钮后可在列表中显示数据；</w:t>
            </w:r>
          </w:p>
          <w:p w14:paraId="35C7EBBE">
            <w:pPr>
              <w:pStyle w:val="19"/>
              <w:numPr>
                <w:ilvl w:val="0"/>
                <w:numId w:val="204"/>
              </w:numPr>
              <w:bidi w:val="0"/>
              <w:ind w:left="0" w:leftChars="0" w:firstLine="439" w:firstLineChars="183"/>
              <w:rPr>
                <w:rFonts w:hint="default" w:eastAsia="宋体"/>
                <w:lang w:val="en-US" w:eastAsia="zh-CN"/>
              </w:rPr>
            </w:pPr>
            <w:r>
              <w:rPr>
                <w:rFonts w:hint="eastAsia"/>
                <w:lang w:val="en-US" w:eastAsia="zh-CN"/>
              </w:rPr>
              <w:t>点击【新增用户】后打开新增用户弹窗；</w:t>
            </w:r>
          </w:p>
          <w:p w14:paraId="36AD5A15">
            <w:pPr>
              <w:pStyle w:val="19"/>
              <w:numPr>
                <w:ilvl w:val="0"/>
                <w:numId w:val="204"/>
              </w:numPr>
              <w:bidi w:val="0"/>
              <w:ind w:left="0" w:leftChars="0" w:firstLine="439" w:firstLineChars="183"/>
              <w:rPr>
                <w:rFonts w:hint="default" w:eastAsia="宋体"/>
                <w:lang w:val="en-US" w:eastAsia="zh-CN"/>
              </w:rPr>
            </w:pPr>
            <w:r>
              <w:rPr>
                <w:rFonts w:hint="eastAsia"/>
                <w:lang w:val="en-US" w:eastAsia="zh-CN"/>
              </w:rPr>
              <w:t>点击【编辑】按钮，打开编辑用户弹窗；</w:t>
            </w:r>
          </w:p>
          <w:p w14:paraId="28CF4D6B">
            <w:pPr>
              <w:pStyle w:val="19"/>
              <w:numPr>
                <w:ilvl w:val="0"/>
                <w:numId w:val="204"/>
              </w:numPr>
              <w:bidi w:val="0"/>
              <w:ind w:left="0" w:leftChars="0" w:firstLine="439" w:firstLineChars="183"/>
              <w:rPr>
                <w:rFonts w:hint="default" w:eastAsia="宋体"/>
                <w:lang w:val="en-US" w:eastAsia="zh-CN"/>
              </w:rPr>
            </w:pPr>
            <w:r>
              <w:rPr>
                <w:rFonts w:hint="eastAsia"/>
                <w:lang w:val="en-US" w:eastAsia="zh-CN"/>
              </w:rPr>
              <w:t>点击【重置密码】，打开重置密码提示窗口，点击取消关闭弹窗，点击确认即可修改该用户登录密码；</w:t>
            </w:r>
          </w:p>
          <w:p w14:paraId="0440118D">
            <w:pPr>
              <w:pStyle w:val="19"/>
              <w:numPr>
                <w:ilvl w:val="0"/>
                <w:numId w:val="204"/>
              </w:numPr>
              <w:bidi w:val="0"/>
              <w:ind w:left="0" w:leftChars="0" w:firstLine="439" w:firstLineChars="183"/>
              <w:rPr>
                <w:rFonts w:hint="default" w:eastAsia="宋体"/>
                <w:lang w:val="en-US" w:eastAsia="zh-CN"/>
              </w:rPr>
            </w:pPr>
            <w:r>
              <w:rPr>
                <w:rFonts w:hint="eastAsia"/>
                <w:lang w:val="en-US" w:eastAsia="zh-CN"/>
              </w:rPr>
              <w:t>点击【停用】按钮，打开弹窗确认窗口，点击取消关闭弹窗，点击确认将修改用户状态；</w:t>
            </w:r>
          </w:p>
        </w:tc>
      </w:tr>
    </w:tbl>
    <w:p w14:paraId="56631379"/>
    <w:p w14:paraId="5E613F1B">
      <w:pPr>
        <w:pStyle w:val="6"/>
        <w:numPr>
          <w:ilvl w:val="0"/>
          <w:numId w:val="203"/>
        </w:numPr>
        <w:bidi w:val="0"/>
        <w:ind w:left="0" w:leftChars="0" w:firstLine="0" w:firstLineChars="0"/>
        <w:rPr>
          <w:b w:val="0"/>
          <w:bCs w:val="0"/>
          <w:sz w:val="28"/>
          <w:szCs w:val="28"/>
        </w:rPr>
      </w:pPr>
      <w:r>
        <w:rPr>
          <w:b w:val="0"/>
          <w:bCs w:val="0"/>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89"/>
        <w:gridCol w:w="1738"/>
        <w:gridCol w:w="1468"/>
        <w:gridCol w:w="1210"/>
        <w:gridCol w:w="4479"/>
      </w:tblGrid>
      <w:tr w14:paraId="4C2A86DA">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C06F346">
            <w:pPr>
              <w:pStyle w:val="19"/>
              <w:bidi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7CE4B32">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字段中文名称</w:t>
            </w:r>
          </w:p>
        </w:tc>
        <w:tc>
          <w:tcPr>
            <w:tcW w:w="146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08258E9">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C7EE090">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工程单位</w:t>
            </w:r>
          </w:p>
        </w:tc>
        <w:tc>
          <w:tcPr>
            <w:tcW w:w="447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DB68838">
            <w:pPr>
              <w:pStyle w:val="19"/>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校验与约束规则</w:t>
            </w:r>
          </w:p>
        </w:tc>
      </w:tr>
      <w:tr w14:paraId="4A4DC8D1">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58EE39C">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2EFB306">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姓名</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1BFC5ED">
            <w:pPr>
              <w:pStyle w:val="19"/>
              <w:bidi w:val="0"/>
              <w:spacing w:line="240" w:lineRule="auto"/>
              <w:ind w:left="0" w:leftChars="0" w:right="0" w:rightChars="0" w:firstLine="0" w:firstLineChars="0"/>
              <w:jc w:val="both"/>
              <w:rPr>
                <w:rFonts w:hint="eastAsia" w:ascii="宋体" w:hAnsi="宋体" w:eastAsia="宋体" w:cs="宋体"/>
                <w:sz w:val="24"/>
                <w:szCs w:val="24"/>
              </w:rPr>
            </w:pP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E0CDE19">
            <w:pPr>
              <w:pStyle w:val="19"/>
              <w:bidi w:val="0"/>
              <w:spacing w:line="240" w:lineRule="auto"/>
              <w:ind w:left="0" w:leftChars="0" w:right="0" w:rightChars="0" w:firstLine="0" w:firstLineChars="0"/>
              <w:jc w:val="both"/>
              <w:rPr>
                <w:rFonts w:hint="eastAsia" w:ascii="宋体" w:hAnsi="宋体" w:eastAsia="宋体" w:cs="宋体"/>
                <w:sz w:val="24"/>
                <w:szCs w:val="24"/>
              </w:rPr>
            </w:pP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4D959A5">
            <w:pPr>
              <w:pStyle w:val="19"/>
              <w:bidi w:val="0"/>
              <w:spacing w:line="240" w:lineRule="auto"/>
              <w:ind w:left="0" w:leftChars="0" w:right="0" w:rightChars="0" w:firstLine="0" w:firstLineChars="0"/>
              <w:jc w:val="both"/>
              <w:rPr>
                <w:rFonts w:hint="eastAsia" w:ascii="宋体" w:hAnsi="宋体" w:eastAsia="宋体" w:cs="宋体"/>
                <w:sz w:val="24"/>
                <w:szCs w:val="24"/>
              </w:rPr>
            </w:pPr>
          </w:p>
        </w:tc>
      </w:tr>
      <w:tr w14:paraId="3BD4BFC1">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F6A3245">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15F933A">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账号</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F22F94A">
            <w:pPr>
              <w:pStyle w:val="19"/>
              <w:bidi w:val="0"/>
              <w:spacing w:line="240" w:lineRule="auto"/>
              <w:ind w:left="0" w:leftChars="0" w:right="0" w:rightChars="0" w:firstLine="0" w:firstLineChars="0"/>
              <w:jc w:val="both"/>
              <w:rPr>
                <w:rFonts w:hint="eastAsia" w:ascii="宋体" w:hAnsi="宋体" w:eastAsia="宋体" w:cs="宋体"/>
                <w:sz w:val="24"/>
                <w:szCs w:val="24"/>
              </w:rPr>
            </w:pP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117E930">
            <w:pPr>
              <w:pStyle w:val="19"/>
              <w:bidi w:val="0"/>
              <w:spacing w:line="240" w:lineRule="auto"/>
              <w:ind w:left="0" w:leftChars="0" w:right="0" w:rightChars="0" w:firstLine="0" w:firstLineChars="0"/>
              <w:jc w:val="both"/>
              <w:rPr>
                <w:rFonts w:hint="eastAsia" w:ascii="宋体" w:hAnsi="宋体" w:eastAsia="宋体" w:cs="宋体"/>
                <w:sz w:val="24"/>
                <w:szCs w:val="24"/>
              </w:rPr>
            </w:pP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6AB2533">
            <w:pPr>
              <w:pStyle w:val="19"/>
              <w:bidi w:val="0"/>
              <w:spacing w:line="240" w:lineRule="auto"/>
              <w:ind w:left="0" w:leftChars="0" w:right="0" w:rightChars="0" w:firstLine="0" w:firstLineChars="0"/>
              <w:jc w:val="both"/>
              <w:rPr>
                <w:rFonts w:hint="eastAsia" w:ascii="宋体" w:hAnsi="宋体" w:eastAsia="宋体" w:cs="宋体"/>
                <w:sz w:val="24"/>
                <w:szCs w:val="24"/>
              </w:rPr>
            </w:pPr>
          </w:p>
        </w:tc>
      </w:tr>
      <w:tr w14:paraId="7D9FF832">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F3CCBEB">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45B9009">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角色</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280E5B1">
            <w:pPr>
              <w:pStyle w:val="19"/>
              <w:bidi w:val="0"/>
              <w:spacing w:line="240" w:lineRule="auto"/>
              <w:ind w:left="0" w:leftChars="0" w:right="0" w:rightChars="0" w:firstLine="0" w:firstLineChars="0"/>
              <w:jc w:val="both"/>
              <w:rPr>
                <w:rFonts w:hint="eastAsia" w:ascii="宋体" w:hAnsi="宋体" w:eastAsia="宋体" w:cs="宋体"/>
                <w:sz w:val="24"/>
                <w:szCs w:val="24"/>
              </w:rPr>
            </w:pP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69FA9BF">
            <w:pPr>
              <w:pStyle w:val="19"/>
              <w:bidi w:val="0"/>
              <w:spacing w:line="240" w:lineRule="auto"/>
              <w:ind w:left="0" w:leftChars="0" w:right="0" w:rightChars="0" w:firstLine="0" w:firstLineChars="0"/>
              <w:jc w:val="both"/>
              <w:rPr>
                <w:rFonts w:hint="eastAsia" w:ascii="宋体" w:hAnsi="宋体" w:eastAsia="宋体" w:cs="宋体"/>
                <w:sz w:val="24"/>
                <w:szCs w:val="24"/>
              </w:rPr>
            </w:pP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BC0195C">
            <w:pPr>
              <w:pStyle w:val="19"/>
              <w:bidi w:val="0"/>
              <w:spacing w:line="240" w:lineRule="auto"/>
              <w:ind w:left="0" w:leftChars="0" w:right="0" w:rightChars="0" w:firstLine="0" w:firstLineChars="0"/>
              <w:jc w:val="both"/>
              <w:rPr>
                <w:rFonts w:hint="eastAsia" w:ascii="宋体" w:hAnsi="宋体" w:eastAsia="宋体" w:cs="宋体"/>
                <w:sz w:val="24"/>
                <w:szCs w:val="24"/>
              </w:rPr>
            </w:pPr>
          </w:p>
        </w:tc>
      </w:tr>
      <w:tr w14:paraId="0C27D458">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B587607">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F6C8CBE">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所属机构</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4CB5682">
            <w:pPr>
              <w:pStyle w:val="19"/>
              <w:bidi w:val="0"/>
              <w:spacing w:line="240" w:lineRule="auto"/>
              <w:ind w:left="0" w:leftChars="0" w:right="0" w:rightChars="0" w:firstLine="0" w:firstLineChars="0"/>
              <w:jc w:val="both"/>
              <w:rPr>
                <w:rFonts w:hint="eastAsia" w:ascii="宋体" w:hAnsi="宋体" w:eastAsia="宋体" w:cs="宋体"/>
                <w:sz w:val="24"/>
                <w:szCs w:val="24"/>
              </w:rPr>
            </w:pP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6922573">
            <w:pPr>
              <w:pStyle w:val="19"/>
              <w:bidi w:val="0"/>
              <w:spacing w:line="240" w:lineRule="auto"/>
              <w:ind w:left="0" w:leftChars="0" w:right="0" w:rightChars="0" w:firstLine="0" w:firstLineChars="0"/>
              <w:jc w:val="both"/>
              <w:rPr>
                <w:rFonts w:hint="eastAsia" w:ascii="宋体" w:hAnsi="宋体" w:eastAsia="宋体" w:cs="宋体"/>
                <w:sz w:val="24"/>
                <w:szCs w:val="24"/>
              </w:rPr>
            </w:pP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C299529">
            <w:pPr>
              <w:pStyle w:val="19"/>
              <w:bidi w:val="0"/>
              <w:spacing w:line="240" w:lineRule="auto"/>
              <w:ind w:left="0" w:leftChars="0" w:right="0" w:rightChars="0" w:firstLine="0" w:firstLineChars="0"/>
              <w:jc w:val="both"/>
              <w:rPr>
                <w:rFonts w:hint="eastAsia" w:ascii="宋体" w:hAnsi="宋体" w:eastAsia="宋体" w:cs="宋体"/>
                <w:sz w:val="24"/>
                <w:szCs w:val="24"/>
              </w:rPr>
            </w:pPr>
          </w:p>
        </w:tc>
      </w:tr>
      <w:tr w14:paraId="4539B1C8">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C99DB5B">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78DF9C2">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数据范围</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491BF33">
            <w:pPr>
              <w:pStyle w:val="19"/>
              <w:bidi w:val="0"/>
              <w:spacing w:line="240" w:lineRule="auto"/>
              <w:ind w:left="0" w:leftChars="0" w:right="0" w:rightChars="0" w:firstLine="0" w:firstLineChars="0"/>
              <w:jc w:val="both"/>
              <w:rPr>
                <w:rFonts w:hint="eastAsia" w:ascii="宋体" w:hAnsi="宋体" w:eastAsia="宋体" w:cs="宋体"/>
                <w:sz w:val="24"/>
                <w:szCs w:val="24"/>
              </w:rPr>
            </w:pP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7FA1EA9">
            <w:pPr>
              <w:pStyle w:val="19"/>
              <w:bidi w:val="0"/>
              <w:spacing w:line="240" w:lineRule="auto"/>
              <w:ind w:left="0" w:leftChars="0" w:right="0" w:rightChars="0" w:firstLine="0" w:firstLineChars="0"/>
              <w:jc w:val="both"/>
              <w:rPr>
                <w:rFonts w:hint="eastAsia" w:ascii="宋体" w:hAnsi="宋体" w:eastAsia="宋体" w:cs="宋体"/>
                <w:sz w:val="24"/>
                <w:szCs w:val="24"/>
              </w:rPr>
            </w:pP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4F0E6F1">
            <w:pPr>
              <w:pStyle w:val="19"/>
              <w:bidi w:val="0"/>
              <w:spacing w:line="240" w:lineRule="auto"/>
              <w:ind w:left="0" w:leftChars="0" w:right="0" w:rightChars="0" w:firstLine="0" w:firstLineChars="0"/>
              <w:jc w:val="both"/>
              <w:rPr>
                <w:rFonts w:hint="eastAsia" w:ascii="宋体" w:hAnsi="宋体" w:eastAsia="宋体" w:cs="宋体"/>
                <w:sz w:val="24"/>
                <w:szCs w:val="24"/>
              </w:rPr>
            </w:pPr>
          </w:p>
        </w:tc>
      </w:tr>
      <w:tr w14:paraId="0D1C529F">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C043FF5">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63CF932">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手机号</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C56FBC0">
            <w:pPr>
              <w:pStyle w:val="19"/>
              <w:bidi w:val="0"/>
              <w:spacing w:line="240" w:lineRule="auto"/>
              <w:ind w:left="0" w:leftChars="0" w:right="0" w:rightChars="0" w:firstLine="0" w:firstLineChars="0"/>
              <w:jc w:val="both"/>
              <w:rPr>
                <w:rFonts w:hint="eastAsia" w:ascii="宋体" w:hAnsi="宋体" w:eastAsia="宋体" w:cs="宋体"/>
                <w:sz w:val="24"/>
                <w:szCs w:val="24"/>
              </w:rPr>
            </w:pP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C264766">
            <w:pPr>
              <w:pStyle w:val="19"/>
              <w:bidi w:val="0"/>
              <w:spacing w:line="240" w:lineRule="auto"/>
              <w:ind w:left="0" w:leftChars="0" w:right="0" w:rightChars="0" w:firstLine="0" w:firstLineChars="0"/>
              <w:jc w:val="both"/>
              <w:rPr>
                <w:rFonts w:hint="eastAsia" w:ascii="宋体" w:hAnsi="宋体" w:eastAsia="宋体" w:cs="宋体"/>
                <w:sz w:val="24"/>
                <w:szCs w:val="24"/>
              </w:rPr>
            </w:pP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0327110">
            <w:pPr>
              <w:pStyle w:val="19"/>
              <w:bidi w:val="0"/>
              <w:spacing w:line="240" w:lineRule="auto"/>
              <w:ind w:left="0" w:leftChars="0" w:right="0" w:rightChars="0" w:firstLine="0" w:firstLineChars="0"/>
              <w:jc w:val="both"/>
              <w:rPr>
                <w:rFonts w:hint="eastAsia" w:ascii="宋体" w:hAnsi="宋体" w:eastAsia="宋体" w:cs="宋体"/>
                <w:sz w:val="24"/>
                <w:szCs w:val="24"/>
              </w:rPr>
            </w:pPr>
          </w:p>
        </w:tc>
      </w:tr>
      <w:tr w14:paraId="1966E27A">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B588439">
            <w:pPr>
              <w:pStyle w:val="19"/>
              <w:bidi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966DA07">
            <w:pPr>
              <w:bidi w:val="0"/>
              <w:spacing w:line="240" w:lineRule="auto"/>
              <w:ind w:left="0" w:leftChars="0" w:right="0" w:rightChars="0" w:firstLine="0" w:firstLineChars="0"/>
              <w:jc w:val="both"/>
              <w:rPr>
                <w:rFonts w:hint="eastAsia" w:ascii="宋体" w:hAnsi="宋体" w:eastAsia="宋体" w:cs="宋体"/>
                <w:sz w:val="24"/>
                <w:szCs w:val="24"/>
              </w:rPr>
            </w:pPr>
            <w:r>
              <w:rPr>
                <w:rFonts w:hint="eastAsia" w:ascii="宋体" w:hAnsi="宋体" w:eastAsia="宋体" w:cs="宋体"/>
                <w:sz w:val="24"/>
                <w:szCs w:val="24"/>
              </w:rPr>
              <w:t>状态</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039CAFE">
            <w:pPr>
              <w:pStyle w:val="19"/>
              <w:bidi w:val="0"/>
              <w:spacing w:line="240" w:lineRule="auto"/>
              <w:ind w:left="0" w:leftChars="0" w:right="0" w:rightChars="0" w:firstLine="0" w:firstLineChars="0"/>
              <w:jc w:val="both"/>
              <w:rPr>
                <w:rFonts w:hint="eastAsia" w:ascii="宋体" w:hAnsi="宋体" w:eastAsia="宋体" w:cs="宋体"/>
                <w:sz w:val="24"/>
                <w:szCs w:val="24"/>
              </w:rPr>
            </w:pP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92F3DBF">
            <w:pPr>
              <w:pStyle w:val="19"/>
              <w:bidi w:val="0"/>
              <w:spacing w:line="240" w:lineRule="auto"/>
              <w:ind w:left="0" w:leftChars="0" w:right="0" w:rightChars="0" w:firstLine="0" w:firstLineChars="0"/>
              <w:jc w:val="both"/>
              <w:rPr>
                <w:rFonts w:hint="eastAsia" w:ascii="宋体" w:hAnsi="宋体" w:eastAsia="宋体" w:cs="宋体"/>
                <w:sz w:val="24"/>
                <w:szCs w:val="24"/>
              </w:rPr>
            </w:pP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0E111D8">
            <w:pPr>
              <w:pStyle w:val="19"/>
              <w:bidi w:val="0"/>
              <w:spacing w:line="240" w:lineRule="auto"/>
              <w:ind w:left="0" w:leftChars="0" w:right="0" w:rightChars="0" w:firstLine="0" w:firstLineChars="0"/>
              <w:jc w:val="both"/>
              <w:rPr>
                <w:rFonts w:hint="eastAsia" w:ascii="宋体" w:hAnsi="宋体" w:eastAsia="宋体" w:cs="宋体"/>
                <w:sz w:val="24"/>
                <w:szCs w:val="24"/>
              </w:rPr>
            </w:pPr>
          </w:p>
        </w:tc>
      </w:tr>
    </w:tbl>
    <w:p w14:paraId="4C649F22">
      <w:pPr>
        <w:pStyle w:val="19"/>
        <w:bidi w:val="0"/>
      </w:pPr>
    </w:p>
    <w:p w14:paraId="71BBE817">
      <w:pPr>
        <w:pStyle w:val="6"/>
        <w:numPr>
          <w:ilvl w:val="0"/>
          <w:numId w:val="203"/>
        </w:numPr>
        <w:bidi w:val="0"/>
        <w:ind w:left="0" w:leftChars="0" w:firstLine="0" w:firstLineChars="0"/>
        <w:rPr>
          <w:b w:val="0"/>
          <w:bCs w:val="0"/>
          <w:sz w:val="28"/>
          <w:szCs w:val="28"/>
        </w:rPr>
      </w:pPr>
      <w:r>
        <w:rPr>
          <w:b w:val="0"/>
          <w:bCs w:val="0"/>
          <w:sz w:val="28"/>
          <w:szCs w:val="28"/>
        </w:rPr>
        <w:t>核心数学模型与算法框架</w:t>
      </w:r>
    </w:p>
    <w:tbl>
      <w:tblPr>
        <w:tblStyle w:val="38"/>
        <w:tblW w:w="0" w:type="auto"/>
        <w:jc w:val="center"/>
        <w:tblLayout w:type="fixed"/>
        <w:tblCellMar>
          <w:top w:w="0" w:type="dxa"/>
          <w:left w:w="108" w:type="dxa"/>
          <w:bottom w:w="0" w:type="dxa"/>
          <w:right w:w="108" w:type="dxa"/>
        </w:tblCellMar>
      </w:tblPr>
      <w:tblGrid>
        <w:gridCol w:w="9648"/>
      </w:tblGrid>
      <w:tr w14:paraId="6107EB94">
        <w:tblPrEx>
          <w:tblCellMar>
            <w:top w:w="0" w:type="dxa"/>
            <w:left w:w="108" w:type="dxa"/>
            <w:bottom w:w="0" w:type="dxa"/>
            <w:right w:w="108" w:type="dxa"/>
          </w:tblCellMar>
        </w:tblPrEx>
        <w:trPr>
          <w:jc w:val="center"/>
        </w:trPr>
        <w:tc>
          <w:tcPr>
            <w:tcW w:w="9648" w:type="dxa"/>
            <w:tcBorders>
              <w:top w:val="nil"/>
              <w:left w:val="single" w:color="16A34A" w:sz="24" w:space="0"/>
              <w:bottom w:val="nil"/>
              <w:right w:val="nil"/>
            </w:tcBorders>
            <w:shd w:val="clear" w:color="auto" w:fill="F0FDF4"/>
            <w:tcMar>
              <w:top w:w="70" w:type="dxa"/>
              <w:left w:w="100" w:type="dxa"/>
              <w:bottom w:w="70" w:type="dxa"/>
              <w:right w:w="100" w:type="dxa"/>
            </w:tcMar>
          </w:tcPr>
          <w:p w14:paraId="388CB8A2">
            <w:pPr>
              <w:pStyle w:val="19"/>
              <w:bidi w:val="0"/>
            </w:pPr>
            <w:r>
              <w:rPr>
                <w:rFonts w:hint="eastAsia"/>
                <w:lang w:val="en-US" w:eastAsia="zh-CN"/>
              </w:rPr>
              <w:t>无</w:t>
            </w:r>
          </w:p>
        </w:tc>
      </w:tr>
    </w:tbl>
    <w:p w14:paraId="7C091B1D">
      <w:pPr>
        <w:pStyle w:val="19"/>
        <w:bidi w:val="0"/>
      </w:pPr>
    </w:p>
    <w:p w14:paraId="352DAECE">
      <w:pPr>
        <w:pStyle w:val="6"/>
        <w:numPr>
          <w:ilvl w:val="0"/>
          <w:numId w:val="203"/>
        </w:numPr>
        <w:bidi w:val="0"/>
        <w:ind w:left="0" w:leftChars="0" w:firstLine="0" w:firstLineChars="0"/>
        <w:rPr>
          <w:b w:val="0"/>
          <w:bCs w:val="0"/>
          <w:sz w:val="28"/>
          <w:szCs w:val="28"/>
        </w:rPr>
      </w:pPr>
      <w:r>
        <w:rPr>
          <w:b w:val="0"/>
          <w:bCs w:val="0"/>
          <w:sz w:val="28"/>
          <w:szCs w:val="28"/>
        </w:rPr>
        <w:t>展示、对标与判定口径</w:t>
      </w:r>
    </w:p>
    <w:tbl>
      <w:tblPr>
        <w:tblStyle w:val="38"/>
        <w:tblW w:w="0" w:type="auto"/>
        <w:jc w:val="center"/>
        <w:tblBorders>
          <w:top w:val="none" w:color="auto" w:sz="0" w:space="0"/>
          <w:left w:val="single" w:color="4874CB" w:themeColor="accent1"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63D04244">
        <w:tblPrEx>
          <w:tblBorders>
            <w:top w:val="none" w:color="auto" w:sz="0" w:space="0"/>
            <w:left w:val="single" w:color="4874CB" w:themeColor="accent1"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tcPr>
          <w:p w14:paraId="71DB41C4">
            <w:pPr>
              <w:pStyle w:val="19"/>
              <w:bidi w:val="0"/>
            </w:pPr>
          </w:p>
        </w:tc>
      </w:tr>
    </w:tbl>
    <w:p w14:paraId="16CDB224">
      <w:pPr>
        <w:pStyle w:val="19"/>
        <w:bidi w:val="0"/>
      </w:pPr>
    </w:p>
    <w:p w14:paraId="2F29CB15">
      <w:pPr>
        <w:pStyle w:val="6"/>
        <w:numPr>
          <w:ilvl w:val="0"/>
          <w:numId w:val="203"/>
        </w:numPr>
        <w:bidi w:val="0"/>
        <w:ind w:left="0" w:leftChars="0" w:firstLine="0" w:firstLineChars="0"/>
        <w:rPr>
          <w:b w:val="0"/>
          <w:bCs w:val="0"/>
          <w:sz w:val="28"/>
          <w:szCs w:val="28"/>
        </w:rPr>
      </w:pPr>
      <w:r>
        <w:rPr>
          <w:b w:val="0"/>
          <w:bCs w:val="0"/>
          <w:sz w:val="28"/>
          <w:szCs w:val="28"/>
        </w:rPr>
        <w:t>边界条件、异常处理与防错规则</w:t>
      </w:r>
    </w:p>
    <w:tbl>
      <w:tblPr>
        <w:tblStyle w:val="38"/>
        <w:tblW w:w="0" w:type="auto"/>
        <w:jc w:val="center"/>
        <w:tblBorders>
          <w:top w:val="none" w:color="auto" w:sz="0" w:space="0"/>
          <w:left w:val="single" w:color="E54C5E" w:themeColor="accent6"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4DFF9B5C">
        <w:tblPrEx>
          <w:tblBorders>
            <w:top w:val="none" w:color="auto" w:sz="0" w:space="0"/>
            <w:left w:val="single" w:color="E54C5E" w:themeColor="accent6"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5F3FF"/>
            <w:tcMar>
              <w:top w:w="70" w:type="dxa"/>
              <w:left w:w="100" w:type="dxa"/>
              <w:bottom w:w="70" w:type="dxa"/>
              <w:right w:w="100" w:type="dxa"/>
            </w:tcMar>
          </w:tcPr>
          <w:p w14:paraId="3E6A756C">
            <w:pPr>
              <w:pStyle w:val="19"/>
              <w:bidi w:val="0"/>
            </w:pPr>
          </w:p>
        </w:tc>
      </w:tr>
    </w:tbl>
    <w:p w14:paraId="46FB276C"/>
    <w:p w14:paraId="686C487E">
      <w:pPr>
        <w:pStyle w:val="6"/>
        <w:numPr>
          <w:ilvl w:val="0"/>
          <w:numId w:val="203"/>
        </w:numPr>
        <w:bidi w:val="0"/>
        <w:ind w:left="0" w:leftChars="0" w:firstLine="0" w:firstLineChars="0"/>
        <w:rPr>
          <w:b w:val="0"/>
          <w:bCs w:val="0"/>
          <w:sz w:val="28"/>
          <w:szCs w:val="28"/>
        </w:rPr>
      </w:pPr>
      <w:r>
        <w:rPr>
          <w:b w:val="0"/>
          <w:bCs w:val="0"/>
          <w:sz w:val="28"/>
          <w:szCs w:val="28"/>
        </w:rPr>
        <w:t>QA 自动化验收准则（Gherkin BDD）</w:t>
      </w:r>
    </w:p>
    <w:tbl>
      <w:tblPr>
        <w:tblStyle w:val="38"/>
        <w:tblW w:w="0" w:type="auto"/>
        <w:jc w:val="center"/>
        <w:tblLayout w:type="fixed"/>
        <w:tblCellMar>
          <w:top w:w="0" w:type="dxa"/>
          <w:left w:w="108" w:type="dxa"/>
          <w:bottom w:w="0" w:type="dxa"/>
          <w:right w:w="108" w:type="dxa"/>
        </w:tblCellMar>
      </w:tblPr>
      <w:tblGrid>
        <w:gridCol w:w="9648"/>
      </w:tblGrid>
      <w:tr w14:paraId="627707D2">
        <w:tblPrEx>
          <w:tblCellMar>
            <w:top w:w="0" w:type="dxa"/>
            <w:left w:w="108" w:type="dxa"/>
            <w:bottom w:w="0" w:type="dxa"/>
            <w:right w:w="108" w:type="dxa"/>
          </w:tblCellMar>
        </w:tblPrEx>
        <w:trPr>
          <w:jc w:val="center"/>
        </w:trPr>
        <w:tc>
          <w:tcPr>
            <w:tcW w:w="9648" w:type="dxa"/>
            <w:tcBorders>
              <w:top w:val="nil"/>
              <w:left w:val="single" w:color="7C3AED" w:sz="24" w:space="0"/>
              <w:bottom w:val="nil"/>
              <w:right w:val="nil"/>
            </w:tcBorders>
            <w:shd w:val="clear" w:color="auto" w:fill="F5F3FF"/>
            <w:tcMar>
              <w:top w:w="70" w:type="dxa"/>
              <w:left w:w="100" w:type="dxa"/>
              <w:bottom w:w="70" w:type="dxa"/>
              <w:right w:w="100" w:type="dxa"/>
            </w:tcMar>
          </w:tcPr>
          <w:p w14:paraId="7682089B">
            <w:pPr>
              <w:pStyle w:val="19"/>
              <w:bidi w:val="0"/>
            </w:pPr>
          </w:p>
        </w:tc>
      </w:tr>
    </w:tbl>
    <w:p w14:paraId="2D442BE4">
      <w:pPr>
        <w:rPr>
          <w:rFonts w:hint="default"/>
          <w:lang w:val="en-US" w:eastAsia="zh-CN"/>
        </w:rPr>
      </w:pPr>
    </w:p>
    <w:p w14:paraId="5F24CDC1">
      <w:pPr>
        <w:pStyle w:val="5"/>
        <w:numPr>
          <w:ilvl w:val="0"/>
          <w:numId w:val="200"/>
        </w:numPr>
        <w:ind w:left="0" w:leftChars="0" w:firstLine="0" w:firstLineChars="0"/>
        <w:outlineLvl w:val="1"/>
        <w:rPr>
          <w:rFonts w:hint="default" w:cs="Times New Roman"/>
          <w:b w:val="0"/>
          <w:bCs w:val="0"/>
          <w:sz w:val="30"/>
          <w:szCs w:val="24"/>
          <w:lang w:val="en-US" w:eastAsia="zh-CN"/>
        </w:rPr>
      </w:pPr>
      <w:bookmarkStart w:id="66" w:name="_Toc7452"/>
      <w:r>
        <w:rPr>
          <w:rFonts w:hint="eastAsia" w:cs="Times New Roman"/>
          <w:b w:val="0"/>
          <w:bCs w:val="0"/>
          <w:sz w:val="30"/>
          <w:szCs w:val="24"/>
          <w:lang w:val="en-US" w:eastAsia="zh-CN"/>
        </w:rPr>
        <w:t>角色与权限</w:t>
      </w:r>
      <w:bookmarkEnd w:id="66"/>
    </w:p>
    <w:p w14:paraId="5817164F">
      <w:r>
        <w:drawing>
          <wp:inline distT="0" distB="0" distL="114300" distR="114300">
            <wp:extent cx="5900420" cy="2925445"/>
            <wp:effectExtent l="0" t="0" r="5080" b="8255"/>
            <wp:docPr id="84"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39"/>
                    <pic:cNvPicPr>
                      <a:picLocks noChangeAspect="1"/>
                    </pic:cNvPicPr>
                  </pic:nvPicPr>
                  <pic:blipFill>
                    <a:blip r:embed="rId97"/>
                    <a:stretch>
                      <a:fillRect/>
                    </a:stretch>
                  </pic:blipFill>
                  <pic:spPr>
                    <a:xfrm>
                      <a:off x="0" y="0"/>
                      <a:ext cx="5900420" cy="2925445"/>
                    </a:xfrm>
                    <a:prstGeom prst="rect">
                      <a:avLst/>
                    </a:prstGeom>
                    <a:noFill/>
                    <a:ln>
                      <a:noFill/>
                    </a:ln>
                  </pic:spPr>
                </pic:pic>
              </a:graphicData>
            </a:graphic>
          </wp:inline>
        </w:drawing>
      </w:r>
    </w:p>
    <w:p w14:paraId="6B55FD41">
      <w:pPr>
        <w:pStyle w:val="6"/>
        <w:numPr>
          <w:ilvl w:val="0"/>
          <w:numId w:val="205"/>
        </w:numPr>
        <w:bidi w:val="0"/>
        <w:ind w:left="0" w:leftChars="0" w:firstLine="0" w:firstLineChars="0"/>
        <w:rPr>
          <w:b w:val="0"/>
          <w:bCs w:val="0"/>
          <w:sz w:val="28"/>
          <w:szCs w:val="28"/>
        </w:rPr>
      </w:pPr>
      <w:r>
        <w:rPr>
          <w:b w:val="0"/>
          <w:bCs w:val="0"/>
          <w:sz w:val="28"/>
          <w:szCs w:val="28"/>
        </w:rPr>
        <w:t>定位与架构角色</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3A8E5991">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tcPr>
          <w:p w14:paraId="236D2035">
            <w:pPr>
              <w:pStyle w:val="19"/>
              <w:bidi w:val="0"/>
              <w:ind w:left="0" w:leftChars="0" w:firstLine="0" w:firstLineChars="0"/>
              <w:rPr>
                <w:rFonts w:ascii="宋体" w:hAnsi="宋体" w:eastAsia="宋体" w:cs="宋体"/>
                <w:sz w:val="24"/>
                <w:szCs w:val="24"/>
              </w:rPr>
            </w:pPr>
            <w:r>
              <w:rPr>
                <w:rFonts w:ascii="宋体" w:hAnsi="宋体" w:eastAsia="宋体" w:cs="宋体"/>
                <w:b/>
                <w:bCs/>
                <w:sz w:val="24"/>
                <w:szCs w:val="24"/>
              </w:rPr>
              <w:t>・功能定位</w:t>
            </w:r>
            <w:r>
              <w:rPr>
                <w:rFonts w:ascii="宋体" w:hAnsi="宋体" w:eastAsia="宋体" w:cs="宋体"/>
                <w:sz w:val="24"/>
                <w:szCs w:val="24"/>
              </w:rPr>
              <w:t xml:space="preserve">：作为权限管控模块的权限规则配置中心，依托组织架构与用户账号基础数据，完成角色新建、角色数据范围定义、菜单及功能点权限分配，构建账号 - 角色 - 功能权限的关联关系，为全系统功能访问控制、操作权限隔离提供权限规则基准，是权限体系精细化管控的核心配置单元。 </w:t>
            </w:r>
          </w:p>
          <w:p w14:paraId="1DEF0B75">
            <w:pPr>
              <w:pStyle w:val="19"/>
              <w:bidi w:val="0"/>
              <w:ind w:left="0" w:leftChars="0" w:firstLine="0" w:firstLineChars="0"/>
              <w:rPr>
                <w:b w:val="0"/>
                <w:bCs w:val="0"/>
              </w:rPr>
            </w:pPr>
            <w:r>
              <w:rPr>
                <w:rFonts w:ascii="宋体" w:hAnsi="宋体" w:eastAsia="宋体" w:cs="宋体"/>
                <w:b/>
                <w:bCs/>
                <w:sz w:val="24"/>
                <w:szCs w:val="24"/>
              </w:rPr>
              <w:t>・承载角色</w:t>
            </w:r>
            <w:r>
              <w:rPr>
                <w:rFonts w:ascii="宋体" w:hAnsi="宋体" w:eastAsia="宋体" w:cs="宋体"/>
                <w:sz w:val="24"/>
                <w:szCs w:val="24"/>
              </w:rPr>
              <w:t>：PM 系统管理员（全量角色创建、权限项配置、角色信息维护）。</w:t>
            </w:r>
          </w:p>
        </w:tc>
      </w:tr>
    </w:tbl>
    <w:p w14:paraId="4929C822">
      <w:pPr>
        <w:rPr>
          <w:b w:val="0"/>
          <w:bCs w:val="0"/>
        </w:rPr>
      </w:pPr>
    </w:p>
    <w:p w14:paraId="77DC2785">
      <w:pPr>
        <w:pStyle w:val="6"/>
        <w:numPr>
          <w:ilvl w:val="0"/>
          <w:numId w:val="205"/>
        </w:numPr>
        <w:bidi w:val="0"/>
        <w:ind w:left="0" w:leftChars="0" w:firstLine="0" w:firstLineChars="0"/>
        <w:rPr>
          <w:b w:val="0"/>
          <w:bCs w:val="0"/>
          <w:sz w:val="28"/>
          <w:szCs w:val="28"/>
        </w:rPr>
      </w:pPr>
      <w:r>
        <w:rPr>
          <w:b w:val="0"/>
          <w:bCs w:val="0"/>
          <w:sz w:val="28"/>
          <w:szCs w:val="28"/>
        </w:rPr>
        <w:t>业务场景与用户故事</w:t>
      </w:r>
    </w:p>
    <w:tbl>
      <w:tblPr>
        <w:tblStyle w:val="38"/>
        <w:tblW w:w="0" w:type="auto"/>
        <w:jc w:val="center"/>
        <w:tblBorders>
          <w:top w:val="none" w:color="auto" w:sz="0" w:space="0"/>
          <w:left w:val="single" w:color="44546A" w:themeColor="text2"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41EB947C">
        <w:tblPrEx>
          <w:tblBorders>
            <w:top w:val="none" w:color="auto" w:sz="0" w:space="0"/>
            <w:left w:val="single" w:color="44546A" w:themeColor="text2"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tcPr>
          <w:p w14:paraId="66305003">
            <w:pPr>
              <w:pStyle w:val="19"/>
              <w:bidi w:val="0"/>
              <w:ind w:left="0" w:leftChars="0" w:firstLine="0" w:firstLineChars="0"/>
            </w:pPr>
            <w:r>
              <w:rPr>
                <w:b/>
                <w:bCs/>
                <w:lang w:val="en-US" w:eastAsia="zh-CN"/>
              </w:rPr>
              <w:t>业务场景</w:t>
            </w:r>
            <w:r>
              <w:rPr>
                <w:lang w:val="en-US" w:eastAsia="zh-CN"/>
              </w:rPr>
              <w:t>：面向系统管理员进行平台权限精细化配置场景，通过角色绑定菜单权限与数据权限，实现平台功能、数据的分级隔离管控。</w:t>
            </w:r>
          </w:p>
          <w:p w14:paraId="6500AAD6">
            <w:pPr>
              <w:pStyle w:val="19"/>
              <w:bidi w:val="0"/>
              <w:ind w:left="0" w:leftChars="0" w:firstLine="0" w:firstLineChars="0"/>
            </w:pPr>
            <w:r>
              <w:rPr>
                <w:b/>
                <w:bCs/>
                <w:lang w:val="en-US" w:eastAsia="zh-CN"/>
              </w:rPr>
              <w:t>用户故事</w:t>
            </w:r>
            <w:r>
              <w:rPr>
                <w:lang w:val="en-US" w:eastAsia="zh-CN"/>
              </w:rPr>
              <w:t>：</w:t>
            </w:r>
          </w:p>
          <w:p w14:paraId="09D4AEF8">
            <w:pPr>
              <w:pStyle w:val="19"/>
              <w:bidi w:val="0"/>
            </w:pPr>
            <w:r>
              <w:rPr>
                <w:lang w:val="en-US" w:eastAsia="zh-CN"/>
              </w:rPr>
              <w:t>As a 系统管理员 (Persona PM)，</w:t>
            </w:r>
          </w:p>
          <w:p w14:paraId="1CFEBEE1">
            <w:pPr>
              <w:pStyle w:val="19"/>
              <w:bidi w:val="0"/>
            </w:pPr>
            <w:r>
              <w:rPr>
                <w:lang w:val="en-US" w:eastAsia="zh-CN"/>
              </w:rPr>
              <w:t>I want 自定义系统角色、分配功能权限与园区工厂数据范围，完成权限精准配置，</w:t>
            </w:r>
          </w:p>
          <w:p w14:paraId="55070213">
            <w:pPr>
              <w:pStyle w:val="19"/>
              <w:bidi w:val="0"/>
            </w:pPr>
            <w:r>
              <w:rPr>
                <w:lang w:val="en-US" w:eastAsia="zh-CN"/>
              </w:rPr>
              <w:t>So that 我能实现不同岗位权限隔离，保障能碳数据、后台配置的安全性与规范性。</w:t>
            </w:r>
          </w:p>
        </w:tc>
      </w:tr>
    </w:tbl>
    <w:p w14:paraId="079A8645">
      <w:pPr>
        <w:rPr>
          <w:b w:val="0"/>
          <w:bCs w:val="0"/>
        </w:rPr>
      </w:pPr>
    </w:p>
    <w:p w14:paraId="3FEE9CCB">
      <w:pPr>
        <w:pStyle w:val="6"/>
        <w:numPr>
          <w:ilvl w:val="0"/>
          <w:numId w:val="205"/>
        </w:numPr>
        <w:bidi w:val="0"/>
        <w:ind w:left="0" w:leftChars="0" w:firstLine="0" w:firstLineChars="0"/>
        <w:rPr>
          <w:b w:val="0"/>
          <w:bCs w:val="0"/>
          <w:sz w:val="28"/>
          <w:szCs w:val="28"/>
        </w:rPr>
      </w:pPr>
      <w:r>
        <w:rPr>
          <w:b w:val="0"/>
          <w:bCs w:val="0"/>
          <w:sz w:val="28"/>
          <w:szCs w:val="28"/>
        </w:rPr>
        <w:t>功能规格与交互契约</w:t>
      </w:r>
    </w:p>
    <w:tbl>
      <w:tblPr>
        <w:tblStyle w:val="38"/>
        <w:tblW w:w="0" w:type="auto"/>
        <w:jc w:val="center"/>
        <w:tblBorders>
          <w:top w:val="none" w:color="auto" w:sz="0" w:space="0"/>
          <w:left w:val="single" w:color="EE822F" w:themeColor="accent2"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70E199C8">
        <w:tblPrEx>
          <w:tblBorders>
            <w:top w:val="none" w:color="auto" w:sz="0" w:space="0"/>
            <w:left w:val="single" w:color="EE822F" w:themeColor="accent2"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tcPr>
          <w:p w14:paraId="74E95453">
            <w:pPr>
              <w:pStyle w:val="19"/>
              <w:numPr>
                <w:ilvl w:val="0"/>
                <w:numId w:val="206"/>
              </w:numPr>
              <w:bidi w:val="0"/>
              <w:rPr>
                <w:rFonts w:hint="default" w:eastAsia="宋体"/>
                <w:b w:val="0"/>
                <w:bCs w:val="0"/>
                <w:lang w:val="en-US" w:eastAsia="zh-CN"/>
              </w:rPr>
            </w:pPr>
            <w:r>
              <w:rPr>
                <w:rFonts w:hint="eastAsia"/>
                <w:b w:val="0"/>
                <w:bCs w:val="0"/>
                <w:lang w:val="en-US" w:eastAsia="zh-CN"/>
              </w:rPr>
              <w:t>点击左侧【角色列表】，右侧显示该角色在【集控】【集采】【系统管理】平台中的用户权限；</w:t>
            </w:r>
          </w:p>
          <w:p w14:paraId="0BA9588D">
            <w:pPr>
              <w:pStyle w:val="19"/>
              <w:numPr>
                <w:ilvl w:val="0"/>
                <w:numId w:val="206"/>
              </w:numPr>
              <w:bidi w:val="0"/>
              <w:rPr>
                <w:rFonts w:hint="default" w:eastAsia="宋体"/>
                <w:b w:val="0"/>
                <w:bCs w:val="0"/>
                <w:lang w:val="en-US" w:eastAsia="zh-CN"/>
              </w:rPr>
            </w:pPr>
            <w:r>
              <w:rPr>
                <w:rFonts w:hint="eastAsia"/>
                <w:b w:val="0"/>
                <w:bCs w:val="0"/>
                <w:lang w:val="en-US" w:eastAsia="zh-CN"/>
              </w:rPr>
              <w:t>点击【新增角色】，打开新增角色弹窗；</w:t>
            </w:r>
          </w:p>
          <w:p w14:paraId="0CB9AA8A">
            <w:pPr>
              <w:pStyle w:val="19"/>
              <w:numPr>
                <w:ilvl w:val="0"/>
                <w:numId w:val="206"/>
              </w:numPr>
              <w:bidi w:val="0"/>
              <w:rPr>
                <w:rFonts w:hint="default" w:eastAsia="宋体"/>
                <w:b w:val="0"/>
                <w:bCs w:val="0"/>
                <w:lang w:val="en-US" w:eastAsia="zh-CN"/>
              </w:rPr>
            </w:pPr>
            <w:r>
              <w:rPr>
                <w:rFonts w:hint="eastAsia"/>
                <w:b w:val="0"/>
                <w:bCs w:val="0"/>
                <w:lang w:val="en-US" w:eastAsia="zh-CN"/>
              </w:rPr>
              <w:t>角色列表点击【编辑】按钮，打开角色的编辑窗口；</w:t>
            </w:r>
          </w:p>
          <w:p w14:paraId="49533A01">
            <w:pPr>
              <w:pStyle w:val="19"/>
              <w:numPr>
                <w:ilvl w:val="0"/>
                <w:numId w:val="206"/>
              </w:numPr>
              <w:bidi w:val="0"/>
              <w:rPr>
                <w:rFonts w:hint="default" w:eastAsia="宋体"/>
                <w:b w:val="0"/>
                <w:bCs w:val="0"/>
                <w:lang w:val="en-US" w:eastAsia="zh-CN"/>
              </w:rPr>
            </w:pPr>
            <w:r>
              <w:rPr>
                <w:rFonts w:hint="eastAsia"/>
                <w:b w:val="0"/>
                <w:bCs w:val="0"/>
                <w:lang w:val="en-US" w:eastAsia="zh-CN"/>
              </w:rPr>
              <w:t>右侧权限配置，可通过点击【产品碳足迹集采中心】、【零碳园区集控中心】、【系统管理平台】标签来切换平台的权限组织结构；</w:t>
            </w:r>
          </w:p>
          <w:p w14:paraId="75278440">
            <w:pPr>
              <w:pStyle w:val="19"/>
              <w:numPr>
                <w:ilvl w:val="0"/>
                <w:numId w:val="206"/>
              </w:numPr>
              <w:bidi w:val="0"/>
              <w:rPr>
                <w:rFonts w:hint="default" w:eastAsia="宋体"/>
                <w:b w:val="0"/>
                <w:bCs w:val="0"/>
                <w:lang w:val="en-US" w:eastAsia="zh-CN"/>
              </w:rPr>
            </w:pPr>
            <w:r>
              <w:rPr>
                <w:rFonts w:hint="eastAsia"/>
                <w:b w:val="0"/>
                <w:bCs w:val="0"/>
                <w:lang w:val="en-US" w:eastAsia="zh-CN"/>
              </w:rPr>
              <w:t>右上角点击【展开】和【折叠】按钮后用来控制权限配置模块一级菜单的折叠功能。</w:t>
            </w:r>
          </w:p>
          <w:p w14:paraId="54F73D37">
            <w:pPr>
              <w:pStyle w:val="19"/>
              <w:numPr>
                <w:ilvl w:val="0"/>
                <w:numId w:val="206"/>
              </w:numPr>
              <w:bidi w:val="0"/>
              <w:rPr>
                <w:rFonts w:hint="default" w:eastAsia="宋体"/>
                <w:b w:val="0"/>
                <w:bCs w:val="0"/>
                <w:lang w:val="en-US" w:eastAsia="zh-CN"/>
              </w:rPr>
            </w:pPr>
            <w:r>
              <w:rPr>
                <w:rFonts w:hint="eastAsia"/>
                <w:b w:val="0"/>
                <w:bCs w:val="0"/>
                <w:lang w:val="en-US" w:eastAsia="zh-CN"/>
              </w:rPr>
              <w:t>右上角点击【全选】和【清空】按钮后用来控制权限配置模块中所有权限的选择与取消动作；</w:t>
            </w:r>
          </w:p>
          <w:p w14:paraId="171F0078">
            <w:pPr>
              <w:pStyle w:val="19"/>
              <w:numPr>
                <w:ilvl w:val="0"/>
                <w:numId w:val="206"/>
              </w:numPr>
              <w:bidi w:val="0"/>
              <w:rPr>
                <w:rFonts w:hint="default" w:eastAsia="宋体"/>
                <w:b w:val="0"/>
                <w:bCs w:val="0"/>
                <w:lang w:val="en-US" w:eastAsia="zh-CN"/>
              </w:rPr>
            </w:pPr>
            <w:r>
              <w:rPr>
                <w:rFonts w:hint="eastAsia"/>
                <w:b w:val="0"/>
                <w:bCs w:val="0"/>
                <w:lang w:val="en-US" w:eastAsia="zh-CN"/>
              </w:rPr>
              <w:t>右上角点击【保存授权】保存当前角色所选中的权限；</w:t>
            </w:r>
          </w:p>
        </w:tc>
      </w:tr>
    </w:tbl>
    <w:p w14:paraId="1A1861B1">
      <w:pPr>
        <w:rPr>
          <w:b w:val="0"/>
          <w:bCs w:val="0"/>
        </w:rPr>
      </w:pPr>
    </w:p>
    <w:p w14:paraId="6805FF6B">
      <w:pPr>
        <w:pStyle w:val="6"/>
        <w:numPr>
          <w:ilvl w:val="0"/>
          <w:numId w:val="205"/>
        </w:numPr>
        <w:bidi w:val="0"/>
        <w:ind w:left="0" w:leftChars="0" w:firstLine="0" w:firstLineChars="0"/>
        <w:rPr>
          <w:b w:val="0"/>
          <w:bCs w:val="0"/>
          <w:sz w:val="28"/>
          <w:szCs w:val="28"/>
        </w:rPr>
      </w:pPr>
      <w:r>
        <w:rPr>
          <w:b w:val="0"/>
          <w:bCs w:val="0"/>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89"/>
        <w:gridCol w:w="1738"/>
        <w:gridCol w:w="1468"/>
        <w:gridCol w:w="1210"/>
        <w:gridCol w:w="4479"/>
      </w:tblGrid>
      <w:tr w14:paraId="6ECCF1CF">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BA3CECD">
            <w:pPr>
              <w:pStyle w:val="19"/>
              <w:bidi w:val="0"/>
              <w:spacing w:line="240" w:lineRule="auto"/>
              <w:ind w:left="0" w:leftChars="0" w:right="0" w:rightChars="0" w:firstLine="0" w:firstLineChars="0"/>
              <w:jc w:val="center"/>
              <w:rPr>
                <w:b w:val="0"/>
                <w:bCs w:val="0"/>
              </w:rPr>
            </w:pPr>
            <w:r>
              <w:rPr>
                <w:b w:val="0"/>
                <w:bCs w:val="0"/>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B8B2DF8">
            <w:pPr>
              <w:pStyle w:val="19"/>
              <w:bidi w:val="0"/>
              <w:spacing w:line="240" w:lineRule="auto"/>
              <w:ind w:left="0" w:leftChars="0" w:right="0" w:rightChars="0" w:firstLine="0" w:firstLineChars="0"/>
              <w:jc w:val="both"/>
              <w:rPr>
                <w:b w:val="0"/>
                <w:bCs w:val="0"/>
              </w:rPr>
            </w:pPr>
            <w:r>
              <w:rPr>
                <w:b w:val="0"/>
                <w:bCs w:val="0"/>
              </w:rPr>
              <w:t>字段中文名称</w:t>
            </w:r>
          </w:p>
        </w:tc>
        <w:tc>
          <w:tcPr>
            <w:tcW w:w="146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8AD0926">
            <w:pPr>
              <w:pStyle w:val="19"/>
              <w:bidi w:val="0"/>
              <w:spacing w:line="240" w:lineRule="auto"/>
              <w:ind w:left="0" w:leftChars="0" w:right="0" w:rightChars="0" w:firstLine="0" w:firstLineChars="0"/>
              <w:jc w:val="both"/>
              <w:rPr>
                <w:b w:val="0"/>
                <w:bCs w:val="0"/>
              </w:rPr>
            </w:pPr>
            <w:r>
              <w:rPr>
                <w:b w:val="0"/>
                <w:bCs w:val="0"/>
              </w:rPr>
              <w:t>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EBD34FC">
            <w:pPr>
              <w:pStyle w:val="19"/>
              <w:bidi w:val="0"/>
              <w:spacing w:line="240" w:lineRule="auto"/>
              <w:ind w:left="0" w:leftChars="0" w:right="0" w:rightChars="0" w:firstLine="0" w:firstLineChars="0"/>
              <w:jc w:val="both"/>
              <w:rPr>
                <w:b w:val="0"/>
                <w:bCs w:val="0"/>
              </w:rPr>
            </w:pPr>
            <w:r>
              <w:rPr>
                <w:b w:val="0"/>
                <w:bCs w:val="0"/>
              </w:rPr>
              <w:t>工程单位</w:t>
            </w:r>
          </w:p>
        </w:tc>
        <w:tc>
          <w:tcPr>
            <w:tcW w:w="447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0B63A01">
            <w:pPr>
              <w:pStyle w:val="19"/>
              <w:bidi w:val="0"/>
              <w:spacing w:line="240" w:lineRule="auto"/>
              <w:ind w:left="0" w:leftChars="0" w:right="0" w:rightChars="0" w:firstLine="0" w:firstLineChars="0"/>
              <w:jc w:val="both"/>
              <w:rPr>
                <w:b w:val="0"/>
                <w:bCs w:val="0"/>
              </w:rPr>
            </w:pPr>
            <w:r>
              <w:rPr>
                <w:b w:val="0"/>
                <w:bCs w:val="0"/>
              </w:rPr>
              <w:t>校验与约束规则</w:t>
            </w:r>
          </w:p>
        </w:tc>
      </w:tr>
      <w:tr w14:paraId="5D218BED">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C71A52C">
            <w:pPr>
              <w:pStyle w:val="19"/>
              <w:bidi w:val="0"/>
              <w:spacing w:line="240" w:lineRule="auto"/>
              <w:ind w:left="0" w:leftChars="0" w:right="0" w:rightChars="0" w:firstLine="0" w:firstLineChars="0"/>
              <w:jc w:val="center"/>
              <w:rPr>
                <w:rFonts w:hint="eastAsia" w:eastAsia="宋体"/>
                <w:b w:val="0"/>
                <w:bCs w:val="0"/>
                <w:lang w:val="en-US" w:eastAsia="zh-CN"/>
              </w:rPr>
            </w:pPr>
            <w:r>
              <w:rPr>
                <w:rFonts w:hint="eastAsia"/>
                <w:b w:val="0"/>
                <w:bCs w:val="0"/>
                <w:lang w:val="en-US" w:eastAsia="zh-CN"/>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4C956B8">
            <w:pPr>
              <w:pStyle w:val="19"/>
              <w:bidi w:val="0"/>
              <w:spacing w:line="240" w:lineRule="auto"/>
              <w:ind w:left="0" w:leftChars="0" w:right="0" w:rightChars="0" w:firstLine="0" w:firstLineChars="0"/>
              <w:jc w:val="both"/>
              <w:rPr>
                <w:rFonts w:hint="default" w:eastAsia="宋体"/>
                <w:b w:val="0"/>
                <w:bCs w:val="0"/>
                <w:lang w:val="en-US" w:eastAsia="zh-CN"/>
              </w:rPr>
            </w:pPr>
            <w:r>
              <w:rPr>
                <w:rFonts w:hint="eastAsia"/>
                <w:b w:val="0"/>
                <w:bCs w:val="0"/>
                <w:lang w:val="en-US" w:eastAsia="zh-CN"/>
              </w:rPr>
              <w:t>角色名称</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B7DA2DA">
            <w:pPr>
              <w:pStyle w:val="19"/>
              <w:bidi w:val="0"/>
              <w:spacing w:line="240" w:lineRule="auto"/>
              <w:ind w:left="0" w:leftChars="0" w:right="0" w:rightChars="0" w:firstLine="0" w:firstLineChars="0"/>
              <w:jc w:val="both"/>
              <w:rPr>
                <w:b w:val="0"/>
                <w:bCs w:val="0"/>
              </w:rPr>
            </w:pP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641CA15">
            <w:pPr>
              <w:pStyle w:val="19"/>
              <w:bidi w:val="0"/>
              <w:spacing w:line="240" w:lineRule="auto"/>
              <w:ind w:left="0" w:leftChars="0" w:right="0" w:rightChars="0" w:firstLine="0" w:firstLineChars="0"/>
              <w:jc w:val="both"/>
              <w:rPr>
                <w:b w:val="0"/>
                <w:bCs w:val="0"/>
              </w:rPr>
            </w:pP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21D55D6">
            <w:pPr>
              <w:pStyle w:val="19"/>
              <w:bidi w:val="0"/>
              <w:spacing w:line="240" w:lineRule="auto"/>
              <w:ind w:left="0" w:leftChars="0" w:right="0" w:rightChars="0" w:firstLine="0" w:firstLineChars="0"/>
              <w:jc w:val="both"/>
              <w:rPr>
                <w:b w:val="0"/>
                <w:bCs w:val="0"/>
              </w:rPr>
            </w:pPr>
          </w:p>
        </w:tc>
      </w:tr>
      <w:tr w14:paraId="52A64BD1">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1E0E970">
            <w:pPr>
              <w:pStyle w:val="19"/>
              <w:bidi w:val="0"/>
              <w:spacing w:line="240" w:lineRule="auto"/>
              <w:ind w:left="0" w:leftChars="0" w:right="0" w:rightChars="0" w:firstLine="0" w:firstLineChars="0"/>
              <w:jc w:val="center"/>
              <w:rPr>
                <w:rFonts w:hint="eastAsia" w:eastAsia="宋体"/>
                <w:b w:val="0"/>
                <w:bCs w:val="0"/>
                <w:lang w:val="en-US" w:eastAsia="zh-CN"/>
              </w:rPr>
            </w:pPr>
            <w:r>
              <w:rPr>
                <w:rFonts w:hint="eastAsia"/>
                <w:b w:val="0"/>
                <w:bCs w:val="0"/>
                <w:lang w:val="en-US" w:eastAsia="zh-CN"/>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1322A90">
            <w:pPr>
              <w:pStyle w:val="19"/>
              <w:bidi w:val="0"/>
              <w:spacing w:line="240" w:lineRule="auto"/>
              <w:ind w:left="0" w:leftChars="0" w:right="0" w:rightChars="0" w:firstLine="0" w:firstLineChars="0"/>
              <w:jc w:val="both"/>
              <w:rPr>
                <w:rFonts w:hint="default" w:eastAsia="宋体"/>
                <w:b w:val="0"/>
                <w:bCs w:val="0"/>
                <w:lang w:val="en-US" w:eastAsia="zh-CN"/>
              </w:rPr>
            </w:pPr>
            <w:r>
              <w:rPr>
                <w:rFonts w:hint="eastAsia"/>
                <w:b w:val="0"/>
                <w:bCs w:val="0"/>
                <w:lang w:val="en-US" w:eastAsia="zh-CN"/>
              </w:rPr>
              <w:t>数据范围</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32D8099">
            <w:pPr>
              <w:pStyle w:val="19"/>
              <w:bidi w:val="0"/>
              <w:spacing w:line="240" w:lineRule="auto"/>
              <w:ind w:left="0" w:leftChars="0" w:right="0" w:rightChars="0" w:firstLine="0" w:firstLineChars="0"/>
              <w:jc w:val="both"/>
              <w:rPr>
                <w:b w:val="0"/>
                <w:bCs w:val="0"/>
              </w:rPr>
            </w:pP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6ADED10">
            <w:pPr>
              <w:pStyle w:val="19"/>
              <w:bidi w:val="0"/>
              <w:spacing w:line="240" w:lineRule="auto"/>
              <w:ind w:left="0" w:leftChars="0" w:right="0" w:rightChars="0" w:firstLine="0" w:firstLineChars="0"/>
              <w:jc w:val="both"/>
              <w:rPr>
                <w:b w:val="0"/>
                <w:bCs w:val="0"/>
              </w:rPr>
            </w:pP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EC8DCCF">
            <w:pPr>
              <w:pStyle w:val="19"/>
              <w:bidi w:val="0"/>
              <w:spacing w:line="240" w:lineRule="auto"/>
              <w:ind w:left="0" w:leftChars="0" w:right="0" w:rightChars="0" w:firstLine="0" w:firstLineChars="0"/>
              <w:jc w:val="both"/>
              <w:rPr>
                <w:b w:val="0"/>
                <w:bCs w:val="0"/>
              </w:rPr>
            </w:pPr>
          </w:p>
        </w:tc>
      </w:tr>
      <w:tr w14:paraId="43F39CF1">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E65912D">
            <w:pPr>
              <w:pStyle w:val="19"/>
              <w:bidi w:val="0"/>
              <w:spacing w:line="240" w:lineRule="auto"/>
              <w:ind w:left="0" w:leftChars="0" w:right="0" w:rightChars="0" w:firstLine="0" w:firstLineChars="0"/>
              <w:jc w:val="center"/>
              <w:rPr>
                <w:rFonts w:hint="eastAsia" w:eastAsia="宋体"/>
                <w:b w:val="0"/>
                <w:bCs w:val="0"/>
                <w:lang w:val="en-US" w:eastAsia="zh-CN"/>
              </w:rPr>
            </w:pPr>
            <w:r>
              <w:rPr>
                <w:rFonts w:hint="eastAsia"/>
                <w:b w:val="0"/>
                <w:bCs w:val="0"/>
                <w:lang w:val="en-US" w:eastAsia="zh-CN"/>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08BC1A3">
            <w:pPr>
              <w:pStyle w:val="19"/>
              <w:bidi w:val="0"/>
              <w:spacing w:line="240" w:lineRule="auto"/>
              <w:ind w:left="0" w:leftChars="0" w:right="0" w:rightChars="0" w:firstLine="0" w:firstLineChars="0"/>
              <w:jc w:val="both"/>
              <w:rPr>
                <w:rFonts w:hint="default" w:eastAsia="宋体"/>
                <w:b w:val="0"/>
                <w:bCs w:val="0"/>
                <w:lang w:val="en-US" w:eastAsia="zh-CN"/>
              </w:rPr>
            </w:pPr>
            <w:r>
              <w:rPr>
                <w:rFonts w:hint="eastAsia"/>
                <w:b w:val="0"/>
                <w:bCs w:val="0"/>
                <w:lang w:val="en-US" w:eastAsia="zh-CN"/>
              </w:rPr>
              <w:t>角色职责说明</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3200C8F">
            <w:pPr>
              <w:pStyle w:val="19"/>
              <w:bidi w:val="0"/>
              <w:spacing w:line="240" w:lineRule="auto"/>
              <w:ind w:left="0" w:leftChars="0" w:right="0" w:rightChars="0" w:firstLine="0" w:firstLineChars="0"/>
              <w:jc w:val="both"/>
              <w:rPr>
                <w:b w:val="0"/>
                <w:bCs w:val="0"/>
              </w:rPr>
            </w:pP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05A5F0F">
            <w:pPr>
              <w:pStyle w:val="19"/>
              <w:bidi w:val="0"/>
              <w:spacing w:line="240" w:lineRule="auto"/>
              <w:ind w:left="0" w:leftChars="0" w:right="0" w:rightChars="0" w:firstLine="0" w:firstLineChars="0"/>
              <w:jc w:val="both"/>
              <w:rPr>
                <w:b w:val="0"/>
                <w:bCs w:val="0"/>
              </w:rPr>
            </w:pP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DCDC2C6">
            <w:pPr>
              <w:pStyle w:val="19"/>
              <w:bidi w:val="0"/>
              <w:spacing w:line="240" w:lineRule="auto"/>
              <w:ind w:left="0" w:leftChars="0" w:right="0" w:rightChars="0" w:firstLine="0" w:firstLineChars="0"/>
              <w:jc w:val="both"/>
              <w:rPr>
                <w:b w:val="0"/>
                <w:bCs w:val="0"/>
              </w:rPr>
            </w:pPr>
          </w:p>
        </w:tc>
      </w:tr>
    </w:tbl>
    <w:p w14:paraId="0081AC53">
      <w:pPr>
        <w:pStyle w:val="19"/>
        <w:bidi w:val="0"/>
        <w:rPr>
          <w:b w:val="0"/>
          <w:bCs w:val="0"/>
        </w:rPr>
      </w:pPr>
    </w:p>
    <w:p w14:paraId="363EA9FB">
      <w:pPr>
        <w:pStyle w:val="6"/>
        <w:numPr>
          <w:ilvl w:val="0"/>
          <w:numId w:val="205"/>
        </w:numPr>
        <w:bidi w:val="0"/>
        <w:ind w:left="0" w:leftChars="0" w:firstLine="0" w:firstLineChars="0"/>
        <w:rPr>
          <w:b w:val="0"/>
          <w:bCs w:val="0"/>
          <w:sz w:val="28"/>
          <w:szCs w:val="28"/>
        </w:rPr>
      </w:pPr>
      <w:r>
        <w:rPr>
          <w:b w:val="0"/>
          <w:bCs w:val="0"/>
          <w:sz w:val="28"/>
          <w:szCs w:val="28"/>
        </w:rPr>
        <w:t>核心数学模型与算法框架</w:t>
      </w:r>
    </w:p>
    <w:tbl>
      <w:tblPr>
        <w:tblStyle w:val="38"/>
        <w:tblW w:w="0" w:type="auto"/>
        <w:jc w:val="center"/>
        <w:tblLayout w:type="fixed"/>
        <w:tblCellMar>
          <w:top w:w="0" w:type="dxa"/>
          <w:left w:w="108" w:type="dxa"/>
          <w:bottom w:w="0" w:type="dxa"/>
          <w:right w:w="108" w:type="dxa"/>
        </w:tblCellMar>
      </w:tblPr>
      <w:tblGrid>
        <w:gridCol w:w="9648"/>
      </w:tblGrid>
      <w:tr w14:paraId="149E83BC">
        <w:tblPrEx>
          <w:tblCellMar>
            <w:top w:w="0" w:type="dxa"/>
            <w:left w:w="108" w:type="dxa"/>
            <w:bottom w:w="0" w:type="dxa"/>
            <w:right w:w="108" w:type="dxa"/>
          </w:tblCellMar>
        </w:tblPrEx>
        <w:trPr>
          <w:jc w:val="center"/>
        </w:trPr>
        <w:tc>
          <w:tcPr>
            <w:tcW w:w="9648" w:type="dxa"/>
            <w:tcBorders>
              <w:top w:val="nil"/>
              <w:left w:val="single" w:color="16A34A" w:sz="24" w:space="0"/>
              <w:bottom w:val="nil"/>
              <w:right w:val="nil"/>
            </w:tcBorders>
            <w:shd w:val="clear" w:color="auto" w:fill="F0FDF4"/>
            <w:tcMar>
              <w:top w:w="70" w:type="dxa"/>
              <w:left w:w="100" w:type="dxa"/>
              <w:bottom w:w="70" w:type="dxa"/>
              <w:right w:w="100" w:type="dxa"/>
            </w:tcMar>
          </w:tcPr>
          <w:p w14:paraId="64CBE14D">
            <w:pPr>
              <w:pStyle w:val="19"/>
              <w:bidi w:val="0"/>
              <w:rPr>
                <w:b w:val="0"/>
                <w:bCs w:val="0"/>
              </w:rPr>
            </w:pPr>
            <w:r>
              <w:rPr>
                <w:rFonts w:hint="eastAsia"/>
                <w:lang w:val="en-US" w:eastAsia="zh-CN"/>
              </w:rPr>
              <w:t>无</w:t>
            </w:r>
          </w:p>
        </w:tc>
      </w:tr>
    </w:tbl>
    <w:p w14:paraId="0ACCF0FD">
      <w:pPr>
        <w:pStyle w:val="19"/>
        <w:bidi w:val="0"/>
        <w:rPr>
          <w:b w:val="0"/>
          <w:bCs w:val="0"/>
        </w:rPr>
      </w:pPr>
    </w:p>
    <w:p w14:paraId="1CFB1434">
      <w:pPr>
        <w:pStyle w:val="6"/>
        <w:numPr>
          <w:ilvl w:val="0"/>
          <w:numId w:val="205"/>
        </w:numPr>
        <w:bidi w:val="0"/>
        <w:ind w:left="0" w:leftChars="0" w:firstLine="0" w:firstLineChars="0"/>
        <w:rPr>
          <w:b w:val="0"/>
          <w:bCs w:val="0"/>
          <w:sz w:val="28"/>
          <w:szCs w:val="28"/>
        </w:rPr>
      </w:pPr>
      <w:r>
        <w:rPr>
          <w:b w:val="0"/>
          <w:bCs w:val="0"/>
          <w:sz w:val="28"/>
          <w:szCs w:val="28"/>
        </w:rPr>
        <w:t>展示、对标与判定口径</w:t>
      </w:r>
    </w:p>
    <w:tbl>
      <w:tblPr>
        <w:tblStyle w:val="38"/>
        <w:tblW w:w="0" w:type="auto"/>
        <w:jc w:val="center"/>
        <w:tblBorders>
          <w:top w:val="none" w:color="auto" w:sz="0" w:space="0"/>
          <w:left w:val="single" w:color="4874CB" w:themeColor="accent1"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33AB1C2D">
        <w:tblPrEx>
          <w:tblBorders>
            <w:top w:val="none" w:color="auto" w:sz="0" w:space="0"/>
            <w:left w:val="single" w:color="4874CB" w:themeColor="accent1"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tcPr>
          <w:p w14:paraId="1D34BB41">
            <w:pPr>
              <w:pStyle w:val="19"/>
              <w:bidi w:val="0"/>
              <w:rPr>
                <w:b w:val="0"/>
                <w:bCs w:val="0"/>
              </w:rPr>
            </w:pPr>
          </w:p>
        </w:tc>
      </w:tr>
    </w:tbl>
    <w:p w14:paraId="22EAD34F">
      <w:pPr>
        <w:pStyle w:val="19"/>
        <w:bidi w:val="0"/>
        <w:rPr>
          <w:b w:val="0"/>
          <w:bCs w:val="0"/>
        </w:rPr>
      </w:pPr>
    </w:p>
    <w:p w14:paraId="65C69FB1">
      <w:pPr>
        <w:pStyle w:val="6"/>
        <w:numPr>
          <w:ilvl w:val="0"/>
          <w:numId w:val="205"/>
        </w:numPr>
        <w:bidi w:val="0"/>
        <w:ind w:left="0" w:leftChars="0" w:firstLine="0" w:firstLineChars="0"/>
        <w:rPr>
          <w:b w:val="0"/>
          <w:bCs w:val="0"/>
          <w:sz w:val="28"/>
          <w:szCs w:val="28"/>
        </w:rPr>
      </w:pPr>
      <w:r>
        <w:rPr>
          <w:b w:val="0"/>
          <w:bCs w:val="0"/>
          <w:sz w:val="28"/>
          <w:szCs w:val="28"/>
        </w:rPr>
        <w:t>边界条件、异常处理与防错规则</w:t>
      </w:r>
    </w:p>
    <w:tbl>
      <w:tblPr>
        <w:tblStyle w:val="38"/>
        <w:tblW w:w="0" w:type="auto"/>
        <w:jc w:val="center"/>
        <w:tblBorders>
          <w:top w:val="none" w:color="auto" w:sz="0" w:space="0"/>
          <w:left w:val="single" w:color="E54C5E" w:themeColor="accent6"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6B1C0A9">
        <w:tblPrEx>
          <w:tblBorders>
            <w:top w:val="none" w:color="auto" w:sz="0" w:space="0"/>
            <w:left w:val="single" w:color="E54C5E" w:themeColor="accent6"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5F3FF"/>
            <w:tcMar>
              <w:top w:w="70" w:type="dxa"/>
              <w:left w:w="100" w:type="dxa"/>
              <w:bottom w:w="70" w:type="dxa"/>
              <w:right w:w="100" w:type="dxa"/>
            </w:tcMar>
          </w:tcPr>
          <w:p w14:paraId="3985F02D">
            <w:pPr>
              <w:pStyle w:val="19"/>
              <w:bidi w:val="0"/>
              <w:rPr>
                <w:b w:val="0"/>
                <w:bCs w:val="0"/>
              </w:rPr>
            </w:pPr>
          </w:p>
        </w:tc>
      </w:tr>
    </w:tbl>
    <w:p w14:paraId="7438B370">
      <w:pPr>
        <w:rPr>
          <w:b w:val="0"/>
          <w:bCs w:val="0"/>
        </w:rPr>
      </w:pPr>
    </w:p>
    <w:p w14:paraId="18B81F11">
      <w:pPr>
        <w:pStyle w:val="6"/>
        <w:numPr>
          <w:ilvl w:val="0"/>
          <w:numId w:val="205"/>
        </w:numPr>
        <w:bidi w:val="0"/>
        <w:ind w:left="0" w:leftChars="0" w:firstLine="0" w:firstLineChars="0"/>
        <w:rPr>
          <w:b w:val="0"/>
          <w:bCs w:val="0"/>
          <w:sz w:val="28"/>
          <w:szCs w:val="28"/>
        </w:rPr>
      </w:pPr>
      <w:r>
        <w:rPr>
          <w:b w:val="0"/>
          <w:bCs w:val="0"/>
          <w:sz w:val="28"/>
          <w:szCs w:val="28"/>
        </w:rPr>
        <w:t>QA 自动化验收准则（Gherkin BDD）</w:t>
      </w:r>
    </w:p>
    <w:tbl>
      <w:tblPr>
        <w:tblStyle w:val="38"/>
        <w:tblW w:w="0" w:type="auto"/>
        <w:jc w:val="center"/>
        <w:tblLayout w:type="fixed"/>
        <w:tblCellMar>
          <w:top w:w="0" w:type="dxa"/>
          <w:left w:w="108" w:type="dxa"/>
          <w:bottom w:w="0" w:type="dxa"/>
          <w:right w:w="108" w:type="dxa"/>
        </w:tblCellMar>
      </w:tblPr>
      <w:tblGrid>
        <w:gridCol w:w="9648"/>
      </w:tblGrid>
      <w:tr w14:paraId="37938F41">
        <w:tblPrEx>
          <w:tblCellMar>
            <w:top w:w="0" w:type="dxa"/>
            <w:left w:w="108" w:type="dxa"/>
            <w:bottom w:w="0" w:type="dxa"/>
            <w:right w:w="108" w:type="dxa"/>
          </w:tblCellMar>
        </w:tblPrEx>
        <w:trPr>
          <w:jc w:val="center"/>
        </w:trPr>
        <w:tc>
          <w:tcPr>
            <w:tcW w:w="9648" w:type="dxa"/>
            <w:tcBorders>
              <w:top w:val="nil"/>
              <w:left w:val="single" w:color="7C3AED" w:sz="24" w:space="0"/>
              <w:bottom w:val="nil"/>
              <w:right w:val="nil"/>
            </w:tcBorders>
            <w:shd w:val="clear" w:color="auto" w:fill="F5F3FF"/>
            <w:tcMar>
              <w:top w:w="70" w:type="dxa"/>
              <w:left w:w="100" w:type="dxa"/>
              <w:bottom w:w="70" w:type="dxa"/>
              <w:right w:w="100" w:type="dxa"/>
            </w:tcMar>
          </w:tcPr>
          <w:p w14:paraId="19707CE9">
            <w:pPr>
              <w:pStyle w:val="19"/>
              <w:bidi w:val="0"/>
              <w:rPr>
                <w:b w:val="0"/>
                <w:bCs w:val="0"/>
              </w:rPr>
            </w:pPr>
          </w:p>
        </w:tc>
      </w:tr>
    </w:tbl>
    <w:p w14:paraId="73F41C1B">
      <w:pPr>
        <w:rPr>
          <w:rFonts w:hint="default"/>
          <w:b w:val="0"/>
          <w:bCs w:val="0"/>
          <w:lang w:val="en-US" w:eastAsia="zh-CN"/>
        </w:rPr>
      </w:pPr>
    </w:p>
    <w:p w14:paraId="6B74F9DF">
      <w:pPr>
        <w:pStyle w:val="5"/>
        <w:numPr>
          <w:ilvl w:val="0"/>
          <w:numId w:val="200"/>
        </w:numPr>
        <w:ind w:left="0" w:leftChars="0" w:firstLine="0" w:firstLineChars="0"/>
        <w:outlineLvl w:val="1"/>
        <w:rPr>
          <w:rFonts w:hint="default" w:cs="Times New Roman"/>
          <w:b w:val="0"/>
          <w:bCs w:val="0"/>
          <w:sz w:val="30"/>
          <w:szCs w:val="24"/>
          <w:lang w:val="en-US" w:eastAsia="zh-CN"/>
        </w:rPr>
      </w:pPr>
      <w:bookmarkStart w:id="67" w:name="_Toc27816"/>
      <w:r>
        <w:rPr>
          <w:rFonts w:hint="eastAsia" w:cs="Times New Roman"/>
          <w:b w:val="0"/>
          <w:bCs w:val="0"/>
          <w:sz w:val="30"/>
          <w:szCs w:val="24"/>
          <w:lang w:val="en-US" w:eastAsia="zh-CN"/>
        </w:rPr>
        <w:t>菜单与功能</w:t>
      </w:r>
      <w:bookmarkEnd w:id="67"/>
    </w:p>
    <w:p w14:paraId="106F0706">
      <w:pPr>
        <w:rPr>
          <w:b w:val="0"/>
          <w:bCs w:val="0"/>
        </w:rPr>
      </w:pPr>
      <w:r>
        <w:drawing>
          <wp:inline distT="0" distB="0" distL="114300" distR="114300">
            <wp:extent cx="5900420" cy="2925445"/>
            <wp:effectExtent l="0" t="0" r="5080" b="8255"/>
            <wp:docPr id="86"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40"/>
                    <pic:cNvPicPr>
                      <a:picLocks noChangeAspect="1"/>
                    </pic:cNvPicPr>
                  </pic:nvPicPr>
                  <pic:blipFill>
                    <a:blip r:embed="rId98"/>
                    <a:stretch>
                      <a:fillRect/>
                    </a:stretch>
                  </pic:blipFill>
                  <pic:spPr>
                    <a:xfrm>
                      <a:off x="0" y="0"/>
                      <a:ext cx="5900420" cy="2925445"/>
                    </a:xfrm>
                    <a:prstGeom prst="rect">
                      <a:avLst/>
                    </a:prstGeom>
                    <a:noFill/>
                    <a:ln>
                      <a:noFill/>
                    </a:ln>
                  </pic:spPr>
                </pic:pic>
              </a:graphicData>
            </a:graphic>
          </wp:inline>
        </w:drawing>
      </w:r>
    </w:p>
    <w:p w14:paraId="6496EEE2">
      <w:pPr>
        <w:pStyle w:val="6"/>
        <w:numPr>
          <w:ilvl w:val="0"/>
          <w:numId w:val="207"/>
        </w:numPr>
        <w:bidi w:val="0"/>
        <w:ind w:left="0" w:leftChars="0" w:firstLine="0" w:firstLineChars="0"/>
        <w:rPr>
          <w:b w:val="0"/>
          <w:bCs w:val="0"/>
          <w:sz w:val="28"/>
          <w:szCs w:val="28"/>
        </w:rPr>
      </w:pPr>
      <w:r>
        <w:rPr>
          <w:b w:val="0"/>
          <w:bCs w:val="0"/>
          <w:sz w:val="28"/>
          <w:szCs w:val="28"/>
        </w:rPr>
        <w:t>定位与架构角色</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1155C52F">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tcPr>
          <w:p w14:paraId="53AFA166">
            <w:pPr>
              <w:pStyle w:val="19"/>
              <w:bidi w:val="0"/>
              <w:ind w:left="0" w:leftChars="0" w:firstLine="0" w:firstLineChars="0"/>
              <w:rPr>
                <w:rFonts w:ascii="宋体" w:hAnsi="宋体" w:eastAsia="宋体" w:cs="宋体"/>
                <w:sz w:val="24"/>
                <w:szCs w:val="24"/>
              </w:rPr>
            </w:pPr>
            <w:r>
              <w:rPr>
                <w:rFonts w:ascii="宋体" w:hAnsi="宋体" w:eastAsia="宋体" w:cs="宋体"/>
                <w:b/>
                <w:bCs/>
                <w:sz w:val="24"/>
                <w:szCs w:val="24"/>
              </w:rPr>
              <w:t>・功能定位</w:t>
            </w:r>
            <w:r>
              <w:rPr>
                <w:rFonts w:ascii="宋体" w:hAnsi="宋体" w:eastAsia="宋体" w:cs="宋体"/>
                <w:sz w:val="24"/>
                <w:szCs w:val="24"/>
              </w:rPr>
              <w:t>：作为权限管控模块的底层功能资源维护中心，统一管理两大业务系统的菜单结构与按钮级功能点，维护菜单层级、功能项元数据，为角色授权提供最小权限颗粒，支撑系统细粒度操作权限控制，是角色权限配置的前置基础依赖。</w:t>
            </w:r>
          </w:p>
          <w:p w14:paraId="1ACD1A6C">
            <w:pPr>
              <w:pStyle w:val="19"/>
              <w:bidi w:val="0"/>
              <w:ind w:left="0" w:leftChars="0" w:firstLine="0" w:firstLineChars="0"/>
              <w:rPr>
                <w:b w:val="0"/>
                <w:bCs w:val="0"/>
              </w:rPr>
            </w:pPr>
            <w:r>
              <w:rPr>
                <w:rFonts w:ascii="宋体" w:hAnsi="宋体" w:eastAsia="宋体" w:cs="宋体"/>
                <w:b/>
                <w:bCs/>
                <w:sz w:val="24"/>
                <w:szCs w:val="24"/>
              </w:rPr>
              <w:t>・承载角色</w:t>
            </w:r>
            <w:r>
              <w:rPr>
                <w:rFonts w:ascii="宋体" w:hAnsi="宋体" w:eastAsia="宋体" w:cs="宋体"/>
                <w:sz w:val="24"/>
                <w:szCs w:val="24"/>
              </w:rPr>
              <w:t>：PM 系统管理员（全量菜单新增、菜单信息维护、按钮级功能点配置管理）。</w:t>
            </w:r>
          </w:p>
        </w:tc>
      </w:tr>
    </w:tbl>
    <w:p w14:paraId="024AE209">
      <w:pPr>
        <w:rPr>
          <w:b w:val="0"/>
          <w:bCs w:val="0"/>
        </w:rPr>
      </w:pPr>
    </w:p>
    <w:p w14:paraId="085449DE">
      <w:pPr>
        <w:pStyle w:val="6"/>
        <w:numPr>
          <w:ilvl w:val="0"/>
          <w:numId w:val="207"/>
        </w:numPr>
        <w:bidi w:val="0"/>
        <w:ind w:left="0" w:leftChars="0" w:firstLine="0" w:firstLineChars="0"/>
        <w:rPr>
          <w:b w:val="0"/>
          <w:bCs w:val="0"/>
          <w:sz w:val="28"/>
          <w:szCs w:val="28"/>
        </w:rPr>
      </w:pPr>
      <w:r>
        <w:rPr>
          <w:b w:val="0"/>
          <w:bCs w:val="0"/>
          <w:sz w:val="28"/>
          <w:szCs w:val="28"/>
        </w:rPr>
        <w:t>业务场景与用户故事</w:t>
      </w:r>
    </w:p>
    <w:tbl>
      <w:tblPr>
        <w:tblStyle w:val="38"/>
        <w:tblW w:w="0" w:type="auto"/>
        <w:jc w:val="center"/>
        <w:tblBorders>
          <w:top w:val="none" w:color="auto" w:sz="0" w:space="0"/>
          <w:left w:val="single" w:color="44546A" w:themeColor="text2"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09BF1802">
        <w:tblPrEx>
          <w:tblBorders>
            <w:top w:val="none" w:color="auto" w:sz="0" w:space="0"/>
            <w:left w:val="single" w:color="44546A" w:themeColor="text2"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tcPr>
          <w:p w14:paraId="22D52FAC">
            <w:pPr>
              <w:pStyle w:val="19"/>
              <w:bidi w:val="0"/>
              <w:ind w:left="0" w:leftChars="0" w:firstLine="0" w:firstLineChars="0"/>
            </w:pPr>
            <w:r>
              <w:rPr>
                <w:b/>
                <w:bCs/>
              </w:rPr>
              <w:t>业务场景</w:t>
            </w:r>
            <w:r>
              <w:t xml:space="preserve">：面向系统管理员统一维护两大业务中心菜单体系，管理菜单层级、路由地址、功能页面与启用状态，维护零碳园区集控中心、产品碳足迹集采中心全部菜单资源，为角色权限分配提供底层菜单与功能点基础，支撑指挥大厅大屏、集控业务页面的权限管控。 </w:t>
            </w:r>
          </w:p>
          <w:p w14:paraId="195C2682">
            <w:pPr>
              <w:pStyle w:val="19"/>
              <w:bidi w:val="0"/>
              <w:ind w:left="0" w:leftChars="0" w:firstLine="0" w:firstLineChars="0"/>
            </w:pPr>
            <w:r>
              <w:rPr>
                <w:b/>
                <w:bCs/>
              </w:rPr>
              <w:t>用户故事：</w:t>
            </w:r>
            <w:r>
              <w:t xml:space="preserve"> </w:t>
            </w:r>
          </w:p>
          <w:p w14:paraId="29FE54A0">
            <w:pPr>
              <w:pStyle w:val="19"/>
              <w:bidi w:val="0"/>
            </w:pPr>
            <w:r>
              <w:t xml:space="preserve">As a 系统管理员 (Persona PM)， </w:t>
            </w:r>
          </w:p>
          <w:p w14:paraId="70AB4103">
            <w:pPr>
              <w:pStyle w:val="19"/>
              <w:bidi w:val="0"/>
              <w:rPr>
                <w:rFonts w:hint="eastAsia"/>
                <w:lang w:eastAsia="zh-CN"/>
              </w:rPr>
            </w:pPr>
            <w:r>
              <w:t>I want 统一维护两大业务中心菜单层级、路由信息、页面功能点，支持新增子页面、编辑菜单信息、启停菜单状态</w:t>
            </w:r>
            <w:r>
              <w:rPr>
                <w:rFonts w:hint="eastAsia"/>
                <w:lang w:eastAsia="zh-CN"/>
              </w:rPr>
              <w:t>。</w:t>
            </w:r>
          </w:p>
          <w:p w14:paraId="5FA322D7">
            <w:pPr>
              <w:pStyle w:val="19"/>
              <w:bidi w:val="0"/>
            </w:pPr>
            <w:r>
              <w:t>So that 我能够为平台角色权限配置提供标准化菜单资源底座，精准控制不同角色可访问的业务页面，保障集控大屏、碳足迹业务系统访问权限可控。</w:t>
            </w:r>
          </w:p>
        </w:tc>
      </w:tr>
    </w:tbl>
    <w:p w14:paraId="3A160B25">
      <w:pPr>
        <w:rPr>
          <w:b w:val="0"/>
          <w:bCs w:val="0"/>
        </w:rPr>
      </w:pPr>
    </w:p>
    <w:p w14:paraId="00DEE0F4">
      <w:pPr>
        <w:pStyle w:val="6"/>
        <w:numPr>
          <w:ilvl w:val="0"/>
          <w:numId w:val="207"/>
        </w:numPr>
        <w:bidi w:val="0"/>
        <w:ind w:left="0" w:leftChars="0" w:firstLine="0" w:firstLineChars="0"/>
        <w:rPr>
          <w:b w:val="0"/>
          <w:bCs w:val="0"/>
          <w:sz w:val="28"/>
          <w:szCs w:val="28"/>
        </w:rPr>
      </w:pPr>
      <w:r>
        <w:rPr>
          <w:b w:val="0"/>
          <w:bCs w:val="0"/>
          <w:sz w:val="28"/>
          <w:szCs w:val="28"/>
        </w:rPr>
        <w:t>功能规格与交互契约</w:t>
      </w:r>
    </w:p>
    <w:tbl>
      <w:tblPr>
        <w:tblStyle w:val="38"/>
        <w:tblW w:w="0" w:type="auto"/>
        <w:jc w:val="center"/>
        <w:tblBorders>
          <w:top w:val="none" w:color="auto" w:sz="0" w:space="0"/>
          <w:left w:val="single" w:color="EE822F" w:themeColor="accent2"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2360AB7E">
        <w:tblPrEx>
          <w:tblBorders>
            <w:top w:val="none" w:color="auto" w:sz="0" w:space="0"/>
            <w:left w:val="single" w:color="EE822F" w:themeColor="accent2"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tcPr>
          <w:p w14:paraId="1FE5E0F0">
            <w:pPr>
              <w:pStyle w:val="19"/>
              <w:bidi w:val="0"/>
              <w:ind w:left="0" w:leftChars="0" w:firstLine="0" w:firstLineChars="0"/>
            </w:pPr>
            <w:r>
              <w:rPr>
                <w:rFonts w:ascii="宋体" w:hAnsi="宋体" w:eastAsia="宋体" w:cs="宋体"/>
                <w:b/>
                <w:bCs/>
                <w:sz w:val="24"/>
                <w:szCs w:val="24"/>
              </w:rPr>
              <w:t>・</w:t>
            </w:r>
            <w:r>
              <w:rPr>
                <w:b/>
                <w:bCs/>
                <w:lang w:val="en-US" w:eastAsia="zh-CN"/>
              </w:rPr>
              <w:t>业务场景</w:t>
            </w:r>
            <w:r>
              <w:rPr>
                <w:lang w:val="en-US" w:eastAsia="zh-CN"/>
              </w:rPr>
              <w:t>：面向系统管理员进行平台功能资源底层维护场景，统一管理系统菜单结构与按钮级功能点，为上层角色授权提供最小权限颗粒。</w:t>
            </w:r>
          </w:p>
          <w:p w14:paraId="74162958">
            <w:pPr>
              <w:pStyle w:val="19"/>
              <w:bidi w:val="0"/>
              <w:ind w:left="0" w:leftChars="0" w:firstLine="0" w:firstLineChars="0"/>
            </w:pPr>
            <w:r>
              <w:rPr>
                <w:rFonts w:ascii="宋体" w:hAnsi="宋体" w:eastAsia="宋体" w:cs="宋体"/>
                <w:b/>
                <w:bCs/>
                <w:sz w:val="24"/>
                <w:szCs w:val="24"/>
              </w:rPr>
              <w:t>・</w:t>
            </w:r>
            <w:r>
              <w:rPr>
                <w:b/>
                <w:bCs/>
                <w:lang w:val="en-US" w:eastAsia="zh-CN"/>
              </w:rPr>
              <w:t>用户故事</w:t>
            </w:r>
            <w:r>
              <w:rPr>
                <w:lang w:val="en-US" w:eastAsia="zh-CN"/>
              </w:rPr>
              <w:t>：</w:t>
            </w:r>
          </w:p>
          <w:p w14:paraId="1309FB47">
            <w:pPr>
              <w:pStyle w:val="19"/>
              <w:bidi w:val="0"/>
            </w:pPr>
            <w:r>
              <w:rPr>
                <w:lang w:val="en-US" w:eastAsia="zh-CN"/>
              </w:rPr>
              <w:t>As a 系统管理员 (Persona PM)，</w:t>
            </w:r>
          </w:p>
          <w:p w14:paraId="1A1A8997">
            <w:pPr>
              <w:pStyle w:val="19"/>
              <w:bidi w:val="0"/>
            </w:pPr>
            <w:r>
              <w:rPr>
                <w:lang w:val="en-US" w:eastAsia="zh-CN"/>
              </w:rPr>
              <w:t>I want 维护系统菜单层级、页面功能按钮与功能编码资源，统一平台功能底座，</w:t>
            </w:r>
          </w:p>
          <w:p w14:paraId="76F3E95C">
            <w:pPr>
              <w:pStyle w:val="19"/>
              <w:bidi w:val="0"/>
            </w:pPr>
            <w:r>
              <w:rPr>
                <w:lang w:val="en-US" w:eastAsia="zh-CN"/>
              </w:rPr>
              <w:t>So that 我能支撑细粒度权限管控，为全平台权限配置提供标准化功能资源基础。</w:t>
            </w:r>
          </w:p>
        </w:tc>
      </w:tr>
    </w:tbl>
    <w:p w14:paraId="5E296562">
      <w:pPr>
        <w:rPr>
          <w:b w:val="0"/>
          <w:bCs w:val="0"/>
        </w:rPr>
      </w:pPr>
    </w:p>
    <w:p w14:paraId="7E6EFEB3">
      <w:pPr>
        <w:pStyle w:val="6"/>
        <w:numPr>
          <w:ilvl w:val="0"/>
          <w:numId w:val="207"/>
        </w:numPr>
        <w:bidi w:val="0"/>
        <w:ind w:left="0" w:leftChars="0" w:firstLine="0" w:firstLineChars="0"/>
        <w:rPr>
          <w:b w:val="0"/>
          <w:bCs w:val="0"/>
          <w:sz w:val="28"/>
          <w:szCs w:val="28"/>
        </w:rPr>
      </w:pPr>
      <w:r>
        <w:rPr>
          <w:b w:val="0"/>
          <w:bCs w:val="0"/>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89"/>
        <w:gridCol w:w="1830"/>
        <w:gridCol w:w="1468"/>
        <w:gridCol w:w="1118"/>
        <w:gridCol w:w="4479"/>
      </w:tblGrid>
      <w:tr w14:paraId="29EDC932">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706C573">
            <w:pPr>
              <w:pStyle w:val="19"/>
              <w:bidi w:val="0"/>
              <w:spacing w:line="240" w:lineRule="auto"/>
              <w:ind w:left="0" w:leftChars="0" w:right="0" w:rightChars="0" w:firstLine="0" w:firstLineChars="0"/>
              <w:jc w:val="center"/>
              <w:rPr>
                <w:rFonts w:hint="eastAsia" w:ascii="宋体" w:hAnsi="宋体" w:eastAsia="宋体" w:cs="宋体"/>
                <w:b w:val="0"/>
                <w:bCs w:val="0"/>
                <w:sz w:val="24"/>
                <w:szCs w:val="24"/>
              </w:rPr>
            </w:pPr>
            <w:r>
              <w:rPr>
                <w:rFonts w:hint="eastAsia" w:ascii="宋体" w:hAnsi="宋体" w:eastAsia="宋体" w:cs="宋体"/>
                <w:b w:val="0"/>
                <w:bCs w:val="0"/>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6A7FAB7">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字段中文名称</w:t>
            </w:r>
          </w:p>
        </w:tc>
        <w:tc>
          <w:tcPr>
            <w:tcW w:w="146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F1B686B">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68E6FCB">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工程单位</w:t>
            </w:r>
          </w:p>
        </w:tc>
        <w:tc>
          <w:tcPr>
            <w:tcW w:w="447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6F13DCF">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校验与约束规则</w:t>
            </w:r>
          </w:p>
        </w:tc>
      </w:tr>
      <w:tr w14:paraId="3D79CA7F">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D0BF569">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B80F591">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sz w:val="24"/>
                <w:szCs w:val="24"/>
              </w:rPr>
              <w:t>所属业务中心</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8509542">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D75E765">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15829C8">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r>
      <w:tr w14:paraId="703B0217">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F4E495C">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1D92C50">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sz w:val="24"/>
                <w:szCs w:val="24"/>
              </w:rPr>
              <w:t>菜单与功能层级</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8CA1D14">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C6706DE">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605D109">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r>
      <w:tr w14:paraId="6338AD9B">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3B14C6A">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5892D74">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sz w:val="24"/>
                <w:szCs w:val="24"/>
              </w:rPr>
              <w:t>路由路径(URL)</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F506E1D">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1EE1C1B">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55A23F5">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r>
      <w:tr w14:paraId="6E6C998D">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8053531">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DB6DED0">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sz w:val="24"/>
                <w:szCs w:val="24"/>
              </w:rPr>
              <w:t>排序</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7E9DC72">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F5B4EDE">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D2E17F7">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r>
      <w:tr w14:paraId="69CC38CA">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5CC9561">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1CF763D">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sz w:val="24"/>
                <w:szCs w:val="24"/>
              </w:rPr>
              <w:t>状态</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67B577B">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6DB3D7F">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CBFE8DF">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r>
    </w:tbl>
    <w:p w14:paraId="67545FC1">
      <w:pPr>
        <w:pStyle w:val="19"/>
        <w:bidi w:val="0"/>
        <w:rPr>
          <w:b w:val="0"/>
          <w:bCs w:val="0"/>
        </w:rPr>
      </w:pPr>
    </w:p>
    <w:p w14:paraId="1904C3DE">
      <w:pPr>
        <w:pStyle w:val="6"/>
        <w:numPr>
          <w:ilvl w:val="0"/>
          <w:numId w:val="207"/>
        </w:numPr>
        <w:bidi w:val="0"/>
        <w:ind w:left="0" w:leftChars="0" w:firstLine="0" w:firstLineChars="0"/>
        <w:rPr>
          <w:b w:val="0"/>
          <w:bCs w:val="0"/>
          <w:sz w:val="28"/>
          <w:szCs w:val="28"/>
        </w:rPr>
      </w:pPr>
      <w:r>
        <w:rPr>
          <w:b w:val="0"/>
          <w:bCs w:val="0"/>
          <w:sz w:val="28"/>
          <w:szCs w:val="28"/>
        </w:rPr>
        <w:t>核心数学模型与算法框架</w:t>
      </w:r>
    </w:p>
    <w:tbl>
      <w:tblPr>
        <w:tblStyle w:val="38"/>
        <w:tblW w:w="0" w:type="auto"/>
        <w:jc w:val="center"/>
        <w:tblLayout w:type="fixed"/>
        <w:tblCellMar>
          <w:top w:w="0" w:type="dxa"/>
          <w:left w:w="108" w:type="dxa"/>
          <w:bottom w:w="0" w:type="dxa"/>
          <w:right w:w="108" w:type="dxa"/>
        </w:tblCellMar>
      </w:tblPr>
      <w:tblGrid>
        <w:gridCol w:w="9648"/>
      </w:tblGrid>
      <w:tr w14:paraId="2D1299AC">
        <w:tblPrEx>
          <w:tblCellMar>
            <w:top w:w="0" w:type="dxa"/>
            <w:left w:w="108" w:type="dxa"/>
            <w:bottom w:w="0" w:type="dxa"/>
            <w:right w:w="108" w:type="dxa"/>
          </w:tblCellMar>
        </w:tblPrEx>
        <w:trPr>
          <w:jc w:val="center"/>
        </w:trPr>
        <w:tc>
          <w:tcPr>
            <w:tcW w:w="9648" w:type="dxa"/>
            <w:tcBorders>
              <w:top w:val="nil"/>
              <w:left w:val="single" w:color="16A34A" w:sz="24" w:space="0"/>
              <w:bottom w:val="nil"/>
              <w:right w:val="nil"/>
            </w:tcBorders>
            <w:shd w:val="clear" w:color="auto" w:fill="F0FDF4"/>
            <w:tcMar>
              <w:top w:w="70" w:type="dxa"/>
              <w:left w:w="100" w:type="dxa"/>
              <w:bottom w:w="70" w:type="dxa"/>
              <w:right w:w="100" w:type="dxa"/>
            </w:tcMar>
          </w:tcPr>
          <w:p w14:paraId="46AA3C47">
            <w:pPr>
              <w:pStyle w:val="19"/>
              <w:bidi w:val="0"/>
              <w:rPr>
                <w:b w:val="0"/>
                <w:bCs w:val="0"/>
              </w:rPr>
            </w:pPr>
            <w:r>
              <w:rPr>
                <w:rFonts w:hint="eastAsia"/>
                <w:lang w:val="en-US" w:eastAsia="zh-CN"/>
              </w:rPr>
              <w:t>无</w:t>
            </w:r>
          </w:p>
        </w:tc>
      </w:tr>
    </w:tbl>
    <w:p w14:paraId="210607AE">
      <w:pPr>
        <w:pStyle w:val="19"/>
        <w:bidi w:val="0"/>
        <w:rPr>
          <w:b w:val="0"/>
          <w:bCs w:val="0"/>
        </w:rPr>
      </w:pPr>
    </w:p>
    <w:p w14:paraId="188A790D">
      <w:pPr>
        <w:pStyle w:val="6"/>
        <w:numPr>
          <w:ilvl w:val="0"/>
          <w:numId w:val="207"/>
        </w:numPr>
        <w:bidi w:val="0"/>
        <w:ind w:left="0" w:leftChars="0" w:firstLine="0" w:firstLineChars="0"/>
        <w:rPr>
          <w:b w:val="0"/>
          <w:bCs w:val="0"/>
          <w:sz w:val="28"/>
          <w:szCs w:val="28"/>
        </w:rPr>
      </w:pPr>
      <w:r>
        <w:rPr>
          <w:b w:val="0"/>
          <w:bCs w:val="0"/>
          <w:sz w:val="28"/>
          <w:szCs w:val="28"/>
        </w:rPr>
        <w:t>展示、对标与判定口径</w:t>
      </w:r>
    </w:p>
    <w:tbl>
      <w:tblPr>
        <w:tblStyle w:val="38"/>
        <w:tblW w:w="0" w:type="auto"/>
        <w:jc w:val="center"/>
        <w:tblBorders>
          <w:top w:val="none" w:color="auto" w:sz="0" w:space="0"/>
          <w:left w:val="single" w:color="4874CB" w:themeColor="accent1"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7D9B1182">
        <w:tblPrEx>
          <w:tblBorders>
            <w:top w:val="none" w:color="auto" w:sz="0" w:space="0"/>
            <w:left w:val="single" w:color="4874CB" w:themeColor="accent1"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tcPr>
          <w:p w14:paraId="3F68C78E">
            <w:pPr>
              <w:pStyle w:val="19"/>
              <w:bidi w:val="0"/>
              <w:rPr>
                <w:b w:val="0"/>
                <w:bCs w:val="0"/>
              </w:rPr>
            </w:pPr>
          </w:p>
        </w:tc>
      </w:tr>
    </w:tbl>
    <w:p w14:paraId="21D17FD7">
      <w:pPr>
        <w:pStyle w:val="19"/>
        <w:bidi w:val="0"/>
        <w:rPr>
          <w:b w:val="0"/>
          <w:bCs w:val="0"/>
        </w:rPr>
      </w:pPr>
    </w:p>
    <w:p w14:paraId="573ABBE3">
      <w:pPr>
        <w:pStyle w:val="6"/>
        <w:numPr>
          <w:ilvl w:val="0"/>
          <w:numId w:val="207"/>
        </w:numPr>
        <w:bidi w:val="0"/>
        <w:ind w:left="0" w:leftChars="0" w:firstLine="0" w:firstLineChars="0"/>
        <w:rPr>
          <w:b w:val="0"/>
          <w:bCs w:val="0"/>
          <w:sz w:val="28"/>
          <w:szCs w:val="28"/>
        </w:rPr>
      </w:pPr>
      <w:r>
        <w:rPr>
          <w:b w:val="0"/>
          <w:bCs w:val="0"/>
          <w:sz w:val="28"/>
          <w:szCs w:val="28"/>
        </w:rPr>
        <w:t>边界条件、异常处理与防错规则</w:t>
      </w:r>
    </w:p>
    <w:tbl>
      <w:tblPr>
        <w:tblStyle w:val="38"/>
        <w:tblW w:w="0" w:type="auto"/>
        <w:jc w:val="center"/>
        <w:tblBorders>
          <w:top w:val="none" w:color="auto" w:sz="0" w:space="0"/>
          <w:left w:val="single" w:color="E54C5E" w:themeColor="accent6"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4E6A4A62">
        <w:tblPrEx>
          <w:tblCellMar>
            <w:top w:w="0" w:type="dxa"/>
            <w:left w:w="108" w:type="dxa"/>
            <w:bottom w:w="0" w:type="dxa"/>
            <w:right w:w="108" w:type="dxa"/>
          </w:tblCellMar>
        </w:tblPrEx>
        <w:trPr>
          <w:jc w:val="center"/>
        </w:trPr>
        <w:tc>
          <w:tcPr>
            <w:tcW w:w="9648" w:type="dxa"/>
            <w:tcBorders>
              <w:tl2br w:val="nil"/>
              <w:tr2bl w:val="nil"/>
            </w:tcBorders>
            <w:shd w:val="clear" w:color="auto" w:fill="F5F3FF"/>
            <w:tcMar>
              <w:top w:w="70" w:type="dxa"/>
              <w:left w:w="100" w:type="dxa"/>
              <w:bottom w:w="70" w:type="dxa"/>
              <w:right w:w="100" w:type="dxa"/>
            </w:tcMar>
          </w:tcPr>
          <w:p w14:paraId="41F3FC90">
            <w:pPr>
              <w:pStyle w:val="19"/>
              <w:bidi w:val="0"/>
              <w:rPr>
                <w:b w:val="0"/>
                <w:bCs w:val="0"/>
              </w:rPr>
            </w:pPr>
          </w:p>
        </w:tc>
      </w:tr>
    </w:tbl>
    <w:p w14:paraId="65BC8FF9">
      <w:pPr>
        <w:rPr>
          <w:b w:val="0"/>
          <w:bCs w:val="0"/>
        </w:rPr>
      </w:pPr>
    </w:p>
    <w:p w14:paraId="06422970">
      <w:pPr>
        <w:pStyle w:val="6"/>
        <w:numPr>
          <w:ilvl w:val="0"/>
          <w:numId w:val="207"/>
        </w:numPr>
        <w:bidi w:val="0"/>
        <w:ind w:left="0" w:leftChars="0" w:firstLine="0" w:firstLineChars="0"/>
        <w:rPr>
          <w:b w:val="0"/>
          <w:bCs w:val="0"/>
          <w:sz w:val="28"/>
          <w:szCs w:val="28"/>
        </w:rPr>
      </w:pPr>
      <w:r>
        <w:rPr>
          <w:b w:val="0"/>
          <w:bCs w:val="0"/>
          <w:sz w:val="28"/>
          <w:szCs w:val="28"/>
        </w:rPr>
        <w:t>QA 自动化验收准则（Gherkin BDD）</w:t>
      </w:r>
    </w:p>
    <w:tbl>
      <w:tblPr>
        <w:tblStyle w:val="38"/>
        <w:tblW w:w="0" w:type="auto"/>
        <w:jc w:val="center"/>
        <w:tblLayout w:type="fixed"/>
        <w:tblCellMar>
          <w:top w:w="0" w:type="dxa"/>
          <w:left w:w="108" w:type="dxa"/>
          <w:bottom w:w="0" w:type="dxa"/>
          <w:right w:w="108" w:type="dxa"/>
        </w:tblCellMar>
      </w:tblPr>
      <w:tblGrid>
        <w:gridCol w:w="9648"/>
      </w:tblGrid>
      <w:tr w14:paraId="0CA800A8">
        <w:trPr>
          <w:jc w:val="center"/>
        </w:trPr>
        <w:tc>
          <w:tcPr>
            <w:tcW w:w="9648" w:type="dxa"/>
            <w:tcBorders>
              <w:top w:val="nil"/>
              <w:left w:val="single" w:color="7C3AED" w:sz="24" w:space="0"/>
              <w:bottom w:val="nil"/>
              <w:right w:val="nil"/>
            </w:tcBorders>
            <w:shd w:val="clear" w:color="auto" w:fill="F5F3FF"/>
            <w:tcMar>
              <w:top w:w="70" w:type="dxa"/>
              <w:left w:w="100" w:type="dxa"/>
              <w:bottom w:w="70" w:type="dxa"/>
              <w:right w:w="100" w:type="dxa"/>
            </w:tcMar>
          </w:tcPr>
          <w:p w14:paraId="5EB8D539">
            <w:pPr>
              <w:pStyle w:val="19"/>
              <w:bidi w:val="0"/>
              <w:rPr>
                <w:b w:val="0"/>
                <w:bCs w:val="0"/>
              </w:rPr>
            </w:pPr>
          </w:p>
        </w:tc>
      </w:tr>
    </w:tbl>
    <w:p w14:paraId="603B8581">
      <w:pPr>
        <w:rPr>
          <w:rFonts w:hint="default"/>
          <w:b w:val="0"/>
          <w:bCs w:val="0"/>
          <w:lang w:val="en-US" w:eastAsia="zh-CN"/>
        </w:rPr>
      </w:pPr>
    </w:p>
    <w:p w14:paraId="0F3AF870">
      <w:pPr>
        <w:pStyle w:val="4"/>
        <w:numPr>
          <w:ilvl w:val="0"/>
          <w:numId w:val="199"/>
        </w:numPr>
        <w:topLinePunct w:val="0"/>
        <w:ind w:left="0" w:leftChars="0" w:firstLine="0" w:firstLineChars="0"/>
        <w:outlineLvl w:val="0"/>
        <w:rPr>
          <w:rFonts w:hint="eastAsia" w:ascii="Times New Roman" w:hAnsi="Times New Roman" w:eastAsia="黑体" w:cs="Times New Roman"/>
          <w:b w:val="0"/>
          <w:bCs w:val="0"/>
          <w:sz w:val="30"/>
          <w:szCs w:val="32"/>
          <w:lang w:val="en-US" w:eastAsia="zh-CN"/>
        </w:rPr>
      </w:pPr>
      <w:bookmarkStart w:id="68" w:name="_Toc24546"/>
      <w:r>
        <w:rPr>
          <w:rFonts w:hint="eastAsia" w:ascii="Times New Roman" w:hAnsi="Times New Roman" w:eastAsia="黑体" w:cs="Times New Roman"/>
          <w:b w:val="0"/>
          <w:bCs w:val="0"/>
          <w:sz w:val="30"/>
          <w:szCs w:val="32"/>
          <w:lang w:val="en-US" w:eastAsia="zh-CN"/>
        </w:rPr>
        <w:t>能碳基础因子管理</w:t>
      </w:r>
      <w:bookmarkEnd w:id="68"/>
    </w:p>
    <w:p w14:paraId="574E3D3C">
      <w:pPr>
        <w:pStyle w:val="5"/>
        <w:numPr>
          <w:ilvl w:val="0"/>
          <w:numId w:val="208"/>
        </w:numPr>
        <w:ind w:left="0" w:leftChars="0" w:firstLine="0" w:firstLineChars="0"/>
        <w:outlineLvl w:val="1"/>
        <w:rPr>
          <w:rFonts w:hint="default" w:cs="Times New Roman"/>
          <w:b w:val="0"/>
          <w:bCs w:val="0"/>
          <w:sz w:val="30"/>
          <w:szCs w:val="24"/>
          <w:lang w:val="en-US" w:eastAsia="zh-CN"/>
        </w:rPr>
      </w:pPr>
      <w:bookmarkStart w:id="69" w:name="_Toc32713"/>
      <w:r>
        <w:rPr>
          <w:rFonts w:hint="eastAsia"/>
          <w:b w:val="0"/>
          <w:bCs w:val="0"/>
          <w:lang w:val="en-US" w:eastAsia="zh-CN"/>
        </w:rPr>
        <w:t>电</w:t>
      </w:r>
      <w:r>
        <w:rPr>
          <w:rFonts w:hint="eastAsia" w:cs="Times New Roman"/>
          <w:b w:val="0"/>
          <w:bCs w:val="0"/>
          <w:sz w:val="30"/>
          <w:szCs w:val="24"/>
          <w:lang w:val="en-US" w:eastAsia="zh-CN"/>
        </w:rPr>
        <w:t>力碳排因子</w:t>
      </w:r>
      <w:bookmarkEnd w:id="69"/>
    </w:p>
    <w:p w14:paraId="6336A148">
      <w:pPr>
        <w:rPr>
          <w:b w:val="0"/>
          <w:bCs w:val="0"/>
        </w:rPr>
      </w:pPr>
      <w:r>
        <w:drawing>
          <wp:inline distT="0" distB="0" distL="114300" distR="114300">
            <wp:extent cx="5900420" cy="2925445"/>
            <wp:effectExtent l="0" t="0" r="5080" b="8255"/>
            <wp:docPr id="87"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41"/>
                    <pic:cNvPicPr>
                      <a:picLocks noChangeAspect="1"/>
                    </pic:cNvPicPr>
                  </pic:nvPicPr>
                  <pic:blipFill>
                    <a:blip r:embed="rId99"/>
                    <a:stretch>
                      <a:fillRect/>
                    </a:stretch>
                  </pic:blipFill>
                  <pic:spPr>
                    <a:xfrm>
                      <a:off x="0" y="0"/>
                      <a:ext cx="5900420" cy="2925445"/>
                    </a:xfrm>
                    <a:prstGeom prst="rect">
                      <a:avLst/>
                    </a:prstGeom>
                    <a:noFill/>
                    <a:ln>
                      <a:noFill/>
                    </a:ln>
                  </pic:spPr>
                </pic:pic>
              </a:graphicData>
            </a:graphic>
          </wp:inline>
        </w:drawing>
      </w:r>
    </w:p>
    <w:p w14:paraId="3E467464">
      <w:pPr>
        <w:pStyle w:val="6"/>
        <w:numPr>
          <w:ilvl w:val="0"/>
          <w:numId w:val="209"/>
        </w:numPr>
        <w:bidi w:val="0"/>
        <w:ind w:left="0" w:leftChars="0" w:firstLine="0" w:firstLineChars="0"/>
        <w:rPr>
          <w:b w:val="0"/>
          <w:bCs w:val="0"/>
          <w:sz w:val="28"/>
          <w:szCs w:val="28"/>
        </w:rPr>
      </w:pPr>
      <w:r>
        <w:rPr>
          <w:b w:val="0"/>
          <w:bCs w:val="0"/>
          <w:sz w:val="28"/>
          <w:szCs w:val="28"/>
        </w:rPr>
        <w:t>定位与架构角色</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610D0170">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tcPr>
          <w:p w14:paraId="21FDE49E">
            <w:pPr>
              <w:pStyle w:val="19"/>
              <w:bidi w:val="0"/>
              <w:ind w:left="0" w:leftChars="0" w:firstLine="0" w:firstLineChars="0"/>
              <w:rPr>
                <w:rFonts w:ascii="宋体" w:hAnsi="宋体" w:eastAsia="宋体" w:cs="宋体"/>
                <w:sz w:val="24"/>
                <w:szCs w:val="24"/>
              </w:rPr>
            </w:pPr>
            <w:r>
              <w:rPr>
                <w:rFonts w:ascii="宋体" w:hAnsi="宋体" w:eastAsia="宋体" w:cs="宋体"/>
                <w:b/>
                <w:bCs/>
                <w:sz w:val="24"/>
                <w:szCs w:val="24"/>
              </w:rPr>
              <w:t>・功能定位</w:t>
            </w:r>
            <w:r>
              <w:rPr>
                <w:rFonts w:ascii="宋体" w:hAnsi="宋体" w:eastAsia="宋体" w:cs="宋体"/>
                <w:sz w:val="24"/>
                <w:szCs w:val="24"/>
              </w:rPr>
              <w:t xml:space="preserve">：作为能碳基础因子管理模块下电力类排放因子的维护单元，按省份、区域电网、电力来源维度管理电力碳排放因子，支持因子版本管控、新增与信息维护，为园区及产品碳足迹核算、能耗碳排放计算提供标准化电力因子基准数据，是碳核算业务开展的前置基础依赖。 </w:t>
            </w:r>
          </w:p>
          <w:p w14:paraId="365CA6CB">
            <w:pPr>
              <w:pStyle w:val="19"/>
              <w:bidi w:val="0"/>
              <w:ind w:left="0" w:leftChars="0" w:firstLine="0" w:firstLineChars="0"/>
              <w:rPr>
                <w:b w:val="0"/>
                <w:bCs w:val="0"/>
              </w:rPr>
            </w:pPr>
            <w:r>
              <w:rPr>
                <w:rFonts w:ascii="宋体" w:hAnsi="宋体" w:eastAsia="宋体" w:cs="宋体"/>
                <w:b/>
                <w:bCs/>
                <w:sz w:val="24"/>
                <w:szCs w:val="24"/>
              </w:rPr>
              <w:t>・承载角色</w:t>
            </w:r>
            <w:r>
              <w:rPr>
                <w:rFonts w:ascii="宋体" w:hAnsi="宋体" w:eastAsia="宋体" w:cs="宋体"/>
                <w:sz w:val="24"/>
                <w:szCs w:val="24"/>
              </w:rPr>
              <w:t>：PM 系统管理员（全量电力碳排因子新增、因子参数维护、版本管理与数据删除）。</w:t>
            </w:r>
          </w:p>
        </w:tc>
      </w:tr>
    </w:tbl>
    <w:p w14:paraId="2E6EF37F">
      <w:pPr>
        <w:rPr>
          <w:b w:val="0"/>
          <w:bCs w:val="0"/>
        </w:rPr>
      </w:pPr>
    </w:p>
    <w:p w14:paraId="3ABDB8D7">
      <w:pPr>
        <w:pStyle w:val="6"/>
        <w:numPr>
          <w:ilvl w:val="0"/>
          <w:numId w:val="209"/>
        </w:numPr>
        <w:bidi w:val="0"/>
        <w:ind w:left="0" w:leftChars="0" w:firstLine="0" w:firstLineChars="0"/>
        <w:rPr>
          <w:b w:val="0"/>
          <w:bCs w:val="0"/>
          <w:sz w:val="28"/>
          <w:szCs w:val="28"/>
        </w:rPr>
      </w:pPr>
      <w:r>
        <w:rPr>
          <w:b w:val="0"/>
          <w:bCs w:val="0"/>
          <w:sz w:val="28"/>
          <w:szCs w:val="28"/>
        </w:rPr>
        <w:t>业务场景与用户故事</w:t>
      </w:r>
    </w:p>
    <w:tbl>
      <w:tblPr>
        <w:tblStyle w:val="38"/>
        <w:tblW w:w="0" w:type="auto"/>
        <w:jc w:val="center"/>
        <w:tblBorders>
          <w:top w:val="none" w:color="auto" w:sz="0" w:space="0"/>
          <w:left w:val="single" w:color="44546A" w:themeColor="text2"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1D4BCA07">
        <w:tblPrEx>
          <w:tblBorders>
            <w:top w:val="none" w:color="auto" w:sz="0" w:space="0"/>
            <w:left w:val="single" w:color="44546A" w:themeColor="text2"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tcPr>
          <w:p w14:paraId="03079E9E">
            <w:pPr>
              <w:pStyle w:val="19"/>
              <w:bidi w:val="0"/>
              <w:ind w:left="0" w:leftChars="0" w:firstLine="0" w:firstLineChars="0"/>
            </w:pPr>
            <w:r>
              <w:rPr>
                <w:b/>
                <w:bCs/>
                <w:lang w:val="en-US" w:eastAsia="zh-CN"/>
              </w:rPr>
              <w:t>业务场景</w:t>
            </w:r>
            <w:r>
              <w:rPr>
                <w:lang w:val="en-US" w:eastAsia="zh-CN"/>
              </w:rPr>
              <w:t>：面向系统管理员进行能碳核算基础参数维护场景，统一管控全国各区域电网电力碳排放因子版本与参数，支撑全集团电力碳排放精准核算。</w:t>
            </w:r>
          </w:p>
          <w:p w14:paraId="243BACC3">
            <w:pPr>
              <w:pStyle w:val="19"/>
              <w:bidi w:val="0"/>
              <w:ind w:left="0" w:leftChars="0" w:firstLine="0" w:firstLineChars="0"/>
            </w:pPr>
            <w:r>
              <w:rPr>
                <w:b/>
                <w:bCs/>
                <w:lang w:val="en-US" w:eastAsia="zh-CN"/>
              </w:rPr>
              <w:t>用户故事</w:t>
            </w:r>
            <w:r>
              <w:rPr>
                <w:lang w:val="en-US" w:eastAsia="zh-CN"/>
              </w:rPr>
              <w:t>：</w:t>
            </w:r>
          </w:p>
          <w:p w14:paraId="6F5B0893">
            <w:pPr>
              <w:pStyle w:val="19"/>
              <w:bidi w:val="0"/>
            </w:pPr>
            <w:r>
              <w:rPr>
                <w:lang w:val="en-US" w:eastAsia="zh-CN"/>
              </w:rPr>
              <w:t>As a 系统管理员 (Persona PM)，</w:t>
            </w:r>
          </w:p>
          <w:p w14:paraId="50635CF3">
            <w:pPr>
              <w:pStyle w:val="19"/>
              <w:bidi w:val="0"/>
            </w:pPr>
            <w:r>
              <w:rPr>
                <w:lang w:val="en-US" w:eastAsia="zh-CN"/>
              </w:rPr>
              <w:t>I want 统一维护各区域电力碳排因子、更新因子版本、校准核算参数，</w:t>
            </w:r>
          </w:p>
          <w:p w14:paraId="33717475">
            <w:pPr>
              <w:pStyle w:val="19"/>
              <w:bidi w:val="0"/>
            </w:pPr>
            <w:r>
              <w:rPr>
                <w:lang w:val="en-US" w:eastAsia="zh-CN"/>
              </w:rPr>
              <w:t>So that 我能为全集团大屏降碳成效、电力碳排放统计、碳足迹核算提供权威基准数据。</w:t>
            </w:r>
          </w:p>
        </w:tc>
      </w:tr>
    </w:tbl>
    <w:p w14:paraId="7BFA50D8">
      <w:pPr>
        <w:rPr>
          <w:b w:val="0"/>
          <w:bCs w:val="0"/>
        </w:rPr>
      </w:pPr>
    </w:p>
    <w:p w14:paraId="7B1D2A4E">
      <w:pPr>
        <w:pStyle w:val="6"/>
        <w:numPr>
          <w:ilvl w:val="0"/>
          <w:numId w:val="209"/>
        </w:numPr>
        <w:bidi w:val="0"/>
        <w:ind w:left="0" w:leftChars="0" w:firstLine="0" w:firstLineChars="0"/>
        <w:rPr>
          <w:b w:val="0"/>
          <w:bCs w:val="0"/>
          <w:sz w:val="28"/>
          <w:szCs w:val="28"/>
        </w:rPr>
      </w:pPr>
      <w:r>
        <w:rPr>
          <w:b w:val="0"/>
          <w:bCs w:val="0"/>
          <w:sz w:val="28"/>
          <w:szCs w:val="28"/>
        </w:rPr>
        <w:t>功能规格与交互契约</w:t>
      </w:r>
    </w:p>
    <w:tbl>
      <w:tblPr>
        <w:tblStyle w:val="38"/>
        <w:tblW w:w="0" w:type="auto"/>
        <w:jc w:val="center"/>
        <w:tblBorders>
          <w:top w:val="none" w:color="auto" w:sz="0" w:space="0"/>
          <w:left w:val="single" w:color="EE822F" w:themeColor="accent2"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14A28B03">
        <w:tblPrEx>
          <w:tblBorders>
            <w:top w:val="none" w:color="auto" w:sz="0" w:space="0"/>
            <w:left w:val="single" w:color="EE822F" w:themeColor="accent2"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tcPr>
          <w:p w14:paraId="4BC1F58F">
            <w:pPr>
              <w:pStyle w:val="19"/>
              <w:numPr>
                <w:ilvl w:val="0"/>
                <w:numId w:val="210"/>
              </w:numPr>
              <w:bidi w:val="0"/>
              <w:rPr>
                <w:rFonts w:hint="default" w:eastAsia="宋体"/>
                <w:b w:val="0"/>
                <w:bCs w:val="0"/>
                <w:lang w:val="en-US" w:eastAsia="zh-CN"/>
              </w:rPr>
            </w:pPr>
            <w:r>
              <w:rPr>
                <w:rFonts w:hint="eastAsia"/>
                <w:b w:val="0"/>
                <w:bCs w:val="0"/>
                <w:lang w:val="en-US" w:eastAsia="zh-CN"/>
              </w:rPr>
              <w:t>点击上方查询条件，下方列表中进行数据筛选；</w:t>
            </w:r>
          </w:p>
          <w:p w14:paraId="438C28B5">
            <w:pPr>
              <w:pStyle w:val="19"/>
              <w:numPr>
                <w:ilvl w:val="0"/>
                <w:numId w:val="210"/>
              </w:numPr>
              <w:bidi w:val="0"/>
              <w:rPr>
                <w:rFonts w:hint="default" w:eastAsia="宋体"/>
                <w:b w:val="0"/>
                <w:bCs w:val="0"/>
                <w:lang w:val="en-US" w:eastAsia="zh-CN"/>
              </w:rPr>
            </w:pPr>
            <w:r>
              <w:rPr>
                <w:rFonts w:hint="eastAsia"/>
                <w:b w:val="0"/>
                <w:bCs w:val="0"/>
                <w:lang w:val="en-US" w:eastAsia="zh-CN"/>
              </w:rPr>
              <w:t>点击【新增因子】打开新增因子弹窗；</w:t>
            </w:r>
          </w:p>
          <w:p w14:paraId="06D3C038">
            <w:pPr>
              <w:pStyle w:val="19"/>
              <w:numPr>
                <w:ilvl w:val="0"/>
                <w:numId w:val="210"/>
              </w:numPr>
              <w:bidi w:val="0"/>
              <w:rPr>
                <w:rFonts w:hint="default" w:eastAsia="宋体"/>
                <w:b w:val="0"/>
                <w:bCs w:val="0"/>
                <w:lang w:val="en-US" w:eastAsia="zh-CN"/>
              </w:rPr>
            </w:pPr>
            <w:r>
              <w:rPr>
                <w:rFonts w:hint="eastAsia"/>
                <w:b w:val="0"/>
                <w:bCs w:val="0"/>
                <w:lang w:val="en-US" w:eastAsia="zh-CN"/>
              </w:rPr>
              <w:t>点击【编辑】打开编辑窗口；</w:t>
            </w:r>
          </w:p>
          <w:p w14:paraId="63B10775">
            <w:pPr>
              <w:pStyle w:val="19"/>
              <w:numPr>
                <w:ilvl w:val="0"/>
                <w:numId w:val="210"/>
              </w:numPr>
              <w:bidi w:val="0"/>
              <w:rPr>
                <w:rFonts w:hint="default" w:eastAsia="宋体"/>
                <w:b w:val="0"/>
                <w:bCs w:val="0"/>
                <w:lang w:val="en-US" w:eastAsia="zh-CN"/>
              </w:rPr>
            </w:pPr>
            <w:r>
              <w:rPr>
                <w:rFonts w:hint="eastAsia"/>
                <w:b w:val="0"/>
                <w:bCs w:val="0"/>
                <w:lang w:val="en-US" w:eastAsia="zh-CN"/>
              </w:rPr>
              <w:t>点击【版本】打开版本记录窗口；</w:t>
            </w:r>
          </w:p>
          <w:p w14:paraId="6230A17F">
            <w:pPr>
              <w:pStyle w:val="19"/>
              <w:numPr>
                <w:ilvl w:val="0"/>
                <w:numId w:val="210"/>
              </w:numPr>
              <w:bidi w:val="0"/>
              <w:rPr>
                <w:rFonts w:hint="default" w:eastAsia="宋体"/>
                <w:b w:val="0"/>
                <w:bCs w:val="0"/>
                <w:lang w:val="en-US" w:eastAsia="zh-CN"/>
              </w:rPr>
            </w:pPr>
            <w:r>
              <w:rPr>
                <w:rFonts w:hint="eastAsia"/>
                <w:b w:val="0"/>
                <w:bCs w:val="0"/>
                <w:lang w:val="en-US" w:eastAsia="zh-CN"/>
              </w:rPr>
              <w:t>点击【删除】打开弹窗，点击取消后关闭弹窗，点击确定后关闭弹窗并删除数据；</w:t>
            </w:r>
          </w:p>
        </w:tc>
      </w:tr>
    </w:tbl>
    <w:p w14:paraId="70DF6CF0">
      <w:pPr>
        <w:rPr>
          <w:b w:val="0"/>
          <w:bCs w:val="0"/>
        </w:rPr>
      </w:pPr>
    </w:p>
    <w:p w14:paraId="1343C9A7">
      <w:pPr>
        <w:pStyle w:val="6"/>
        <w:numPr>
          <w:ilvl w:val="0"/>
          <w:numId w:val="209"/>
        </w:numPr>
        <w:bidi w:val="0"/>
        <w:ind w:left="0" w:leftChars="0" w:firstLine="0" w:firstLineChars="0"/>
        <w:rPr>
          <w:b w:val="0"/>
          <w:bCs w:val="0"/>
          <w:sz w:val="28"/>
          <w:szCs w:val="28"/>
        </w:rPr>
      </w:pPr>
      <w:r>
        <w:rPr>
          <w:b w:val="0"/>
          <w:bCs w:val="0"/>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89"/>
        <w:gridCol w:w="1657"/>
        <w:gridCol w:w="1468"/>
        <w:gridCol w:w="1291"/>
        <w:gridCol w:w="4479"/>
      </w:tblGrid>
      <w:tr w14:paraId="17D29616">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44D65CB">
            <w:pPr>
              <w:pStyle w:val="19"/>
              <w:bidi w:val="0"/>
              <w:spacing w:line="240" w:lineRule="auto"/>
              <w:ind w:left="0" w:leftChars="0" w:right="0" w:rightChars="0" w:firstLine="0" w:firstLineChars="0"/>
              <w:jc w:val="both"/>
              <w:rPr>
                <w:b w:val="0"/>
                <w:bCs w:val="0"/>
              </w:rPr>
            </w:pPr>
            <w:r>
              <w:rPr>
                <w:b w:val="0"/>
                <w:bCs w:val="0"/>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C292121">
            <w:pPr>
              <w:pStyle w:val="19"/>
              <w:bidi w:val="0"/>
              <w:spacing w:line="240" w:lineRule="auto"/>
              <w:ind w:left="0" w:leftChars="0" w:right="0" w:rightChars="0" w:firstLine="0" w:firstLineChars="0"/>
              <w:jc w:val="both"/>
              <w:rPr>
                <w:b w:val="0"/>
                <w:bCs w:val="0"/>
              </w:rPr>
            </w:pPr>
            <w:r>
              <w:rPr>
                <w:b w:val="0"/>
                <w:bCs w:val="0"/>
              </w:rPr>
              <w:t>字段中文名称</w:t>
            </w:r>
          </w:p>
        </w:tc>
        <w:tc>
          <w:tcPr>
            <w:tcW w:w="146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8285BF1">
            <w:pPr>
              <w:pStyle w:val="19"/>
              <w:bidi w:val="0"/>
              <w:spacing w:line="240" w:lineRule="auto"/>
              <w:ind w:left="0" w:leftChars="0" w:right="0" w:rightChars="0" w:firstLine="0" w:firstLineChars="0"/>
              <w:jc w:val="both"/>
              <w:rPr>
                <w:b w:val="0"/>
                <w:bCs w:val="0"/>
              </w:rPr>
            </w:pPr>
            <w:r>
              <w:rPr>
                <w:b w:val="0"/>
                <w:bCs w:val="0"/>
              </w:rPr>
              <w:t>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B9DFB97">
            <w:pPr>
              <w:pStyle w:val="19"/>
              <w:bidi w:val="0"/>
              <w:spacing w:line="240" w:lineRule="auto"/>
              <w:ind w:left="0" w:leftChars="0" w:right="0" w:rightChars="0" w:firstLine="0" w:firstLineChars="0"/>
              <w:jc w:val="both"/>
              <w:rPr>
                <w:b w:val="0"/>
                <w:bCs w:val="0"/>
              </w:rPr>
            </w:pPr>
            <w:r>
              <w:rPr>
                <w:b w:val="0"/>
                <w:bCs w:val="0"/>
              </w:rPr>
              <w:t>工程单位</w:t>
            </w:r>
          </w:p>
        </w:tc>
        <w:tc>
          <w:tcPr>
            <w:tcW w:w="447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D00EE4A">
            <w:pPr>
              <w:pStyle w:val="19"/>
              <w:bidi w:val="0"/>
              <w:spacing w:line="240" w:lineRule="auto"/>
              <w:ind w:left="0" w:leftChars="0" w:right="0" w:rightChars="0" w:firstLine="0" w:firstLineChars="0"/>
              <w:jc w:val="both"/>
              <w:rPr>
                <w:b w:val="0"/>
                <w:bCs w:val="0"/>
              </w:rPr>
            </w:pPr>
            <w:r>
              <w:rPr>
                <w:b w:val="0"/>
                <w:bCs w:val="0"/>
              </w:rPr>
              <w:t>校验与约束规则</w:t>
            </w:r>
          </w:p>
        </w:tc>
      </w:tr>
      <w:tr w14:paraId="6386B1F7">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A4CB51E">
            <w:pPr>
              <w:pStyle w:val="19"/>
              <w:bidi w:val="0"/>
              <w:spacing w:line="240" w:lineRule="auto"/>
              <w:ind w:left="0" w:leftChars="0" w:right="0" w:rightChars="0" w:firstLine="0" w:firstLineChars="0"/>
              <w:jc w:val="center"/>
              <w:rPr>
                <w:b w:val="0"/>
                <w:bCs w:val="0"/>
              </w:rPr>
            </w:pPr>
            <w:r>
              <w:rPr>
                <w:rFonts w:hint="eastAsia" w:ascii="宋体" w:hAnsi="宋体" w:eastAsia="宋体" w:cs="宋体"/>
                <w:b w:val="0"/>
                <w:bCs w:val="0"/>
                <w:sz w:val="24"/>
                <w:szCs w:val="24"/>
                <w:lang w:val="en-US" w:eastAsia="zh-CN"/>
              </w:rPr>
              <w:t>1</w:t>
            </w:r>
          </w:p>
        </w:tc>
        <w:tc>
          <w:tcPr>
            <w:tcW w:w="165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CDC9599">
            <w:pPr>
              <w:bidi w:val="0"/>
              <w:spacing w:line="240" w:lineRule="auto"/>
              <w:ind w:left="0" w:leftChars="0" w:right="0" w:rightChars="0" w:firstLine="0" w:firstLineChars="0"/>
              <w:jc w:val="both"/>
              <w:rPr>
                <w:b w:val="0"/>
                <w:bCs w:val="0"/>
              </w:rPr>
            </w:pPr>
            <w:r>
              <w:rPr>
                <w:rFonts w:hint="eastAsia" w:ascii="宋体" w:hAnsi="宋体" w:eastAsia="宋体" w:cs="宋体"/>
                <w:sz w:val="24"/>
                <w:szCs w:val="24"/>
              </w:rPr>
              <w:t>省份</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E09EC29">
            <w:pPr>
              <w:pStyle w:val="19"/>
              <w:bidi w:val="0"/>
              <w:spacing w:line="240" w:lineRule="auto"/>
              <w:ind w:left="0" w:leftChars="0" w:right="0" w:rightChars="0" w:firstLine="0" w:firstLineChars="0"/>
              <w:jc w:val="both"/>
              <w:rPr>
                <w:b w:val="0"/>
                <w:bCs w:val="0"/>
              </w:rPr>
            </w:pP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9D2970A">
            <w:pPr>
              <w:pStyle w:val="19"/>
              <w:bidi w:val="0"/>
              <w:spacing w:line="240" w:lineRule="auto"/>
              <w:ind w:left="0" w:leftChars="0" w:right="0" w:rightChars="0" w:firstLine="0" w:firstLineChars="0"/>
              <w:jc w:val="both"/>
              <w:rPr>
                <w:b w:val="0"/>
                <w:bCs w:val="0"/>
              </w:rPr>
            </w:pP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7C3AC00">
            <w:pPr>
              <w:pStyle w:val="19"/>
              <w:bidi w:val="0"/>
              <w:spacing w:line="240" w:lineRule="auto"/>
              <w:ind w:left="0" w:leftChars="0" w:right="0" w:rightChars="0" w:firstLine="0" w:firstLineChars="0"/>
              <w:jc w:val="both"/>
              <w:rPr>
                <w:b w:val="0"/>
                <w:bCs w:val="0"/>
              </w:rPr>
            </w:pPr>
          </w:p>
        </w:tc>
      </w:tr>
      <w:tr w14:paraId="4963E9BB">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079800B">
            <w:pPr>
              <w:pStyle w:val="19"/>
              <w:bidi w:val="0"/>
              <w:spacing w:line="240" w:lineRule="auto"/>
              <w:ind w:left="0" w:leftChars="0" w:right="0" w:rightChars="0" w:firstLine="0" w:firstLineChars="0"/>
              <w:jc w:val="center"/>
              <w:rPr>
                <w:b w:val="0"/>
                <w:bCs w:val="0"/>
              </w:rPr>
            </w:pPr>
            <w:r>
              <w:rPr>
                <w:rFonts w:hint="eastAsia" w:ascii="宋体" w:hAnsi="宋体" w:eastAsia="宋体" w:cs="宋体"/>
                <w:b w:val="0"/>
                <w:bCs w:val="0"/>
                <w:sz w:val="24"/>
                <w:szCs w:val="24"/>
                <w:lang w:val="en-US" w:eastAsia="zh-CN"/>
              </w:rPr>
              <w:t>2</w:t>
            </w:r>
          </w:p>
        </w:tc>
        <w:tc>
          <w:tcPr>
            <w:tcW w:w="165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5EDE9A0">
            <w:pPr>
              <w:bidi w:val="0"/>
              <w:spacing w:line="240" w:lineRule="auto"/>
              <w:ind w:left="0" w:leftChars="0" w:right="0" w:rightChars="0" w:firstLine="0" w:firstLineChars="0"/>
              <w:jc w:val="both"/>
              <w:rPr>
                <w:b w:val="0"/>
                <w:bCs w:val="0"/>
              </w:rPr>
            </w:pPr>
            <w:r>
              <w:rPr>
                <w:rFonts w:hint="eastAsia" w:ascii="宋体" w:hAnsi="宋体" w:eastAsia="宋体" w:cs="宋体"/>
                <w:sz w:val="24"/>
                <w:szCs w:val="24"/>
              </w:rPr>
              <w:t>区域电网</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5601673">
            <w:pPr>
              <w:pStyle w:val="19"/>
              <w:bidi w:val="0"/>
              <w:spacing w:line="240" w:lineRule="auto"/>
              <w:ind w:left="0" w:leftChars="0" w:right="0" w:rightChars="0" w:firstLine="0" w:firstLineChars="0"/>
              <w:jc w:val="both"/>
              <w:rPr>
                <w:b w:val="0"/>
                <w:bCs w:val="0"/>
              </w:rPr>
            </w:pP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15DF905">
            <w:pPr>
              <w:pStyle w:val="19"/>
              <w:bidi w:val="0"/>
              <w:spacing w:line="240" w:lineRule="auto"/>
              <w:ind w:left="0" w:leftChars="0" w:right="0" w:rightChars="0" w:firstLine="0" w:firstLineChars="0"/>
              <w:jc w:val="both"/>
              <w:rPr>
                <w:b w:val="0"/>
                <w:bCs w:val="0"/>
              </w:rPr>
            </w:pP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0BCF25F">
            <w:pPr>
              <w:pStyle w:val="19"/>
              <w:bidi w:val="0"/>
              <w:spacing w:line="240" w:lineRule="auto"/>
              <w:ind w:left="0" w:leftChars="0" w:right="0" w:rightChars="0" w:firstLine="0" w:firstLineChars="0"/>
              <w:jc w:val="both"/>
              <w:rPr>
                <w:b w:val="0"/>
                <w:bCs w:val="0"/>
              </w:rPr>
            </w:pPr>
          </w:p>
        </w:tc>
      </w:tr>
      <w:tr w14:paraId="3DE6F6E5">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DFF9996">
            <w:pPr>
              <w:pStyle w:val="19"/>
              <w:bidi w:val="0"/>
              <w:spacing w:line="240" w:lineRule="auto"/>
              <w:ind w:left="0" w:leftChars="0" w:right="0" w:rightChars="0" w:firstLine="0" w:firstLineChars="0"/>
              <w:jc w:val="center"/>
              <w:rPr>
                <w:b w:val="0"/>
                <w:bCs w:val="0"/>
              </w:rPr>
            </w:pPr>
            <w:r>
              <w:rPr>
                <w:rFonts w:hint="eastAsia" w:ascii="宋体" w:hAnsi="宋体" w:eastAsia="宋体" w:cs="宋体"/>
                <w:b w:val="0"/>
                <w:bCs w:val="0"/>
                <w:sz w:val="24"/>
                <w:szCs w:val="24"/>
                <w:lang w:val="en-US" w:eastAsia="zh-CN"/>
              </w:rPr>
              <w:t>3</w:t>
            </w:r>
          </w:p>
        </w:tc>
        <w:tc>
          <w:tcPr>
            <w:tcW w:w="165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BB008DA">
            <w:pPr>
              <w:bidi w:val="0"/>
              <w:spacing w:line="240" w:lineRule="auto"/>
              <w:ind w:left="0" w:leftChars="0" w:right="0" w:rightChars="0" w:firstLine="0" w:firstLineChars="0"/>
              <w:jc w:val="both"/>
              <w:rPr>
                <w:b w:val="0"/>
                <w:bCs w:val="0"/>
              </w:rPr>
            </w:pPr>
            <w:r>
              <w:rPr>
                <w:rFonts w:hint="eastAsia" w:ascii="宋体" w:hAnsi="宋体" w:eastAsia="宋体" w:cs="宋体"/>
                <w:sz w:val="24"/>
                <w:szCs w:val="24"/>
              </w:rPr>
              <w:t>电力来源</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C13EAC1">
            <w:pPr>
              <w:pStyle w:val="19"/>
              <w:bidi w:val="0"/>
              <w:spacing w:line="240" w:lineRule="auto"/>
              <w:ind w:left="0" w:leftChars="0" w:right="0" w:rightChars="0" w:firstLine="0" w:firstLineChars="0"/>
              <w:jc w:val="both"/>
              <w:rPr>
                <w:b w:val="0"/>
                <w:bCs w:val="0"/>
              </w:rPr>
            </w:pP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172786C">
            <w:pPr>
              <w:pStyle w:val="19"/>
              <w:bidi w:val="0"/>
              <w:spacing w:line="240" w:lineRule="auto"/>
              <w:ind w:left="0" w:leftChars="0" w:right="0" w:rightChars="0" w:firstLine="0" w:firstLineChars="0"/>
              <w:jc w:val="both"/>
              <w:rPr>
                <w:b w:val="0"/>
                <w:bCs w:val="0"/>
              </w:rPr>
            </w:pP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E5CF322">
            <w:pPr>
              <w:pStyle w:val="19"/>
              <w:bidi w:val="0"/>
              <w:spacing w:line="240" w:lineRule="auto"/>
              <w:ind w:left="0" w:leftChars="0" w:right="0" w:rightChars="0" w:firstLine="0" w:firstLineChars="0"/>
              <w:jc w:val="both"/>
              <w:rPr>
                <w:b w:val="0"/>
                <w:bCs w:val="0"/>
              </w:rPr>
            </w:pPr>
          </w:p>
        </w:tc>
      </w:tr>
      <w:tr w14:paraId="1D7264B3">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3606E6F">
            <w:pPr>
              <w:pStyle w:val="19"/>
              <w:bidi w:val="0"/>
              <w:spacing w:line="240" w:lineRule="auto"/>
              <w:ind w:left="0" w:leftChars="0" w:right="0" w:rightChars="0" w:firstLine="0" w:firstLineChars="0"/>
              <w:jc w:val="center"/>
              <w:rPr>
                <w:b w:val="0"/>
                <w:bCs w:val="0"/>
              </w:rPr>
            </w:pPr>
            <w:r>
              <w:rPr>
                <w:rFonts w:hint="eastAsia" w:ascii="宋体" w:hAnsi="宋体" w:eastAsia="宋体" w:cs="宋体"/>
                <w:b w:val="0"/>
                <w:bCs w:val="0"/>
                <w:sz w:val="24"/>
                <w:szCs w:val="24"/>
                <w:lang w:val="en-US" w:eastAsia="zh-CN"/>
              </w:rPr>
              <w:t>4</w:t>
            </w:r>
          </w:p>
        </w:tc>
        <w:tc>
          <w:tcPr>
            <w:tcW w:w="165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6BB77E3">
            <w:pPr>
              <w:bidi w:val="0"/>
              <w:spacing w:line="240" w:lineRule="auto"/>
              <w:ind w:left="0" w:leftChars="0" w:right="0" w:rightChars="0" w:firstLine="0" w:firstLineChars="0"/>
              <w:jc w:val="both"/>
              <w:rPr>
                <w:b w:val="0"/>
                <w:bCs w:val="0"/>
              </w:rPr>
            </w:pPr>
            <w:r>
              <w:rPr>
                <w:rFonts w:hint="eastAsia" w:ascii="宋体" w:hAnsi="宋体" w:eastAsia="宋体" w:cs="宋体"/>
                <w:sz w:val="24"/>
                <w:szCs w:val="24"/>
              </w:rPr>
              <w:t>因子值</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391F42A">
            <w:pPr>
              <w:pStyle w:val="19"/>
              <w:bidi w:val="0"/>
              <w:spacing w:line="240" w:lineRule="auto"/>
              <w:ind w:left="0" w:leftChars="0" w:right="0" w:rightChars="0" w:firstLine="0" w:firstLineChars="0"/>
              <w:jc w:val="both"/>
              <w:rPr>
                <w:b w:val="0"/>
                <w:bCs w:val="0"/>
              </w:rPr>
            </w:pP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05A248C">
            <w:pPr>
              <w:pStyle w:val="19"/>
              <w:bidi w:val="0"/>
              <w:spacing w:line="240" w:lineRule="auto"/>
              <w:ind w:left="0" w:leftChars="0" w:right="0" w:rightChars="0" w:firstLine="0" w:firstLineChars="0"/>
              <w:jc w:val="both"/>
              <w:rPr>
                <w:b w:val="0"/>
                <w:bCs w:val="0"/>
              </w:rPr>
            </w:pP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C7DE363">
            <w:pPr>
              <w:pStyle w:val="19"/>
              <w:bidi w:val="0"/>
              <w:spacing w:line="240" w:lineRule="auto"/>
              <w:ind w:left="0" w:leftChars="0" w:right="0" w:rightChars="0" w:firstLine="0" w:firstLineChars="0"/>
              <w:jc w:val="both"/>
              <w:rPr>
                <w:b w:val="0"/>
                <w:bCs w:val="0"/>
              </w:rPr>
            </w:pPr>
          </w:p>
        </w:tc>
      </w:tr>
      <w:tr w14:paraId="08FC803B">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A394771">
            <w:pPr>
              <w:pStyle w:val="19"/>
              <w:bidi w:val="0"/>
              <w:spacing w:line="240" w:lineRule="auto"/>
              <w:ind w:left="0" w:leftChars="0" w:right="0" w:rightChars="0" w:firstLine="0" w:firstLineChars="0"/>
              <w:jc w:val="center"/>
              <w:rPr>
                <w:b w:val="0"/>
                <w:bCs w:val="0"/>
              </w:rPr>
            </w:pPr>
            <w:r>
              <w:rPr>
                <w:rFonts w:hint="eastAsia" w:ascii="宋体" w:hAnsi="宋体" w:eastAsia="宋体" w:cs="宋体"/>
                <w:b w:val="0"/>
                <w:bCs w:val="0"/>
                <w:sz w:val="24"/>
                <w:szCs w:val="24"/>
                <w:lang w:val="en-US" w:eastAsia="zh-CN"/>
              </w:rPr>
              <w:t>5</w:t>
            </w:r>
          </w:p>
        </w:tc>
        <w:tc>
          <w:tcPr>
            <w:tcW w:w="165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8925FBE">
            <w:pPr>
              <w:bidi w:val="0"/>
              <w:spacing w:line="240" w:lineRule="auto"/>
              <w:ind w:left="0" w:leftChars="0" w:right="0" w:rightChars="0" w:firstLine="0" w:firstLineChars="0"/>
              <w:jc w:val="both"/>
              <w:rPr>
                <w:b w:val="0"/>
                <w:bCs w:val="0"/>
              </w:rPr>
            </w:pPr>
            <w:r>
              <w:rPr>
                <w:rFonts w:hint="eastAsia" w:ascii="宋体" w:hAnsi="宋体" w:eastAsia="宋体" w:cs="宋体"/>
                <w:sz w:val="24"/>
                <w:szCs w:val="24"/>
              </w:rPr>
              <w:t>单位</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4447DC5">
            <w:pPr>
              <w:pStyle w:val="19"/>
              <w:bidi w:val="0"/>
              <w:spacing w:line="240" w:lineRule="auto"/>
              <w:ind w:left="0" w:leftChars="0" w:right="0" w:rightChars="0" w:firstLine="0" w:firstLineChars="0"/>
              <w:jc w:val="both"/>
              <w:rPr>
                <w:b w:val="0"/>
                <w:bCs w:val="0"/>
              </w:rPr>
            </w:pP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11ED42D">
            <w:pPr>
              <w:pStyle w:val="19"/>
              <w:bidi w:val="0"/>
              <w:spacing w:line="240" w:lineRule="auto"/>
              <w:ind w:left="0" w:leftChars="0" w:right="0" w:rightChars="0" w:firstLine="0" w:firstLineChars="0"/>
              <w:jc w:val="both"/>
              <w:rPr>
                <w:b w:val="0"/>
                <w:bCs w:val="0"/>
              </w:rPr>
            </w:pP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E2F7E3D">
            <w:pPr>
              <w:pStyle w:val="19"/>
              <w:bidi w:val="0"/>
              <w:spacing w:line="240" w:lineRule="auto"/>
              <w:ind w:left="0" w:leftChars="0" w:right="0" w:rightChars="0" w:firstLine="0" w:firstLineChars="0"/>
              <w:jc w:val="both"/>
              <w:rPr>
                <w:b w:val="0"/>
                <w:bCs w:val="0"/>
              </w:rPr>
            </w:pPr>
          </w:p>
        </w:tc>
      </w:tr>
      <w:tr w14:paraId="0BB08192">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8FBA397">
            <w:pPr>
              <w:pStyle w:val="19"/>
              <w:bidi w:val="0"/>
              <w:spacing w:line="240" w:lineRule="auto"/>
              <w:ind w:left="0" w:leftChars="0" w:right="0" w:rightChars="0" w:firstLine="0" w:firstLineChars="0"/>
              <w:jc w:val="center"/>
              <w:rPr>
                <w:b w:val="0"/>
                <w:bCs w:val="0"/>
              </w:rPr>
            </w:pPr>
            <w:r>
              <w:rPr>
                <w:rFonts w:hint="eastAsia" w:ascii="宋体" w:hAnsi="宋体" w:eastAsia="宋体" w:cs="宋体"/>
                <w:b w:val="0"/>
                <w:bCs w:val="0"/>
                <w:sz w:val="24"/>
                <w:szCs w:val="24"/>
                <w:lang w:val="en-US" w:eastAsia="zh-CN"/>
              </w:rPr>
              <w:t>6</w:t>
            </w:r>
          </w:p>
        </w:tc>
        <w:tc>
          <w:tcPr>
            <w:tcW w:w="165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1F1F419">
            <w:pPr>
              <w:bidi w:val="0"/>
              <w:spacing w:line="240" w:lineRule="auto"/>
              <w:ind w:left="0" w:leftChars="0" w:right="0" w:rightChars="0" w:firstLine="0" w:firstLineChars="0"/>
              <w:jc w:val="both"/>
              <w:rPr>
                <w:b w:val="0"/>
                <w:bCs w:val="0"/>
              </w:rPr>
            </w:pPr>
            <w:r>
              <w:rPr>
                <w:rFonts w:hint="eastAsia" w:ascii="宋体" w:hAnsi="宋体" w:eastAsia="宋体" w:cs="宋体"/>
                <w:sz w:val="24"/>
                <w:szCs w:val="24"/>
              </w:rPr>
              <w:t>数据来源</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E7A9D9D">
            <w:pPr>
              <w:pStyle w:val="19"/>
              <w:bidi w:val="0"/>
              <w:spacing w:line="240" w:lineRule="auto"/>
              <w:ind w:left="0" w:leftChars="0" w:right="0" w:rightChars="0" w:firstLine="0" w:firstLineChars="0"/>
              <w:jc w:val="both"/>
              <w:rPr>
                <w:b w:val="0"/>
                <w:bCs w:val="0"/>
              </w:rPr>
            </w:pP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FE9FD06">
            <w:pPr>
              <w:pStyle w:val="19"/>
              <w:bidi w:val="0"/>
              <w:spacing w:line="240" w:lineRule="auto"/>
              <w:ind w:left="0" w:leftChars="0" w:right="0" w:rightChars="0" w:firstLine="0" w:firstLineChars="0"/>
              <w:jc w:val="both"/>
              <w:rPr>
                <w:b w:val="0"/>
                <w:bCs w:val="0"/>
              </w:rPr>
            </w:pP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C2627ED">
            <w:pPr>
              <w:pStyle w:val="19"/>
              <w:bidi w:val="0"/>
              <w:spacing w:line="240" w:lineRule="auto"/>
              <w:ind w:left="0" w:leftChars="0" w:right="0" w:rightChars="0" w:firstLine="0" w:firstLineChars="0"/>
              <w:jc w:val="both"/>
              <w:rPr>
                <w:b w:val="0"/>
                <w:bCs w:val="0"/>
              </w:rPr>
            </w:pPr>
          </w:p>
        </w:tc>
      </w:tr>
      <w:tr w14:paraId="60FE8523">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69DC1C7">
            <w:pPr>
              <w:pStyle w:val="19"/>
              <w:bidi w:val="0"/>
              <w:spacing w:line="240" w:lineRule="auto"/>
              <w:ind w:left="0" w:leftChars="0" w:right="0" w:rightChars="0" w:firstLine="0" w:firstLineChars="0"/>
              <w:jc w:val="center"/>
              <w:rPr>
                <w:b w:val="0"/>
                <w:bCs w:val="0"/>
              </w:rPr>
            </w:pPr>
            <w:r>
              <w:rPr>
                <w:rFonts w:hint="eastAsia" w:ascii="宋体" w:hAnsi="宋体" w:eastAsia="宋体" w:cs="宋体"/>
                <w:b w:val="0"/>
                <w:bCs w:val="0"/>
                <w:sz w:val="24"/>
                <w:szCs w:val="24"/>
                <w:lang w:val="en-US" w:eastAsia="zh-CN"/>
              </w:rPr>
              <w:t>7</w:t>
            </w:r>
          </w:p>
        </w:tc>
        <w:tc>
          <w:tcPr>
            <w:tcW w:w="165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9BB2A44">
            <w:pPr>
              <w:bidi w:val="0"/>
              <w:spacing w:line="240" w:lineRule="auto"/>
              <w:ind w:left="0" w:leftChars="0" w:right="0" w:rightChars="0" w:firstLine="0" w:firstLineChars="0"/>
              <w:jc w:val="both"/>
              <w:rPr>
                <w:b w:val="0"/>
                <w:bCs w:val="0"/>
              </w:rPr>
            </w:pPr>
            <w:r>
              <w:rPr>
                <w:rFonts w:hint="eastAsia" w:ascii="宋体" w:hAnsi="宋体" w:eastAsia="宋体" w:cs="宋体"/>
                <w:sz w:val="24"/>
                <w:szCs w:val="24"/>
              </w:rPr>
              <w:t>版本</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EEF7D50">
            <w:pPr>
              <w:pStyle w:val="19"/>
              <w:bidi w:val="0"/>
              <w:spacing w:line="240" w:lineRule="auto"/>
              <w:ind w:left="0" w:leftChars="0" w:right="0" w:rightChars="0" w:firstLine="0" w:firstLineChars="0"/>
              <w:jc w:val="both"/>
              <w:rPr>
                <w:b w:val="0"/>
                <w:bCs w:val="0"/>
              </w:rPr>
            </w:pP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1477A8B">
            <w:pPr>
              <w:pStyle w:val="19"/>
              <w:bidi w:val="0"/>
              <w:spacing w:line="240" w:lineRule="auto"/>
              <w:ind w:left="0" w:leftChars="0" w:right="0" w:rightChars="0" w:firstLine="0" w:firstLineChars="0"/>
              <w:jc w:val="both"/>
              <w:rPr>
                <w:b w:val="0"/>
                <w:bCs w:val="0"/>
              </w:rPr>
            </w:pP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0517FBD">
            <w:pPr>
              <w:pStyle w:val="19"/>
              <w:bidi w:val="0"/>
              <w:spacing w:line="240" w:lineRule="auto"/>
              <w:ind w:left="0" w:leftChars="0" w:right="0" w:rightChars="0" w:firstLine="0" w:firstLineChars="0"/>
              <w:jc w:val="both"/>
              <w:rPr>
                <w:b w:val="0"/>
                <w:bCs w:val="0"/>
              </w:rPr>
            </w:pPr>
          </w:p>
        </w:tc>
      </w:tr>
    </w:tbl>
    <w:p w14:paraId="7ECFDB59">
      <w:pPr>
        <w:pStyle w:val="19"/>
        <w:bidi w:val="0"/>
        <w:rPr>
          <w:b w:val="0"/>
          <w:bCs w:val="0"/>
        </w:rPr>
      </w:pPr>
    </w:p>
    <w:p w14:paraId="69B84269">
      <w:pPr>
        <w:pStyle w:val="6"/>
        <w:numPr>
          <w:ilvl w:val="0"/>
          <w:numId w:val="209"/>
        </w:numPr>
        <w:bidi w:val="0"/>
        <w:ind w:left="0" w:leftChars="0" w:firstLine="0" w:firstLineChars="0"/>
        <w:rPr>
          <w:b w:val="0"/>
          <w:bCs w:val="0"/>
          <w:sz w:val="28"/>
          <w:szCs w:val="28"/>
        </w:rPr>
      </w:pPr>
      <w:r>
        <w:rPr>
          <w:b w:val="0"/>
          <w:bCs w:val="0"/>
          <w:sz w:val="28"/>
          <w:szCs w:val="28"/>
        </w:rPr>
        <w:t>核心数学模型与算法框架</w:t>
      </w:r>
    </w:p>
    <w:tbl>
      <w:tblPr>
        <w:tblStyle w:val="38"/>
        <w:tblW w:w="0" w:type="auto"/>
        <w:jc w:val="center"/>
        <w:tblLayout w:type="fixed"/>
        <w:tblCellMar>
          <w:top w:w="0" w:type="dxa"/>
          <w:left w:w="108" w:type="dxa"/>
          <w:bottom w:w="0" w:type="dxa"/>
          <w:right w:w="108" w:type="dxa"/>
        </w:tblCellMar>
      </w:tblPr>
      <w:tblGrid>
        <w:gridCol w:w="9648"/>
      </w:tblGrid>
      <w:tr w14:paraId="1EC7A457">
        <w:tblPrEx>
          <w:tblCellMar>
            <w:top w:w="0" w:type="dxa"/>
            <w:left w:w="108" w:type="dxa"/>
            <w:bottom w:w="0" w:type="dxa"/>
            <w:right w:w="108" w:type="dxa"/>
          </w:tblCellMar>
        </w:tblPrEx>
        <w:trPr>
          <w:jc w:val="center"/>
        </w:trPr>
        <w:tc>
          <w:tcPr>
            <w:tcW w:w="9648" w:type="dxa"/>
            <w:tcBorders>
              <w:top w:val="nil"/>
              <w:left w:val="single" w:color="16A34A" w:sz="24" w:space="0"/>
              <w:bottom w:val="nil"/>
              <w:right w:val="nil"/>
            </w:tcBorders>
            <w:shd w:val="clear" w:color="auto" w:fill="F0FDF4"/>
            <w:tcMar>
              <w:top w:w="70" w:type="dxa"/>
              <w:left w:w="100" w:type="dxa"/>
              <w:bottom w:w="70" w:type="dxa"/>
              <w:right w:w="100" w:type="dxa"/>
            </w:tcMar>
          </w:tcPr>
          <w:p w14:paraId="06036087">
            <w:pPr>
              <w:pStyle w:val="19"/>
              <w:bidi w:val="0"/>
              <w:rPr>
                <w:b w:val="0"/>
                <w:bCs w:val="0"/>
              </w:rPr>
            </w:pPr>
            <w:r>
              <w:rPr>
                <w:rFonts w:hint="eastAsia"/>
                <w:lang w:val="en-US" w:eastAsia="zh-CN"/>
              </w:rPr>
              <w:t>无</w:t>
            </w:r>
          </w:p>
        </w:tc>
      </w:tr>
    </w:tbl>
    <w:p w14:paraId="1DA0DC20">
      <w:pPr>
        <w:pStyle w:val="19"/>
        <w:bidi w:val="0"/>
        <w:rPr>
          <w:b w:val="0"/>
          <w:bCs w:val="0"/>
        </w:rPr>
      </w:pPr>
    </w:p>
    <w:p w14:paraId="6456EB1C">
      <w:pPr>
        <w:pStyle w:val="6"/>
        <w:numPr>
          <w:ilvl w:val="0"/>
          <w:numId w:val="209"/>
        </w:numPr>
        <w:bidi w:val="0"/>
        <w:ind w:left="0" w:leftChars="0" w:firstLine="0" w:firstLineChars="0"/>
        <w:rPr>
          <w:b w:val="0"/>
          <w:bCs w:val="0"/>
          <w:sz w:val="28"/>
          <w:szCs w:val="28"/>
        </w:rPr>
      </w:pPr>
      <w:r>
        <w:rPr>
          <w:b w:val="0"/>
          <w:bCs w:val="0"/>
          <w:sz w:val="28"/>
          <w:szCs w:val="28"/>
        </w:rPr>
        <w:t>展示、对标与判定口径</w:t>
      </w:r>
    </w:p>
    <w:tbl>
      <w:tblPr>
        <w:tblStyle w:val="38"/>
        <w:tblW w:w="0" w:type="auto"/>
        <w:jc w:val="center"/>
        <w:tblBorders>
          <w:top w:val="none" w:color="auto" w:sz="0" w:space="0"/>
          <w:left w:val="single" w:color="4874CB" w:themeColor="accent1"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0CA45538">
        <w:tblPrEx>
          <w:tblBorders>
            <w:top w:val="none" w:color="auto" w:sz="0" w:space="0"/>
            <w:left w:val="single" w:color="4874CB" w:themeColor="accent1"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tcPr>
          <w:p w14:paraId="6205A653">
            <w:pPr>
              <w:pStyle w:val="19"/>
              <w:bidi w:val="0"/>
              <w:rPr>
                <w:b w:val="0"/>
                <w:bCs w:val="0"/>
              </w:rPr>
            </w:pPr>
          </w:p>
        </w:tc>
      </w:tr>
    </w:tbl>
    <w:p w14:paraId="2486B5BF">
      <w:pPr>
        <w:pStyle w:val="19"/>
        <w:bidi w:val="0"/>
        <w:rPr>
          <w:b w:val="0"/>
          <w:bCs w:val="0"/>
        </w:rPr>
      </w:pPr>
    </w:p>
    <w:p w14:paraId="2E192966">
      <w:pPr>
        <w:pStyle w:val="6"/>
        <w:numPr>
          <w:ilvl w:val="0"/>
          <w:numId w:val="209"/>
        </w:numPr>
        <w:bidi w:val="0"/>
        <w:ind w:left="0" w:leftChars="0" w:firstLine="0" w:firstLineChars="0"/>
        <w:rPr>
          <w:b w:val="0"/>
          <w:bCs w:val="0"/>
          <w:sz w:val="28"/>
          <w:szCs w:val="28"/>
        </w:rPr>
      </w:pPr>
      <w:r>
        <w:rPr>
          <w:b w:val="0"/>
          <w:bCs w:val="0"/>
          <w:sz w:val="28"/>
          <w:szCs w:val="28"/>
        </w:rPr>
        <w:t>边界条件、异常处理与防错规则</w:t>
      </w:r>
    </w:p>
    <w:tbl>
      <w:tblPr>
        <w:tblStyle w:val="38"/>
        <w:tblW w:w="0" w:type="auto"/>
        <w:jc w:val="center"/>
        <w:tblBorders>
          <w:top w:val="none" w:color="auto" w:sz="0" w:space="0"/>
          <w:left w:val="single" w:color="E54C5E" w:themeColor="accent6"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0483BEB3">
        <w:tblPrEx>
          <w:tblBorders>
            <w:top w:val="none" w:color="auto" w:sz="0" w:space="0"/>
            <w:left w:val="single" w:color="E54C5E" w:themeColor="accent6" w:sz="24" w:space="0"/>
            <w:bottom w:val="none" w:color="auto" w:sz="0" w:space="0"/>
            <w:right w:val="none" w:color="auto" w:sz="0" w:space="0"/>
            <w:insideH w:val="none" w:color="auto" w:sz="0" w:space="0"/>
            <w:insideV w:val="none" w:color="auto" w:sz="0" w:space="0"/>
          </w:tblBorders>
        </w:tblPrEx>
        <w:trPr>
          <w:jc w:val="center"/>
        </w:trPr>
        <w:tc>
          <w:tcPr>
            <w:tcW w:w="9648" w:type="dxa"/>
            <w:tcBorders>
              <w:tl2br w:val="nil"/>
              <w:tr2bl w:val="nil"/>
            </w:tcBorders>
            <w:shd w:val="clear" w:color="auto" w:fill="F5F3FF"/>
            <w:tcMar>
              <w:top w:w="70" w:type="dxa"/>
              <w:left w:w="100" w:type="dxa"/>
              <w:bottom w:w="70" w:type="dxa"/>
              <w:right w:w="100" w:type="dxa"/>
            </w:tcMar>
          </w:tcPr>
          <w:p w14:paraId="73899A59">
            <w:pPr>
              <w:pStyle w:val="19"/>
              <w:bidi w:val="0"/>
              <w:rPr>
                <w:b w:val="0"/>
                <w:bCs w:val="0"/>
              </w:rPr>
            </w:pPr>
          </w:p>
        </w:tc>
      </w:tr>
    </w:tbl>
    <w:p w14:paraId="405BAB4D">
      <w:pPr>
        <w:rPr>
          <w:b w:val="0"/>
          <w:bCs w:val="0"/>
        </w:rPr>
      </w:pPr>
    </w:p>
    <w:p w14:paraId="2B26499B">
      <w:pPr>
        <w:pStyle w:val="6"/>
        <w:numPr>
          <w:ilvl w:val="0"/>
          <w:numId w:val="209"/>
        </w:numPr>
        <w:bidi w:val="0"/>
        <w:ind w:left="0" w:leftChars="0" w:firstLine="0" w:firstLineChars="0"/>
        <w:rPr>
          <w:b w:val="0"/>
          <w:bCs w:val="0"/>
          <w:sz w:val="28"/>
          <w:szCs w:val="28"/>
        </w:rPr>
      </w:pPr>
      <w:r>
        <w:rPr>
          <w:b w:val="0"/>
          <w:bCs w:val="0"/>
          <w:sz w:val="28"/>
          <w:szCs w:val="28"/>
        </w:rPr>
        <w:t>QA 自动化验收准则（Gherkin BDD）</w:t>
      </w:r>
    </w:p>
    <w:tbl>
      <w:tblPr>
        <w:tblStyle w:val="38"/>
        <w:tblW w:w="0" w:type="auto"/>
        <w:jc w:val="center"/>
        <w:tblLayout w:type="fixed"/>
        <w:tblCellMar>
          <w:top w:w="0" w:type="dxa"/>
          <w:left w:w="108" w:type="dxa"/>
          <w:bottom w:w="0" w:type="dxa"/>
          <w:right w:w="108" w:type="dxa"/>
        </w:tblCellMar>
      </w:tblPr>
      <w:tblGrid>
        <w:gridCol w:w="9648"/>
      </w:tblGrid>
      <w:tr w14:paraId="1B1BA3E0">
        <w:tblPrEx>
          <w:tblCellMar>
            <w:top w:w="0" w:type="dxa"/>
            <w:left w:w="108" w:type="dxa"/>
            <w:bottom w:w="0" w:type="dxa"/>
            <w:right w:w="108" w:type="dxa"/>
          </w:tblCellMar>
        </w:tblPrEx>
        <w:trPr>
          <w:jc w:val="center"/>
        </w:trPr>
        <w:tc>
          <w:tcPr>
            <w:tcW w:w="9648" w:type="dxa"/>
            <w:tcBorders>
              <w:top w:val="nil"/>
              <w:left w:val="single" w:color="7C3AED" w:sz="24" w:space="0"/>
              <w:bottom w:val="nil"/>
              <w:right w:val="nil"/>
            </w:tcBorders>
            <w:shd w:val="clear" w:color="auto" w:fill="F5F3FF"/>
            <w:tcMar>
              <w:top w:w="70" w:type="dxa"/>
              <w:left w:w="100" w:type="dxa"/>
              <w:bottom w:w="70" w:type="dxa"/>
              <w:right w:w="100" w:type="dxa"/>
            </w:tcMar>
          </w:tcPr>
          <w:p w14:paraId="74DECB1F">
            <w:pPr>
              <w:pStyle w:val="19"/>
              <w:bidi w:val="0"/>
              <w:rPr>
                <w:b w:val="0"/>
                <w:bCs w:val="0"/>
              </w:rPr>
            </w:pPr>
          </w:p>
        </w:tc>
      </w:tr>
    </w:tbl>
    <w:p w14:paraId="3011C367">
      <w:pPr>
        <w:rPr>
          <w:rFonts w:hint="default"/>
          <w:b w:val="0"/>
          <w:bCs w:val="0"/>
          <w:lang w:val="en-US" w:eastAsia="zh-CN"/>
        </w:rPr>
      </w:pPr>
    </w:p>
    <w:p w14:paraId="16DB733B">
      <w:pPr>
        <w:pStyle w:val="5"/>
        <w:numPr>
          <w:ilvl w:val="0"/>
          <w:numId w:val="208"/>
        </w:numPr>
        <w:ind w:left="0" w:leftChars="0" w:firstLine="0" w:firstLineChars="0"/>
        <w:outlineLvl w:val="1"/>
        <w:rPr>
          <w:rFonts w:hint="default" w:cs="Times New Roman"/>
          <w:b w:val="0"/>
          <w:bCs w:val="0"/>
          <w:sz w:val="30"/>
          <w:szCs w:val="24"/>
          <w:lang w:val="en-US" w:eastAsia="zh-CN"/>
        </w:rPr>
      </w:pPr>
      <w:bookmarkStart w:id="70" w:name="_Toc5571"/>
      <w:r>
        <w:rPr>
          <w:rFonts w:hint="eastAsia" w:cs="Times New Roman"/>
          <w:b w:val="0"/>
          <w:bCs w:val="0"/>
          <w:sz w:val="30"/>
          <w:szCs w:val="24"/>
          <w:lang w:val="en-US" w:eastAsia="zh-CN"/>
        </w:rPr>
        <w:t>能源活动碳排因子</w:t>
      </w:r>
      <w:bookmarkEnd w:id="70"/>
    </w:p>
    <w:p w14:paraId="750B87A9">
      <w:pPr>
        <w:rPr>
          <w:b w:val="0"/>
          <w:bCs w:val="0"/>
        </w:rPr>
      </w:pPr>
      <w:r>
        <w:drawing>
          <wp:inline distT="0" distB="0" distL="114300" distR="114300">
            <wp:extent cx="5900420" cy="2925445"/>
            <wp:effectExtent l="0" t="0" r="5080" b="8255"/>
            <wp:docPr id="88"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42"/>
                    <pic:cNvPicPr>
                      <a:picLocks noChangeAspect="1"/>
                    </pic:cNvPicPr>
                  </pic:nvPicPr>
                  <pic:blipFill>
                    <a:blip r:embed="rId100"/>
                    <a:stretch>
                      <a:fillRect/>
                    </a:stretch>
                  </pic:blipFill>
                  <pic:spPr>
                    <a:xfrm>
                      <a:off x="0" y="0"/>
                      <a:ext cx="5900420" cy="2925445"/>
                    </a:xfrm>
                    <a:prstGeom prst="rect">
                      <a:avLst/>
                    </a:prstGeom>
                    <a:noFill/>
                    <a:ln>
                      <a:noFill/>
                    </a:ln>
                  </pic:spPr>
                </pic:pic>
              </a:graphicData>
            </a:graphic>
          </wp:inline>
        </w:drawing>
      </w:r>
    </w:p>
    <w:p w14:paraId="661D95A9">
      <w:pPr>
        <w:pStyle w:val="6"/>
        <w:numPr>
          <w:ilvl w:val="0"/>
          <w:numId w:val="211"/>
        </w:numPr>
        <w:bidi w:val="0"/>
        <w:ind w:left="0" w:leftChars="0" w:firstLine="0" w:firstLineChars="0"/>
        <w:rPr>
          <w:b w:val="0"/>
          <w:bCs w:val="0"/>
          <w:sz w:val="28"/>
          <w:szCs w:val="28"/>
        </w:rPr>
      </w:pPr>
      <w:r>
        <w:rPr>
          <w:b w:val="0"/>
          <w:bCs w:val="0"/>
          <w:sz w:val="28"/>
          <w:szCs w:val="28"/>
        </w:rPr>
        <w:t>定位与架构角色</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D502D29">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tcPr>
          <w:p w14:paraId="20F81C5F">
            <w:pPr>
              <w:pStyle w:val="19"/>
              <w:bidi w:val="0"/>
              <w:ind w:left="0" w:leftChars="0" w:firstLine="0" w:firstLineChars="0"/>
              <w:rPr>
                <w:rFonts w:ascii="宋体" w:hAnsi="宋体" w:eastAsia="宋体" w:cs="宋体"/>
                <w:sz w:val="24"/>
                <w:szCs w:val="24"/>
              </w:rPr>
            </w:pPr>
            <w:r>
              <w:rPr>
                <w:rFonts w:ascii="宋体" w:hAnsi="宋体" w:eastAsia="宋体" w:cs="宋体"/>
                <w:b/>
                <w:bCs/>
                <w:sz w:val="24"/>
                <w:szCs w:val="24"/>
              </w:rPr>
              <w:t>・功能定位</w:t>
            </w:r>
            <w:r>
              <w:rPr>
                <w:rFonts w:ascii="宋体" w:hAnsi="宋体" w:eastAsia="宋体" w:cs="宋体"/>
                <w:sz w:val="24"/>
                <w:szCs w:val="24"/>
              </w:rPr>
              <w:t xml:space="preserve">：作为能碳基础因子管理模块下化石能源、热力、制冷剂等品类排放因子维护单元，管理各类能源与活动的碳排放因子，支持因子版本管控、新增与信息维护，为园区能耗核算、产品碳足迹全品类碳排放量计算提供标准化活动因子基准数据，是碳核算业务开展的前置基础依赖。 </w:t>
            </w:r>
          </w:p>
          <w:p w14:paraId="5F5F1B91">
            <w:pPr>
              <w:pStyle w:val="19"/>
              <w:bidi w:val="0"/>
              <w:ind w:left="0" w:leftChars="0" w:firstLine="0" w:firstLineChars="0"/>
              <w:rPr>
                <w:b w:val="0"/>
                <w:bCs w:val="0"/>
              </w:rPr>
            </w:pPr>
            <w:r>
              <w:rPr>
                <w:rFonts w:ascii="宋体" w:hAnsi="宋体" w:eastAsia="宋体" w:cs="宋体"/>
                <w:b/>
                <w:bCs/>
                <w:sz w:val="24"/>
                <w:szCs w:val="24"/>
              </w:rPr>
              <w:t>・承载角色</w:t>
            </w:r>
            <w:r>
              <w:rPr>
                <w:rFonts w:ascii="宋体" w:hAnsi="宋体" w:eastAsia="宋体" w:cs="宋体"/>
                <w:sz w:val="24"/>
                <w:szCs w:val="24"/>
              </w:rPr>
              <w:t>：PM 系统管理员（全量能源活动碳排因子新增、因子参数维护、版本管理与数据删除）。</w:t>
            </w:r>
          </w:p>
        </w:tc>
      </w:tr>
    </w:tbl>
    <w:p w14:paraId="6027D42F">
      <w:pPr>
        <w:rPr>
          <w:b w:val="0"/>
          <w:bCs w:val="0"/>
        </w:rPr>
      </w:pPr>
    </w:p>
    <w:p w14:paraId="1B442EAF">
      <w:pPr>
        <w:pStyle w:val="6"/>
        <w:numPr>
          <w:ilvl w:val="0"/>
          <w:numId w:val="211"/>
        </w:numPr>
        <w:bidi w:val="0"/>
        <w:ind w:left="0" w:leftChars="0" w:firstLine="0" w:firstLineChars="0"/>
        <w:rPr>
          <w:b w:val="0"/>
          <w:bCs w:val="0"/>
          <w:sz w:val="28"/>
          <w:szCs w:val="28"/>
        </w:rPr>
      </w:pPr>
      <w:r>
        <w:rPr>
          <w:b w:val="0"/>
          <w:bCs w:val="0"/>
          <w:sz w:val="28"/>
          <w:szCs w:val="28"/>
        </w:rPr>
        <w:t>业务场景与用户故事</w:t>
      </w:r>
    </w:p>
    <w:tbl>
      <w:tblPr>
        <w:tblStyle w:val="38"/>
        <w:tblW w:w="0" w:type="auto"/>
        <w:jc w:val="center"/>
        <w:tblBorders>
          <w:top w:val="none" w:color="auto" w:sz="0" w:space="0"/>
          <w:left w:val="single" w:color="44546A" w:themeColor="text2"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E4DC5E5">
        <w:tblPrEx>
          <w:tblBorders>
            <w:top w:val="none" w:color="auto" w:sz="0" w:space="0"/>
            <w:left w:val="single" w:color="44546A" w:themeColor="text2"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tcPr>
          <w:p w14:paraId="60E1F85B">
            <w:pPr>
              <w:pStyle w:val="19"/>
              <w:bidi w:val="0"/>
              <w:ind w:left="0" w:leftChars="0" w:firstLine="0" w:firstLineChars="0"/>
            </w:pPr>
            <w:r>
              <w:rPr>
                <w:b/>
                <w:bCs/>
                <w:lang w:val="en-US" w:eastAsia="zh-CN"/>
              </w:rPr>
              <w:t>业务场景</w:t>
            </w:r>
            <w:r>
              <w:rPr>
                <w:lang w:val="en-US" w:eastAsia="zh-CN"/>
              </w:rPr>
              <w:t>：面向系统管理员进行全品类能源碳排放参数维护场景，管控化石能源、热力、制冷剂等各类活动排放因子，支撑全场景碳核算。</w:t>
            </w:r>
          </w:p>
          <w:p w14:paraId="032618F7">
            <w:pPr>
              <w:pStyle w:val="19"/>
              <w:bidi w:val="0"/>
              <w:ind w:left="0" w:leftChars="0" w:firstLine="0" w:firstLineChars="0"/>
            </w:pPr>
            <w:r>
              <w:rPr>
                <w:b/>
                <w:bCs/>
                <w:lang w:val="en-US" w:eastAsia="zh-CN"/>
              </w:rPr>
              <w:t>用户故事</w:t>
            </w:r>
            <w:r>
              <w:rPr>
                <w:lang w:val="en-US" w:eastAsia="zh-CN"/>
              </w:rPr>
              <w:t>：</w:t>
            </w:r>
          </w:p>
          <w:p w14:paraId="23D9C832">
            <w:pPr>
              <w:pStyle w:val="19"/>
              <w:bidi w:val="0"/>
            </w:pPr>
            <w:r>
              <w:rPr>
                <w:lang w:val="en-US" w:eastAsia="zh-CN"/>
              </w:rPr>
              <w:t>As a 系统管理员 (Persona PM)，</w:t>
            </w:r>
          </w:p>
          <w:p w14:paraId="699D4D2B">
            <w:pPr>
              <w:pStyle w:val="19"/>
              <w:bidi w:val="0"/>
            </w:pPr>
            <w:r>
              <w:rPr>
                <w:lang w:val="en-US" w:eastAsia="zh-CN"/>
              </w:rPr>
              <w:t>I want 维护全品类能源活动碳排放因子、管理版本迭代、更新核算参数，</w:t>
            </w:r>
          </w:p>
          <w:p w14:paraId="413962A4">
            <w:pPr>
              <w:pStyle w:val="19"/>
              <w:bidi w:val="0"/>
            </w:pPr>
            <w:r>
              <w:rPr>
                <w:lang w:val="en-US" w:eastAsia="zh-CN"/>
              </w:rPr>
              <w:t>So that 我能支撑集团全品类能耗碳排放计算，保障大屏能源大盘、降碳数据精准可信。</w:t>
            </w:r>
          </w:p>
        </w:tc>
      </w:tr>
    </w:tbl>
    <w:p w14:paraId="6C599453">
      <w:pPr>
        <w:rPr>
          <w:b w:val="0"/>
          <w:bCs w:val="0"/>
        </w:rPr>
      </w:pPr>
    </w:p>
    <w:p w14:paraId="59E65396">
      <w:pPr>
        <w:pStyle w:val="6"/>
        <w:numPr>
          <w:ilvl w:val="0"/>
          <w:numId w:val="211"/>
        </w:numPr>
        <w:bidi w:val="0"/>
        <w:ind w:left="0" w:leftChars="0" w:firstLine="0" w:firstLineChars="0"/>
        <w:rPr>
          <w:b w:val="0"/>
          <w:bCs w:val="0"/>
          <w:sz w:val="28"/>
          <w:szCs w:val="28"/>
        </w:rPr>
      </w:pPr>
      <w:r>
        <w:rPr>
          <w:b w:val="0"/>
          <w:bCs w:val="0"/>
          <w:sz w:val="28"/>
          <w:szCs w:val="28"/>
        </w:rPr>
        <w:t>功能规格与交互契约</w:t>
      </w:r>
    </w:p>
    <w:tbl>
      <w:tblPr>
        <w:tblStyle w:val="38"/>
        <w:tblW w:w="0" w:type="auto"/>
        <w:jc w:val="center"/>
        <w:tblBorders>
          <w:top w:val="none" w:color="auto" w:sz="0" w:space="0"/>
          <w:left w:val="single" w:color="EE822F" w:themeColor="accent2"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468E1074">
        <w:tblPrEx>
          <w:tblBorders>
            <w:top w:val="none" w:color="auto" w:sz="0" w:space="0"/>
            <w:left w:val="single" w:color="EE822F" w:themeColor="accent2"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tcPr>
          <w:p w14:paraId="1178231E">
            <w:pPr>
              <w:pStyle w:val="19"/>
              <w:numPr>
                <w:ilvl w:val="0"/>
                <w:numId w:val="212"/>
              </w:numPr>
              <w:bidi w:val="0"/>
              <w:rPr>
                <w:rFonts w:hint="default" w:eastAsia="宋体"/>
                <w:b w:val="0"/>
                <w:bCs w:val="0"/>
                <w:lang w:val="en-US" w:eastAsia="zh-CN"/>
              </w:rPr>
            </w:pPr>
            <w:r>
              <w:rPr>
                <w:rFonts w:hint="eastAsia"/>
                <w:b w:val="0"/>
                <w:bCs w:val="0"/>
                <w:lang w:val="en-US" w:eastAsia="zh-CN"/>
              </w:rPr>
              <w:t>点击【新增因子】按钮，打开新增因子弹窗；</w:t>
            </w:r>
          </w:p>
          <w:p w14:paraId="7CF6FAF4">
            <w:pPr>
              <w:pStyle w:val="19"/>
              <w:numPr>
                <w:ilvl w:val="0"/>
                <w:numId w:val="212"/>
              </w:numPr>
              <w:bidi w:val="0"/>
              <w:rPr>
                <w:rFonts w:hint="default" w:eastAsia="宋体"/>
                <w:b w:val="0"/>
                <w:bCs w:val="0"/>
                <w:lang w:val="en-US" w:eastAsia="zh-CN"/>
              </w:rPr>
            </w:pPr>
            <w:r>
              <w:rPr>
                <w:rFonts w:hint="eastAsia"/>
                <w:b w:val="0"/>
                <w:bCs w:val="0"/>
                <w:lang w:val="en-US" w:eastAsia="zh-CN"/>
              </w:rPr>
              <w:t>点击【编辑】打开编辑窗口；</w:t>
            </w:r>
          </w:p>
          <w:p w14:paraId="113AE64A">
            <w:pPr>
              <w:pStyle w:val="19"/>
              <w:numPr>
                <w:ilvl w:val="0"/>
                <w:numId w:val="212"/>
              </w:numPr>
              <w:bidi w:val="0"/>
              <w:rPr>
                <w:rFonts w:hint="default" w:eastAsia="宋体"/>
                <w:b w:val="0"/>
                <w:bCs w:val="0"/>
                <w:lang w:val="en-US" w:eastAsia="zh-CN"/>
              </w:rPr>
            </w:pPr>
            <w:r>
              <w:rPr>
                <w:rFonts w:hint="eastAsia"/>
                <w:b w:val="0"/>
                <w:bCs w:val="0"/>
                <w:lang w:val="en-US" w:eastAsia="zh-CN"/>
              </w:rPr>
              <w:t>点击【版本】打开版本记录窗口；</w:t>
            </w:r>
          </w:p>
          <w:p w14:paraId="7B44E2FE">
            <w:pPr>
              <w:pStyle w:val="19"/>
              <w:numPr>
                <w:ilvl w:val="0"/>
                <w:numId w:val="212"/>
              </w:numPr>
              <w:bidi w:val="0"/>
              <w:rPr>
                <w:rFonts w:hint="default" w:eastAsia="宋体"/>
                <w:b w:val="0"/>
                <w:bCs w:val="0"/>
                <w:lang w:val="en-US" w:eastAsia="zh-CN"/>
              </w:rPr>
            </w:pPr>
            <w:r>
              <w:rPr>
                <w:rFonts w:hint="eastAsia"/>
                <w:b w:val="0"/>
                <w:bCs w:val="0"/>
                <w:lang w:val="en-US" w:eastAsia="zh-CN"/>
              </w:rPr>
              <w:t>点击【删除】打开弹窗，点击取消后关闭弹窗，点击确定后关闭弹窗并删除数据；</w:t>
            </w:r>
          </w:p>
        </w:tc>
      </w:tr>
    </w:tbl>
    <w:p w14:paraId="7C69EBFF">
      <w:pPr>
        <w:rPr>
          <w:b w:val="0"/>
          <w:bCs w:val="0"/>
        </w:rPr>
      </w:pPr>
    </w:p>
    <w:p w14:paraId="04953D06">
      <w:pPr>
        <w:pStyle w:val="6"/>
        <w:numPr>
          <w:ilvl w:val="0"/>
          <w:numId w:val="211"/>
        </w:numPr>
        <w:bidi w:val="0"/>
        <w:ind w:left="0" w:leftChars="0" w:firstLine="0" w:firstLineChars="0"/>
        <w:rPr>
          <w:b w:val="0"/>
          <w:bCs w:val="0"/>
          <w:sz w:val="28"/>
          <w:szCs w:val="28"/>
        </w:rPr>
      </w:pPr>
      <w:r>
        <w:rPr>
          <w:b w:val="0"/>
          <w:bCs w:val="0"/>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89"/>
        <w:gridCol w:w="1782"/>
        <w:gridCol w:w="1468"/>
        <w:gridCol w:w="1166"/>
        <w:gridCol w:w="4479"/>
      </w:tblGrid>
      <w:tr w14:paraId="29ED6A07">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190CC84">
            <w:pPr>
              <w:pStyle w:val="19"/>
              <w:bidi w:val="0"/>
              <w:spacing w:line="240" w:lineRule="auto"/>
              <w:ind w:left="0" w:leftChars="0" w:right="0" w:rightChars="0" w:firstLine="0" w:firstLineChars="0"/>
              <w:jc w:val="center"/>
              <w:rPr>
                <w:rFonts w:hint="eastAsia" w:ascii="宋体" w:hAnsi="宋体" w:eastAsia="宋体" w:cs="宋体"/>
                <w:b w:val="0"/>
                <w:bCs w:val="0"/>
                <w:sz w:val="24"/>
                <w:szCs w:val="24"/>
              </w:rPr>
            </w:pPr>
            <w:r>
              <w:rPr>
                <w:rFonts w:hint="eastAsia" w:ascii="宋体" w:hAnsi="宋体" w:eastAsia="宋体" w:cs="宋体"/>
                <w:b w:val="0"/>
                <w:bCs w:val="0"/>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AA4F7D9">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字段中文名称</w:t>
            </w:r>
          </w:p>
        </w:tc>
        <w:tc>
          <w:tcPr>
            <w:tcW w:w="146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975F93A">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E744A1A">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工程单位</w:t>
            </w:r>
          </w:p>
        </w:tc>
        <w:tc>
          <w:tcPr>
            <w:tcW w:w="447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42CDA0F">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校验与约束规则</w:t>
            </w:r>
          </w:p>
        </w:tc>
      </w:tr>
      <w:tr w14:paraId="4621EE98">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80209A8">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A2621FF">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sz w:val="24"/>
                <w:szCs w:val="24"/>
              </w:rPr>
              <w:t>能源/活动名称</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FD8FECC">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9FE2704">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7C8350C">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r>
      <w:tr w14:paraId="0341DC40">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E115B19">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C91EE7D">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sz w:val="24"/>
                <w:szCs w:val="24"/>
              </w:rPr>
              <w:t>能源类别</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9810CB5">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452B8C1">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3DBB631">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r>
      <w:tr w14:paraId="72BC5037">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6C57C10">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40AC00D">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sz w:val="24"/>
                <w:szCs w:val="24"/>
              </w:rPr>
              <w:t>因子值</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AB34722">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B98F893">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448FE0F">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r>
      <w:tr w14:paraId="196CFB44">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465EF7F">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6B062A3">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sz w:val="24"/>
                <w:szCs w:val="24"/>
              </w:rPr>
              <w:t>单位</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1738B38">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FB1884C">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3B44139">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r>
      <w:tr w14:paraId="06E0EB3F">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FBB8D16">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D0F5A28">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sz w:val="24"/>
                <w:szCs w:val="24"/>
              </w:rPr>
              <w:t>数据来源</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7A8CF07">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29CE4CA">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693A497">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r>
      <w:tr w14:paraId="1067C608">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243DAE4">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7C8B531">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sz w:val="24"/>
                <w:szCs w:val="24"/>
              </w:rPr>
              <w:t>版本</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6DF0B54">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3D7BE6C">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C183B65">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r>
    </w:tbl>
    <w:p w14:paraId="0FE12BAF">
      <w:pPr>
        <w:pStyle w:val="19"/>
        <w:bidi w:val="0"/>
        <w:rPr>
          <w:b w:val="0"/>
          <w:bCs w:val="0"/>
        </w:rPr>
      </w:pPr>
    </w:p>
    <w:p w14:paraId="0EC1A076">
      <w:pPr>
        <w:pStyle w:val="6"/>
        <w:numPr>
          <w:ilvl w:val="0"/>
          <w:numId w:val="211"/>
        </w:numPr>
        <w:bidi w:val="0"/>
        <w:ind w:left="0" w:leftChars="0" w:firstLine="0" w:firstLineChars="0"/>
        <w:rPr>
          <w:b w:val="0"/>
          <w:bCs w:val="0"/>
          <w:sz w:val="28"/>
          <w:szCs w:val="28"/>
        </w:rPr>
      </w:pPr>
      <w:r>
        <w:rPr>
          <w:b w:val="0"/>
          <w:bCs w:val="0"/>
          <w:sz w:val="28"/>
          <w:szCs w:val="28"/>
        </w:rPr>
        <w:t>核心数学模型与算法框架</w:t>
      </w:r>
    </w:p>
    <w:tbl>
      <w:tblPr>
        <w:tblStyle w:val="38"/>
        <w:tblW w:w="0" w:type="auto"/>
        <w:jc w:val="center"/>
        <w:tblLayout w:type="fixed"/>
        <w:tblCellMar>
          <w:top w:w="0" w:type="dxa"/>
          <w:left w:w="108" w:type="dxa"/>
          <w:bottom w:w="0" w:type="dxa"/>
          <w:right w:w="108" w:type="dxa"/>
        </w:tblCellMar>
      </w:tblPr>
      <w:tblGrid>
        <w:gridCol w:w="9648"/>
      </w:tblGrid>
      <w:tr w14:paraId="237C59AC">
        <w:tblPrEx>
          <w:tblCellMar>
            <w:top w:w="0" w:type="dxa"/>
            <w:left w:w="108" w:type="dxa"/>
            <w:bottom w:w="0" w:type="dxa"/>
            <w:right w:w="108" w:type="dxa"/>
          </w:tblCellMar>
        </w:tblPrEx>
        <w:trPr>
          <w:jc w:val="center"/>
        </w:trPr>
        <w:tc>
          <w:tcPr>
            <w:tcW w:w="9648" w:type="dxa"/>
            <w:tcBorders>
              <w:top w:val="nil"/>
              <w:left w:val="single" w:color="16A34A" w:sz="24" w:space="0"/>
              <w:bottom w:val="nil"/>
              <w:right w:val="nil"/>
            </w:tcBorders>
            <w:shd w:val="clear" w:color="auto" w:fill="F0FDF4"/>
            <w:tcMar>
              <w:top w:w="70" w:type="dxa"/>
              <w:left w:w="100" w:type="dxa"/>
              <w:bottom w:w="70" w:type="dxa"/>
              <w:right w:w="100" w:type="dxa"/>
            </w:tcMar>
          </w:tcPr>
          <w:p w14:paraId="7FFC682E">
            <w:pPr>
              <w:pStyle w:val="19"/>
              <w:bidi w:val="0"/>
              <w:rPr>
                <w:b w:val="0"/>
                <w:bCs w:val="0"/>
              </w:rPr>
            </w:pPr>
            <w:r>
              <w:rPr>
                <w:rFonts w:hint="eastAsia"/>
                <w:lang w:val="en-US" w:eastAsia="zh-CN"/>
              </w:rPr>
              <w:t>无</w:t>
            </w:r>
          </w:p>
        </w:tc>
      </w:tr>
    </w:tbl>
    <w:p w14:paraId="1F0A23DA">
      <w:pPr>
        <w:pStyle w:val="19"/>
        <w:bidi w:val="0"/>
        <w:rPr>
          <w:b w:val="0"/>
          <w:bCs w:val="0"/>
        </w:rPr>
      </w:pPr>
    </w:p>
    <w:p w14:paraId="1D971395">
      <w:pPr>
        <w:pStyle w:val="6"/>
        <w:numPr>
          <w:ilvl w:val="0"/>
          <w:numId w:val="211"/>
        </w:numPr>
        <w:bidi w:val="0"/>
        <w:ind w:left="0" w:leftChars="0" w:firstLine="0" w:firstLineChars="0"/>
        <w:rPr>
          <w:b w:val="0"/>
          <w:bCs w:val="0"/>
          <w:sz w:val="28"/>
          <w:szCs w:val="28"/>
        </w:rPr>
      </w:pPr>
      <w:r>
        <w:rPr>
          <w:b w:val="0"/>
          <w:bCs w:val="0"/>
          <w:sz w:val="28"/>
          <w:szCs w:val="28"/>
        </w:rPr>
        <w:t>展示、对标与判定口径</w:t>
      </w:r>
    </w:p>
    <w:tbl>
      <w:tblPr>
        <w:tblStyle w:val="38"/>
        <w:tblW w:w="0" w:type="auto"/>
        <w:jc w:val="center"/>
        <w:tblBorders>
          <w:top w:val="none" w:color="auto" w:sz="0" w:space="0"/>
          <w:left w:val="single" w:color="4874CB" w:themeColor="accent1"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058A067E">
        <w:tblPrEx>
          <w:tblBorders>
            <w:top w:val="none" w:color="auto" w:sz="0" w:space="0"/>
            <w:left w:val="single" w:color="4874CB" w:themeColor="accent1"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tcPr>
          <w:p w14:paraId="00ED7076">
            <w:pPr>
              <w:pStyle w:val="19"/>
              <w:bidi w:val="0"/>
              <w:rPr>
                <w:b w:val="0"/>
                <w:bCs w:val="0"/>
              </w:rPr>
            </w:pPr>
          </w:p>
        </w:tc>
      </w:tr>
    </w:tbl>
    <w:p w14:paraId="4B9EF3FC">
      <w:pPr>
        <w:pStyle w:val="19"/>
        <w:bidi w:val="0"/>
        <w:rPr>
          <w:b w:val="0"/>
          <w:bCs w:val="0"/>
        </w:rPr>
      </w:pPr>
    </w:p>
    <w:p w14:paraId="65DA40D2">
      <w:pPr>
        <w:pStyle w:val="6"/>
        <w:numPr>
          <w:ilvl w:val="0"/>
          <w:numId w:val="211"/>
        </w:numPr>
        <w:bidi w:val="0"/>
        <w:ind w:left="0" w:leftChars="0" w:firstLine="0" w:firstLineChars="0"/>
        <w:rPr>
          <w:b w:val="0"/>
          <w:bCs w:val="0"/>
          <w:sz w:val="28"/>
          <w:szCs w:val="28"/>
        </w:rPr>
      </w:pPr>
      <w:r>
        <w:rPr>
          <w:b w:val="0"/>
          <w:bCs w:val="0"/>
          <w:sz w:val="28"/>
          <w:szCs w:val="28"/>
        </w:rPr>
        <w:t>边界条件、异常处理与防错规则</w:t>
      </w:r>
    </w:p>
    <w:tbl>
      <w:tblPr>
        <w:tblStyle w:val="38"/>
        <w:tblW w:w="0" w:type="auto"/>
        <w:jc w:val="center"/>
        <w:tblBorders>
          <w:top w:val="none" w:color="auto" w:sz="0" w:space="0"/>
          <w:left w:val="single" w:color="E54C5E" w:themeColor="accent6"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4B0F911">
        <w:tblPrEx>
          <w:tblBorders>
            <w:top w:val="none" w:color="auto" w:sz="0" w:space="0"/>
            <w:left w:val="single" w:color="E54C5E" w:themeColor="accent6"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5F3FF"/>
            <w:tcMar>
              <w:top w:w="70" w:type="dxa"/>
              <w:left w:w="100" w:type="dxa"/>
              <w:bottom w:w="70" w:type="dxa"/>
              <w:right w:w="100" w:type="dxa"/>
            </w:tcMar>
          </w:tcPr>
          <w:p w14:paraId="5387EF1B">
            <w:pPr>
              <w:pStyle w:val="19"/>
              <w:bidi w:val="0"/>
              <w:rPr>
                <w:b w:val="0"/>
                <w:bCs w:val="0"/>
              </w:rPr>
            </w:pPr>
          </w:p>
        </w:tc>
      </w:tr>
    </w:tbl>
    <w:p w14:paraId="3A54D289">
      <w:pPr>
        <w:rPr>
          <w:b w:val="0"/>
          <w:bCs w:val="0"/>
        </w:rPr>
      </w:pPr>
    </w:p>
    <w:p w14:paraId="69DDD9A9">
      <w:pPr>
        <w:pStyle w:val="6"/>
        <w:numPr>
          <w:ilvl w:val="0"/>
          <w:numId w:val="211"/>
        </w:numPr>
        <w:bidi w:val="0"/>
        <w:ind w:left="0" w:leftChars="0" w:firstLine="0" w:firstLineChars="0"/>
        <w:rPr>
          <w:b w:val="0"/>
          <w:bCs w:val="0"/>
          <w:sz w:val="28"/>
          <w:szCs w:val="28"/>
        </w:rPr>
      </w:pPr>
      <w:r>
        <w:rPr>
          <w:b w:val="0"/>
          <w:bCs w:val="0"/>
          <w:sz w:val="28"/>
          <w:szCs w:val="28"/>
        </w:rPr>
        <w:t>QA 自动化验收准则（Gherkin BDD）</w:t>
      </w:r>
    </w:p>
    <w:tbl>
      <w:tblPr>
        <w:tblStyle w:val="38"/>
        <w:tblW w:w="0" w:type="auto"/>
        <w:jc w:val="center"/>
        <w:tblLayout w:type="fixed"/>
        <w:tblCellMar>
          <w:top w:w="0" w:type="dxa"/>
          <w:left w:w="108" w:type="dxa"/>
          <w:bottom w:w="0" w:type="dxa"/>
          <w:right w:w="108" w:type="dxa"/>
        </w:tblCellMar>
      </w:tblPr>
      <w:tblGrid>
        <w:gridCol w:w="9648"/>
      </w:tblGrid>
      <w:tr w14:paraId="28ED775F">
        <w:tblPrEx>
          <w:tblCellMar>
            <w:top w:w="0" w:type="dxa"/>
            <w:left w:w="108" w:type="dxa"/>
            <w:bottom w:w="0" w:type="dxa"/>
            <w:right w:w="108" w:type="dxa"/>
          </w:tblCellMar>
        </w:tblPrEx>
        <w:trPr>
          <w:jc w:val="center"/>
        </w:trPr>
        <w:tc>
          <w:tcPr>
            <w:tcW w:w="9648" w:type="dxa"/>
            <w:tcBorders>
              <w:top w:val="nil"/>
              <w:left w:val="single" w:color="7C3AED" w:sz="24" w:space="0"/>
              <w:bottom w:val="nil"/>
              <w:right w:val="nil"/>
            </w:tcBorders>
            <w:shd w:val="clear" w:color="auto" w:fill="F5F3FF"/>
            <w:tcMar>
              <w:top w:w="70" w:type="dxa"/>
              <w:left w:w="100" w:type="dxa"/>
              <w:bottom w:w="70" w:type="dxa"/>
              <w:right w:w="100" w:type="dxa"/>
            </w:tcMar>
          </w:tcPr>
          <w:p w14:paraId="04F1E718">
            <w:pPr>
              <w:pStyle w:val="19"/>
              <w:bidi w:val="0"/>
              <w:rPr>
                <w:b w:val="0"/>
                <w:bCs w:val="0"/>
              </w:rPr>
            </w:pPr>
          </w:p>
        </w:tc>
      </w:tr>
    </w:tbl>
    <w:p w14:paraId="0E725990">
      <w:pPr>
        <w:rPr>
          <w:rFonts w:hint="default"/>
          <w:b w:val="0"/>
          <w:bCs w:val="0"/>
          <w:lang w:val="en-US" w:eastAsia="zh-CN"/>
        </w:rPr>
      </w:pPr>
    </w:p>
    <w:p w14:paraId="539331E3">
      <w:pPr>
        <w:pStyle w:val="5"/>
        <w:numPr>
          <w:ilvl w:val="0"/>
          <w:numId w:val="208"/>
        </w:numPr>
        <w:ind w:left="0" w:leftChars="0" w:firstLine="0" w:firstLineChars="0"/>
        <w:outlineLvl w:val="1"/>
        <w:rPr>
          <w:rFonts w:hint="default" w:cs="Times New Roman"/>
          <w:b w:val="0"/>
          <w:bCs w:val="0"/>
          <w:sz w:val="30"/>
          <w:szCs w:val="24"/>
          <w:lang w:val="en-US" w:eastAsia="zh-CN"/>
        </w:rPr>
      </w:pPr>
      <w:bookmarkStart w:id="71" w:name="_Toc2938"/>
      <w:r>
        <w:rPr>
          <w:rFonts w:hint="eastAsia" w:cs="Times New Roman"/>
          <w:b w:val="0"/>
          <w:bCs w:val="0"/>
          <w:sz w:val="30"/>
          <w:szCs w:val="24"/>
          <w:lang w:val="en-US" w:eastAsia="zh-CN"/>
        </w:rPr>
        <w:t>折标煤系数库</w:t>
      </w:r>
      <w:bookmarkEnd w:id="71"/>
    </w:p>
    <w:p w14:paraId="20FCE593">
      <w:pPr>
        <w:rPr>
          <w:b w:val="0"/>
          <w:bCs w:val="0"/>
        </w:rPr>
      </w:pPr>
      <w:r>
        <w:drawing>
          <wp:inline distT="0" distB="0" distL="114300" distR="114300">
            <wp:extent cx="5900420" cy="2925445"/>
            <wp:effectExtent l="0" t="0" r="5080" b="8255"/>
            <wp:docPr id="89"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43"/>
                    <pic:cNvPicPr>
                      <a:picLocks noChangeAspect="1"/>
                    </pic:cNvPicPr>
                  </pic:nvPicPr>
                  <pic:blipFill>
                    <a:blip r:embed="rId101"/>
                    <a:stretch>
                      <a:fillRect/>
                    </a:stretch>
                  </pic:blipFill>
                  <pic:spPr>
                    <a:xfrm>
                      <a:off x="0" y="0"/>
                      <a:ext cx="5900420" cy="2925445"/>
                    </a:xfrm>
                    <a:prstGeom prst="rect">
                      <a:avLst/>
                    </a:prstGeom>
                    <a:noFill/>
                    <a:ln>
                      <a:noFill/>
                    </a:ln>
                  </pic:spPr>
                </pic:pic>
              </a:graphicData>
            </a:graphic>
          </wp:inline>
        </w:drawing>
      </w:r>
    </w:p>
    <w:p w14:paraId="0F0A7EA4">
      <w:pPr>
        <w:pStyle w:val="6"/>
        <w:numPr>
          <w:ilvl w:val="0"/>
          <w:numId w:val="213"/>
        </w:numPr>
        <w:bidi w:val="0"/>
        <w:ind w:left="0" w:leftChars="0" w:firstLine="0" w:firstLineChars="0"/>
        <w:rPr>
          <w:b w:val="0"/>
          <w:bCs w:val="0"/>
          <w:sz w:val="28"/>
          <w:szCs w:val="28"/>
        </w:rPr>
      </w:pPr>
      <w:r>
        <w:rPr>
          <w:b w:val="0"/>
          <w:bCs w:val="0"/>
          <w:sz w:val="28"/>
          <w:szCs w:val="28"/>
        </w:rPr>
        <w:t>定位与架构角色</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80124E9">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tcPr>
          <w:p w14:paraId="715903CA">
            <w:pPr>
              <w:pStyle w:val="19"/>
              <w:bidi w:val="0"/>
              <w:ind w:left="0" w:leftChars="0" w:firstLine="0" w:firstLineChars="0"/>
              <w:rPr>
                <w:rFonts w:ascii="宋体" w:hAnsi="宋体" w:eastAsia="宋体" w:cs="宋体"/>
                <w:sz w:val="24"/>
                <w:szCs w:val="24"/>
              </w:rPr>
            </w:pPr>
            <w:r>
              <w:rPr>
                <w:rFonts w:ascii="宋体" w:hAnsi="宋体" w:eastAsia="宋体" w:cs="宋体"/>
                <w:b/>
                <w:bCs/>
                <w:sz w:val="24"/>
                <w:szCs w:val="24"/>
              </w:rPr>
              <w:t>・功能定位</w:t>
            </w:r>
            <w:r>
              <w:rPr>
                <w:rFonts w:ascii="宋体" w:hAnsi="宋体" w:eastAsia="宋体" w:cs="宋体"/>
                <w:sz w:val="24"/>
                <w:szCs w:val="24"/>
              </w:rPr>
              <w:t xml:space="preserve">：作为能碳基础因子管理模块下各类能源折标煤系数的维护单元，统一管理不同能源品种的折标煤系数、低位热值等基础参数，支持系数版本管控、新增与信息维护，为系统能耗折算、能源消费总量统计分析提供标准化当量换算基准数据，是能源量化核算业务开展的前置基础依赖。 </w:t>
            </w:r>
          </w:p>
          <w:p w14:paraId="0E1168F7">
            <w:pPr>
              <w:pStyle w:val="19"/>
              <w:bidi w:val="0"/>
              <w:ind w:left="0" w:leftChars="0" w:firstLine="0" w:firstLineChars="0"/>
              <w:rPr>
                <w:b w:val="0"/>
                <w:bCs w:val="0"/>
              </w:rPr>
            </w:pPr>
            <w:r>
              <w:rPr>
                <w:rFonts w:ascii="宋体" w:hAnsi="宋体" w:eastAsia="宋体" w:cs="宋体"/>
                <w:b/>
                <w:bCs/>
                <w:sz w:val="24"/>
                <w:szCs w:val="24"/>
              </w:rPr>
              <w:t>・承载角色</w:t>
            </w:r>
            <w:r>
              <w:rPr>
                <w:rFonts w:ascii="宋体" w:hAnsi="宋体" w:eastAsia="宋体" w:cs="宋体"/>
                <w:sz w:val="24"/>
                <w:szCs w:val="24"/>
              </w:rPr>
              <w:t>：PM 系统管理员（全量折标煤系数新增、系数参数维护、版本管理与数据删除）。</w:t>
            </w:r>
          </w:p>
        </w:tc>
      </w:tr>
    </w:tbl>
    <w:p w14:paraId="17A381B8">
      <w:pPr>
        <w:rPr>
          <w:b w:val="0"/>
          <w:bCs w:val="0"/>
        </w:rPr>
      </w:pPr>
    </w:p>
    <w:p w14:paraId="2F10F55E">
      <w:pPr>
        <w:pStyle w:val="6"/>
        <w:numPr>
          <w:ilvl w:val="0"/>
          <w:numId w:val="213"/>
        </w:numPr>
        <w:bidi w:val="0"/>
        <w:ind w:left="0" w:leftChars="0" w:firstLine="0" w:firstLineChars="0"/>
        <w:rPr>
          <w:b w:val="0"/>
          <w:bCs w:val="0"/>
          <w:sz w:val="28"/>
          <w:szCs w:val="28"/>
        </w:rPr>
      </w:pPr>
      <w:r>
        <w:rPr>
          <w:b w:val="0"/>
          <w:bCs w:val="0"/>
          <w:sz w:val="28"/>
          <w:szCs w:val="28"/>
        </w:rPr>
        <w:t>业务场景与用户故事</w:t>
      </w:r>
    </w:p>
    <w:tbl>
      <w:tblPr>
        <w:tblStyle w:val="38"/>
        <w:tblW w:w="0" w:type="auto"/>
        <w:jc w:val="center"/>
        <w:tblBorders>
          <w:top w:val="none" w:color="auto" w:sz="0" w:space="0"/>
          <w:left w:val="single" w:color="44546A" w:themeColor="text2"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1ACB3299">
        <w:tblPrEx>
          <w:tblBorders>
            <w:top w:val="none" w:color="auto" w:sz="0" w:space="0"/>
            <w:left w:val="single" w:color="44546A" w:themeColor="text2"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tcPr>
          <w:p w14:paraId="3CA81F9D">
            <w:pPr>
              <w:pStyle w:val="19"/>
              <w:bidi w:val="0"/>
              <w:ind w:left="0" w:leftChars="0" w:firstLine="0" w:firstLineChars="0"/>
            </w:pPr>
            <w:r>
              <w:rPr>
                <w:b/>
                <w:bCs/>
                <w:lang w:val="en-US" w:eastAsia="zh-CN"/>
              </w:rPr>
              <w:t>业务场景</w:t>
            </w:r>
            <w:r>
              <w:rPr>
                <w:lang w:val="en-US" w:eastAsia="zh-CN"/>
              </w:rPr>
              <w:t>：面向系统管理员进行能源标准化折算管控场景，统一维护各类能源折标煤系数，实现多品类能源数据统一口径折算统计。</w:t>
            </w:r>
          </w:p>
          <w:p w14:paraId="12DE362D">
            <w:pPr>
              <w:pStyle w:val="19"/>
              <w:bidi w:val="0"/>
              <w:ind w:left="0" w:leftChars="0" w:firstLine="0" w:firstLineChars="0"/>
            </w:pPr>
            <w:r>
              <w:rPr>
                <w:b/>
                <w:bCs/>
                <w:lang w:val="en-US" w:eastAsia="zh-CN"/>
              </w:rPr>
              <w:t>用户故事</w:t>
            </w:r>
            <w:r>
              <w:rPr>
                <w:lang w:val="en-US" w:eastAsia="zh-CN"/>
              </w:rPr>
              <w:t>：</w:t>
            </w:r>
          </w:p>
          <w:p w14:paraId="39078060">
            <w:pPr>
              <w:pStyle w:val="19"/>
              <w:bidi w:val="0"/>
            </w:pPr>
            <w:r>
              <w:rPr>
                <w:lang w:val="en-US" w:eastAsia="zh-CN"/>
              </w:rPr>
              <w:t>As a 系统管理员 (Persona PM)，</w:t>
            </w:r>
          </w:p>
          <w:p w14:paraId="259A8D20">
            <w:pPr>
              <w:pStyle w:val="19"/>
              <w:bidi w:val="0"/>
            </w:pPr>
            <w:r>
              <w:rPr>
                <w:lang w:val="en-US" w:eastAsia="zh-CN"/>
              </w:rPr>
              <w:t>I want 统一维护各类能源折标煤系数、管控参数版本，标准化能源折算规则，</w:t>
            </w:r>
          </w:p>
          <w:p w14:paraId="0AA189A2">
            <w:pPr>
              <w:pStyle w:val="19"/>
              <w:bidi w:val="0"/>
            </w:pPr>
            <w:r>
              <w:rPr>
                <w:lang w:val="en-US" w:eastAsia="zh-CN"/>
              </w:rPr>
              <w:t>So that 我能支撑集团能耗折标总量统计，保障大屏能源大盘数据口径统一、精准合规。</w:t>
            </w:r>
          </w:p>
        </w:tc>
      </w:tr>
    </w:tbl>
    <w:p w14:paraId="2FEC29BC">
      <w:pPr>
        <w:rPr>
          <w:b w:val="0"/>
          <w:bCs w:val="0"/>
        </w:rPr>
      </w:pPr>
    </w:p>
    <w:p w14:paraId="7D5073CE">
      <w:pPr>
        <w:pStyle w:val="6"/>
        <w:numPr>
          <w:ilvl w:val="0"/>
          <w:numId w:val="213"/>
        </w:numPr>
        <w:bidi w:val="0"/>
        <w:ind w:left="0" w:leftChars="0" w:firstLine="0" w:firstLineChars="0"/>
        <w:rPr>
          <w:b w:val="0"/>
          <w:bCs w:val="0"/>
          <w:sz w:val="28"/>
          <w:szCs w:val="28"/>
        </w:rPr>
      </w:pPr>
      <w:r>
        <w:rPr>
          <w:b w:val="0"/>
          <w:bCs w:val="0"/>
          <w:sz w:val="28"/>
          <w:szCs w:val="28"/>
        </w:rPr>
        <w:t>功能规格与交互契约</w:t>
      </w:r>
    </w:p>
    <w:tbl>
      <w:tblPr>
        <w:tblStyle w:val="38"/>
        <w:tblW w:w="0" w:type="auto"/>
        <w:jc w:val="center"/>
        <w:tblBorders>
          <w:top w:val="none" w:color="auto" w:sz="0" w:space="0"/>
          <w:left w:val="single" w:color="EE822F" w:themeColor="accent2"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4F8018A8">
        <w:tblPrEx>
          <w:tblBorders>
            <w:top w:val="none" w:color="auto" w:sz="0" w:space="0"/>
            <w:left w:val="single" w:color="EE822F" w:themeColor="accent2"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tcPr>
          <w:p w14:paraId="43941880">
            <w:pPr>
              <w:pStyle w:val="19"/>
              <w:numPr>
                <w:ilvl w:val="0"/>
                <w:numId w:val="214"/>
              </w:numPr>
              <w:bidi w:val="0"/>
              <w:rPr>
                <w:rFonts w:hint="default" w:eastAsia="宋体"/>
                <w:b w:val="0"/>
                <w:bCs w:val="0"/>
                <w:lang w:val="en-US" w:eastAsia="zh-CN"/>
              </w:rPr>
            </w:pPr>
            <w:r>
              <w:rPr>
                <w:rFonts w:hint="eastAsia"/>
                <w:b w:val="0"/>
                <w:bCs w:val="0"/>
                <w:lang w:val="en-US" w:eastAsia="zh-CN"/>
              </w:rPr>
              <w:t>点击【新增因子】按钮，打开新增因子弹窗；</w:t>
            </w:r>
          </w:p>
          <w:p w14:paraId="0FD9A12D">
            <w:pPr>
              <w:pStyle w:val="19"/>
              <w:numPr>
                <w:ilvl w:val="0"/>
                <w:numId w:val="214"/>
              </w:numPr>
              <w:bidi w:val="0"/>
              <w:rPr>
                <w:rFonts w:hint="default" w:eastAsia="宋体"/>
                <w:b w:val="0"/>
                <w:bCs w:val="0"/>
                <w:lang w:val="en-US" w:eastAsia="zh-CN"/>
              </w:rPr>
            </w:pPr>
            <w:r>
              <w:rPr>
                <w:rFonts w:hint="eastAsia"/>
                <w:b w:val="0"/>
                <w:bCs w:val="0"/>
                <w:lang w:val="en-US" w:eastAsia="zh-CN"/>
              </w:rPr>
              <w:t>点击【编辑】打开编辑窗口；</w:t>
            </w:r>
          </w:p>
          <w:p w14:paraId="05372155">
            <w:pPr>
              <w:pStyle w:val="19"/>
              <w:numPr>
                <w:ilvl w:val="0"/>
                <w:numId w:val="214"/>
              </w:numPr>
              <w:bidi w:val="0"/>
              <w:rPr>
                <w:b w:val="0"/>
                <w:bCs w:val="0"/>
              </w:rPr>
            </w:pPr>
            <w:r>
              <w:rPr>
                <w:rFonts w:hint="eastAsia"/>
                <w:b w:val="0"/>
                <w:bCs w:val="0"/>
                <w:lang w:val="en-US" w:eastAsia="zh-CN"/>
              </w:rPr>
              <w:t>点击【版本】打开版本记录窗口；</w:t>
            </w:r>
          </w:p>
          <w:p w14:paraId="0D5A76F5">
            <w:pPr>
              <w:pStyle w:val="19"/>
              <w:numPr>
                <w:ilvl w:val="0"/>
                <w:numId w:val="214"/>
              </w:numPr>
              <w:bidi w:val="0"/>
              <w:rPr>
                <w:b w:val="0"/>
                <w:bCs w:val="0"/>
              </w:rPr>
            </w:pPr>
            <w:r>
              <w:rPr>
                <w:rFonts w:hint="eastAsia"/>
                <w:b w:val="0"/>
                <w:bCs w:val="0"/>
                <w:lang w:val="en-US" w:eastAsia="zh-CN"/>
              </w:rPr>
              <w:t>点击【删除】打开弹窗，点击取消后关闭弹窗，点击确定后关闭弹窗并删除数据；</w:t>
            </w:r>
          </w:p>
        </w:tc>
      </w:tr>
    </w:tbl>
    <w:p w14:paraId="48DCEE3A">
      <w:pPr>
        <w:rPr>
          <w:b w:val="0"/>
          <w:bCs w:val="0"/>
        </w:rPr>
      </w:pPr>
    </w:p>
    <w:p w14:paraId="5D544F7D">
      <w:pPr>
        <w:pStyle w:val="6"/>
        <w:numPr>
          <w:ilvl w:val="0"/>
          <w:numId w:val="213"/>
        </w:numPr>
        <w:bidi w:val="0"/>
        <w:ind w:left="0" w:leftChars="0" w:firstLine="0" w:firstLineChars="0"/>
        <w:rPr>
          <w:b w:val="0"/>
          <w:bCs w:val="0"/>
          <w:sz w:val="28"/>
          <w:szCs w:val="28"/>
        </w:rPr>
      </w:pPr>
      <w:r>
        <w:rPr>
          <w:b w:val="0"/>
          <w:bCs w:val="0"/>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89"/>
        <w:gridCol w:w="1738"/>
        <w:gridCol w:w="1468"/>
        <w:gridCol w:w="1210"/>
        <w:gridCol w:w="4479"/>
      </w:tblGrid>
      <w:tr w14:paraId="4D588DC8">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C151FA7">
            <w:pPr>
              <w:pStyle w:val="19"/>
              <w:bidi w:val="0"/>
              <w:spacing w:line="240" w:lineRule="auto"/>
              <w:ind w:left="0" w:leftChars="0" w:right="0" w:rightChars="0" w:firstLine="0" w:firstLineChars="0"/>
              <w:jc w:val="center"/>
              <w:rPr>
                <w:rFonts w:hint="eastAsia" w:ascii="宋体" w:hAnsi="宋体" w:eastAsia="宋体" w:cs="宋体"/>
                <w:b w:val="0"/>
                <w:bCs w:val="0"/>
                <w:sz w:val="24"/>
                <w:szCs w:val="24"/>
              </w:rPr>
            </w:pPr>
            <w:r>
              <w:rPr>
                <w:rFonts w:hint="eastAsia" w:ascii="宋体" w:hAnsi="宋体" w:eastAsia="宋体" w:cs="宋体"/>
                <w:b w:val="0"/>
                <w:bCs w:val="0"/>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B013D2B">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字段中文名称</w:t>
            </w:r>
          </w:p>
        </w:tc>
        <w:tc>
          <w:tcPr>
            <w:tcW w:w="146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A671711">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0ABEFD6">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工程单位</w:t>
            </w:r>
          </w:p>
        </w:tc>
        <w:tc>
          <w:tcPr>
            <w:tcW w:w="447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F4885D7">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校验与约束规则</w:t>
            </w:r>
          </w:p>
        </w:tc>
      </w:tr>
      <w:tr w14:paraId="02B7B740">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47C9240">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DEBEB8D">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sz w:val="24"/>
                <w:szCs w:val="24"/>
              </w:rPr>
              <w:t>能源品种</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59B0E9C">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818F336">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A88D6CA">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r>
      <w:tr w14:paraId="153566E7">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292956E">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8C0F500">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sz w:val="24"/>
                <w:szCs w:val="24"/>
              </w:rPr>
              <w:t>折标煤系数</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00E90D7">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546B6DB">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A0C83F1">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r>
      <w:tr w14:paraId="6BFBDABC">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C4AEECD">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E59751D">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sz w:val="24"/>
                <w:szCs w:val="24"/>
              </w:rPr>
              <w:t>单位</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80AE834">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EDBD1C2">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44CED4C">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r>
      <w:tr w14:paraId="040A741B">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5D284C8">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ED1BF30">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sz w:val="24"/>
                <w:szCs w:val="24"/>
              </w:rPr>
              <w:t>低位热值</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786D978">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B3712EF">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9A76E0A">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r>
      <w:tr w14:paraId="41701E87">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385582A">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86C665E">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sz w:val="24"/>
                <w:szCs w:val="24"/>
              </w:rPr>
              <w:t>数据来源</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88217E4">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5B741F0">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3D88D3F">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r>
      <w:tr w14:paraId="571149E1">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960DEDE">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4390003">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sz w:val="24"/>
                <w:szCs w:val="24"/>
              </w:rPr>
              <w:t>版本</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DC5E7FA">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5895676">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23953A9">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r>
    </w:tbl>
    <w:p w14:paraId="28B6293B">
      <w:pPr>
        <w:pStyle w:val="19"/>
        <w:bidi w:val="0"/>
        <w:rPr>
          <w:b w:val="0"/>
          <w:bCs w:val="0"/>
        </w:rPr>
      </w:pPr>
    </w:p>
    <w:p w14:paraId="2D9D293D">
      <w:pPr>
        <w:pStyle w:val="6"/>
        <w:numPr>
          <w:ilvl w:val="0"/>
          <w:numId w:val="213"/>
        </w:numPr>
        <w:bidi w:val="0"/>
        <w:ind w:left="0" w:leftChars="0" w:firstLine="0" w:firstLineChars="0"/>
        <w:rPr>
          <w:b w:val="0"/>
          <w:bCs w:val="0"/>
          <w:sz w:val="28"/>
          <w:szCs w:val="28"/>
        </w:rPr>
      </w:pPr>
      <w:r>
        <w:rPr>
          <w:b w:val="0"/>
          <w:bCs w:val="0"/>
          <w:sz w:val="28"/>
          <w:szCs w:val="28"/>
        </w:rPr>
        <w:t>核心数学模型与算法框架</w:t>
      </w:r>
    </w:p>
    <w:tbl>
      <w:tblPr>
        <w:tblStyle w:val="38"/>
        <w:tblW w:w="0" w:type="auto"/>
        <w:jc w:val="center"/>
        <w:tblLayout w:type="fixed"/>
        <w:tblCellMar>
          <w:top w:w="0" w:type="dxa"/>
          <w:left w:w="108" w:type="dxa"/>
          <w:bottom w:w="0" w:type="dxa"/>
          <w:right w:w="108" w:type="dxa"/>
        </w:tblCellMar>
      </w:tblPr>
      <w:tblGrid>
        <w:gridCol w:w="9648"/>
      </w:tblGrid>
      <w:tr w14:paraId="169CE0C9">
        <w:tblPrEx>
          <w:tblCellMar>
            <w:top w:w="0" w:type="dxa"/>
            <w:left w:w="108" w:type="dxa"/>
            <w:bottom w:w="0" w:type="dxa"/>
            <w:right w:w="108" w:type="dxa"/>
          </w:tblCellMar>
        </w:tblPrEx>
        <w:trPr>
          <w:jc w:val="center"/>
        </w:trPr>
        <w:tc>
          <w:tcPr>
            <w:tcW w:w="9648" w:type="dxa"/>
            <w:tcBorders>
              <w:top w:val="nil"/>
              <w:left w:val="single" w:color="16A34A" w:sz="24" w:space="0"/>
              <w:bottom w:val="nil"/>
              <w:right w:val="nil"/>
            </w:tcBorders>
            <w:shd w:val="clear" w:color="auto" w:fill="F0FDF4"/>
            <w:tcMar>
              <w:top w:w="70" w:type="dxa"/>
              <w:left w:w="100" w:type="dxa"/>
              <w:bottom w:w="70" w:type="dxa"/>
              <w:right w:w="100" w:type="dxa"/>
            </w:tcMar>
          </w:tcPr>
          <w:p w14:paraId="344DD3E5">
            <w:pPr>
              <w:pStyle w:val="19"/>
              <w:bidi w:val="0"/>
              <w:rPr>
                <w:b w:val="0"/>
                <w:bCs w:val="0"/>
              </w:rPr>
            </w:pPr>
            <w:r>
              <w:rPr>
                <w:rFonts w:hint="eastAsia"/>
                <w:lang w:val="en-US" w:eastAsia="zh-CN"/>
              </w:rPr>
              <w:t>无</w:t>
            </w:r>
          </w:p>
        </w:tc>
      </w:tr>
    </w:tbl>
    <w:p w14:paraId="10F35BC5">
      <w:pPr>
        <w:pStyle w:val="19"/>
        <w:bidi w:val="0"/>
        <w:rPr>
          <w:b w:val="0"/>
          <w:bCs w:val="0"/>
        </w:rPr>
      </w:pPr>
    </w:p>
    <w:p w14:paraId="48BB920D">
      <w:pPr>
        <w:pStyle w:val="6"/>
        <w:numPr>
          <w:ilvl w:val="0"/>
          <w:numId w:val="213"/>
        </w:numPr>
        <w:bidi w:val="0"/>
        <w:ind w:left="0" w:leftChars="0" w:firstLine="0" w:firstLineChars="0"/>
        <w:rPr>
          <w:b w:val="0"/>
          <w:bCs w:val="0"/>
          <w:sz w:val="28"/>
          <w:szCs w:val="28"/>
        </w:rPr>
      </w:pPr>
      <w:r>
        <w:rPr>
          <w:b w:val="0"/>
          <w:bCs w:val="0"/>
          <w:sz w:val="28"/>
          <w:szCs w:val="28"/>
        </w:rPr>
        <w:t>展示、对标与判定口径</w:t>
      </w:r>
    </w:p>
    <w:tbl>
      <w:tblPr>
        <w:tblStyle w:val="38"/>
        <w:tblW w:w="0" w:type="auto"/>
        <w:jc w:val="center"/>
        <w:tblBorders>
          <w:top w:val="none" w:color="auto" w:sz="0" w:space="0"/>
          <w:left w:val="single" w:color="4874CB" w:themeColor="accent1"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74E161C0">
        <w:tblPrEx>
          <w:tblBorders>
            <w:top w:val="none" w:color="auto" w:sz="0" w:space="0"/>
            <w:left w:val="single" w:color="4874CB" w:themeColor="accent1"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tcPr>
          <w:p w14:paraId="7DBC143E">
            <w:pPr>
              <w:pStyle w:val="19"/>
              <w:bidi w:val="0"/>
              <w:rPr>
                <w:b w:val="0"/>
                <w:bCs w:val="0"/>
              </w:rPr>
            </w:pPr>
          </w:p>
        </w:tc>
      </w:tr>
    </w:tbl>
    <w:p w14:paraId="17003E55">
      <w:pPr>
        <w:pStyle w:val="19"/>
        <w:bidi w:val="0"/>
        <w:rPr>
          <w:b w:val="0"/>
          <w:bCs w:val="0"/>
        </w:rPr>
      </w:pPr>
    </w:p>
    <w:p w14:paraId="17039C25">
      <w:pPr>
        <w:pStyle w:val="6"/>
        <w:numPr>
          <w:ilvl w:val="0"/>
          <w:numId w:val="213"/>
        </w:numPr>
        <w:bidi w:val="0"/>
        <w:ind w:left="0" w:leftChars="0" w:firstLine="0" w:firstLineChars="0"/>
        <w:rPr>
          <w:b w:val="0"/>
          <w:bCs w:val="0"/>
          <w:sz w:val="28"/>
          <w:szCs w:val="28"/>
        </w:rPr>
      </w:pPr>
      <w:r>
        <w:rPr>
          <w:b w:val="0"/>
          <w:bCs w:val="0"/>
          <w:sz w:val="28"/>
          <w:szCs w:val="28"/>
        </w:rPr>
        <w:t>边界条件、异常处理与防错规则</w:t>
      </w:r>
    </w:p>
    <w:tbl>
      <w:tblPr>
        <w:tblStyle w:val="38"/>
        <w:tblW w:w="0" w:type="auto"/>
        <w:jc w:val="center"/>
        <w:tblBorders>
          <w:top w:val="none" w:color="auto" w:sz="0" w:space="0"/>
          <w:left w:val="single" w:color="E54C5E" w:themeColor="accent6"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214F4178">
        <w:tblPrEx>
          <w:tblBorders>
            <w:top w:val="none" w:color="auto" w:sz="0" w:space="0"/>
            <w:left w:val="single" w:color="E54C5E" w:themeColor="accent6"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5F3FF"/>
            <w:tcMar>
              <w:top w:w="70" w:type="dxa"/>
              <w:left w:w="100" w:type="dxa"/>
              <w:bottom w:w="70" w:type="dxa"/>
              <w:right w:w="100" w:type="dxa"/>
            </w:tcMar>
          </w:tcPr>
          <w:p w14:paraId="508F10ED">
            <w:pPr>
              <w:pStyle w:val="19"/>
              <w:bidi w:val="0"/>
              <w:rPr>
                <w:b w:val="0"/>
                <w:bCs w:val="0"/>
              </w:rPr>
            </w:pPr>
          </w:p>
        </w:tc>
      </w:tr>
    </w:tbl>
    <w:p w14:paraId="059E93E1">
      <w:pPr>
        <w:rPr>
          <w:b w:val="0"/>
          <w:bCs w:val="0"/>
        </w:rPr>
      </w:pPr>
    </w:p>
    <w:p w14:paraId="5F1F62F2">
      <w:pPr>
        <w:pStyle w:val="6"/>
        <w:numPr>
          <w:ilvl w:val="0"/>
          <w:numId w:val="213"/>
        </w:numPr>
        <w:bidi w:val="0"/>
        <w:ind w:left="0" w:leftChars="0" w:firstLine="0" w:firstLineChars="0"/>
        <w:rPr>
          <w:b w:val="0"/>
          <w:bCs w:val="0"/>
          <w:sz w:val="28"/>
          <w:szCs w:val="28"/>
        </w:rPr>
      </w:pPr>
      <w:r>
        <w:rPr>
          <w:b w:val="0"/>
          <w:bCs w:val="0"/>
          <w:sz w:val="28"/>
          <w:szCs w:val="28"/>
        </w:rPr>
        <w:t>QA 自动化验收准则（Gherkin BDD）</w:t>
      </w:r>
    </w:p>
    <w:tbl>
      <w:tblPr>
        <w:tblStyle w:val="38"/>
        <w:tblW w:w="0" w:type="auto"/>
        <w:jc w:val="center"/>
        <w:tblLayout w:type="fixed"/>
        <w:tblCellMar>
          <w:top w:w="0" w:type="dxa"/>
          <w:left w:w="108" w:type="dxa"/>
          <w:bottom w:w="0" w:type="dxa"/>
          <w:right w:w="108" w:type="dxa"/>
        </w:tblCellMar>
      </w:tblPr>
      <w:tblGrid>
        <w:gridCol w:w="9648"/>
      </w:tblGrid>
      <w:tr w14:paraId="50A639A2">
        <w:tblPrEx>
          <w:tblCellMar>
            <w:top w:w="0" w:type="dxa"/>
            <w:left w:w="108" w:type="dxa"/>
            <w:bottom w:w="0" w:type="dxa"/>
            <w:right w:w="108" w:type="dxa"/>
          </w:tblCellMar>
        </w:tblPrEx>
        <w:trPr>
          <w:jc w:val="center"/>
        </w:trPr>
        <w:tc>
          <w:tcPr>
            <w:tcW w:w="9648" w:type="dxa"/>
            <w:tcBorders>
              <w:top w:val="nil"/>
              <w:left w:val="single" w:color="7C3AED" w:sz="24" w:space="0"/>
              <w:bottom w:val="nil"/>
              <w:right w:val="nil"/>
            </w:tcBorders>
            <w:shd w:val="clear" w:color="auto" w:fill="F5F3FF"/>
            <w:tcMar>
              <w:top w:w="70" w:type="dxa"/>
              <w:left w:w="100" w:type="dxa"/>
              <w:bottom w:w="70" w:type="dxa"/>
              <w:right w:w="100" w:type="dxa"/>
            </w:tcMar>
          </w:tcPr>
          <w:p w14:paraId="34E15C52">
            <w:pPr>
              <w:pStyle w:val="19"/>
              <w:bidi w:val="0"/>
              <w:rPr>
                <w:b w:val="0"/>
                <w:bCs w:val="0"/>
              </w:rPr>
            </w:pPr>
          </w:p>
        </w:tc>
      </w:tr>
    </w:tbl>
    <w:p w14:paraId="3662C747">
      <w:pPr>
        <w:rPr>
          <w:rFonts w:hint="default"/>
          <w:b w:val="0"/>
          <w:bCs w:val="0"/>
          <w:lang w:val="en-US" w:eastAsia="zh-CN"/>
        </w:rPr>
      </w:pPr>
    </w:p>
    <w:p w14:paraId="61DACAE6">
      <w:pPr>
        <w:pStyle w:val="4"/>
        <w:numPr>
          <w:ilvl w:val="0"/>
          <w:numId w:val="199"/>
        </w:numPr>
        <w:topLinePunct w:val="0"/>
        <w:ind w:left="0" w:leftChars="0" w:firstLine="0" w:firstLineChars="0"/>
        <w:outlineLvl w:val="0"/>
        <w:rPr>
          <w:rFonts w:hint="eastAsia" w:ascii="Times New Roman" w:hAnsi="Times New Roman" w:eastAsia="黑体" w:cs="Times New Roman"/>
          <w:b w:val="0"/>
          <w:bCs w:val="0"/>
          <w:sz w:val="30"/>
          <w:szCs w:val="32"/>
          <w:lang w:val="en-US" w:eastAsia="zh-CN"/>
        </w:rPr>
      </w:pPr>
      <w:bookmarkStart w:id="72" w:name="_Toc31062"/>
      <w:r>
        <w:rPr>
          <w:rFonts w:hint="eastAsia" w:ascii="Times New Roman" w:hAnsi="Times New Roman" w:eastAsia="黑体" w:cs="Times New Roman"/>
          <w:b w:val="0"/>
          <w:bCs w:val="0"/>
          <w:sz w:val="30"/>
          <w:szCs w:val="32"/>
          <w:lang w:val="en-US" w:eastAsia="zh-CN"/>
        </w:rPr>
        <w:t>费价模型</w:t>
      </w:r>
      <w:bookmarkEnd w:id="72"/>
    </w:p>
    <w:p w14:paraId="6E01D7A7">
      <w:pPr>
        <w:rPr>
          <w:b w:val="0"/>
          <w:bCs w:val="0"/>
        </w:rPr>
      </w:pPr>
      <w:r>
        <w:drawing>
          <wp:inline distT="0" distB="0" distL="114300" distR="114300">
            <wp:extent cx="5900420" cy="2925445"/>
            <wp:effectExtent l="0" t="0" r="5080" b="8255"/>
            <wp:docPr id="90"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44"/>
                    <pic:cNvPicPr>
                      <a:picLocks noChangeAspect="1"/>
                    </pic:cNvPicPr>
                  </pic:nvPicPr>
                  <pic:blipFill>
                    <a:blip r:embed="rId102"/>
                    <a:stretch>
                      <a:fillRect/>
                    </a:stretch>
                  </pic:blipFill>
                  <pic:spPr>
                    <a:xfrm>
                      <a:off x="0" y="0"/>
                      <a:ext cx="5900420" cy="2925445"/>
                    </a:xfrm>
                    <a:prstGeom prst="rect">
                      <a:avLst/>
                    </a:prstGeom>
                    <a:noFill/>
                    <a:ln>
                      <a:noFill/>
                    </a:ln>
                  </pic:spPr>
                </pic:pic>
              </a:graphicData>
            </a:graphic>
          </wp:inline>
        </w:drawing>
      </w:r>
    </w:p>
    <w:p w14:paraId="4FBF4556">
      <w:pPr>
        <w:pStyle w:val="6"/>
        <w:numPr>
          <w:ilvl w:val="0"/>
          <w:numId w:val="215"/>
        </w:numPr>
        <w:bidi w:val="0"/>
        <w:ind w:left="0" w:leftChars="0" w:firstLine="0" w:firstLineChars="0"/>
        <w:rPr>
          <w:b w:val="0"/>
          <w:bCs w:val="0"/>
          <w:sz w:val="28"/>
          <w:szCs w:val="28"/>
        </w:rPr>
      </w:pPr>
      <w:r>
        <w:rPr>
          <w:b w:val="0"/>
          <w:bCs w:val="0"/>
          <w:sz w:val="28"/>
          <w:szCs w:val="28"/>
        </w:rPr>
        <w:t>定位与架构角色</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37E4491E">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tcPr>
          <w:p w14:paraId="4AF364B5">
            <w:pPr>
              <w:pStyle w:val="19"/>
              <w:bidi w:val="0"/>
              <w:ind w:left="0" w:leftChars="0" w:firstLine="0" w:firstLineChars="0"/>
              <w:rPr>
                <w:rFonts w:ascii="宋体" w:hAnsi="宋体" w:eastAsia="宋体" w:cs="宋体"/>
                <w:sz w:val="24"/>
                <w:szCs w:val="24"/>
              </w:rPr>
            </w:pPr>
            <w:r>
              <w:rPr>
                <w:rFonts w:ascii="宋体" w:hAnsi="宋体" w:eastAsia="宋体" w:cs="宋体"/>
                <w:b/>
                <w:bCs/>
                <w:sz w:val="24"/>
                <w:szCs w:val="24"/>
              </w:rPr>
              <w:t>・功能定位</w:t>
            </w:r>
            <w:r>
              <w:rPr>
                <w:rFonts w:ascii="宋体" w:hAnsi="宋体" w:eastAsia="宋体" w:cs="宋体"/>
                <w:sz w:val="24"/>
                <w:szCs w:val="24"/>
              </w:rPr>
              <w:t xml:space="preserve">：作为能源成本核算的基础模型配置单元，按工厂维度维护电、天然气、蒸汽等能源的分时费价方案，支持时段电价、基础电费、溢价参数配置与版本管理，可实现费价方案跨企业同步复制，为园区能耗成本测算、分时用电经济分析提供能源价格基准，是能源经济核算业务的前置基础依赖。 </w:t>
            </w:r>
          </w:p>
          <w:p w14:paraId="329D6E02">
            <w:pPr>
              <w:pStyle w:val="19"/>
              <w:bidi w:val="0"/>
              <w:ind w:left="0" w:leftChars="0" w:firstLine="0" w:firstLineChars="0"/>
              <w:rPr>
                <w:b w:val="0"/>
                <w:bCs w:val="0"/>
              </w:rPr>
            </w:pPr>
            <w:r>
              <w:rPr>
                <w:rFonts w:ascii="宋体" w:hAnsi="宋体" w:eastAsia="宋体" w:cs="宋体"/>
                <w:b/>
                <w:bCs/>
                <w:sz w:val="24"/>
                <w:szCs w:val="24"/>
              </w:rPr>
              <w:t>・承载角色</w:t>
            </w:r>
            <w:r>
              <w:rPr>
                <w:rFonts w:ascii="宋体" w:hAnsi="宋体" w:eastAsia="宋体" w:cs="宋体"/>
                <w:sz w:val="24"/>
                <w:szCs w:val="24"/>
              </w:rPr>
              <w:t>：PM 系统管理员（全量费价模型新建、参数维护、版本管理、方案复制与同步下发）。</w:t>
            </w:r>
          </w:p>
        </w:tc>
      </w:tr>
    </w:tbl>
    <w:p w14:paraId="5C8F5A51">
      <w:pPr>
        <w:rPr>
          <w:b w:val="0"/>
          <w:bCs w:val="0"/>
        </w:rPr>
      </w:pPr>
    </w:p>
    <w:p w14:paraId="1CCEDED1">
      <w:pPr>
        <w:pStyle w:val="6"/>
        <w:numPr>
          <w:ilvl w:val="0"/>
          <w:numId w:val="215"/>
        </w:numPr>
        <w:bidi w:val="0"/>
        <w:ind w:left="0" w:leftChars="0" w:firstLine="0" w:firstLineChars="0"/>
        <w:rPr>
          <w:b w:val="0"/>
          <w:bCs w:val="0"/>
          <w:sz w:val="28"/>
          <w:szCs w:val="28"/>
        </w:rPr>
      </w:pPr>
      <w:r>
        <w:rPr>
          <w:b w:val="0"/>
          <w:bCs w:val="0"/>
          <w:sz w:val="28"/>
          <w:szCs w:val="28"/>
        </w:rPr>
        <w:t>业务场景与用户故事</w:t>
      </w:r>
    </w:p>
    <w:tbl>
      <w:tblPr>
        <w:tblStyle w:val="38"/>
        <w:tblW w:w="0" w:type="auto"/>
        <w:jc w:val="center"/>
        <w:tblBorders>
          <w:top w:val="none" w:color="auto" w:sz="0" w:space="0"/>
          <w:left w:val="single" w:color="44546A" w:themeColor="text2"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66904789">
        <w:tblPrEx>
          <w:tblBorders>
            <w:top w:val="none" w:color="auto" w:sz="0" w:space="0"/>
            <w:left w:val="single" w:color="44546A" w:themeColor="text2"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tcPr>
          <w:p w14:paraId="4AEF9754">
            <w:pPr>
              <w:pStyle w:val="19"/>
              <w:bidi w:val="0"/>
              <w:ind w:left="0" w:leftChars="0" w:firstLine="0" w:firstLineChars="0"/>
            </w:pPr>
            <w:r>
              <w:rPr>
                <w:b/>
                <w:bCs/>
                <w:lang w:val="en-US" w:eastAsia="zh-CN"/>
              </w:rPr>
              <w:t>业务场景</w:t>
            </w:r>
            <w:r>
              <w:rPr>
                <w:lang w:val="en-US" w:eastAsia="zh-CN"/>
              </w:rPr>
              <w:t>：面向系统管理员进行能源成本核算规则配置场景，按园区工厂维度配置分时能源价格模型，支撑集团能耗成本精细化测算。</w:t>
            </w:r>
          </w:p>
          <w:p w14:paraId="681E1793">
            <w:pPr>
              <w:pStyle w:val="19"/>
              <w:bidi w:val="0"/>
              <w:ind w:left="0" w:leftChars="0" w:firstLine="0" w:firstLineChars="0"/>
            </w:pPr>
            <w:r>
              <w:rPr>
                <w:b/>
                <w:bCs/>
                <w:lang w:val="en-US" w:eastAsia="zh-CN"/>
              </w:rPr>
              <w:t>用户故事</w:t>
            </w:r>
            <w:r>
              <w:rPr>
                <w:lang w:val="en-US" w:eastAsia="zh-CN"/>
              </w:rPr>
              <w:t>：</w:t>
            </w:r>
          </w:p>
          <w:p w14:paraId="2AE0B769">
            <w:pPr>
              <w:pStyle w:val="19"/>
              <w:bidi w:val="0"/>
            </w:pPr>
            <w:r>
              <w:rPr>
                <w:lang w:val="en-US" w:eastAsia="zh-CN"/>
              </w:rPr>
              <w:t>As a 系统管理员 (Persona PM)，</w:t>
            </w:r>
          </w:p>
          <w:p w14:paraId="5E0A166A">
            <w:pPr>
              <w:pStyle w:val="19"/>
              <w:bidi w:val="0"/>
            </w:pPr>
            <w:r>
              <w:rPr>
                <w:lang w:val="en-US" w:eastAsia="zh-CN"/>
              </w:rPr>
              <w:t>I want 配置多维度分时费价规则、维护能源价格模型、同步复制价格方案，</w:t>
            </w:r>
          </w:p>
          <w:p w14:paraId="776A366F">
            <w:pPr>
              <w:pStyle w:val="19"/>
              <w:bidi w:val="0"/>
            </w:pPr>
            <w:r>
              <w:rPr>
                <w:lang w:val="en-US" w:eastAsia="zh-CN"/>
              </w:rPr>
              <w:t>So that 我能支撑集团能源成本统计、分时能耗经济分析，完善能碳经营数据底座。</w:t>
            </w:r>
          </w:p>
        </w:tc>
      </w:tr>
    </w:tbl>
    <w:p w14:paraId="36B4210A">
      <w:pPr>
        <w:rPr>
          <w:b w:val="0"/>
          <w:bCs w:val="0"/>
        </w:rPr>
      </w:pPr>
    </w:p>
    <w:p w14:paraId="149431DF">
      <w:pPr>
        <w:pStyle w:val="6"/>
        <w:numPr>
          <w:ilvl w:val="0"/>
          <w:numId w:val="215"/>
        </w:numPr>
        <w:bidi w:val="0"/>
        <w:ind w:left="0" w:leftChars="0" w:firstLine="0" w:firstLineChars="0"/>
        <w:rPr>
          <w:b w:val="0"/>
          <w:bCs w:val="0"/>
          <w:sz w:val="28"/>
          <w:szCs w:val="28"/>
        </w:rPr>
      </w:pPr>
      <w:r>
        <w:rPr>
          <w:b w:val="0"/>
          <w:bCs w:val="0"/>
          <w:sz w:val="28"/>
          <w:szCs w:val="28"/>
        </w:rPr>
        <w:t>功能规格与交互契约</w:t>
      </w:r>
    </w:p>
    <w:tbl>
      <w:tblPr>
        <w:tblStyle w:val="38"/>
        <w:tblW w:w="0" w:type="auto"/>
        <w:jc w:val="center"/>
        <w:tblBorders>
          <w:top w:val="none" w:color="auto" w:sz="0" w:space="0"/>
          <w:left w:val="single" w:color="EE822F" w:themeColor="accent2"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6E94DCA9">
        <w:tblPrEx>
          <w:tblBorders>
            <w:top w:val="none" w:color="auto" w:sz="0" w:space="0"/>
            <w:left w:val="single" w:color="EE822F" w:themeColor="accent2"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tcPr>
          <w:p w14:paraId="3391F383">
            <w:pPr>
              <w:pStyle w:val="19"/>
              <w:numPr>
                <w:ilvl w:val="0"/>
                <w:numId w:val="216"/>
              </w:numPr>
              <w:bidi w:val="0"/>
              <w:rPr>
                <w:rFonts w:hint="default" w:eastAsia="宋体"/>
                <w:b w:val="0"/>
                <w:bCs w:val="0"/>
                <w:lang w:val="en-US" w:eastAsia="zh-CN"/>
              </w:rPr>
            </w:pPr>
            <w:r>
              <w:rPr>
                <w:rFonts w:hint="eastAsia"/>
                <w:b w:val="0"/>
                <w:bCs w:val="0"/>
                <w:lang w:val="en-US" w:eastAsia="zh-CN"/>
              </w:rPr>
              <w:t>点击左侧企业结构树，可展开2、3级节点；</w:t>
            </w:r>
          </w:p>
          <w:p w14:paraId="0503E325">
            <w:pPr>
              <w:pStyle w:val="19"/>
              <w:numPr>
                <w:ilvl w:val="0"/>
                <w:numId w:val="216"/>
              </w:numPr>
              <w:bidi w:val="0"/>
              <w:rPr>
                <w:rFonts w:hint="default" w:eastAsia="宋体"/>
                <w:b w:val="0"/>
                <w:bCs w:val="0"/>
                <w:lang w:val="en-US" w:eastAsia="zh-CN"/>
              </w:rPr>
            </w:pPr>
            <w:r>
              <w:rPr>
                <w:rFonts w:hint="eastAsia"/>
                <w:b w:val="0"/>
                <w:bCs w:val="0"/>
                <w:lang w:val="en-US" w:eastAsia="zh-CN"/>
              </w:rPr>
              <w:t>左侧企业结构树中点击工厂节点后，右侧费价模块读取当前工厂费价方案；</w:t>
            </w:r>
          </w:p>
          <w:p w14:paraId="46BD964C">
            <w:pPr>
              <w:pStyle w:val="19"/>
              <w:numPr>
                <w:ilvl w:val="0"/>
                <w:numId w:val="216"/>
              </w:numPr>
              <w:bidi w:val="0"/>
              <w:rPr>
                <w:rFonts w:hint="default" w:eastAsia="宋体"/>
                <w:b w:val="0"/>
                <w:bCs w:val="0"/>
                <w:lang w:val="en-US" w:eastAsia="zh-CN"/>
              </w:rPr>
            </w:pPr>
            <w:r>
              <w:rPr>
                <w:rFonts w:hint="eastAsia"/>
                <w:b w:val="0"/>
                <w:bCs w:val="0"/>
                <w:lang w:val="en-US" w:eastAsia="zh-CN"/>
              </w:rPr>
              <w:t>点击【电费费价】、【天然气费价】、【蒸汽与水费价】后可切换几个模块；</w:t>
            </w:r>
          </w:p>
          <w:p w14:paraId="524E6AC4">
            <w:pPr>
              <w:pStyle w:val="19"/>
              <w:numPr>
                <w:ilvl w:val="0"/>
                <w:numId w:val="216"/>
              </w:numPr>
              <w:bidi w:val="0"/>
              <w:rPr>
                <w:rFonts w:hint="default" w:eastAsia="宋体"/>
                <w:b w:val="0"/>
                <w:bCs w:val="0"/>
                <w:lang w:val="en-US" w:eastAsia="zh-CN"/>
              </w:rPr>
            </w:pPr>
            <w:r>
              <w:rPr>
                <w:rFonts w:hint="eastAsia"/>
                <w:b w:val="0"/>
                <w:bCs w:val="0"/>
                <w:lang w:val="en-US" w:eastAsia="zh-CN"/>
              </w:rPr>
              <w:t>点击切换查看方案，下拉框中显示已保存的费价方案列表；</w:t>
            </w:r>
          </w:p>
          <w:p w14:paraId="14051E01">
            <w:pPr>
              <w:pStyle w:val="19"/>
              <w:numPr>
                <w:ilvl w:val="0"/>
                <w:numId w:val="216"/>
              </w:numPr>
              <w:bidi w:val="0"/>
              <w:rPr>
                <w:rFonts w:hint="default" w:eastAsia="宋体"/>
                <w:b w:val="0"/>
                <w:bCs w:val="0"/>
                <w:lang w:val="en-US" w:eastAsia="zh-CN"/>
              </w:rPr>
            </w:pPr>
            <w:r>
              <w:rPr>
                <w:rFonts w:hint="eastAsia"/>
                <w:b w:val="0"/>
                <w:bCs w:val="0"/>
                <w:lang w:val="en-US" w:eastAsia="zh-CN"/>
              </w:rPr>
              <w:t>点击【同步到其他企业】打开同步费价方案弹窗；</w:t>
            </w:r>
          </w:p>
          <w:p w14:paraId="28F7943D">
            <w:pPr>
              <w:pStyle w:val="19"/>
              <w:numPr>
                <w:ilvl w:val="0"/>
                <w:numId w:val="216"/>
              </w:numPr>
              <w:bidi w:val="0"/>
              <w:rPr>
                <w:rFonts w:hint="default" w:eastAsia="宋体"/>
                <w:b w:val="0"/>
                <w:bCs w:val="0"/>
                <w:lang w:val="en-US" w:eastAsia="zh-CN"/>
              </w:rPr>
            </w:pPr>
            <w:r>
              <w:rPr>
                <w:rFonts w:hint="eastAsia"/>
                <w:b w:val="0"/>
                <w:bCs w:val="0"/>
                <w:lang w:val="en-US" w:eastAsia="zh-CN"/>
              </w:rPr>
              <w:t>点击【复制调价】按钮，生成新的费价方案，费价模块中变为可编辑状态；</w:t>
            </w:r>
          </w:p>
          <w:p w14:paraId="066509CF">
            <w:pPr>
              <w:pStyle w:val="19"/>
              <w:numPr>
                <w:ilvl w:val="0"/>
                <w:numId w:val="216"/>
              </w:numPr>
              <w:bidi w:val="0"/>
              <w:rPr>
                <w:rFonts w:hint="default" w:eastAsia="宋体"/>
                <w:b w:val="0"/>
                <w:bCs w:val="0"/>
                <w:lang w:val="en-US" w:eastAsia="zh-CN"/>
              </w:rPr>
            </w:pPr>
            <w:r>
              <w:rPr>
                <w:rFonts w:hint="eastAsia"/>
                <w:b w:val="0"/>
                <w:bCs w:val="0"/>
                <w:lang w:val="en-US" w:eastAsia="zh-CN"/>
              </w:rPr>
              <w:t>点击【新建草稿】按钮，可生成一套空白的费价模块</w:t>
            </w:r>
          </w:p>
          <w:p w14:paraId="2DD4EDD6">
            <w:pPr>
              <w:pStyle w:val="19"/>
              <w:numPr>
                <w:ilvl w:val="0"/>
                <w:numId w:val="216"/>
              </w:numPr>
              <w:bidi w:val="0"/>
              <w:rPr>
                <w:rFonts w:hint="default" w:eastAsia="宋体"/>
                <w:b w:val="0"/>
                <w:bCs w:val="0"/>
                <w:lang w:val="en-US" w:eastAsia="zh-CN"/>
              </w:rPr>
            </w:pPr>
            <w:r>
              <w:rPr>
                <w:rFonts w:hint="eastAsia"/>
                <w:b w:val="0"/>
                <w:bCs w:val="0"/>
                <w:lang w:val="en-US" w:eastAsia="zh-CN"/>
              </w:rPr>
              <w:t>点击【正式启用方案】按钮，可将当前方案设备正式生效状态；</w:t>
            </w:r>
          </w:p>
          <w:p w14:paraId="6EC03224">
            <w:pPr>
              <w:pStyle w:val="19"/>
              <w:numPr>
                <w:ilvl w:val="0"/>
                <w:numId w:val="216"/>
              </w:numPr>
              <w:bidi w:val="0"/>
              <w:rPr>
                <w:rFonts w:hint="default" w:eastAsia="宋体"/>
                <w:b w:val="0"/>
                <w:bCs w:val="0"/>
                <w:lang w:val="en-US" w:eastAsia="zh-CN"/>
              </w:rPr>
            </w:pPr>
            <w:r>
              <w:rPr>
                <w:rFonts w:hint="eastAsia"/>
                <w:b w:val="0"/>
                <w:bCs w:val="0"/>
                <w:lang w:val="en-US" w:eastAsia="zh-CN"/>
              </w:rPr>
              <w:t>点击【执行季节时段】按钮来切换夏季和冬季峰谷平电力费价方案；</w:t>
            </w:r>
          </w:p>
          <w:p w14:paraId="19E4DA0D">
            <w:pPr>
              <w:pStyle w:val="19"/>
              <w:numPr>
                <w:ilvl w:val="0"/>
                <w:numId w:val="216"/>
              </w:numPr>
              <w:bidi w:val="0"/>
              <w:rPr>
                <w:rFonts w:hint="default" w:eastAsia="宋体"/>
                <w:b w:val="0"/>
                <w:bCs w:val="0"/>
                <w:lang w:val="en-US" w:eastAsia="zh-CN"/>
              </w:rPr>
            </w:pPr>
            <w:r>
              <w:rPr>
                <w:rFonts w:hint="eastAsia"/>
                <w:b w:val="0"/>
                <w:bCs w:val="0"/>
                <w:lang w:val="en-US" w:eastAsia="zh-CN"/>
              </w:rPr>
              <w:t>保存后的费价方案在下方【费价方案版本历史】中进行展示；</w:t>
            </w:r>
          </w:p>
          <w:p w14:paraId="1AEE3D79">
            <w:pPr>
              <w:pStyle w:val="19"/>
              <w:numPr>
                <w:ilvl w:val="0"/>
                <w:numId w:val="216"/>
              </w:numPr>
              <w:bidi w:val="0"/>
              <w:rPr>
                <w:rFonts w:hint="default" w:eastAsia="宋体"/>
                <w:b w:val="0"/>
                <w:bCs w:val="0"/>
                <w:lang w:val="en-US" w:eastAsia="zh-CN"/>
              </w:rPr>
            </w:pPr>
            <w:r>
              <w:rPr>
                <w:rFonts w:hint="eastAsia"/>
                <w:b w:val="0"/>
                <w:bCs w:val="0"/>
                <w:lang w:val="en-US" w:eastAsia="zh-CN"/>
              </w:rPr>
              <w:t>点击【费价方案版本历史】列表中方案可展示该费价方案；</w:t>
            </w:r>
          </w:p>
        </w:tc>
      </w:tr>
    </w:tbl>
    <w:p w14:paraId="56548B3C">
      <w:pPr>
        <w:rPr>
          <w:b w:val="0"/>
          <w:bCs w:val="0"/>
        </w:rPr>
      </w:pPr>
    </w:p>
    <w:p w14:paraId="0C67A3E7">
      <w:pPr>
        <w:pStyle w:val="6"/>
        <w:numPr>
          <w:ilvl w:val="0"/>
          <w:numId w:val="215"/>
        </w:numPr>
        <w:bidi w:val="0"/>
        <w:ind w:left="0" w:leftChars="0" w:firstLine="0" w:firstLineChars="0"/>
        <w:rPr>
          <w:b w:val="0"/>
          <w:bCs w:val="0"/>
          <w:sz w:val="28"/>
          <w:szCs w:val="28"/>
        </w:rPr>
      </w:pPr>
      <w:r>
        <w:rPr>
          <w:b w:val="0"/>
          <w:bCs w:val="0"/>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89"/>
        <w:gridCol w:w="2325"/>
        <w:gridCol w:w="1262"/>
        <w:gridCol w:w="1220"/>
        <w:gridCol w:w="4088"/>
      </w:tblGrid>
      <w:tr w14:paraId="24A797AA">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625896A">
            <w:pPr>
              <w:pStyle w:val="19"/>
              <w:bidi w:val="0"/>
              <w:spacing w:line="240" w:lineRule="auto"/>
              <w:ind w:left="0" w:leftChars="0" w:right="0" w:rightChars="0" w:firstLine="0" w:firstLineChars="0"/>
              <w:jc w:val="center"/>
              <w:rPr>
                <w:rFonts w:hint="eastAsia" w:ascii="宋体" w:hAnsi="宋体" w:eastAsia="宋体" w:cs="宋体"/>
                <w:b w:val="0"/>
                <w:bCs w:val="0"/>
                <w:sz w:val="24"/>
                <w:szCs w:val="24"/>
              </w:rPr>
            </w:pPr>
            <w:r>
              <w:rPr>
                <w:rFonts w:hint="eastAsia" w:ascii="宋体" w:hAnsi="宋体" w:eastAsia="宋体" w:cs="宋体"/>
                <w:b w:val="0"/>
                <w:bCs w:val="0"/>
                <w:sz w:val="24"/>
                <w:szCs w:val="24"/>
              </w:rPr>
              <w:t>序号</w:t>
            </w:r>
          </w:p>
        </w:tc>
        <w:tc>
          <w:tcPr>
            <w:tcW w:w="232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A75451E">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字段中文名称</w:t>
            </w:r>
          </w:p>
        </w:tc>
        <w:tc>
          <w:tcPr>
            <w:tcW w:w="126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49C13C8">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数据类型</w:t>
            </w:r>
          </w:p>
        </w:tc>
        <w:tc>
          <w:tcPr>
            <w:tcW w:w="122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E6D3B92">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工程单位</w:t>
            </w:r>
          </w:p>
        </w:tc>
        <w:tc>
          <w:tcPr>
            <w:tcW w:w="408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18725B1">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校验与约束规则</w:t>
            </w:r>
          </w:p>
        </w:tc>
      </w:tr>
      <w:tr w14:paraId="2C81D6D6">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9B5D8BA">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w:t>
            </w:r>
          </w:p>
        </w:tc>
        <w:tc>
          <w:tcPr>
            <w:tcW w:w="232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36A26B4">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sz w:val="24"/>
                <w:szCs w:val="24"/>
              </w:rPr>
              <w:t>电费费价</w:t>
            </w:r>
          </w:p>
        </w:tc>
        <w:tc>
          <w:tcPr>
            <w:tcW w:w="126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C15F731">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122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8E2BEC1">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408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46B57A5">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r>
      <w:tr w14:paraId="6F6AE278">
        <w:tblPrEx>
          <w:tblCellMar>
            <w:top w:w="0" w:type="dxa"/>
            <w:left w:w="108" w:type="dxa"/>
            <w:bottom w:w="0" w:type="dxa"/>
            <w:right w:w="108" w:type="dxa"/>
          </w:tblCellMar>
        </w:tblPrEx>
        <w:trPr>
          <w:trHeight w:val="90" w:hRule="atLeast"/>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E3B3F94">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2</w:t>
            </w:r>
          </w:p>
        </w:tc>
        <w:tc>
          <w:tcPr>
            <w:tcW w:w="232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C289F5A">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sz w:val="24"/>
                <w:szCs w:val="24"/>
              </w:rPr>
              <w:t>天然气费价</w:t>
            </w:r>
          </w:p>
        </w:tc>
        <w:tc>
          <w:tcPr>
            <w:tcW w:w="126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70FFA7E">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122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0FADF9F">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408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9E4472A">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r>
      <w:tr w14:paraId="1959BAE9">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14A10FB">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3</w:t>
            </w:r>
          </w:p>
        </w:tc>
        <w:tc>
          <w:tcPr>
            <w:tcW w:w="232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9E16FA0">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sz w:val="24"/>
                <w:szCs w:val="24"/>
              </w:rPr>
              <w:t>蒸汽与水费价</w:t>
            </w:r>
          </w:p>
        </w:tc>
        <w:tc>
          <w:tcPr>
            <w:tcW w:w="126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8A43D99">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122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EB65479">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408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F85A64E">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r>
      <w:tr w14:paraId="342981C8">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C9B79D9">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4</w:t>
            </w:r>
          </w:p>
        </w:tc>
        <w:tc>
          <w:tcPr>
            <w:tcW w:w="232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5B179C7">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sz w:val="24"/>
                <w:szCs w:val="24"/>
              </w:rPr>
              <w:t>深谷</w:t>
            </w:r>
          </w:p>
        </w:tc>
        <w:tc>
          <w:tcPr>
            <w:tcW w:w="126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04A2598">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122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5690B42">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408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F2E0691">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r>
      <w:tr w14:paraId="2B06B05C">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FB67856">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5</w:t>
            </w:r>
          </w:p>
        </w:tc>
        <w:tc>
          <w:tcPr>
            <w:tcW w:w="232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4FAEAB9">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sz w:val="24"/>
                <w:szCs w:val="24"/>
              </w:rPr>
              <w:t xml:space="preserve">低谷 </w:t>
            </w:r>
          </w:p>
        </w:tc>
        <w:tc>
          <w:tcPr>
            <w:tcW w:w="126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15F7DAA">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122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7DF7CC4">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408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7FD57CC">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r>
      <w:tr w14:paraId="3FC90407">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F80F186">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6</w:t>
            </w:r>
          </w:p>
        </w:tc>
        <w:tc>
          <w:tcPr>
            <w:tcW w:w="232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FB9B133">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sz w:val="24"/>
                <w:szCs w:val="24"/>
              </w:rPr>
              <w:t>平时</w:t>
            </w:r>
          </w:p>
        </w:tc>
        <w:tc>
          <w:tcPr>
            <w:tcW w:w="126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E89DE73">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122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5544B22">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408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D45AB07">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r>
      <w:tr w14:paraId="3C01DDFC">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FDBAE46">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7</w:t>
            </w:r>
          </w:p>
        </w:tc>
        <w:tc>
          <w:tcPr>
            <w:tcW w:w="232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6050F76">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sz w:val="24"/>
                <w:szCs w:val="24"/>
              </w:rPr>
              <w:t>高峰</w:t>
            </w:r>
          </w:p>
        </w:tc>
        <w:tc>
          <w:tcPr>
            <w:tcW w:w="126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23992C2">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122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F5C78FB">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408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27997C2">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r>
      <w:tr w14:paraId="1C0AD990">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4C93554">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8</w:t>
            </w:r>
          </w:p>
        </w:tc>
        <w:tc>
          <w:tcPr>
            <w:tcW w:w="232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7BD2124">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sz w:val="24"/>
                <w:szCs w:val="24"/>
              </w:rPr>
              <w:t>尖峰</w:t>
            </w:r>
          </w:p>
        </w:tc>
        <w:tc>
          <w:tcPr>
            <w:tcW w:w="126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959576E">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122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1BD43B5">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408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8BAB008">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r>
      <w:tr w14:paraId="1ACFFE8B">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9AE8790">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9</w:t>
            </w:r>
          </w:p>
        </w:tc>
        <w:tc>
          <w:tcPr>
            <w:tcW w:w="232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DD039E8">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sz w:val="24"/>
                <w:szCs w:val="24"/>
              </w:rPr>
              <w:t>阶梯档位名称</w:t>
            </w:r>
          </w:p>
        </w:tc>
        <w:tc>
          <w:tcPr>
            <w:tcW w:w="126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72374A4">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122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1E8A4BD">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408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2AFB915">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r>
      <w:tr w14:paraId="7E8F6732">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80C7209">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10</w:t>
            </w:r>
          </w:p>
        </w:tc>
        <w:tc>
          <w:tcPr>
            <w:tcW w:w="232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0736FAA">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sz w:val="24"/>
                <w:szCs w:val="24"/>
              </w:rPr>
              <w:t>月度用气量区间</w:t>
            </w:r>
          </w:p>
        </w:tc>
        <w:tc>
          <w:tcPr>
            <w:tcW w:w="126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5C47057">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122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659FBAA">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408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0CAB7EF">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r>
      <w:tr w14:paraId="37D8DE25">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392042A">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11</w:t>
            </w:r>
          </w:p>
        </w:tc>
        <w:tc>
          <w:tcPr>
            <w:tcW w:w="232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63169CA">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sz w:val="24"/>
                <w:szCs w:val="24"/>
              </w:rPr>
              <w:t xml:space="preserve">对应结算单价 </w:t>
            </w:r>
          </w:p>
        </w:tc>
        <w:tc>
          <w:tcPr>
            <w:tcW w:w="126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F172403">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122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FB68BC4">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408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3094E5E">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r>
      <w:tr w14:paraId="7F139F3C">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E84EFB5">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12</w:t>
            </w:r>
          </w:p>
        </w:tc>
        <w:tc>
          <w:tcPr>
            <w:tcW w:w="232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C83EC5D">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sz w:val="24"/>
                <w:szCs w:val="24"/>
              </w:rPr>
              <w:t>计费说明与适用工序</w:t>
            </w:r>
          </w:p>
        </w:tc>
        <w:tc>
          <w:tcPr>
            <w:tcW w:w="126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70A9C33">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122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9BE4CCA">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408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6FB5E8F">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r>
      <w:tr w14:paraId="4B8DD98E">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80E49FB">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13</w:t>
            </w:r>
          </w:p>
        </w:tc>
        <w:tc>
          <w:tcPr>
            <w:tcW w:w="232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B4C334E">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sz w:val="24"/>
                <w:szCs w:val="24"/>
              </w:rPr>
              <w:t>介质名称</w:t>
            </w:r>
          </w:p>
        </w:tc>
        <w:tc>
          <w:tcPr>
            <w:tcW w:w="126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D33DFF0">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122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11796ED">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408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CE0E29C">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r>
      <w:tr w14:paraId="50E2438F">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C806FFD">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14</w:t>
            </w:r>
          </w:p>
        </w:tc>
        <w:tc>
          <w:tcPr>
            <w:tcW w:w="232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D530A3A">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sz w:val="24"/>
                <w:szCs w:val="24"/>
              </w:rPr>
              <w:t>供能来源与参数标准</w:t>
            </w:r>
          </w:p>
        </w:tc>
        <w:tc>
          <w:tcPr>
            <w:tcW w:w="126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680514D">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122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B315B2F">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408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B189A6E">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r>
      <w:tr w14:paraId="79D6B755">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4C9034F">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15</w:t>
            </w:r>
          </w:p>
        </w:tc>
        <w:tc>
          <w:tcPr>
            <w:tcW w:w="232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6CB6225">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sz w:val="24"/>
                <w:szCs w:val="24"/>
              </w:rPr>
              <w:t>属地结算单价 (元)</w:t>
            </w:r>
          </w:p>
        </w:tc>
        <w:tc>
          <w:tcPr>
            <w:tcW w:w="126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951E948">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122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7D8366B">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408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045D2C0">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r>
      <w:tr w14:paraId="2F634184">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2C22DD2">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16</w:t>
            </w:r>
          </w:p>
        </w:tc>
        <w:tc>
          <w:tcPr>
            <w:tcW w:w="232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A0574A6">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sz w:val="24"/>
                <w:szCs w:val="24"/>
              </w:rPr>
              <w:t>计量单位</w:t>
            </w:r>
          </w:p>
        </w:tc>
        <w:tc>
          <w:tcPr>
            <w:tcW w:w="126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841DEB0">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122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07F6C92">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408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8C865AC">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r>
      <w:tr w14:paraId="0359456F">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F0DDE59">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17</w:t>
            </w:r>
          </w:p>
        </w:tc>
        <w:tc>
          <w:tcPr>
            <w:tcW w:w="232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21551B8">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sz w:val="24"/>
                <w:szCs w:val="24"/>
              </w:rPr>
              <w:t>结算口径说明</w:t>
            </w:r>
          </w:p>
        </w:tc>
        <w:tc>
          <w:tcPr>
            <w:tcW w:w="126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D88291D">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122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CF9D09F">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408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78809AE">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r>
      <w:tr w14:paraId="524C224E">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3E11774">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18</w:t>
            </w:r>
          </w:p>
        </w:tc>
        <w:tc>
          <w:tcPr>
            <w:tcW w:w="232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BA4781D">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sz w:val="24"/>
                <w:szCs w:val="24"/>
              </w:rPr>
              <w:t>版本号</w:t>
            </w:r>
          </w:p>
        </w:tc>
        <w:tc>
          <w:tcPr>
            <w:tcW w:w="126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B0BDD4A">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122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06FC46B">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408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84BAE08">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r>
      <w:tr w14:paraId="34A97C27">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532E315">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19</w:t>
            </w:r>
          </w:p>
        </w:tc>
        <w:tc>
          <w:tcPr>
            <w:tcW w:w="232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E7BE770">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sz w:val="24"/>
                <w:szCs w:val="24"/>
              </w:rPr>
              <w:t>方案名称</w:t>
            </w:r>
          </w:p>
        </w:tc>
        <w:tc>
          <w:tcPr>
            <w:tcW w:w="126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5E0A34D">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122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4C89CDE">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408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B205EDA">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r>
      <w:tr w14:paraId="186A6AA2">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D466504">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20</w:t>
            </w:r>
          </w:p>
        </w:tc>
        <w:tc>
          <w:tcPr>
            <w:tcW w:w="232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3EFAD28">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sz w:val="24"/>
                <w:szCs w:val="24"/>
              </w:rPr>
              <w:t>生效周期</w:t>
            </w:r>
          </w:p>
        </w:tc>
        <w:tc>
          <w:tcPr>
            <w:tcW w:w="126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52FF1F6">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122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85198BA">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408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BCD2D8E">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r>
      <w:tr w14:paraId="66B59BA6">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7294F4C">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21</w:t>
            </w:r>
          </w:p>
        </w:tc>
        <w:tc>
          <w:tcPr>
            <w:tcW w:w="232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F5052B5">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sz w:val="24"/>
                <w:szCs w:val="24"/>
              </w:rPr>
              <w:t>状态</w:t>
            </w:r>
          </w:p>
        </w:tc>
        <w:tc>
          <w:tcPr>
            <w:tcW w:w="126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96680AA">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122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1C565B3">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408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814680B">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r>
      <w:tr w14:paraId="0F78E128">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377E224">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22</w:t>
            </w:r>
          </w:p>
        </w:tc>
        <w:tc>
          <w:tcPr>
            <w:tcW w:w="232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41143D7">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sz w:val="24"/>
                <w:szCs w:val="24"/>
              </w:rPr>
              <w:t>维护责任人</w:t>
            </w:r>
          </w:p>
        </w:tc>
        <w:tc>
          <w:tcPr>
            <w:tcW w:w="126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036B656">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122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CD94548">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408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59B150D">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r>
      <w:tr w14:paraId="075434BA">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D0ED99B">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23</w:t>
            </w:r>
          </w:p>
        </w:tc>
        <w:tc>
          <w:tcPr>
            <w:tcW w:w="232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2A6B06A">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sz w:val="24"/>
                <w:szCs w:val="24"/>
              </w:rPr>
              <w:t>更新时间</w:t>
            </w:r>
          </w:p>
        </w:tc>
        <w:tc>
          <w:tcPr>
            <w:tcW w:w="126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5F9A344">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122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408DD66">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408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ED98FD4">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r>
    </w:tbl>
    <w:p w14:paraId="143D0A32">
      <w:pPr>
        <w:pStyle w:val="19"/>
        <w:bidi w:val="0"/>
        <w:rPr>
          <w:b w:val="0"/>
          <w:bCs w:val="0"/>
        </w:rPr>
      </w:pPr>
    </w:p>
    <w:p w14:paraId="1F9EC239">
      <w:pPr>
        <w:pStyle w:val="6"/>
        <w:numPr>
          <w:ilvl w:val="0"/>
          <w:numId w:val="215"/>
        </w:numPr>
        <w:bidi w:val="0"/>
        <w:ind w:left="0" w:leftChars="0" w:firstLine="0" w:firstLineChars="0"/>
        <w:rPr>
          <w:b w:val="0"/>
          <w:bCs w:val="0"/>
          <w:sz w:val="28"/>
          <w:szCs w:val="28"/>
        </w:rPr>
      </w:pPr>
      <w:r>
        <w:rPr>
          <w:b w:val="0"/>
          <w:bCs w:val="0"/>
          <w:sz w:val="28"/>
          <w:szCs w:val="28"/>
        </w:rPr>
        <w:t>核心数学模型与算法框架</w:t>
      </w:r>
    </w:p>
    <w:tbl>
      <w:tblPr>
        <w:tblStyle w:val="38"/>
        <w:tblW w:w="0" w:type="auto"/>
        <w:jc w:val="center"/>
        <w:tblLayout w:type="fixed"/>
        <w:tblCellMar>
          <w:top w:w="0" w:type="dxa"/>
          <w:left w:w="108" w:type="dxa"/>
          <w:bottom w:w="0" w:type="dxa"/>
          <w:right w:w="108" w:type="dxa"/>
        </w:tblCellMar>
      </w:tblPr>
      <w:tblGrid>
        <w:gridCol w:w="9648"/>
      </w:tblGrid>
      <w:tr w14:paraId="43971733">
        <w:tblPrEx>
          <w:tblCellMar>
            <w:top w:w="0" w:type="dxa"/>
            <w:left w:w="108" w:type="dxa"/>
            <w:bottom w:w="0" w:type="dxa"/>
            <w:right w:w="108" w:type="dxa"/>
          </w:tblCellMar>
        </w:tblPrEx>
        <w:trPr>
          <w:jc w:val="center"/>
        </w:trPr>
        <w:tc>
          <w:tcPr>
            <w:tcW w:w="9648" w:type="dxa"/>
            <w:tcBorders>
              <w:top w:val="nil"/>
              <w:left w:val="single" w:color="16A34A" w:sz="24" w:space="0"/>
              <w:bottom w:val="nil"/>
              <w:right w:val="nil"/>
            </w:tcBorders>
            <w:shd w:val="clear" w:color="auto" w:fill="F0FDF4"/>
            <w:tcMar>
              <w:top w:w="70" w:type="dxa"/>
              <w:left w:w="100" w:type="dxa"/>
              <w:bottom w:w="70" w:type="dxa"/>
              <w:right w:w="100" w:type="dxa"/>
            </w:tcMar>
          </w:tcPr>
          <w:p w14:paraId="6793CD9F">
            <w:pPr>
              <w:pStyle w:val="19"/>
              <w:bidi w:val="0"/>
              <w:rPr>
                <w:b w:val="0"/>
                <w:bCs w:val="0"/>
              </w:rPr>
            </w:pPr>
            <w:r>
              <w:rPr>
                <w:rFonts w:hint="eastAsia"/>
                <w:lang w:val="en-US" w:eastAsia="zh-CN"/>
              </w:rPr>
              <w:t>无</w:t>
            </w:r>
          </w:p>
        </w:tc>
      </w:tr>
    </w:tbl>
    <w:p w14:paraId="5320B45C">
      <w:pPr>
        <w:pStyle w:val="19"/>
        <w:bidi w:val="0"/>
        <w:rPr>
          <w:b w:val="0"/>
          <w:bCs w:val="0"/>
        </w:rPr>
      </w:pPr>
    </w:p>
    <w:p w14:paraId="0060849F">
      <w:pPr>
        <w:pStyle w:val="6"/>
        <w:numPr>
          <w:ilvl w:val="0"/>
          <w:numId w:val="215"/>
        </w:numPr>
        <w:bidi w:val="0"/>
        <w:ind w:left="0" w:leftChars="0" w:firstLine="0" w:firstLineChars="0"/>
        <w:rPr>
          <w:b w:val="0"/>
          <w:bCs w:val="0"/>
          <w:sz w:val="28"/>
          <w:szCs w:val="28"/>
        </w:rPr>
      </w:pPr>
      <w:r>
        <w:rPr>
          <w:b w:val="0"/>
          <w:bCs w:val="0"/>
          <w:sz w:val="28"/>
          <w:szCs w:val="28"/>
        </w:rPr>
        <w:t>展示、对标与判定口径</w:t>
      </w:r>
    </w:p>
    <w:tbl>
      <w:tblPr>
        <w:tblStyle w:val="38"/>
        <w:tblW w:w="0" w:type="auto"/>
        <w:jc w:val="center"/>
        <w:tblBorders>
          <w:top w:val="none" w:color="auto" w:sz="0" w:space="0"/>
          <w:left w:val="single" w:color="4874CB" w:themeColor="accent1"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2BFD05B7">
        <w:tblPrEx>
          <w:tblBorders>
            <w:top w:val="none" w:color="auto" w:sz="0" w:space="0"/>
            <w:left w:val="single" w:color="4874CB" w:themeColor="accent1"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tcPr>
          <w:p w14:paraId="15827655">
            <w:pPr>
              <w:pStyle w:val="19"/>
              <w:bidi w:val="0"/>
              <w:rPr>
                <w:b w:val="0"/>
                <w:bCs w:val="0"/>
              </w:rPr>
            </w:pPr>
          </w:p>
        </w:tc>
      </w:tr>
    </w:tbl>
    <w:p w14:paraId="4AFFD8D0">
      <w:pPr>
        <w:pStyle w:val="19"/>
        <w:bidi w:val="0"/>
        <w:rPr>
          <w:b w:val="0"/>
          <w:bCs w:val="0"/>
        </w:rPr>
      </w:pPr>
    </w:p>
    <w:p w14:paraId="165551A1">
      <w:pPr>
        <w:pStyle w:val="6"/>
        <w:numPr>
          <w:ilvl w:val="0"/>
          <w:numId w:val="215"/>
        </w:numPr>
        <w:bidi w:val="0"/>
        <w:ind w:left="0" w:leftChars="0" w:firstLine="0" w:firstLineChars="0"/>
        <w:rPr>
          <w:b w:val="0"/>
          <w:bCs w:val="0"/>
          <w:sz w:val="28"/>
          <w:szCs w:val="28"/>
        </w:rPr>
      </w:pPr>
      <w:r>
        <w:rPr>
          <w:b w:val="0"/>
          <w:bCs w:val="0"/>
          <w:sz w:val="28"/>
          <w:szCs w:val="28"/>
        </w:rPr>
        <w:t>边界条件、异常处理与防错规则</w:t>
      </w:r>
    </w:p>
    <w:tbl>
      <w:tblPr>
        <w:tblStyle w:val="38"/>
        <w:tblW w:w="0" w:type="auto"/>
        <w:jc w:val="center"/>
        <w:tblBorders>
          <w:top w:val="none" w:color="auto" w:sz="0" w:space="0"/>
          <w:left w:val="single" w:color="E54C5E" w:themeColor="accent6"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0B5E517B">
        <w:tblPrEx>
          <w:tblBorders>
            <w:top w:val="none" w:color="auto" w:sz="0" w:space="0"/>
            <w:left w:val="single" w:color="E54C5E" w:themeColor="accent6"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5F3FF"/>
            <w:tcMar>
              <w:top w:w="70" w:type="dxa"/>
              <w:left w:w="100" w:type="dxa"/>
              <w:bottom w:w="70" w:type="dxa"/>
              <w:right w:w="100" w:type="dxa"/>
            </w:tcMar>
          </w:tcPr>
          <w:p w14:paraId="07D04D35">
            <w:pPr>
              <w:pStyle w:val="19"/>
              <w:bidi w:val="0"/>
              <w:rPr>
                <w:b w:val="0"/>
                <w:bCs w:val="0"/>
              </w:rPr>
            </w:pPr>
          </w:p>
        </w:tc>
      </w:tr>
    </w:tbl>
    <w:p w14:paraId="0EA435A3">
      <w:pPr>
        <w:rPr>
          <w:b w:val="0"/>
          <w:bCs w:val="0"/>
        </w:rPr>
      </w:pPr>
    </w:p>
    <w:p w14:paraId="1C59A583">
      <w:pPr>
        <w:pStyle w:val="6"/>
        <w:numPr>
          <w:ilvl w:val="0"/>
          <w:numId w:val="215"/>
        </w:numPr>
        <w:bidi w:val="0"/>
        <w:ind w:left="0" w:leftChars="0" w:firstLine="0" w:firstLineChars="0"/>
        <w:rPr>
          <w:b w:val="0"/>
          <w:bCs w:val="0"/>
          <w:sz w:val="28"/>
          <w:szCs w:val="28"/>
        </w:rPr>
      </w:pPr>
      <w:r>
        <w:rPr>
          <w:b w:val="0"/>
          <w:bCs w:val="0"/>
          <w:sz w:val="28"/>
          <w:szCs w:val="28"/>
        </w:rPr>
        <w:t>QA 自动化验收准则（Gherkin BDD）</w:t>
      </w:r>
    </w:p>
    <w:tbl>
      <w:tblPr>
        <w:tblStyle w:val="38"/>
        <w:tblW w:w="0" w:type="auto"/>
        <w:jc w:val="center"/>
        <w:tblLayout w:type="fixed"/>
        <w:tblCellMar>
          <w:top w:w="0" w:type="dxa"/>
          <w:left w:w="108" w:type="dxa"/>
          <w:bottom w:w="0" w:type="dxa"/>
          <w:right w:w="108" w:type="dxa"/>
        </w:tblCellMar>
      </w:tblPr>
      <w:tblGrid>
        <w:gridCol w:w="9648"/>
      </w:tblGrid>
      <w:tr w14:paraId="2E168088">
        <w:tblPrEx>
          <w:tblCellMar>
            <w:top w:w="0" w:type="dxa"/>
            <w:left w:w="108" w:type="dxa"/>
            <w:bottom w:w="0" w:type="dxa"/>
            <w:right w:w="108" w:type="dxa"/>
          </w:tblCellMar>
        </w:tblPrEx>
        <w:trPr>
          <w:jc w:val="center"/>
        </w:trPr>
        <w:tc>
          <w:tcPr>
            <w:tcW w:w="9648" w:type="dxa"/>
            <w:tcBorders>
              <w:top w:val="nil"/>
              <w:left w:val="single" w:color="7C3AED" w:sz="24" w:space="0"/>
              <w:bottom w:val="nil"/>
              <w:right w:val="nil"/>
            </w:tcBorders>
            <w:shd w:val="clear" w:color="auto" w:fill="F5F3FF"/>
            <w:tcMar>
              <w:top w:w="70" w:type="dxa"/>
              <w:left w:w="100" w:type="dxa"/>
              <w:bottom w:w="70" w:type="dxa"/>
              <w:right w:w="100" w:type="dxa"/>
            </w:tcMar>
          </w:tcPr>
          <w:p w14:paraId="235BCCE4">
            <w:pPr>
              <w:pStyle w:val="19"/>
              <w:bidi w:val="0"/>
              <w:rPr>
                <w:b w:val="0"/>
                <w:bCs w:val="0"/>
              </w:rPr>
            </w:pPr>
          </w:p>
        </w:tc>
      </w:tr>
    </w:tbl>
    <w:p w14:paraId="75F60FA6">
      <w:pPr>
        <w:rPr>
          <w:rFonts w:hint="eastAsia"/>
          <w:b w:val="0"/>
          <w:bCs w:val="0"/>
          <w:lang w:val="en-US" w:eastAsia="zh-CN"/>
        </w:rPr>
      </w:pPr>
    </w:p>
    <w:p w14:paraId="28F74143">
      <w:pPr>
        <w:pStyle w:val="4"/>
        <w:numPr>
          <w:ilvl w:val="0"/>
          <w:numId w:val="199"/>
        </w:numPr>
        <w:topLinePunct w:val="0"/>
        <w:ind w:left="0" w:leftChars="0" w:firstLine="0" w:firstLineChars="0"/>
        <w:outlineLvl w:val="0"/>
        <w:rPr>
          <w:rFonts w:hint="eastAsia" w:ascii="Times New Roman" w:hAnsi="Times New Roman" w:eastAsia="黑体" w:cs="Times New Roman"/>
          <w:b w:val="0"/>
          <w:bCs w:val="0"/>
          <w:sz w:val="30"/>
          <w:szCs w:val="32"/>
          <w:lang w:val="en-US" w:eastAsia="zh-CN"/>
        </w:rPr>
      </w:pPr>
      <w:bookmarkStart w:id="73" w:name="_Toc8429"/>
      <w:r>
        <w:rPr>
          <w:rFonts w:hint="eastAsia" w:ascii="Times New Roman" w:hAnsi="Times New Roman" w:eastAsia="黑体" w:cs="Times New Roman"/>
          <w:b w:val="0"/>
          <w:bCs w:val="0"/>
          <w:sz w:val="30"/>
          <w:szCs w:val="32"/>
          <w:lang w:val="en-US" w:eastAsia="zh-CN"/>
        </w:rPr>
        <w:t>生产设备维护</w:t>
      </w:r>
      <w:bookmarkEnd w:id="73"/>
    </w:p>
    <w:p w14:paraId="37F64CA1">
      <w:pPr>
        <w:pStyle w:val="5"/>
        <w:numPr>
          <w:ilvl w:val="0"/>
          <w:numId w:val="217"/>
        </w:numPr>
        <w:ind w:left="0" w:leftChars="0" w:firstLine="0" w:firstLineChars="0"/>
        <w:outlineLvl w:val="1"/>
        <w:rPr>
          <w:rFonts w:hint="default"/>
          <w:b w:val="0"/>
          <w:bCs w:val="0"/>
          <w:lang w:val="en-US" w:eastAsia="zh-CN"/>
        </w:rPr>
      </w:pPr>
      <w:bookmarkStart w:id="74" w:name="_Toc31767"/>
      <w:r>
        <w:rPr>
          <w:rFonts w:hint="eastAsia"/>
          <w:b w:val="0"/>
          <w:bCs w:val="0"/>
          <w:lang w:val="en-US" w:eastAsia="zh-CN"/>
        </w:rPr>
        <w:t>重点用能设备</w:t>
      </w:r>
      <w:bookmarkEnd w:id="74"/>
    </w:p>
    <w:p w14:paraId="2941A21F">
      <w:pPr>
        <w:rPr>
          <w:b w:val="0"/>
          <w:bCs w:val="0"/>
        </w:rPr>
      </w:pPr>
      <w:r>
        <w:drawing>
          <wp:inline distT="0" distB="0" distL="114300" distR="114300">
            <wp:extent cx="5900420" cy="2925445"/>
            <wp:effectExtent l="0" t="0" r="5080" b="8255"/>
            <wp:docPr id="91"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45"/>
                    <pic:cNvPicPr>
                      <a:picLocks noChangeAspect="1"/>
                    </pic:cNvPicPr>
                  </pic:nvPicPr>
                  <pic:blipFill>
                    <a:blip r:embed="rId103"/>
                    <a:stretch>
                      <a:fillRect/>
                    </a:stretch>
                  </pic:blipFill>
                  <pic:spPr>
                    <a:xfrm>
                      <a:off x="0" y="0"/>
                      <a:ext cx="5900420" cy="2925445"/>
                    </a:xfrm>
                    <a:prstGeom prst="rect">
                      <a:avLst/>
                    </a:prstGeom>
                    <a:noFill/>
                    <a:ln>
                      <a:noFill/>
                    </a:ln>
                  </pic:spPr>
                </pic:pic>
              </a:graphicData>
            </a:graphic>
          </wp:inline>
        </w:drawing>
      </w:r>
    </w:p>
    <w:p w14:paraId="7B514B0A">
      <w:pPr>
        <w:pStyle w:val="6"/>
        <w:numPr>
          <w:ilvl w:val="0"/>
          <w:numId w:val="218"/>
        </w:numPr>
        <w:bidi w:val="0"/>
        <w:ind w:left="0" w:leftChars="0" w:firstLine="0" w:firstLineChars="0"/>
        <w:rPr>
          <w:b w:val="0"/>
          <w:bCs w:val="0"/>
          <w:sz w:val="28"/>
          <w:szCs w:val="28"/>
        </w:rPr>
      </w:pPr>
      <w:r>
        <w:rPr>
          <w:b w:val="0"/>
          <w:bCs w:val="0"/>
          <w:sz w:val="28"/>
          <w:szCs w:val="28"/>
        </w:rPr>
        <w:t>定位与架构角色</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A908E6A">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tcPr>
          <w:p w14:paraId="744DBCF7">
            <w:pPr>
              <w:pStyle w:val="19"/>
              <w:bidi w:val="0"/>
              <w:ind w:left="0" w:leftChars="0" w:firstLine="0" w:firstLineChars="0"/>
              <w:rPr>
                <w:rFonts w:ascii="宋体" w:hAnsi="宋体" w:eastAsia="宋体" w:cs="宋体"/>
                <w:sz w:val="24"/>
                <w:szCs w:val="24"/>
              </w:rPr>
            </w:pPr>
            <w:r>
              <w:rPr>
                <w:rFonts w:ascii="宋体" w:hAnsi="宋体" w:eastAsia="宋体" w:cs="宋体"/>
                <w:b/>
                <w:bCs/>
                <w:sz w:val="24"/>
                <w:szCs w:val="24"/>
              </w:rPr>
              <w:t>・功能定位</w:t>
            </w:r>
            <w:r>
              <w:rPr>
                <w:rFonts w:ascii="宋体" w:hAnsi="宋体" w:eastAsia="宋体" w:cs="宋体"/>
                <w:sz w:val="24"/>
                <w:szCs w:val="24"/>
              </w:rPr>
              <w:t xml:space="preserve">：作为生产设备维护模块下重点用能设备的基础台账管理单元，按企业、车间维度维护重点用能设备基础信息，记录设备能源消耗类型、额定功率、运行状态等属性，支持设备新增、信息编辑与数据导出，为能耗分项统计、设备能效分析、重点用能管控提供设备基础主数据，是能耗精细化管理的前置基础依赖。 </w:t>
            </w:r>
          </w:p>
          <w:p w14:paraId="740367D1">
            <w:pPr>
              <w:pStyle w:val="19"/>
              <w:bidi w:val="0"/>
              <w:ind w:left="0" w:leftChars="0" w:firstLine="0" w:firstLineChars="0"/>
              <w:rPr>
                <w:b w:val="0"/>
                <w:bCs w:val="0"/>
              </w:rPr>
            </w:pPr>
            <w:r>
              <w:rPr>
                <w:rFonts w:ascii="宋体" w:hAnsi="宋体" w:eastAsia="宋体" w:cs="宋体"/>
                <w:b/>
                <w:bCs/>
                <w:sz w:val="24"/>
                <w:szCs w:val="24"/>
              </w:rPr>
              <w:t>・承载角色</w:t>
            </w:r>
            <w:r>
              <w:rPr>
                <w:rFonts w:ascii="宋体" w:hAnsi="宋体" w:eastAsia="宋体" w:cs="宋体"/>
                <w:sz w:val="24"/>
                <w:szCs w:val="24"/>
              </w:rPr>
              <w:t>：PM 系统管理员（全量重点用能设备台账新增、设备信息维护、状态管理与数据导出）。</w:t>
            </w:r>
          </w:p>
        </w:tc>
      </w:tr>
    </w:tbl>
    <w:p w14:paraId="509E8F67">
      <w:pPr>
        <w:rPr>
          <w:b w:val="0"/>
          <w:bCs w:val="0"/>
        </w:rPr>
      </w:pPr>
    </w:p>
    <w:p w14:paraId="305CB4BE">
      <w:pPr>
        <w:pStyle w:val="6"/>
        <w:numPr>
          <w:ilvl w:val="0"/>
          <w:numId w:val="218"/>
        </w:numPr>
        <w:bidi w:val="0"/>
        <w:ind w:left="0" w:leftChars="0" w:firstLine="0" w:firstLineChars="0"/>
        <w:rPr>
          <w:b w:val="0"/>
          <w:bCs w:val="0"/>
          <w:sz w:val="28"/>
          <w:szCs w:val="28"/>
        </w:rPr>
      </w:pPr>
      <w:r>
        <w:rPr>
          <w:b w:val="0"/>
          <w:bCs w:val="0"/>
          <w:sz w:val="28"/>
          <w:szCs w:val="28"/>
        </w:rPr>
        <w:t>业务场景与用户故事</w:t>
      </w:r>
    </w:p>
    <w:tbl>
      <w:tblPr>
        <w:tblStyle w:val="38"/>
        <w:tblW w:w="0" w:type="auto"/>
        <w:jc w:val="center"/>
        <w:tblBorders>
          <w:top w:val="none" w:color="auto" w:sz="0" w:space="0"/>
          <w:left w:val="single" w:color="44546A" w:themeColor="text2"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309F1710">
        <w:tblPrEx>
          <w:tblBorders>
            <w:top w:val="none" w:color="auto" w:sz="0" w:space="0"/>
            <w:left w:val="single" w:color="44546A" w:themeColor="text2"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tcPr>
          <w:p w14:paraId="49EB96C5">
            <w:pPr>
              <w:pStyle w:val="19"/>
              <w:bidi w:val="0"/>
              <w:ind w:left="0" w:leftChars="0" w:firstLine="0" w:firstLineChars="0"/>
            </w:pPr>
            <w:r>
              <w:rPr>
                <w:b/>
                <w:bCs/>
                <w:lang w:val="en-US" w:eastAsia="zh-CN"/>
              </w:rPr>
              <w:t>业务场景</w:t>
            </w:r>
            <w:r>
              <w:rPr>
                <w:lang w:val="en-US" w:eastAsia="zh-CN"/>
              </w:rPr>
              <w:t>：面向系统管理员进行高耗能设备台账规范化管理场景，统一录入维护集团各园区、工厂重点用能设备基础档案，支撑设备级能耗分析。</w:t>
            </w:r>
          </w:p>
          <w:p w14:paraId="5EF9FF78">
            <w:pPr>
              <w:pStyle w:val="19"/>
              <w:bidi w:val="0"/>
              <w:ind w:left="0" w:leftChars="0" w:firstLine="0" w:firstLineChars="0"/>
            </w:pPr>
            <w:r>
              <w:rPr>
                <w:b/>
                <w:bCs/>
                <w:lang w:val="en-US" w:eastAsia="zh-CN"/>
              </w:rPr>
              <w:t>用户故事</w:t>
            </w:r>
            <w:r>
              <w:rPr>
                <w:lang w:val="en-US" w:eastAsia="zh-CN"/>
              </w:rPr>
              <w:t>：</w:t>
            </w:r>
          </w:p>
          <w:p w14:paraId="2943AA05">
            <w:pPr>
              <w:pStyle w:val="19"/>
              <w:bidi w:val="0"/>
            </w:pPr>
            <w:r>
              <w:rPr>
                <w:lang w:val="en-US" w:eastAsia="zh-CN"/>
              </w:rPr>
              <w:t>As a 系统管理员 (Persona PM)，</w:t>
            </w:r>
          </w:p>
          <w:p w14:paraId="7A700C80">
            <w:pPr>
              <w:pStyle w:val="19"/>
              <w:bidi w:val="0"/>
            </w:pPr>
            <w:r>
              <w:rPr>
                <w:lang w:val="en-US" w:eastAsia="zh-CN"/>
              </w:rPr>
              <w:t>I want 统一维护全集团重点用能设备台账、设备参数与运行状态，</w:t>
            </w:r>
          </w:p>
          <w:p w14:paraId="03882149">
            <w:pPr>
              <w:pStyle w:val="19"/>
              <w:bidi w:val="0"/>
            </w:pPr>
            <w:r>
              <w:rPr>
                <w:lang w:val="en-US" w:eastAsia="zh-CN"/>
              </w:rPr>
              <w:t>So that 我能为能耗分项统计、设备能效分析、能源大盘溯源提供完整设备基础数据。</w:t>
            </w:r>
          </w:p>
        </w:tc>
      </w:tr>
    </w:tbl>
    <w:p w14:paraId="72DA0DD4">
      <w:pPr>
        <w:rPr>
          <w:b w:val="0"/>
          <w:bCs w:val="0"/>
        </w:rPr>
      </w:pPr>
    </w:p>
    <w:p w14:paraId="4CA351EF">
      <w:pPr>
        <w:pStyle w:val="6"/>
        <w:numPr>
          <w:ilvl w:val="0"/>
          <w:numId w:val="218"/>
        </w:numPr>
        <w:bidi w:val="0"/>
        <w:ind w:left="0" w:leftChars="0" w:firstLine="0" w:firstLineChars="0"/>
        <w:rPr>
          <w:b w:val="0"/>
          <w:bCs w:val="0"/>
          <w:sz w:val="28"/>
          <w:szCs w:val="28"/>
        </w:rPr>
      </w:pPr>
      <w:r>
        <w:rPr>
          <w:b w:val="0"/>
          <w:bCs w:val="0"/>
          <w:sz w:val="28"/>
          <w:szCs w:val="28"/>
        </w:rPr>
        <w:t>功能规格与交互契约</w:t>
      </w:r>
    </w:p>
    <w:tbl>
      <w:tblPr>
        <w:tblStyle w:val="38"/>
        <w:tblW w:w="0" w:type="auto"/>
        <w:jc w:val="center"/>
        <w:tblBorders>
          <w:top w:val="none" w:color="auto" w:sz="0" w:space="0"/>
          <w:left w:val="single" w:color="EE822F" w:themeColor="accent2"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7B33F151">
        <w:tblPrEx>
          <w:tblBorders>
            <w:top w:val="none" w:color="auto" w:sz="0" w:space="0"/>
            <w:left w:val="single" w:color="EE822F" w:themeColor="accent2"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tcPr>
          <w:p w14:paraId="1A84EDB1">
            <w:pPr>
              <w:pStyle w:val="19"/>
              <w:numPr>
                <w:ilvl w:val="0"/>
                <w:numId w:val="219"/>
              </w:numPr>
              <w:bidi w:val="0"/>
              <w:rPr>
                <w:rFonts w:hint="default" w:eastAsia="宋体"/>
                <w:b w:val="0"/>
                <w:bCs w:val="0"/>
                <w:lang w:val="en-US" w:eastAsia="zh-CN"/>
              </w:rPr>
            </w:pPr>
            <w:r>
              <w:rPr>
                <w:rFonts w:hint="eastAsia"/>
                <w:b w:val="0"/>
                <w:bCs w:val="0"/>
                <w:lang w:val="en-US" w:eastAsia="zh-CN"/>
              </w:rPr>
              <w:t>选择查询条件，根据条件筛选列表数据；</w:t>
            </w:r>
          </w:p>
          <w:p w14:paraId="3E529FC2">
            <w:pPr>
              <w:pStyle w:val="19"/>
              <w:numPr>
                <w:ilvl w:val="0"/>
                <w:numId w:val="219"/>
              </w:numPr>
              <w:bidi w:val="0"/>
              <w:rPr>
                <w:rFonts w:hint="default" w:eastAsia="宋体"/>
                <w:b w:val="0"/>
                <w:bCs w:val="0"/>
                <w:lang w:val="en-US" w:eastAsia="zh-CN"/>
              </w:rPr>
            </w:pPr>
            <w:r>
              <w:rPr>
                <w:rFonts w:hint="eastAsia"/>
                <w:b w:val="0"/>
                <w:bCs w:val="0"/>
                <w:lang w:val="en-US" w:eastAsia="zh-CN"/>
              </w:rPr>
              <w:t>点击【新增重点设备】打开新增重点设备弹窗；</w:t>
            </w:r>
          </w:p>
          <w:p w14:paraId="68A030F8">
            <w:pPr>
              <w:pStyle w:val="19"/>
              <w:numPr>
                <w:ilvl w:val="0"/>
                <w:numId w:val="219"/>
              </w:numPr>
              <w:bidi w:val="0"/>
              <w:rPr>
                <w:rFonts w:hint="default" w:eastAsia="宋体"/>
                <w:b w:val="0"/>
                <w:bCs w:val="0"/>
                <w:lang w:val="en-US" w:eastAsia="zh-CN"/>
              </w:rPr>
            </w:pPr>
            <w:r>
              <w:rPr>
                <w:rFonts w:hint="eastAsia"/>
                <w:b w:val="0"/>
                <w:bCs w:val="0"/>
                <w:lang w:val="en-US" w:eastAsia="zh-CN"/>
              </w:rPr>
              <w:t>点击【导出】按钮，可将列表内数据导出到excel；</w:t>
            </w:r>
          </w:p>
          <w:p w14:paraId="4E687B2A">
            <w:pPr>
              <w:pStyle w:val="19"/>
              <w:numPr>
                <w:ilvl w:val="0"/>
                <w:numId w:val="214"/>
              </w:numPr>
              <w:bidi w:val="0"/>
              <w:rPr>
                <w:rFonts w:hint="default" w:eastAsia="宋体"/>
                <w:b w:val="0"/>
                <w:bCs w:val="0"/>
                <w:lang w:val="en-US" w:eastAsia="zh-CN"/>
              </w:rPr>
            </w:pPr>
            <w:r>
              <w:rPr>
                <w:rFonts w:hint="eastAsia"/>
                <w:b w:val="0"/>
                <w:bCs w:val="0"/>
                <w:lang w:val="en-US" w:eastAsia="zh-CN"/>
              </w:rPr>
              <w:t>点击【详情】打开设备详情窗口；</w:t>
            </w:r>
          </w:p>
          <w:p w14:paraId="35C312FB">
            <w:pPr>
              <w:pStyle w:val="19"/>
              <w:numPr>
                <w:ilvl w:val="0"/>
                <w:numId w:val="214"/>
              </w:numPr>
              <w:bidi w:val="0"/>
              <w:rPr>
                <w:b w:val="0"/>
                <w:bCs w:val="0"/>
              </w:rPr>
            </w:pPr>
            <w:r>
              <w:rPr>
                <w:rFonts w:hint="eastAsia"/>
                <w:b w:val="0"/>
                <w:bCs w:val="0"/>
                <w:lang w:val="en-US" w:eastAsia="zh-CN"/>
              </w:rPr>
              <w:t>点击【编辑】打开编辑窗口；</w:t>
            </w:r>
          </w:p>
          <w:p w14:paraId="3E7A0801">
            <w:pPr>
              <w:pStyle w:val="19"/>
              <w:numPr>
                <w:ilvl w:val="0"/>
                <w:numId w:val="219"/>
              </w:numPr>
              <w:bidi w:val="0"/>
              <w:rPr>
                <w:rFonts w:hint="default" w:eastAsia="宋体"/>
                <w:b w:val="0"/>
                <w:bCs w:val="0"/>
                <w:lang w:val="en-US" w:eastAsia="zh-CN"/>
              </w:rPr>
            </w:pPr>
            <w:r>
              <w:rPr>
                <w:rFonts w:hint="eastAsia"/>
                <w:b w:val="0"/>
                <w:bCs w:val="0"/>
                <w:lang w:val="en-US" w:eastAsia="zh-CN"/>
              </w:rPr>
              <w:t>点击【删除】打开弹窗，点击取消后关闭弹窗，点击确定后关闭弹窗并删除数据；</w:t>
            </w:r>
          </w:p>
        </w:tc>
      </w:tr>
    </w:tbl>
    <w:p w14:paraId="3C4B264F">
      <w:pPr>
        <w:rPr>
          <w:b w:val="0"/>
          <w:bCs w:val="0"/>
        </w:rPr>
      </w:pPr>
    </w:p>
    <w:p w14:paraId="1DF48548">
      <w:pPr>
        <w:pStyle w:val="6"/>
        <w:numPr>
          <w:ilvl w:val="0"/>
          <w:numId w:val="218"/>
        </w:numPr>
        <w:bidi w:val="0"/>
        <w:ind w:left="0" w:leftChars="0" w:firstLine="0" w:firstLineChars="0"/>
        <w:rPr>
          <w:b w:val="0"/>
          <w:bCs w:val="0"/>
          <w:sz w:val="28"/>
          <w:szCs w:val="28"/>
        </w:rPr>
      </w:pPr>
      <w:r>
        <w:rPr>
          <w:b w:val="0"/>
          <w:bCs w:val="0"/>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89"/>
        <w:gridCol w:w="2144"/>
        <w:gridCol w:w="1335"/>
        <w:gridCol w:w="1302"/>
        <w:gridCol w:w="4114"/>
      </w:tblGrid>
      <w:tr w14:paraId="4ECC6857">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C86DBC4">
            <w:pPr>
              <w:pStyle w:val="19"/>
              <w:bidi w:val="0"/>
              <w:spacing w:line="240" w:lineRule="auto"/>
              <w:ind w:left="0" w:leftChars="0" w:right="0" w:rightChars="0" w:firstLine="0" w:firstLineChars="0"/>
              <w:jc w:val="center"/>
              <w:rPr>
                <w:rFonts w:hint="eastAsia" w:ascii="宋体" w:hAnsi="宋体" w:eastAsia="宋体" w:cs="宋体"/>
                <w:b w:val="0"/>
                <w:bCs w:val="0"/>
                <w:sz w:val="24"/>
                <w:szCs w:val="24"/>
              </w:rPr>
            </w:pPr>
            <w:r>
              <w:rPr>
                <w:rFonts w:hint="eastAsia" w:ascii="宋体" w:hAnsi="宋体" w:eastAsia="宋体" w:cs="宋体"/>
                <w:b w:val="0"/>
                <w:bCs w:val="0"/>
                <w:sz w:val="24"/>
                <w:szCs w:val="24"/>
              </w:rPr>
              <w:t>序号</w:t>
            </w:r>
          </w:p>
        </w:tc>
        <w:tc>
          <w:tcPr>
            <w:tcW w:w="214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F935D92">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字段中文名称</w:t>
            </w:r>
          </w:p>
        </w:tc>
        <w:tc>
          <w:tcPr>
            <w:tcW w:w="133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BD9F4A7">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数据类型</w:t>
            </w:r>
          </w:p>
        </w:tc>
        <w:tc>
          <w:tcPr>
            <w:tcW w:w="130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4CDA457">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工程单位</w:t>
            </w:r>
          </w:p>
        </w:tc>
        <w:tc>
          <w:tcPr>
            <w:tcW w:w="411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2B4DB02">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校验与约束规则</w:t>
            </w:r>
          </w:p>
        </w:tc>
      </w:tr>
      <w:tr w14:paraId="1B0FC5B1">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4A884A5">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cs="宋体"/>
                <w:b w:val="0"/>
                <w:bCs w:val="0"/>
                <w:sz w:val="24"/>
                <w:szCs w:val="24"/>
                <w:lang w:val="en-US" w:eastAsia="zh-CN"/>
              </w:rPr>
              <w:t>1</w:t>
            </w:r>
          </w:p>
        </w:tc>
        <w:tc>
          <w:tcPr>
            <w:tcW w:w="214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47EA16B">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sz w:val="24"/>
                <w:szCs w:val="24"/>
              </w:rPr>
              <w:t>重点用能设备名称</w:t>
            </w:r>
          </w:p>
        </w:tc>
        <w:tc>
          <w:tcPr>
            <w:tcW w:w="13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BB2E6FA">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130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A1CE9FE">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411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15A6DE1">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r>
      <w:tr w14:paraId="6A670402">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D5CD4DA">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cs="宋体"/>
                <w:b w:val="0"/>
                <w:bCs w:val="0"/>
                <w:sz w:val="24"/>
                <w:szCs w:val="24"/>
                <w:lang w:val="en-US" w:eastAsia="zh-CN"/>
              </w:rPr>
              <w:t>2</w:t>
            </w:r>
          </w:p>
        </w:tc>
        <w:tc>
          <w:tcPr>
            <w:tcW w:w="21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8A2CEE3">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sz w:val="24"/>
                <w:szCs w:val="24"/>
              </w:rPr>
              <w:t>关联企业</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2CC629E">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130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2A47DB0">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411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AAF282F">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r>
      <w:tr w14:paraId="41868CE8">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C54A7D8">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cs="宋体"/>
                <w:b w:val="0"/>
                <w:bCs w:val="0"/>
                <w:sz w:val="24"/>
                <w:szCs w:val="24"/>
                <w:lang w:val="en-US" w:eastAsia="zh-CN"/>
              </w:rPr>
              <w:t>3</w:t>
            </w:r>
          </w:p>
        </w:tc>
        <w:tc>
          <w:tcPr>
            <w:tcW w:w="214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24F7D7B">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sz w:val="24"/>
                <w:szCs w:val="24"/>
              </w:rPr>
              <w:t>安装位置/车间</w:t>
            </w:r>
          </w:p>
        </w:tc>
        <w:tc>
          <w:tcPr>
            <w:tcW w:w="13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C3E9840">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130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53260C6">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411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D644608">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r>
      <w:tr w14:paraId="35AC6005">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FA46D63">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cs="宋体"/>
                <w:b w:val="0"/>
                <w:bCs w:val="0"/>
                <w:sz w:val="24"/>
                <w:szCs w:val="24"/>
                <w:lang w:val="en-US" w:eastAsia="zh-CN"/>
              </w:rPr>
              <w:t>4</w:t>
            </w:r>
          </w:p>
        </w:tc>
        <w:tc>
          <w:tcPr>
            <w:tcW w:w="21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DA782D2">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sz w:val="24"/>
                <w:szCs w:val="24"/>
              </w:rPr>
              <w:t>设备能源消耗类型</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C466A47">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130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4E5477B">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411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7D1809B">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r>
      <w:tr w14:paraId="58652A75">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C993F47">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cs="宋体"/>
                <w:b w:val="0"/>
                <w:bCs w:val="0"/>
                <w:sz w:val="24"/>
                <w:szCs w:val="24"/>
                <w:lang w:val="en-US" w:eastAsia="zh-CN"/>
              </w:rPr>
              <w:t>5</w:t>
            </w:r>
          </w:p>
        </w:tc>
        <w:tc>
          <w:tcPr>
            <w:tcW w:w="214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37E3097">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sz w:val="24"/>
                <w:szCs w:val="24"/>
              </w:rPr>
              <w:t>额定功率</w:t>
            </w:r>
          </w:p>
        </w:tc>
        <w:tc>
          <w:tcPr>
            <w:tcW w:w="13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54AE985">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130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0EAB236">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411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18732E5">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r>
      <w:tr w14:paraId="7058C11C">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778BEC5">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cs="宋体"/>
                <w:b w:val="0"/>
                <w:bCs w:val="0"/>
                <w:sz w:val="24"/>
                <w:szCs w:val="24"/>
                <w:lang w:val="en-US" w:eastAsia="zh-CN"/>
              </w:rPr>
              <w:t>6</w:t>
            </w:r>
          </w:p>
        </w:tc>
        <w:tc>
          <w:tcPr>
            <w:tcW w:w="21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022FC6A">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sz w:val="24"/>
                <w:szCs w:val="24"/>
              </w:rPr>
              <w:t>状态</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0FA719D">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130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A8FE913">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411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2A22A7C">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r>
    </w:tbl>
    <w:p w14:paraId="278E740C">
      <w:pPr>
        <w:pStyle w:val="19"/>
        <w:bidi w:val="0"/>
        <w:rPr>
          <w:b w:val="0"/>
          <w:bCs w:val="0"/>
        </w:rPr>
      </w:pPr>
    </w:p>
    <w:p w14:paraId="3AFDF9A4">
      <w:pPr>
        <w:pStyle w:val="6"/>
        <w:numPr>
          <w:ilvl w:val="0"/>
          <w:numId w:val="218"/>
        </w:numPr>
        <w:bidi w:val="0"/>
        <w:ind w:left="0" w:leftChars="0" w:firstLine="0" w:firstLineChars="0"/>
        <w:rPr>
          <w:b w:val="0"/>
          <w:bCs w:val="0"/>
          <w:sz w:val="28"/>
          <w:szCs w:val="28"/>
        </w:rPr>
      </w:pPr>
      <w:r>
        <w:rPr>
          <w:b w:val="0"/>
          <w:bCs w:val="0"/>
          <w:sz w:val="28"/>
          <w:szCs w:val="28"/>
        </w:rPr>
        <w:t>核心数学模型与算法框架</w:t>
      </w:r>
    </w:p>
    <w:tbl>
      <w:tblPr>
        <w:tblStyle w:val="38"/>
        <w:tblW w:w="0" w:type="auto"/>
        <w:jc w:val="center"/>
        <w:tblLayout w:type="fixed"/>
        <w:tblCellMar>
          <w:top w:w="0" w:type="dxa"/>
          <w:left w:w="108" w:type="dxa"/>
          <w:bottom w:w="0" w:type="dxa"/>
          <w:right w:w="108" w:type="dxa"/>
        </w:tblCellMar>
      </w:tblPr>
      <w:tblGrid>
        <w:gridCol w:w="9648"/>
      </w:tblGrid>
      <w:tr w14:paraId="0C39816D">
        <w:tblPrEx>
          <w:tblCellMar>
            <w:top w:w="0" w:type="dxa"/>
            <w:left w:w="108" w:type="dxa"/>
            <w:bottom w:w="0" w:type="dxa"/>
            <w:right w:w="108" w:type="dxa"/>
          </w:tblCellMar>
        </w:tblPrEx>
        <w:trPr>
          <w:jc w:val="center"/>
        </w:trPr>
        <w:tc>
          <w:tcPr>
            <w:tcW w:w="9648" w:type="dxa"/>
            <w:tcBorders>
              <w:top w:val="nil"/>
              <w:left w:val="single" w:color="16A34A" w:sz="24" w:space="0"/>
              <w:bottom w:val="nil"/>
              <w:right w:val="nil"/>
            </w:tcBorders>
            <w:shd w:val="clear" w:color="auto" w:fill="F0FDF4"/>
            <w:tcMar>
              <w:top w:w="70" w:type="dxa"/>
              <w:left w:w="100" w:type="dxa"/>
              <w:bottom w:w="70" w:type="dxa"/>
              <w:right w:w="100" w:type="dxa"/>
            </w:tcMar>
          </w:tcPr>
          <w:p w14:paraId="1952B4FB">
            <w:pPr>
              <w:pStyle w:val="19"/>
              <w:bidi w:val="0"/>
              <w:rPr>
                <w:b w:val="0"/>
                <w:bCs w:val="0"/>
              </w:rPr>
            </w:pPr>
            <w:r>
              <w:rPr>
                <w:rFonts w:hint="eastAsia"/>
                <w:lang w:val="en-US" w:eastAsia="zh-CN"/>
              </w:rPr>
              <w:t>无</w:t>
            </w:r>
          </w:p>
        </w:tc>
      </w:tr>
    </w:tbl>
    <w:p w14:paraId="7A58C020">
      <w:pPr>
        <w:pStyle w:val="19"/>
        <w:bidi w:val="0"/>
        <w:rPr>
          <w:b w:val="0"/>
          <w:bCs w:val="0"/>
        </w:rPr>
      </w:pPr>
    </w:p>
    <w:p w14:paraId="0B0D608D">
      <w:pPr>
        <w:pStyle w:val="6"/>
        <w:numPr>
          <w:ilvl w:val="0"/>
          <w:numId w:val="218"/>
        </w:numPr>
        <w:bidi w:val="0"/>
        <w:ind w:left="0" w:leftChars="0" w:firstLine="0" w:firstLineChars="0"/>
        <w:rPr>
          <w:b w:val="0"/>
          <w:bCs w:val="0"/>
          <w:sz w:val="28"/>
          <w:szCs w:val="28"/>
        </w:rPr>
      </w:pPr>
      <w:r>
        <w:rPr>
          <w:b w:val="0"/>
          <w:bCs w:val="0"/>
          <w:sz w:val="28"/>
          <w:szCs w:val="28"/>
        </w:rPr>
        <w:t>展示、对标与判定口径</w:t>
      </w:r>
    </w:p>
    <w:tbl>
      <w:tblPr>
        <w:tblStyle w:val="38"/>
        <w:tblW w:w="0" w:type="auto"/>
        <w:jc w:val="center"/>
        <w:tblBorders>
          <w:top w:val="none" w:color="auto" w:sz="0" w:space="0"/>
          <w:left w:val="single" w:color="4874CB" w:themeColor="accent1"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345F46FB">
        <w:tblPrEx>
          <w:tblBorders>
            <w:top w:val="none" w:color="auto" w:sz="0" w:space="0"/>
            <w:left w:val="single" w:color="4874CB" w:themeColor="accent1"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tcPr>
          <w:p w14:paraId="490E3A00">
            <w:pPr>
              <w:pStyle w:val="19"/>
              <w:bidi w:val="0"/>
              <w:rPr>
                <w:b w:val="0"/>
                <w:bCs w:val="0"/>
              </w:rPr>
            </w:pPr>
          </w:p>
        </w:tc>
      </w:tr>
    </w:tbl>
    <w:p w14:paraId="59ECD673">
      <w:pPr>
        <w:pStyle w:val="19"/>
        <w:bidi w:val="0"/>
        <w:rPr>
          <w:b w:val="0"/>
          <w:bCs w:val="0"/>
        </w:rPr>
      </w:pPr>
    </w:p>
    <w:p w14:paraId="687B866B">
      <w:pPr>
        <w:pStyle w:val="6"/>
        <w:numPr>
          <w:ilvl w:val="0"/>
          <w:numId w:val="218"/>
        </w:numPr>
        <w:bidi w:val="0"/>
        <w:ind w:left="0" w:leftChars="0" w:firstLine="0" w:firstLineChars="0"/>
        <w:rPr>
          <w:b w:val="0"/>
          <w:bCs w:val="0"/>
          <w:sz w:val="28"/>
          <w:szCs w:val="28"/>
        </w:rPr>
      </w:pPr>
      <w:r>
        <w:rPr>
          <w:b w:val="0"/>
          <w:bCs w:val="0"/>
          <w:sz w:val="28"/>
          <w:szCs w:val="28"/>
        </w:rPr>
        <w:t>边界条件、异常处理与防错规则</w:t>
      </w:r>
    </w:p>
    <w:tbl>
      <w:tblPr>
        <w:tblStyle w:val="38"/>
        <w:tblW w:w="0" w:type="auto"/>
        <w:jc w:val="center"/>
        <w:tblBorders>
          <w:top w:val="none" w:color="auto" w:sz="0" w:space="0"/>
          <w:left w:val="single" w:color="E54C5E" w:themeColor="accent6"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2E299C44">
        <w:tblPrEx>
          <w:tblBorders>
            <w:top w:val="none" w:color="auto" w:sz="0" w:space="0"/>
            <w:left w:val="single" w:color="E54C5E" w:themeColor="accent6"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5F3FF"/>
            <w:tcMar>
              <w:top w:w="70" w:type="dxa"/>
              <w:left w:w="100" w:type="dxa"/>
              <w:bottom w:w="70" w:type="dxa"/>
              <w:right w:w="100" w:type="dxa"/>
            </w:tcMar>
          </w:tcPr>
          <w:p w14:paraId="65481535">
            <w:pPr>
              <w:pStyle w:val="19"/>
              <w:bidi w:val="0"/>
              <w:rPr>
                <w:b w:val="0"/>
                <w:bCs w:val="0"/>
              </w:rPr>
            </w:pPr>
          </w:p>
        </w:tc>
      </w:tr>
    </w:tbl>
    <w:p w14:paraId="455A95B5">
      <w:pPr>
        <w:rPr>
          <w:b w:val="0"/>
          <w:bCs w:val="0"/>
        </w:rPr>
      </w:pPr>
    </w:p>
    <w:p w14:paraId="7265F1BB">
      <w:pPr>
        <w:pStyle w:val="6"/>
        <w:numPr>
          <w:ilvl w:val="0"/>
          <w:numId w:val="218"/>
        </w:numPr>
        <w:bidi w:val="0"/>
        <w:ind w:left="0" w:leftChars="0" w:firstLine="0" w:firstLineChars="0"/>
        <w:rPr>
          <w:b w:val="0"/>
          <w:bCs w:val="0"/>
          <w:sz w:val="28"/>
          <w:szCs w:val="28"/>
        </w:rPr>
      </w:pPr>
      <w:r>
        <w:rPr>
          <w:b w:val="0"/>
          <w:bCs w:val="0"/>
          <w:sz w:val="28"/>
          <w:szCs w:val="28"/>
        </w:rPr>
        <w:t>QA 自动化验收准则（Gherkin BDD）</w:t>
      </w:r>
    </w:p>
    <w:tbl>
      <w:tblPr>
        <w:tblStyle w:val="38"/>
        <w:tblW w:w="0" w:type="auto"/>
        <w:jc w:val="center"/>
        <w:tblLayout w:type="fixed"/>
        <w:tblCellMar>
          <w:top w:w="0" w:type="dxa"/>
          <w:left w:w="108" w:type="dxa"/>
          <w:bottom w:w="0" w:type="dxa"/>
          <w:right w:w="108" w:type="dxa"/>
        </w:tblCellMar>
      </w:tblPr>
      <w:tblGrid>
        <w:gridCol w:w="9648"/>
      </w:tblGrid>
      <w:tr w14:paraId="52E22369">
        <w:tblPrEx>
          <w:tblCellMar>
            <w:top w:w="0" w:type="dxa"/>
            <w:left w:w="108" w:type="dxa"/>
            <w:bottom w:w="0" w:type="dxa"/>
            <w:right w:w="108" w:type="dxa"/>
          </w:tblCellMar>
        </w:tblPrEx>
        <w:trPr>
          <w:jc w:val="center"/>
        </w:trPr>
        <w:tc>
          <w:tcPr>
            <w:tcW w:w="9648" w:type="dxa"/>
            <w:tcBorders>
              <w:top w:val="nil"/>
              <w:left w:val="single" w:color="7C3AED" w:sz="24" w:space="0"/>
              <w:bottom w:val="nil"/>
              <w:right w:val="nil"/>
            </w:tcBorders>
            <w:shd w:val="clear" w:color="auto" w:fill="F5F3FF"/>
            <w:tcMar>
              <w:top w:w="70" w:type="dxa"/>
              <w:left w:w="100" w:type="dxa"/>
              <w:bottom w:w="70" w:type="dxa"/>
              <w:right w:w="100" w:type="dxa"/>
            </w:tcMar>
          </w:tcPr>
          <w:p w14:paraId="50387EAA">
            <w:pPr>
              <w:pStyle w:val="19"/>
              <w:bidi w:val="0"/>
              <w:rPr>
                <w:b w:val="0"/>
                <w:bCs w:val="0"/>
              </w:rPr>
            </w:pPr>
          </w:p>
        </w:tc>
      </w:tr>
    </w:tbl>
    <w:p w14:paraId="0BA95C61">
      <w:pPr>
        <w:rPr>
          <w:rFonts w:hint="default"/>
          <w:b w:val="0"/>
          <w:bCs w:val="0"/>
          <w:lang w:val="en-US" w:eastAsia="zh-CN"/>
        </w:rPr>
      </w:pPr>
    </w:p>
    <w:p w14:paraId="457C3889">
      <w:pPr>
        <w:pStyle w:val="5"/>
        <w:numPr>
          <w:ilvl w:val="0"/>
          <w:numId w:val="217"/>
        </w:numPr>
        <w:ind w:left="0" w:leftChars="0" w:firstLine="0" w:firstLineChars="0"/>
        <w:outlineLvl w:val="1"/>
        <w:rPr>
          <w:rFonts w:hint="default"/>
          <w:b w:val="0"/>
          <w:bCs w:val="0"/>
          <w:lang w:val="en-US" w:eastAsia="zh-CN"/>
        </w:rPr>
      </w:pPr>
      <w:bookmarkStart w:id="75" w:name="_Toc17529"/>
      <w:r>
        <w:rPr>
          <w:rFonts w:hint="eastAsia"/>
          <w:b w:val="0"/>
          <w:bCs w:val="0"/>
          <w:lang w:val="en-US" w:eastAsia="zh-CN"/>
        </w:rPr>
        <w:t>光伏设备管理</w:t>
      </w:r>
      <w:bookmarkEnd w:id="75"/>
    </w:p>
    <w:p w14:paraId="4807655D">
      <w:pPr>
        <w:rPr>
          <w:b w:val="0"/>
          <w:bCs w:val="0"/>
        </w:rPr>
      </w:pPr>
      <w:r>
        <w:drawing>
          <wp:inline distT="0" distB="0" distL="114300" distR="114300">
            <wp:extent cx="5900420" cy="2925445"/>
            <wp:effectExtent l="0" t="0" r="5080" b="8255"/>
            <wp:docPr id="92"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46"/>
                    <pic:cNvPicPr>
                      <a:picLocks noChangeAspect="1"/>
                    </pic:cNvPicPr>
                  </pic:nvPicPr>
                  <pic:blipFill>
                    <a:blip r:embed="rId104"/>
                    <a:stretch>
                      <a:fillRect/>
                    </a:stretch>
                  </pic:blipFill>
                  <pic:spPr>
                    <a:xfrm>
                      <a:off x="0" y="0"/>
                      <a:ext cx="5900420" cy="2925445"/>
                    </a:xfrm>
                    <a:prstGeom prst="rect">
                      <a:avLst/>
                    </a:prstGeom>
                    <a:noFill/>
                    <a:ln>
                      <a:noFill/>
                    </a:ln>
                  </pic:spPr>
                </pic:pic>
              </a:graphicData>
            </a:graphic>
          </wp:inline>
        </w:drawing>
      </w:r>
    </w:p>
    <w:p w14:paraId="7E3BD639">
      <w:pPr>
        <w:pStyle w:val="6"/>
        <w:numPr>
          <w:ilvl w:val="0"/>
          <w:numId w:val="220"/>
        </w:numPr>
        <w:bidi w:val="0"/>
        <w:ind w:left="0" w:leftChars="0" w:firstLine="0" w:firstLineChars="0"/>
        <w:rPr>
          <w:b w:val="0"/>
          <w:bCs w:val="0"/>
          <w:sz w:val="28"/>
          <w:szCs w:val="28"/>
        </w:rPr>
      </w:pPr>
      <w:r>
        <w:rPr>
          <w:b w:val="0"/>
          <w:bCs w:val="0"/>
          <w:sz w:val="28"/>
          <w:szCs w:val="28"/>
        </w:rPr>
        <w:t>定位与架构角色</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72A78445">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tcPr>
          <w:p w14:paraId="5399A45D">
            <w:pPr>
              <w:pStyle w:val="19"/>
              <w:bidi w:val="0"/>
              <w:ind w:left="0" w:leftChars="0" w:firstLine="0" w:firstLineChars="0"/>
              <w:rPr>
                <w:rFonts w:ascii="宋体" w:hAnsi="宋体" w:eastAsia="宋体" w:cs="宋体"/>
                <w:sz w:val="24"/>
                <w:szCs w:val="24"/>
              </w:rPr>
            </w:pPr>
            <w:r>
              <w:rPr>
                <w:rFonts w:ascii="宋体" w:hAnsi="宋体" w:eastAsia="宋体" w:cs="宋体"/>
                <w:b/>
                <w:bCs/>
                <w:sz w:val="24"/>
                <w:szCs w:val="24"/>
              </w:rPr>
              <w:t>・功能定位</w:t>
            </w:r>
            <w:r>
              <w:rPr>
                <w:rFonts w:ascii="宋体" w:hAnsi="宋体" w:eastAsia="宋体" w:cs="宋体"/>
                <w:sz w:val="24"/>
                <w:szCs w:val="24"/>
              </w:rPr>
              <w:t xml:space="preserve">：作为生产设备维护模块下光伏资产台账管理单元，按园区、工厂维度维护分布式光伏电站基础信息，记录装机容量、安装位置、运行状态等资产属性，支持光伏设备新增、信息编辑与数据导出，为绿电发电量统计、可再生能源核算、园区碳减排分析提供光伏资产主数据，是新能源资产精细化管理的前置基础依赖。 </w:t>
            </w:r>
          </w:p>
          <w:p w14:paraId="2CFFCABC">
            <w:pPr>
              <w:pStyle w:val="19"/>
              <w:bidi w:val="0"/>
              <w:ind w:left="0" w:leftChars="0" w:firstLine="0" w:firstLineChars="0"/>
              <w:rPr>
                <w:b w:val="0"/>
                <w:bCs w:val="0"/>
              </w:rPr>
            </w:pPr>
            <w:r>
              <w:rPr>
                <w:rFonts w:ascii="宋体" w:hAnsi="宋体" w:eastAsia="宋体" w:cs="宋体"/>
                <w:b/>
                <w:bCs/>
                <w:sz w:val="24"/>
                <w:szCs w:val="24"/>
              </w:rPr>
              <w:t>・承载角色</w:t>
            </w:r>
            <w:r>
              <w:rPr>
                <w:rFonts w:ascii="宋体" w:hAnsi="宋体" w:eastAsia="宋体" w:cs="宋体"/>
                <w:sz w:val="24"/>
                <w:szCs w:val="24"/>
              </w:rPr>
              <w:t>：PM 系统管理员（全量光伏设备台账新增、设备信息维护、状态管理与数据导出）。</w:t>
            </w:r>
          </w:p>
        </w:tc>
      </w:tr>
    </w:tbl>
    <w:p w14:paraId="25B15F54">
      <w:pPr>
        <w:rPr>
          <w:b w:val="0"/>
          <w:bCs w:val="0"/>
        </w:rPr>
      </w:pPr>
    </w:p>
    <w:p w14:paraId="7790BF9E">
      <w:pPr>
        <w:pStyle w:val="6"/>
        <w:numPr>
          <w:ilvl w:val="0"/>
          <w:numId w:val="220"/>
        </w:numPr>
        <w:bidi w:val="0"/>
        <w:ind w:left="0" w:leftChars="0" w:firstLine="0" w:firstLineChars="0"/>
        <w:rPr>
          <w:b w:val="0"/>
          <w:bCs w:val="0"/>
          <w:sz w:val="28"/>
          <w:szCs w:val="28"/>
        </w:rPr>
      </w:pPr>
      <w:r>
        <w:rPr>
          <w:b w:val="0"/>
          <w:bCs w:val="0"/>
          <w:sz w:val="28"/>
          <w:szCs w:val="28"/>
        </w:rPr>
        <w:t>业务场景与用户故事</w:t>
      </w:r>
    </w:p>
    <w:tbl>
      <w:tblPr>
        <w:tblStyle w:val="38"/>
        <w:tblW w:w="0" w:type="auto"/>
        <w:jc w:val="center"/>
        <w:tblBorders>
          <w:top w:val="none" w:color="auto" w:sz="0" w:space="0"/>
          <w:left w:val="single" w:color="44546A" w:themeColor="text2"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68D10B6">
        <w:tblPrEx>
          <w:tblBorders>
            <w:top w:val="none" w:color="auto" w:sz="0" w:space="0"/>
            <w:left w:val="single" w:color="44546A" w:themeColor="text2"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tcPr>
          <w:p w14:paraId="457CA1BB">
            <w:pPr>
              <w:pStyle w:val="19"/>
              <w:bidi w:val="0"/>
              <w:ind w:left="0" w:leftChars="0" w:firstLine="0" w:firstLineChars="0"/>
            </w:pPr>
            <w:r>
              <w:rPr>
                <w:b/>
                <w:bCs/>
                <w:lang w:val="en-US" w:eastAsia="zh-CN"/>
              </w:rPr>
              <w:t>业务场景</w:t>
            </w:r>
            <w:r>
              <w:rPr>
                <w:lang w:val="en-US" w:eastAsia="zh-CN"/>
              </w:rPr>
              <w:t>：面向系统管理员进行新能源资产台账管控场景，维护集团分布式光伏电站设备信息，支撑微电网、绿电出力数据统计。</w:t>
            </w:r>
          </w:p>
          <w:p w14:paraId="5F4B8600">
            <w:pPr>
              <w:pStyle w:val="19"/>
              <w:bidi w:val="0"/>
              <w:ind w:left="0" w:leftChars="0" w:firstLine="0" w:firstLineChars="0"/>
            </w:pPr>
            <w:r>
              <w:rPr>
                <w:b/>
                <w:bCs/>
                <w:lang w:val="en-US" w:eastAsia="zh-CN"/>
              </w:rPr>
              <w:t>用户故事</w:t>
            </w:r>
            <w:r>
              <w:rPr>
                <w:lang w:val="en-US" w:eastAsia="zh-CN"/>
              </w:rPr>
              <w:t>：</w:t>
            </w:r>
          </w:p>
          <w:p w14:paraId="1CB26420">
            <w:pPr>
              <w:pStyle w:val="19"/>
              <w:bidi w:val="0"/>
            </w:pPr>
            <w:r>
              <w:rPr>
                <w:lang w:val="en-US" w:eastAsia="zh-CN"/>
              </w:rPr>
              <w:t>As a 系统管理员 (Persona PM)，</w:t>
            </w:r>
          </w:p>
          <w:p w14:paraId="5C33F2BF">
            <w:pPr>
              <w:pStyle w:val="19"/>
              <w:bidi w:val="0"/>
            </w:pPr>
            <w:r>
              <w:rPr>
                <w:lang w:val="en-US" w:eastAsia="zh-CN"/>
              </w:rPr>
              <w:t>I want 统一维护全集团光伏设备资产、装机参数与归属信息，</w:t>
            </w:r>
          </w:p>
          <w:p w14:paraId="789C9AAA">
            <w:pPr>
              <w:pStyle w:val="19"/>
              <w:bidi w:val="0"/>
            </w:pPr>
            <w:r>
              <w:rPr>
                <w:lang w:val="en-US" w:eastAsia="zh-CN"/>
              </w:rPr>
              <w:t>So that 我能支撑大屏微电网光储充实时出力、绿电减排成效、新能源资产统计展示。</w:t>
            </w:r>
          </w:p>
        </w:tc>
      </w:tr>
    </w:tbl>
    <w:p w14:paraId="34133966">
      <w:pPr>
        <w:rPr>
          <w:b w:val="0"/>
          <w:bCs w:val="0"/>
        </w:rPr>
      </w:pPr>
    </w:p>
    <w:p w14:paraId="49C9C9D0">
      <w:pPr>
        <w:pStyle w:val="6"/>
        <w:numPr>
          <w:ilvl w:val="0"/>
          <w:numId w:val="220"/>
        </w:numPr>
        <w:bidi w:val="0"/>
        <w:ind w:left="0" w:leftChars="0" w:firstLine="0" w:firstLineChars="0"/>
        <w:rPr>
          <w:b w:val="0"/>
          <w:bCs w:val="0"/>
          <w:sz w:val="28"/>
          <w:szCs w:val="28"/>
        </w:rPr>
      </w:pPr>
      <w:r>
        <w:rPr>
          <w:b w:val="0"/>
          <w:bCs w:val="0"/>
          <w:sz w:val="28"/>
          <w:szCs w:val="28"/>
        </w:rPr>
        <w:t>功能规格与交互契约</w:t>
      </w:r>
    </w:p>
    <w:tbl>
      <w:tblPr>
        <w:tblStyle w:val="38"/>
        <w:tblW w:w="0" w:type="auto"/>
        <w:jc w:val="center"/>
        <w:tblBorders>
          <w:top w:val="none" w:color="auto" w:sz="0" w:space="0"/>
          <w:left w:val="single" w:color="EE822F" w:themeColor="accent2"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788A90DB">
        <w:tblPrEx>
          <w:tblBorders>
            <w:top w:val="none" w:color="auto" w:sz="0" w:space="0"/>
            <w:left w:val="single" w:color="EE822F" w:themeColor="accent2"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tcPr>
          <w:p w14:paraId="32CD2696">
            <w:pPr>
              <w:pStyle w:val="19"/>
              <w:numPr>
                <w:ilvl w:val="0"/>
                <w:numId w:val="221"/>
              </w:numPr>
              <w:bidi w:val="0"/>
              <w:rPr>
                <w:rFonts w:hint="default" w:eastAsia="宋体"/>
                <w:b w:val="0"/>
                <w:bCs w:val="0"/>
                <w:lang w:val="en-US" w:eastAsia="zh-CN"/>
              </w:rPr>
            </w:pPr>
            <w:r>
              <w:rPr>
                <w:rFonts w:hint="eastAsia"/>
                <w:b w:val="0"/>
                <w:bCs w:val="0"/>
                <w:lang w:val="en-US" w:eastAsia="zh-CN"/>
              </w:rPr>
              <w:t>选择查询条件，根据条件筛选列表数据；</w:t>
            </w:r>
          </w:p>
          <w:p w14:paraId="118C53BE">
            <w:pPr>
              <w:pStyle w:val="19"/>
              <w:numPr>
                <w:ilvl w:val="0"/>
                <w:numId w:val="221"/>
              </w:numPr>
              <w:bidi w:val="0"/>
              <w:rPr>
                <w:rFonts w:hint="default" w:eastAsia="宋体"/>
                <w:b w:val="0"/>
                <w:bCs w:val="0"/>
                <w:lang w:val="en-US" w:eastAsia="zh-CN"/>
              </w:rPr>
            </w:pPr>
            <w:r>
              <w:rPr>
                <w:rFonts w:hint="eastAsia"/>
                <w:b w:val="0"/>
                <w:bCs w:val="0"/>
                <w:lang w:val="en-US" w:eastAsia="zh-CN"/>
              </w:rPr>
              <w:t>点击【新增重点设备】打开新增重点设备弹窗；</w:t>
            </w:r>
          </w:p>
          <w:p w14:paraId="341F7375">
            <w:pPr>
              <w:pStyle w:val="19"/>
              <w:numPr>
                <w:ilvl w:val="0"/>
                <w:numId w:val="221"/>
              </w:numPr>
              <w:bidi w:val="0"/>
              <w:rPr>
                <w:rFonts w:hint="default" w:eastAsia="宋体"/>
                <w:b w:val="0"/>
                <w:bCs w:val="0"/>
                <w:lang w:val="en-US" w:eastAsia="zh-CN"/>
              </w:rPr>
            </w:pPr>
            <w:r>
              <w:rPr>
                <w:rFonts w:hint="eastAsia"/>
                <w:b w:val="0"/>
                <w:bCs w:val="0"/>
                <w:lang w:val="en-US" w:eastAsia="zh-CN"/>
              </w:rPr>
              <w:t>点击【导出】按钮，可将列表内数据导出到excel；</w:t>
            </w:r>
          </w:p>
          <w:p w14:paraId="6CD6F8BF">
            <w:pPr>
              <w:pStyle w:val="19"/>
              <w:numPr>
                <w:ilvl w:val="0"/>
                <w:numId w:val="221"/>
              </w:numPr>
              <w:bidi w:val="0"/>
              <w:rPr>
                <w:b w:val="0"/>
                <w:bCs w:val="0"/>
              </w:rPr>
            </w:pPr>
            <w:r>
              <w:rPr>
                <w:rFonts w:hint="eastAsia"/>
                <w:b w:val="0"/>
                <w:bCs w:val="0"/>
                <w:lang w:val="en-US" w:eastAsia="zh-CN"/>
              </w:rPr>
              <w:t>点击【详情】打开设备详情窗口；</w:t>
            </w:r>
          </w:p>
          <w:p w14:paraId="3EABEECA">
            <w:pPr>
              <w:pStyle w:val="19"/>
              <w:numPr>
                <w:ilvl w:val="0"/>
                <w:numId w:val="221"/>
              </w:numPr>
              <w:bidi w:val="0"/>
              <w:rPr>
                <w:b w:val="0"/>
                <w:bCs w:val="0"/>
              </w:rPr>
            </w:pPr>
            <w:r>
              <w:rPr>
                <w:rFonts w:hint="eastAsia"/>
                <w:b w:val="0"/>
                <w:bCs w:val="0"/>
                <w:lang w:val="en-US" w:eastAsia="zh-CN"/>
              </w:rPr>
              <w:t>点击【编辑】打开编辑窗口；</w:t>
            </w:r>
          </w:p>
          <w:p w14:paraId="4A206B97">
            <w:pPr>
              <w:pStyle w:val="19"/>
              <w:numPr>
                <w:ilvl w:val="0"/>
                <w:numId w:val="221"/>
              </w:numPr>
              <w:bidi w:val="0"/>
              <w:rPr>
                <w:b w:val="0"/>
                <w:bCs w:val="0"/>
              </w:rPr>
            </w:pPr>
            <w:r>
              <w:rPr>
                <w:rFonts w:hint="eastAsia"/>
                <w:b w:val="0"/>
                <w:bCs w:val="0"/>
                <w:lang w:val="en-US" w:eastAsia="zh-CN"/>
              </w:rPr>
              <w:t>点击【删除】打开弹窗，点击取消后关闭弹窗，点击确定后关闭弹窗并删除数据；</w:t>
            </w:r>
          </w:p>
        </w:tc>
      </w:tr>
    </w:tbl>
    <w:p w14:paraId="04034742">
      <w:pPr>
        <w:rPr>
          <w:b w:val="0"/>
          <w:bCs w:val="0"/>
        </w:rPr>
      </w:pPr>
    </w:p>
    <w:p w14:paraId="3EED2B32">
      <w:pPr>
        <w:pStyle w:val="6"/>
        <w:numPr>
          <w:ilvl w:val="0"/>
          <w:numId w:val="220"/>
        </w:numPr>
        <w:bidi w:val="0"/>
        <w:ind w:left="0" w:leftChars="0" w:firstLine="0" w:firstLineChars="0"/>
        <w:rPr>
          <w:b w:val="0"/>
          <w:bCs w:val="0"/>
          <w:sz w:val="28"/>
          <w:szCs w:val="28"/>
        </w:rPr>
      </w:pPr>
      <w:r>
        <w:rPr>
          <w:b w:val="0"/>
          <w:bCs w:val="0"/>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89"/>
        <w:gridCol w:w="2210"/>
        <w:gridCol w:w="1269"/>
        <w:gridCol w:w="1203"/>
        <w:gridCol w:w="4213"/>
      </w:tblGrid>
      <w:tr w14:paraId="0AFB86A1">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683974E">
            <w:pPr>
              <w:pStyle w:val="19"/>
              <w:bidi w:val="0"/>
              <w:spacing w:line="240" w:lineRule="auto"/>
              <w:ind w:left="0" w:leftChars="0" w:right="0" w:rightChars="0" w:firstLine="0" w:firstLineChars="0"/>
              <w:jc w:val="center"/>
              <w:rPr>
                <w:rFonts w:hint="eastAsia" w:ascii="宋体" w:hAnsi="宋体" w:eastAsia="宋体" w:cs="宋体"/>
                <w:b w:val="0"/>
                <w:bCs w:val="0"/>
                <w:sz w:val="24"/>
                <w:szCs w:val="24"/>
              </w:rPr>
            </w:pPr>
            <w:r>
              <w:rPr>
                <w:rFonts w:hint="eastAsia" w:ascii="宋体" w:hAnsi="宋体" w:eastAsia="宋体" w:cs="宋体"/>
                <w:b w:val="0"/>
                <w:bCs w:val="0"/>
                <w:sz w:val="24"/>
                <w:szCs w:val="24"/>
              </w:rPr>
              <w:t>序号</w:t>
            </w:r>
          </w:p>
        </w:tc>
        <w:tc>
          <w:tcPr>
            <w:tcW w:w="221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DAC80DD">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字段中文名称</w:t>
            </w:r>
          </w:p>
        </w:tc>
        <w:tc>
          <w:tcPr>
            <w:tcW w:w="126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DA57C36">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数据类型</w:t>
            </w:r>
          </w:p>
        </w:tc>
        <w:tc>
          <w:tcPr>
            <w:tcW w:w="120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3499B3D">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工程单位</w:t>
            </w:r>
          </w:p>
        </w:tc>
        <w:tc>
          <w:tcPr>
            <w:tcW w:w="421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D2BCAED">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校验与约束规则</w:t>
            </w:r>
          </w:p>
        </w:tc>
      </w:tr>
      <w:tr w14:paraId="666CCDB7">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F38711E">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w:t>
            </w:r>
          </w:p>
        </w:tc>
        <w:tc>
          <w:tcPr>
            <w:tcW w:w="221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1D10797">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sz w:val="24"/>
                <w:szCs w:val="24"/>
              </w:rPr>
              <w:t>光伏设备名称</w:t>
            </w:r>
          </w:p>
        </w:tc>
        <w:tc>
          <w:tcPr>
            <w:tcW w:w="126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47628E2">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120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A668168">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421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13D2EBF">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r>
      <w:tr w14:paraId="7CD61107">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A9B8859">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2</w:t>
            </w:r>
          </w:p>
        </w:tc>
        <w:tc>
          <w:tcPr>
            <w:tcW w:w="221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AA73170">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sz w:val="24"/>
                <w:szCs w:val="24"/>
              </w:rPr>
              <w:t>归属园区</w:t>
            </w:r>
          </w:p>
        </w:tc>
        <w:tc>
          <w:tcPr>
            <w:tcW w:w="12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FA6DACF">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120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E34B1B2">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421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C4D459A">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r>
      <w:tr w14:paraId="79475837">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E968EC6">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3</w:t>
            </w:r>
          </w:p>
        </w:tc>
        <w:tc>
          <w:tcPr>
            <w:tcW w:w="221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896437E">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sz w:val="24"/>
                <w:szCs w:val="24"/>
              </w:rPr>
              <w:t>关联工厂</w:t>
            </w:r>
          </w:p>
        </w:tc>
        <w:tc>
          <w:tcPr>
            <w:tcW w:w="126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85A2B1F">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120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4EF8489">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421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3B14390">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r>
      <w:tr w14:paraId="009882E4">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FBAA237">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4</w:t>
            </w:r>
          </w:p>
        </w:tc>
        <w:tc>
          <w:tcPr>
            <w:tcW w:w="221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75E9F33">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sz w:val="24"/>
                <w:szCs w:val="24"/>
              </w:rPr>
              <w:t>安装物理位置/屋面</w:t>
            </w:r>
          </w:p>
        </w:tc>
        <w:tc>
          <w:tcPr>
            <w:tcW w:w="12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69AD694">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120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D77D7A2">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421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51C6A2D">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r>
      <w:tr w14:paraId="65560CF7">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A98BBFC">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5</w:t>
            </w:r>
          </w:p>
        </w:tc>
        <w:tc>
          <w:tcPr>
            <w:tcW w:w="221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692E6BC">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sz w:val="24"/>
                <w:szCs w:val="24"/>
              </w:rPr>
              <w:t>装机容量</w:t>
            </w:r>
          </w:p>
        </w:tc>
        <w:tc>
          <w:tcPr>
            <w:tcW w:w="126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617008D">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120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C420687">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421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2C79A1C">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r>
    </w:tbl>
    <w:p w14:paraId="1D6C8486">
      <w:pPr>
        <w:pStyle w:val="19"/>
        <w:bidi w:val="0"/>
        <w:rPr>
          <w:b w:val="0"/>
          <w:bCs w:val="0"/>
        </w:rPr>
      </w:pPr>
    </w:p>
    <w:p w14:paraId="18C6DDD5">
      <w:pPr>
        <w:pStyle w:val="6"/>
        <w:numPr>
          <w:ilvl w:val="0"/>
          <w:numId w:val="220"/>
        </w:numPr>
        <w:bidi w:val="0"/>
        <w:ind w:left="0" w:leftChars="0" w:firstLine="0" w:firstLineChars="0"/>
        <w:rPr>
          <w:b w:val="0"/>
          <w:bCs w:val="0"/>
          <w:sz w:val="28"/>
          <w:szCs w:val="28"/>
        </w:rPr>
      </w:pPr>
      <w:r>
        <w:rPr>
          <w:b w:val="0"/>
          <w:bCs w:val="0"/>
          <w:sz w:val="28"/>
          <w:szCs w:val="28"/>
        </w:rPr>
        <w:t>核心数学模型与算法框架</w:t>
      </w:r>
    </w:p>
    <w:tbl>
      <w:tblPr>
        <w:tblStyle w:val="38"/>
        <w:tblW w:w="0" w:type="auto"/>
        <w:jc w:val="center"/>
        <w:tblLayout w:type="fixed"/>
        <w:tblCellMar>
          <w:top w:w="0" w:type="dxa"/>
          <w:left w:w="108" w:type="dxa"/>
          <w:bottom w:w="0" w:type="dxa"/>
          <w:right w:w="108" w:type="dxa"/>
        </w:tblCellMar>
      </w:tblPr>
      <w:tblGrid>
        <w:gridCol w:w="9648"/>
      </w:tblGrid>
      <w:tr w14:paraId="3CEC0108">
        <w:tblPrEx>
          <w:tblCellMar>
            <w:top w:w="0" w:type="dxa"/>
            <w:left w:w="108" w:type="dxa"/>
            <w:bottom w:w="0" w:type="dxa"/>
            <w:right w:w="108" w:type="dxa"/>
          </w:tblCellMar>
        </w:tblPrEx>
        <w:trPr>
          <w:jc w:val="center"/>
        </w:trPr>
        <w:tc>
          <w:tcPr>
            <w:tcW w:w="9648" w:type="dxa"/>
            <w:tcBorders>
              <w:top w:val="nil"/>
              <w:left w:val="single" w:color="16A34A" w:sz="24" w:space="0"/>
              <w:bottom w:val="nil"/>
              <w:right w:val="nil"/>
            </w:tcBorders>
            <w:shd w:val="clear" w:color="auto" w:fill="F0FDF4"/>
            <w:tcMar>
              <w:top w:w="70" w:type="dxa"/>
              <w:left w:w="100" w:type="dxa"/>
              <w:bottom w:w="70" w:type="dxa"/>
              <w:right w:w="100" w:type="dxa"/>
            </w:tcMar>
          </w:tcPr>
          <w:p w14:paraId="7AEC5545">
            <w:pPr>
              <w:pStyle w:val="19"/>
              <w:bidi w:val="0"/>
              <w:rPr>
                <w:b w:val="0"/>
                <w:bCs w:val="0"/>
              </w:rPr>
            </w:pPr>
            <w:r>
              <w:rPr>
                <w:rFonts w:hint="eastAsia"/>
                <w:lang w:val="en-US" w:eastAsia="zh-CN"/>
              </w:rPr>
              <w:t>无</w:t>
            </w:r>
          </w:p>
        </w:tc>
      </w:tr>
    </w:tbl>
    <w:p w14:paraId="5C41D554">
      <w:pPr>
        <w:pStyle w:val="19"/>
        <w:bidi w:val="0"/>
        <w:rPr>
          <w:b w:val="0"/>
          <w:bCs w:val="0"/>
        </w:rPr>
      </w:pPr>
    </w:p>
    <w:p w14:paraId="7DB887FB">
      <w:pPr>
        <w:pStyle w:val="6"/>
        <w:numPr>
          <w:ilvl w:val="0"/>
          <w:numId w:val="220"/>
        </w:numPr>
        <w:bidi w:val="0"/>
        <w:ind w:left="0" w:leftChars="0" w:firstLine="0" w:firstLineChars="0"/>
        <w:rPr>
          <w:b w:val="0"/>
          <w:bCs w:val="0"/>
          <w:sz w:val="28"/>
          <w:szCs w:val="28"/>
        </w:rPr>
      </w:pPr>
      <w:r>
        <w:rPr>
          <w:b w:val="0"/>
          <w:bCs w:val="0"/>
          <w:sz w:val="28"/>
          <w:szCs w:val="28"/>
        </w:rPr>
        <w:t>展示、对标与判定口径</w:t>
      </w:r>
    </w:p>
    <w:tbl>
      <w:tblPr>
        <w:tblStyle w:val="38"/>
        <w:tblW w:w="0" w:type="auto"/>
        <w:jc w:val="center"/>
        <w:tblBorders>
          <w:top w:val="none" w:color="auto" w:sz="0" w:space="0"/>
          <w:left w:val="single" w:color="4874CB" w:themeColor="accent1"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159FF076">
        <w:tblPrEx>
          <w:tblBorders>
            <w:top w:val="none" w:color="auto" w:sz="0" w:space="0"/>
            <w:left w:val="single" w:color="4874CB" w:themeColor="accent1"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tcPr>
          <w:p w14:paraId="567E54B7">
            <w:pPr>
              <w:pStyle w:val="19"/>
              <w:bidi w:val="0"/>
              <w:rPr>
                <w:b w:val="0"/>
                <w:bCs w:val="0"/>
              </w:rPr>
            </w:pPr>
          </w:p>
        </w:tc>
      </w:tr>
    </w:tbl>
    <w:p w14:paraId="1764F6FE">
      <w:pPr>
        <w:pStyle w:val="19"/>
        <w:bidi w:val="0"/>
        <w:rPr>
          <w:b w:val="0"/>
          <w:bCs w:val="0"/>
        </w:rPr>
      </w:pPr>
    </w:p>
    <w:p w14:paraId="7E98DCA3">
      <w:pPr>
        <w:pStyle w:val="6"/>
        <w:numPr>
          <w:ilvl w:val="0"/>
          <w:numId w:val="220"/>
        </w:numPr>
        <w:bidi w:val="0"/>
        <w:ind w:left="0" w:leftChars="0" w:firstLine="0" w:firstLineChars="0"/>
        <w:rPr>
          <w:b w:val="0"/>
          <w:bCs w:val="0"/>
          <w:sz w:val="28"/>
          <w:szCs w:val="28"/>
        </w:rPr>
      </w:pPr>
      <w:r>
        <w:rPr>
          <w:b w:val="0"/>
          <w:bCs w:val="0"/>
          <w:sz w:val="28"/>
          <w:szCs w:val="28"/>
        </w:rPr>
        <w:t>边界条件、异常处理与防错规则</w:t>
      </w:r>
    </w:p>
    <w:tbl>
      <w:tblPr>
        <w:tblStyle w:val="38"/>
        <w:tblW w:w="0" w:type="auto"/>
        <w:jc w:val="center"/>
        <w:tblBorders>
          <w:top w:val="none" w:color="auto" w:sz="0" w:space="0"/>
          <w:left w:val="single" w:color="E54C5E" w:themeColor="accent6"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172FF056">
        <w:tblPrEx>
          <w:tblBorders>
            <w:top w:val="none" w:color="auto" w:sz="0" w:space="0"/>
            <w:left w:val="single" w:color="E54C5E" w:themeColor="accent6"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5F3FF"/>
            <w:tcMar>
              <w:top w:w="70" w:type="dxa"/>
              <w:left w:w="100" w:type="dxa"/>
              <w:bottom w:w="70" w:type="dxa"/>
              <w:right w:w="100" w:type="dxa"/>
            </w:tcMar>
          </w:tcPr>
          <w:p w14:paraId="39E3E85B">
            <w:pPr>
              <w:pStyle w:val="19"/>
              <w:bidi w:val="0"/>
              <w:rPr>
                <w:b w:val="0"/>
                <w:bCs w:val="0"/>
              </w:rPr>
            </w:pPr>
          </w:p>
        </w:tc>
      </w:tr>
    </w:tbl>
    <w:p w14:paraId="0718F972">
      <w:pPr>
        <w:rPr>
          <w:b w:val="0"/>
          <w:bCs w:val="0"/>
        </w:rPr>
      </w:pPr>
    </w:p>
    <w:p w14:paraId="36EE7A7C">
      <w:pPr>
        <w:pStyle w:val="6"/>
        <w:numPr>
          <w:ilvl w:val="0"/>
          <w:numId w:val="220"/>
        </w:numPr>
        <w:bidi w:val="0"/>
        <w:ind w:left="0" w:leftChars="0" w:firstLine="0" w:firstLineChars="0"/>
        <w:rPr>
          <w:b w:val="0"/>
          <w:bCs w:val="0"/>
          <w:sz w:val="28"/>
          <w:szCs w:val="28"/>
        </w:rPr>
      </w:pPr>
      <w:r>
        <w:rPr>
          <w:b w:val="0"/>
          <w:bCs w:val="0"/>
          <w:sz w:val="28"/>
          <w:szCs w:val="28"/>
        </w:rPr>
        <w:t>QA 自动化验收准则（Gherkin BDD）</w:t>
      </w:r>
    </w:p>
    <w:tbl>
      <w:tblPr>
        <w:tblStyle w:val="38"/>
        <w:tblW w:w="0" w:type="auto"/>
        <w:jc w:val="center"/>
        <w:tblLayout w:type="fixed"/>
        <w:tblCellMar>
          <w:top w:w="0" w:type="dxa"/>
          <w:left w:w="108" w:type="dxa"/>
          <w:bottom w:w="0" w:type="dxa"/>
          <w:right w:w="108" w:type="dxa"/>
        </w:tblCellMar>
      </w:tblPr>
      <w:tblGrid>
        <w:gridCol w:w="9648"/>
      </w:tblGrid>
      <w:tr w14:paraId="0A0631D2">
        <w:tblPrEx>
          <w:tblCellMar>
            <w:top w:w="0" w:type="dxa"/>
            <w:left w:w="108" w:type="dxa"/>
            <w:bottom w:w="0" w:type="dxa"/>
            <w:right w:w="108" w:type="dxa"/>
          </w:tblCellMar>
        </w:tblPrEx>
        <w:trPr>
          <w:jc w:val="center"/>
        </w:trPr>
        <w:tc>
          <w:tcPr>
            <w:tcW w:w="9648" w:type="dxa"/>
            <w:tcBorders>
              <w:top w:val="nil"/>
              <w:left w:val="single" w:color="7C3AED" w:sz="24" w:space="0"/>
              <w:bottom w:val="nil"/>
              <w:right w:val="nil"/>
            </w:tcBorders>
            <w:shd w:val="clear" w:color="auto" w:fill="F5F3FF"/>
            <w:tcMar>
              <w:top w:w="70" w:type="dxa"/>
              <w:left w:w="100" w:type="dxa"/>
              <w:bottom w:w="70" w:type="dxa"/>
              <w:right w:w="100" w:type="dxa"/>
            </w:tcMar>
          </w:tcPr>
          <w:p w14:paraId="7EB1BC3E">
            <w:pPr>
              <w:pStyle w:val="19"/>
              <w:bidi w:val="0"/>
              <w:rPr>
                <w:b w:val="0"/>
                <w:bCs w:val="0"/>
              </w:rPr>
            </w:pPr>
          </w:p>
        </w:tc>
      </w:tr>
    </w:tbl>
    <w:p w14:paraId="436D6884">
      <w:pPr>
        <w:rPr>
          <w:rFonts w:hint="default"/>
          <w:b w:val="0"/>
          <w:bCs w:val="0"/>
          <w:lang w:val="en-US" w:eastAsia="zh-CN"/>
        </w:rPr>
      </w:pPr>
    </w:p>
    <w:p w14:paraId="2185843E">
      <w:pPr>
        <w:pStyle w:val="4"/>
        <w:numPr>
          <w:ilvl w:val="0"/>
          <w:numId w:val="199"/>
        </w:numPr>
        <w:topLinePunct w:val="0"/>
        <w:ind w:left="0" w:leftChars="0" w:firstLine="0" w:firstLineChars="0"/>
        <w:outlineLvl w:val="0"/>
        <w:rPr>
          <w:rFonts w:hint="default" w:ascii="Times New Roman" w:hAnsi="Times New Roman" w:eastAsia="黑体" w:cs="Times New Roman"/>
          <w:b w:val="0"/>
          <w:bCs w:val="0"/>
          <w:sz w:val="30"/>
          <w:szCs w:val="32"/>
          <w:lang w:val="en-US" w:eastAsia="zh-CN"/>
        </w:rPr>
      </w:pPr>
      <w:bookmarkStart w:id="76" w:name="_Toc11939"/>
      <w:r>
        <w:rPr>
          <w:rFonts w:hint="eastAsia" w:ascii="Times New Roman" w:hAnsi="Times New Roman" w:eastAsia="黑体" w:cs="Times New Roman"/>
          <w:b w:val="0"/>
          <w:bCs w:val="0"/>
          <w:sz w:val="30"/>
          <w:szCs w:val="32"/>
          <w:lang w:val="en-US" w:eastAsia="zh-CN"/>
        </w:rPr>
        <w:t>生产数据维护</w:t>
      </w:r>
      <w:bookmarkEnd w:id="76"/>
    </w:p>
    <w:p w14:paraId="3483D6D0">
      <w:pPr>
        <w:pStyle w:val="5"/>
        <w:numPr>
          <w:ilvl w:val="0"/>
          <w:numId w:val="222"/>
        </w:numPr>
        <w:ind w:left="0" w:leftChars="0" w:firstLine="0" w:firstLineChars="0"/>
        <w:outlineLvl w:val="1"/>
        <w:rPr>
          <w:rFonts w:hint="eastAsia"/>
          <w:b w:val="0"/>
          <w:bCs w:val="0"/>
          <w:lang w:val="en-US" w:eastAsia="zh-CN"/>
        </w:rPr>
      </w:pPr>
      <w:bookmarkStart w:id="77" w:name="_Toc29538"/>
      <w:r>
        <w:rPr>
          <w:rFonts w:hint="eastAsia"/>
          <w:b w:val="0"/>
          <w:bCs w:val="0"/>
          <w:lang w:val="en-US" w:eastAsia="zh-CN"/>
        </w:rPr>
        <w:t>产品类型管理</w:t>
      </w:r>
      <w:bookmarkEnd w:id="77"/>
    </w:p>
    <w:p w14:paraId="029BDFB0">
      <w:pPr>
        <w:rPr>
          <w:b w:val="0"/>
          <w:bCs w:val="0"/>
        </w:rPr>
      </w:pPr>
      <w:r>
        <w:drawing>
          <wp:inline distT="0" distB="0" distL="114300" distR="114300">
            <wp:extent cx="5900420" cy="2925445"/>
            <wp:effectExtent l="0" t="0" r="5080" b="8255"/>
            <wp:docPr id="93"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47"/>
                    <pic:cNvPicPr>
                      <a:picLocks noChangeAspect="1"/>
                    </pic:cNvPicPr>
                  </pic:nvPicPr>
                  <pic:blipFill>
                    <a:blip r:embed="rId105"/>
                    <a:stretch>
                      <a:fillRect/>
                    </a:stretch>
                  </pic:blipFill>
                  <pic:spPr>
                    <a:xfrm>
                      <a:off x="0" y="0"/>
                      <a:ext cx="5900420" cy="2925445"/>
                    </a:xfrm>
                    <a:prstGeom prst="rect">
                      <a:avLst/>
                    </a:prstGeom>
                    <a:noFill/>
                    <a:ln>
                      <a:noFill/>
                    </a:ln>
                  </pic:spPr>
                </pic:pic>
              </a:graphicData>
            </a:graphic>
          </wp:inline>
        </w:drawing>
      </w:r>
    </w:p>
    <w:p w14:paraId="398B8FF4">
      <w:pPr>
        <w:pStyle w:val="6"/>
        <w:numPr>
          <w:ilvl w:val="0"/>
          <w:numId w:val="223"/>
        </w:numPr>
        <w:bidi w:val="0"/>
        <w:ind w:left="0" w:leftChars="0" w:firstLine="0" w:firstLineChars="0"/>
        <w:rPr>
          <w:b w:val="0"/>
          <w:bCs w:val="0"/>
          <w:sz w:val="28"/>
          <w:szCs w:val="28"/>
        </w:rPr>
      </w:pPr>
      <w:r>
        <w:rPr>
          <w:b w:val="0"/>
          <w:bCs w:val="0"/>
          <w:sz w:val="28"/>
          <w:szCs w:val="28"/>
        </w:rPr>
        <w:t>定位与架构角色</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74004011">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tcPr>
          <w:p w14:paraId="702F746A">
            <w:pPr>
              <w:pStyle w:val="19"/>
              <w:bidi w:val="0"/>
              <w:ind w:left="0" w:leftChars="0" w:firstLine="0" w:firstLineChars="0"/>
              <w:rPr>
                <w:rFonts w:ascii="宋体" w:hAnsi="宋体" w:eastAsia="宋体" w:cs="宋体"/>
                <w:sz w:val="24"/>
                <w:szCs w:val="24"/>
              </w:rPr>
            </w:pPr>
            <w:r>
              <w:rPr>
                <w:rFonts w:ascii="宋体" w:hAnsi="宋体" w:eastAsia="宋体" w:cs="宋体"/>
                <w:b/>
                <w:bCs/>
                <w:sz w:val="24"/>
                <w:szCs w:val="24"/>
              </w:rPr>
              <w:t>・功能定位</w:t>
            </w:r>
            <w:r>
              <w:rPr>
                <w:rFonts w:ascii="宋体" w:hAnsi="宋体" w:eastAsia="宋体" w:cs="宋体"/>
                <w:sz w:val="24"/>
                <w:szCs w:val="24"/>
              </w:rPr>
              <w:t xml:space="preserve">：作为生产数据维护模块下产品分类主数据管理单元，采用一级大类、二级中类两级层级体系维护产品类型编码、名称、所属产业及计量单位，支持产品类型新增、信息编辑与数据导出，为产品产量统计、单位产品能耗核算、产品碳足迹核算提供标准化产品分类主数据，是生产与碳数据精细化统计的前置基础依赖。 </w:t>
            </w:r>
          </w:p>
          <w:p w14:paraId="58CE64A4">
            <w:pPr>
              <w:pStyle w:val="19"/>
              <w:bidi w:val="0"/>
              <w:ind w:left="0" w:leftChars="0" w:firstLine="0" w:firstLineChars="0"/>
              <w:rPr>
                <w:b w:val="0"/>
                <w:bCs w:val="0"/>
              </w:rPr>
            </w:pPr>
            <w:r>
              <w:rPr>
                <w:rFonts w:ascii="宋体" w:hAnsi="宋体" w:eastAsia="宋体" w:cs="宋体"/>
                <w:b/>
                <w:bCs/>
                <w:sz w:val="24"/>
                <w:szCs w:val="24"/>
              </w:rPr>
              <w:t>・承载角色</w:t>
            </w:r>
            <w:r>
              <w:rPr>
                <w:rFonts w:ascii="宋体" w:hAnsi="宋体" w:eastAsia="宋体" w:cs="宋体"/>
                <w:sz w:val="24"/>
                <w:szCs w:val="24"/>
              </w:rPr>
              <w:t>：PM 系统管理员（全量产品类型新增、分类信息维护、层级管理与数据导出）。</w:t>
            </w:r>
          </w:p>
        </w:tc>
      </w:tr>
    </w:tbl>
    <w:p w14:paraId="3AE20387">
      <w:pPr>
        <w:rPr>
          <w:b w:val="0"/>
          <w:bCs w:val="0"/>
        </w:rPr>
      </w:pPr>
    </w:p>
    <w:p w14:paraId="1FF2145A">
      <w:pPr>
        <w:pStyle w:val="6"/>
        <w:numPr>
          <w:ilvl w:val="0"/>
          <w:numId w:val="223"/>
        </w:numPr>
        <w:bidi w:val="0"/>
        <w:ind w:left="0" w:leftChars="0" w:firstLine="0" w:firstLineChars="0"/>
        <w:rPr>
          <w:b w:val="0"/>
          <w:bCs w:val="0"/>
          <w:sz w:val="28"/>
          <w:szCs w:val="28"/>
        </w:rPr>
      </w:pPr>
      <w:r>
        <w:rPr>
          <w:b w:val="0"/>
          <w:bCs w:val="0"/>
          <w:sz w:val="28"/>
          <w:szCs w:val="28"/>
        </w:rPr>
        <w:t>业务场景与用户故事</w:t>
      </w:r>
    </w:p>
    <w:tbl>
      <w:tblPr>
        <w:tblStyle w:val="38"/>
        <w:tblW w:w="0" w:type="auto"/>
        <w:jc w:val="center"/>
        <w:tblBorders>
          <w:top w:val="none" w:color="auto" w:sz="0" w:space="0"/>
          <w:left w:val="single" w:color="44546A" w:themeColor="text2"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4B098700">
        <w:tblPrEx>
          <w:tblBorders>
            <w:top w:val="none" w:color="auto" w:sz="0" w:space="0"/>
            <w:left w:val="single" w:color="44546A" w:themeColor="text2"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tcPr>
          <w:p w14:paraId="7C55A1D5">
            <w:pPr>
              <w:pStyle w:val="19"/>
              <w:bidi w:val="0"/>
              <w:ind w:left="0" w:leftChars="0" w:firstLine="0" w:firstLineChars="0"/>
            </w:pPr>
            <w:r>
              <w:rPr>
                <w:b/>
                <w:bCs/>
                <w:lang w:val="en-US" w:eastAsia="zh-CN"/>
              </w:rPr>
              <w:t>业务场景</w:t>
            </w:r>
            <w:r>
              <w:rPr>
                <w:lang w:val="en-US" w:eastAsia="zh-CN"/>
              </w:rPr>
              <w:t>：面向系统管理员进行产品分类主数据标准化管控场景，搭建集团统一产品分类体系，支撑产值能耗与产品碳核算统计。</w:t>
            </w:r>
          </w:p>
          <w:p w14:paraId="52C3A24E">
            <w:pPr>
              <w:pStyle w:val="19"/>
              <w:bidi w:val="0"/>
              <w:ind w:left="0" w:leftChars="0" w:firstLine="0" w:firstLineChars="0"/>
            </w:pPr>
            <w:r>
              <w:rPr>
                <w:b/>
                <w:bCs/>
                <w:lang w:val="en-US" w:eastAsia="zh-CN"/>
              </w:rPr>
              <w:t>用户故事</w:t>
            </w:r>
            <w:r>
              <w:rPr>
                <w:lang w:val="en-US" w:eastAsia="zh-CN"/>
              </w:rPr>
              <w:t>：</w:t>
            </w:r>
          </w:p>
          <w:p w14:paraId="16536194">
            <w:pPr>
              <w:pStyle w:val="19"/>
              <w:bidi w:val="0"/>
            </w:pPr>
            <w:r>
              <w:rPr>
                <w:lang w:val="en-US" w:eastAsia="zh-CN"/>
              </w:rPr>
              <w:t>As a 系统管理员 (Persona PM)，</w:t>
            </w:r>
          </w:p>
          <w:p w14:paraId="44DE0DBE">
            <w:pPr>
              <w:pStyle w:val="19"/>
              <w:bidi w:val="0"/>
            </w:pPr>
            <w:r>
              <w:rPr>
                <w:lang w:val="en-US" w:eastAsia="zh-CN"/>
              </w:rPr>
              <w:t>I want 搭建并维护集团标准化产品类型层级与分类信息，</w:t>
            </w:r>
          </w:p>
          <w:p w14:paraId="431957DD">
            <w:pPr>
              <w:pStyle w:val="19"/>
              <w:bidi w:val="0"/>
            </w:pPr>
            <w:r>
              <w:rPr>
                <w:lang w:val="en-US" w:eastAsia="zh-CN"/>
              </w:rPr>
              <w:t>So that 我能支撑集团万元产值能耗核算、产品碳足迹统计，保障大屏能耗效益指标精准。</w:t>
            </w:r>
          </w:p>
        </w:tc>
      </w:tr>
    </w:tbl>
    <w:p w14:paraId="4BE4AD1E">
      <w:pPr>
        <w:rPr>
          <w:b w:val="0"/>
          <w:bCs w:val="0"/>
        </w:rPr>
      </w:pPr>
    </w:p>
    <w:p w14:paraId="48C3C772">
      <w:pPr>
        <w:pStyle w:val="6"/>
        <w:numPr>
          <w:ilvl w:val="0"/>
          <w:numId w:val="223"/>
        </w:numPr>
        <w:bidi w:val="0"/>
        <w:ind w:left="0" w:leftChars="0" w:firstLine="0" w:firstLineChars="0"/>
        <w:rPr>
          <w:b w:val="0"/>
          <w:bCs w:val="0"/>
          <w:sz w:val="28"/>
          <w:szCs w:val="28"/>
        </w:rPr>
      </w:pPr>
      <w:r>
        <w:rPr>
          <w:b w:val="0"/>
          <w:bCs w:val="0"/>
          <w:sz w:val="28"/>
          <w:szCs w:val="28"/>
        </w:rPr>
        <w:t>功能规格与交互契约</w:t>
      </w:r>
    </w:p>
    <w:tbl>
      <w:tblPr>
        <w:tblStyle w:val="38"/>
        <w:tblW w:w="0" w:type="auto"/>
        <w:jc w:val="center"/>
        <w:tblBorders>
          <w:top w:val="none" w:color="auto" w:sz="0" w:space="0"/>
          <w:left w:val="single" w:color="EE822F" w:themeColor="accent2"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63275E4C">
        <w:tblPrEx>
          <w:tblBorders>
            <w:top w:val="none" w:color="auto" w:sz="0" w:space="0"/>
            <w:left w:val="single" w:color="EE822F" w:themeColor="accent2"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tcPr>
          <w:p w14:paraId="1FCD128D">
            <w:pPr>
              <w:pStyle w:val="19"/>
              <w:numPr>
                <w:ilvl w:val="0"/>
                <w:numId w:val="224"/>
              </w:numPr>
              <w:bidi w:val="0"/>
              <w:rPr>
                <w:rFonts w:hint="default" w:eastAsia="宋体"/>
                <w:b w:val="0"/>
                <w:bCs w:val="0"/>
                <w:lang w:val="en-US" w:eastAsia="zh-CN"/>
              </w:rPr>
            </w:pPr>
            <w:r>
              <w:rPr>
                <w:rFonts w:hint="eastAsia"/>
                <w:b w:val="0"/>
                <w:bCs w:val="0"/>
                <w:lang w:val="en-US" w:eastAsia="zh-CN"/>
              </w:rPr>
              <w:t>选择查询条件，根据条件筛选列表数据；</w:t>
            </w:r>
          </w:p>
          <w:p w14:paraId="4FF0414D">
            <w:pPr>
              <w:pStyle w:val="19"/>
              <w:numPr>
                <w:ilvl w:val="0"/>
                <w:numId w:val="224"/>
              </w:numPr>
              <w:bidi w:val="0"/>
              <w:rPr>
                <w:rFonts w:hint="default" w:eastAsia="宋体"/>
                <w:b w:val="0"/>
                <w:bCs w:val="0"/>
                <w:lang w:val="en-US" w:eastAsia="zh-CN"/>
              </w:rPr>
            </w:pPr>
            <w:r>
              <w:rPr>
                <w:rFonts w:hint="eastAsia"/>
                <w:b w:val="0"/>
                <w:bCs w:val="0"/>
                <w:lang w:val="en-US" w:eastAsia="zh-CN"/>
              </w:rPr>
              <w:t>点击【新增产品类型】打开新增产品类型弹窗；</w:t>
            </w:r>
          </w:p>
          <w:p w14:paraId="76C489EE">
            <w:pPr>
              <w:pStyle w:val="19"/>
              <w:numPr>
                <w:ilvl w:val="0"/>
                <w:numId w:val="224"/>
              </w:numPr>
              <w:bidi w:val="0"/>
              <w:rPr>
                <w:b w:val="0"/>
                <w:bCs w:val="0"/>
              </w:rPr>
            </w:pPr>
            <w:r>
              <w:rPr>
                <w:rFonts w:hint="eastAsia"/>
                <w:b w:val="0"/>
                <w:bCs w:val="0"/>
                <w:lang w:val="en-US" w:eastAsia="zh-CN"/>
              </w:rPr>
              <w:t>点击【导出】按钮，可将列表内数据导出到excel；</w:t>
            </w:r>
          </w:p>
          <w:p w14:paraId="2277EA1D">
            <w:pPr>
              <w:pStyle w:val="19"/>
              <w:numPr>
                <w:ilvl w:val="0"/>
                <w:numId w:val="224"/>
              </w:numPr>
              <w:bidi w:val="0"/>
              <w:rPr>
                <w:b w:val="0"/>
                <w:bCs w:val="0"/>
              </w:rPr>
            </w:pPr>
            <w:r>
              <w:rPr>
                <w:rFonts w:hint="eastAsia"/>
                <w:b w:val="0"/>
                <w:bCs w:val="0"/>
                <w:lang w:val="en-US" w:eastAsia="zh-CN"/>
              </w:rPr>
              <w:t>点击【编辑】打开编辑窗口；</w:t>
            </w:r>
          </w:p>
          <w:p w14:paraId="6BF915EB">
            <w:pPr>
              <w:pStyle w:val="19"/>
              <w:numPr>
                <w:ilvl w:val="0"/>
                <w:numId w:val="224"/>
              </w:numPr>
              <w:bidi w:val="0"/>
              <w:rPr>
                <w:b w:val="0"/>
                <w:bCs w:val="0"/>
              </w:rPr>
            </w:pPr>
            <w:r>
              <w:rPr>
                <w:rFonts w:hint="eastAsia"/>
                <w:b w:val="0"/>
                <w:bCs w:val="0"/>
                <w:lang w:val="en-US" w:eastAsia="zh-CN"/>
              </w:rPr>
              <w:t>点击【删除】打开弹窗，点击取消后关闭弹窗，点击确定后关闭弹窗并删除数据；</w:t>
            </w:r>
          </w:p>
        </w:tc>
      </w:tr>
    </w:tbl>
    <w:p w14:paraId="3B6C62F6">
      <w:pPr>
        <w:rPr>
          <w:b w:val="0"/>
          <w:bCs w:val="0"/>
        </w:rPr>
      </w:pPr>
    </w:p>
    <w:p w14:paraId="3D938F63">
      <w:pPr>
        <w:pStyle w:val="6"/>
        <w:numPr>
          <w:ilvl w:val="0"/>
          <w:numId w:val="223"/>
        </w:numPr>
        <w:bidi w:val="0"/>
        <w:ind w:left="0" w:leftChars="0" w:firstLine="0" w:firstLineChars="0"/>
        <w:rPr>
          <w:b w:val="0"/>
          <w:bCs w:val="0"/>
          <w:sz w:val="28"/>
          <w:szCs w:val="28"/>
        </w:rPr>
      </w:pPr>
      <w:r>
        <w:rPr>
          <w:b w:val="0"/>
          <w:bCs w:val="0"/>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89"/>
        <w:gridCol w:w="1738"/>
        <w:gridCol w:w="1468"/>
        <w:gridCol w:w="1210"/>
        <w:gridCol w:w="4479"/>
      </w:tblGrid>
      <w:tr w14:paraId="5FC65855">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5FC8756">
            <w:pPr>
              <w:pStyle w:val="19"/>
              <w:bidi w:val="0"/>
              <w:spacing w:line="240" w:lineRule="auto"/>
              <w:ind w:left="0" w:leftChars="0" w:right="0" w:rightChars="0" w:firstLine="0" w:firstLineChars="0"/>
              <w:jc w:val="center"/>
              <w:rPr>
                <w:rFonts w:hint="eastAsia" w:ascii="宋体" w:hAnsi="宋体" w:eastAsia="宋体" w:cs="宋体"/>
                <w:b w:val="0"/>
                <w:bCs w:val="0"/>
                <w:sz w:val="24"/>
                <w:szCs w:val="24"/>
              </w:rPr>
            </w:pPr>
            <w:r>
              <w:rPr>
                <w:rFonts w:hint="eastAsia" w:ascii="宋体" w:hAnsi="宋体" w:eastAsia="宋体" w:cs="宋体"/>
                <w:b w:val="0"/>
                <w:bCs w:val="0"/>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39CFB86">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字段中文名称</w:t>
            </w:r>
          </w:p>
        </w:tc>
        <w:tc>
          <w:tcPr>
            <w:tcW w:w="146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A010E8C">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AE847D6">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工程单位</w:t>
            </w:r>
          </w:p>
        </w:tc>
        <w:tc>
          <w:tcPr>
            <w:tcW w:w="447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E8D3507">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校验与约束规则</w:t>
            </w:r>
          </w:p>
        </w:tc>
      </w:tr>
      <w:tr w14:paraId="50502BD8">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A7CFED2">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3A46B48">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sz w:val="24"/>
                <w:szCs w:val="24"/>
              </w:rPr>
              <w:t>类型层级</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BB8CE67">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2628761">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ECE3DA4">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r>
      <w:tr w14:paraId="67154427">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F02EB8D">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2ADFC6C">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sz w:val="24"/>
                <w:szCs w:val="24"/>
              </w:rPr>
              <w:t>类型编码</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3454D82">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5451F55">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2A34055">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r>
      <w:tr w14:paraId="6ACC6285">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A60FF98">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77AE4DF">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sz w:val="24"/>
                <w:szCs w:val="24"/>
              </w:rPr>
              <w:t>类型名称</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B97DDDA">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8AE1211">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FAF1755">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r>
      <w:tr w14:paraId="0BE0870E">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0F159BC">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9CAF01E">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sz w:val="24"/>
                <w:szCs w:val="24"/>
              </w:rPr>
              <w:t>所属1级大类</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0F83A6D">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2664002">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B7F54DA">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r>
      <w:tr w14:paraId="418E6E5D">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D940653">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EEB8E66">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sz w:val="24"/>
                <w:szCs w:val="24"/>
              </w:rPr>
              <w:t>所属产业</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96624AF">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4CFC8D4">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76F3DE5">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r>
      <w:tr w14:paraId="72A705D1">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09CB02E">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30114C7">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sz w:val="24"/>
                <w:szCs w:val="24"/>
              </w:rPr>
              <w:t>计量单位</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F85BE89">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E975BED">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5ABCB9E">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r>
    </w:tbl>
    <w:p w14:paraId="2FDF7869">
      <w:pPr>
        <w:pStyle w:val="19"/>
        <w:bidi w:val="0"/>
        <w:rPr>
          <w:b w:val="0"/>
          <w:bCs w:val="0"/>
        </w:rPr>
      </w:pPr>
    </w:p>
    <w:p w14:paraId="157A1430">
      <w:pPr>
        <w:pStyle w:val="6"/>
        <w:numPr>
          <w:ilvl w:val="0"/>
          <w:numId w:val="223"/>
        </w:numPr>
        <w:bidi w:val="0"/>
        <w:ind w:left="0" w:leftChars="0" w:firstLine="0" w:firstLineChars="0"/>
        <w:rPr>
          <w:b w:val="0"/>
          <w:bCs w:val="0"/>
          <w:sz w:val="28"/>
          <w:szCs w:val="28"/>
        </w:rPr>
      </w:pPr>
      <w:r>
        <w:rPr>
          <w:b w:val="0"/>
          <w:bCs w:val="0"/>
          <w:sz w:val="28"/>
          <w:szCs w:val="28"/>
        </w:rPr>
        <w:t>核心数学模型与算法框架</w:t>
      </w:r>
    </w:p>
    <w:tbl>
      <w:tblPr>
        <w:tblStyle w:val="38"/>
        <w:tblW w:w="0" w:type="auto"/>
        <w:jc w:val="center"/>
        <w:tblLayout w:type="fixed"/>
        <w:tblCellMar>
          <w:top w:w="0" w:type="dxa"/>
          <w:left w:w="108" w:type="dxa"/>
          <w:bottom w:w="0" w:type="dxa"/>
          <w:right w:w="108" w:type="dxa"/>
        </w:tblCellMar>
      </w:tblPr>
      <w:tblGrid>
        <w:gridCol w:w="9648"/>
      </w:tblGrid>
      <w:tr w14:paraId="15BE2074">
        <w:tblPrEx>
          <w:tblCellMar>
            <w:top w:w="0" w:type="dxa"/>
            <w:left w:w="108" w:type="dxa"/>
            <w:bottom w:w="0" w:type="dxa"/>
            <w:right w:w="108" w:type="dxa"/>
          </w:tblCellMar>
        </w:tblPrEx>
        <w:trPr>
          <w:jc w:val="center"/>
        </w:trPr>
        <w:tc>
          <w:tcPr>
            <w:tcW w:w="9648" w:type="dxa"/>
            <w:tcBorders>
              <w:top w:val="nil"/>
              <w:left w:val="single" w:color="16A34A" w:sz="24" w:space="0"/>
              <w:bottom w:val="nil"/>
              <w:right w:val="nil"/>
            </w:tcBorders>
            <w:shd w:val="clear" w:color="auto" w:fill="F0FDF4"/>
            <w:tcMar>
              <w:top w:w="70" w:type="dxa"/>
              <w:left w:w="100" w:type="dxa"/>
              <w:bottom w:w="70" w:type="dxa"/>
              <w:right w:w="100" w:type="dxa"/>
            </w:tcMar>
          </w:tcPr>
          <w:p w14:paraId="734F6DD1">
            <w:pPr>
              <w:pStyle w:val="19"/>
              <w:bidi w:val="0"/>
              <w:rPr>
                <w:b w:val="0"/>
                <w:bCs w:val="0"/>
              </w:rPr>
            </w:pPr>
            <w:r>
              <w:rPr>
                <w:rFonts w:hint="eastAsia"/>
                <w:lang w:val="en-US" w:eastAsia="zh-CN"/>
              </w:rPr>
              <w:t>无</w:t>
            </w:r>
          </w:p>
        </w:tc>
      </w:tr>
    </w:tbl>
    <w:p w14:paraId="33C1BA37">
      <w:pPr>
        <w:pStyle w:val="19"/>
        <w:bidi w:val="0"/>
        <w:rPr>
          <w:b w:val="0"/>
          <w:bCs w:val="0"/>
        </w:rPr>
      </w:pPr>
    </w:p>
    <w:p w14:paraId="5C2BC307">
      <w:pPr>
        <w:pStyle w:val="6"/>
        <w:numPr>
          <w:ilvl w:val="0"/>
          <w:numId w:val="223"/>
        </w:numPr>
        <w:bidi w:val="0"/>
        <w:ind w:left="0" w:leftChars="0" w:firstLine="0" w:firstLineChars="0"/>
        <w:rPr>
          <w:b w:val="0"/>
          <w:bCs w:val="0"/>
          <w:sz w:val="28"/>
          <w:szCs w:val="28"/>
        </w:rPr>
      </w:pPr>
      <w:r>
        <w:rPr>
          <w:b w:val="0"/>
          <w:bCs w:val="0"/>
          <w:sz w:val="28"/>
          <w:szCs w:val="28"/>
        </w:rPr>
        <w:t>展示、对标与判定口径</w:t>
      </w:r>
    </w:p>
    <w:tbl>
      <w:tblPr>
        <w:tblStyle w:val="38"/>
        <w:tblW w:w="0" w:type="auto"/>
        <w:jc w:val="center"/>
        <w:tblBorders>
          <w:top w:val="none" w:color="auto" w:sz="0" w:space="0"/>
          <w:left w:val="single" w:color="4874CB" w:themeColor="accent1"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6CEE43E7">
        <w:tblPrEx>
          <w:tblBorders>
            <w:top w:val="none" w:color="auto" w:sz="0" w:space="0"/>
            <w:left w:val="single" w:color="4874CB" w:themeColor="accent1"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tcPr>
          <w:p w14:paraId="04052F2C">
            <w:pPr>
              <w:pStyle w:val="19"/>
              <w:bidi w:val="0"/>
              <w:rPr>
                <w:b w:val="0"/>
                <w:bCs w:val="0"/>
              </w:rPr>
            </w:pPr>
          </w:p>
        </w:tc>
      </w:tr>
    </w:tbl>
    <w:p w14:paraId="08506A6E">
      <w:pPr>
        <w:pStyle w:val="19"/>
        <w:bidi w:val="0"/>
        <w:rPr>
          <w:b w:val="0"/>
          <w:bCs w:val="0"/>
        </w:rPr>
      </w:pPr>
    </w:p>
    <w:p w14:paraId="10FDEE31">
      <w:pPr>
        <w:pStyle w:val="6"/>
        <w:numPr>
          <w:ilvl w:val="0"/>
          <w:numId w:val="223"/>
        </w:numPr>
        <w:bidi w:val="0"/>
        <w:ind w:left="0" w:leftChars="0" w:firstLine="0" w:firstLineChars="0"/>
        <w:rPr>
          <w:b w:val="0"/>
          <w:bCs w:val="0"/>
          <w:sz w:val="28"/>
          <w:szCs w:val="28"/>
        </w:rPr>
      </w:pPr>
      <w:r>
        <w:rPr>
          <w:b w:val="0"/>
          <w:bCs w:val="0"/>
          <w:sz w:val="28"/>
          <w:szCs w:val="28"/>
        </w:rPr>
        <w:t>边界条件、异常处理与防错规则</w:t>
      </w:r>
    </w:p>
    <w:tbl>
      <w:tblPr>
        <w:tblStyle w:val="38"/>
        <w:tblW w:w="0" w:type="auto"/>
        <w:jc w:val="center"/>
        <w:tblBorders>
          <w:top w:val="none" w:color="auto" w:sz="0" w:space="0"/>
          <w:left w:val="single" w:color="E54C5E" w:themeColor="accent6"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61E9B6D4">
        <w:tblPrEx>
          <w:tblBorders>
            <w:top w:val="none" w:color="auto" w:sz="0" w:space="0"/>
            <w:left w:val="single" w:color="E54C5E" w:themeColor="accent6"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5F3FF"/>
            <w:tcMar>
              <w:top w:w="70" w:type="dxa"/>
              <w:left w:w="100" w:type="dxa"/>
              <w:bottom w:w="70" w:type="dxa"/>
              <w:right w:w="100" w:type="dxa"/>
            </w:tcMar>
          </w:tcPr>
          <w:p w14:paraId="1A77D480">
            <w:pPr>
              <w:pStyle w:val="19"/>
              <w:bidi w:val="0"/>
              <w:rPr>
                <w:b w:val="0"/>
                <w:bCs w:val="0"/>
              </w:rPr>
            </w:pPr>
          </w:p>
        </w:tc>
      </w:tr>
    </w:tbl>
    <w:p w14:paraId="744D0718">
      <w:pPr>
        <w:rPr>
          <w:b w:val="0"/>
          <w:bCs w:val="0"/>
        </w:rPr>
      </w:pPr>
    </w:p>
    <w:p w14:paraId="57115D91">
      <w:pPr>
        <w:pStyle w:val="6"/>
        <w:numPr>
          <w:ilvl w:val="0"/>
          <w:numId w:val="223"/>
        </w:numPr>
        <w:bidi w:val="0"/>
        <w:ind w:left="0" w:leftChars="0" w:firstLine="0" w:firstLineChars="0"/>
        <w:rPr>
          <w:b w:val="0"/>
          <w:bCs w:val="0"/>
          <w:sz w:val="28"/>
          <w:szCs w:val="28"/>
        </w:rPr>
      </w:pPr>
      <w:r>
        <w:rPr>
          <w:b w:val="0"/>
          <w:bCs w:val="0"/>
          <w:sz w:val="28"/>
          <w:szCs w:val="28"/>
        </w:rPr>
        <w:t>QA 自动化验收准则（Gherkin BDD）</w:t>
      </w:r>
    </w:p>
    <w:tbl>
      <w:tblPr>
        <w:tblStyle w:val="38"/>
        <w:tblW w:w="0" w:type="auto"/>
        <w:jc w:val="center"/>
        <w:tblLayout w:type="fixed"/>
        <w:tblCellMar>
          <w:top w:w="0" w:type="dxa"/>
          <w:left w:w="108" w:type="dxa"/>
          <w:bottom w:w="0" w:type="dxa"/>
          <w:right w:w="108" w:type="dxa"/>
        </w:tblCellMar>
      </w:tblPr>
      <w:tblGrid>
        <w:gridCol w:w="9648"/>
      </w:tblGrid>
      <w:tr w14:paraId="10755348">
        <w:tblPrEx>
          <w:tblCellMar>
            <w:top w:w="0" w:type="dxa"/>
            <w:left w:w="108" w:type="dxa"/>
            <w:bottom w:w="0" w:type="dxa"/>
            <w:right w:w="108" w:type="dxa"/>
          </w:tblCellMar>
        </w:tblPrEx>
        <w:trPr>
          <w:jc w:val="center"/>
        </w:trPr>
        <w:tc>
          <w:tcPr>
            <w:tcW w:w="9648" w:type="dxa"/>
            <w:tcBorders>
              <w:top w:val="nil"/>
              <w:left w:val="single" w:color="7C3AED" w:sz="24" w:space="0"/>
              <w:bottom w:val="nil"/>
              <w:right w:val="nil"/>
            </w:tcBorders>
            <w:shd w:val="clear" w:color="auto" w:fill="F5F3FF"/>
            <w:tcMar>
              <w:top w:w="70" w:type="dxa"/>
              <w:left w:w="100" w:type="dxa"/>
              <w:bottom w:w="70" w:type="dxa"/>
              <w:right w:w="100" w:type="dxa"/>
            </w:tcMar>
          </w:tcPr>
          <w:p w14:paraId="0220B668">
            <w:pPr>
              <w:pStyle w:val="19"/>
              <w:bidi w:val="0"/>
              <w:rPr>
                <w:b w:val="0"/>
                <w:bCs w:val="0"/>
              </w:rPr>
            </w:pPr>
          </w:p>
        </w:tc>
      </w:tr>
    </w:tbl>
    <w:p w14:paraId="0BFA5967">
      <w:pPr>
        <w:rPr>
          <w:rFonts w:hint="eastAsia"/>
          <w:b w:val="0"/>
          <w:bCs w:val="0"/>
          <w:lang w:val="en-US" w:eastAsia="zh-CN"/>
        </w:rPr>
      </w:pPr>
    </w:p>
    <w:p w14:paraId="62F469B9">
      <w:pPr>
        <w:pStyle w:val="5"/>
        <w:numPr>
          <w:ilvl w:val="0"/>
          <w:numId w:val="222"/>
        </w:numPr>
        <w:ind w:left="0" w:leftChars="0" w:firstLine="0" w:firstLineChars="0"/>
        <w:outlineLvl w:val="1"/>
        <w:rPr>
          <w:rFonts w:hint="eastAsia"/>
          <w:b w:val="0"/>
          <w:bCs w:val="0"/>
          <w:lang w:val="en-US" w:eastAsia="zh-CN"/>
        </w:rPr>
      </w:pPr>
      <w:bookmarkStart w:id="78" w:name="_Toc29667"/>
      <w:r>
        <w:rPr>
          <w:rFonts w:hint="eastAsia"/>
          <w:b w:val="0"/>
          <w:bCs w:val="0"/>
          <w:lang w:val="en-US" w:eastAsia="zh-CN"/>
        </w:rPr>
        <w:t>产品型号管理</w:t>
      </w:r>
      <w:bookmarkEnd w:id="78"/>
    </w:p>
    <w:p w14:paraId="20668D95">
      <w:pPr>
        <w:rPr>
          <w:b w:val="0"/>
          <w:bCs w:val="0"/>
        </w:rPr>
      </w:pPr>
      <w:r>
        <w:drawing>
          <wp:inline distT="0" distB="0" distL="114300" distR="114300">
            <wp:extent cx="5900420" cy="2925445"/>
            <wp:effectExtent l="0" t="0" r="5080" b="8255"/>
            <wp:docPr id="94"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48"/>
                    <pic:cNvPicPr>
                      <a:picLocks noChangeAspect="1"/>
                    </pic:cNvPicPr>
                  </pic:nvPicPr>
                  <pic:blipFill>
                    <a:blip r:embed="rId106"/>
                    <a:stretch>
                      <a:fillRect/>
                    </a:stretch>
                  </pic:blipFill>
                  <pic:spPr>
                    <a:xfrm>
                      <a:off x="0" y="0"/>
                      <a:ext cx="5900420" cy="2925445"/>
                    </a:xfrm>
                    <a:prstGeom prst="rect">
                      <a:avLst/>
                    </a:prstGeom>
                    <a:noFill/>
                    <a:ln>
                      <a:noFill/>
                    </a:ln>
                  </pic:spPr>
                </pic:pic>
              </a:graphicData>
            </a:graphic>
          </wp:inline>
        </w:drawing>
      </w:r>
    </w:p>
    <w:p w14:paraId="20D95F24">
      <w:pPr>
        <w:pStyle w:val="6"/>
        <w:numPr>
          <w:ilvl w:val="0"/>
          <w:numId w:val="225"/>
        </w:numPr>
        <w:bidi w:val="0"/>
        <w:ind w:left="0" w:leftChars="0" w:firstLine="0" w:firstLineChars="0"/>
        <w:rPr>
          <w:b w:val="0"/>
          <w:bCs w:val="0"/>
          <w:sz w:val="28"/>
          <w:szCs w:val="28"/>
        </w:rPr>
      </w:pPr>
      <w:r>
        <w:rPr>
          <w:b w:val="0"/>
          <w:bCs w:val="0"/>
          <w:sz w:val="28"/>
          <w:szCs w:val="28"/>
        </w:rPr>
        <w:t>定位与架构角色</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1E363BF6">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tcPr>
          <w:p w14:paraId="3C26A032">
            <w:pPr>
              <w:pStyle w:val="19"/>
              <w:bidi w:val="0"/>
              <w:ind w:left="0" w:leftChars="0" w:firstLine="0" w:firstLineChars="0"/>
              <w:rPr>
                <w:rFonts w:ascii="宋体" w:hAnsi="宋体" w:eastAsia="宋体" w:cs="宋体"/>
                <w:sz w:val="24"/>
                <w:szCs w:val="24"/>
              </w:rPr>
            </w:pPr>
            <w:r>
              <w:rPr>
                <w:rFonts w:ascii="宋体" w:hAnsi="宋体" w:eastAsia="宋体" w:cs="宋体"/>
                <w:b/>
                <w:bCs/>
                <w:sz w:val="24"/>
                <w:szCs w:val="24"/>
              </w:rPr>
              <w:t>・功能定位</w:t>
            </w:r>
            <w:r>
              <w:rPr>
                <w:rFonts w:ascii="宋体" w:hAnsi="宋体" w:eastAsia="宋体" w:cs="宋体"/>
                <w:sz w:val="24"/>
                <w:szCs w:val="24"/>
              </w:rPr>
              <w:t xml:space="preserve">：作为生产数据维护模块下产品型号主数据管理单元，维护经营单位、制造工厂与产品大类、中类、型号的关联关系，绑定对应生产工序，支持型号新增、批量导入、信息编辑与数据导出，为产品 BOM、工序能耗分摊、单品碳足迹核算提供产品型号基础主数据，是精细化生产与碳核算的前置基础依赖。 </w:t>
            </w:r>
          </w:p>
          <w:p w14:paraId="3DCF2796">
            <w:pPr>
              <w:pStyle w:val="19"/>
              <w:bidi w:val="0"/>
              <w:ind w:left="0" w:leftChars="0" w:firstLine="0" w:firstLineChars="0"/>
              <w:rPr>
                <w:b w:val="0"/>
                <w:bCs w:val="0"/>
              </w:rPr>
            </w:pPr>
            <w:r>
              <w:rPr>
                <w:rFonts w:ascii="宋体" w:hAnsi="宋体" w:eastAsia="宋体" w:cs="宋体"/>
                <w:b/>
                <w:bCs/>
                <w:sz w:val="24"/>
                <w:szCs w:val="24"/>
              </w:rPr>
              <w:t>・承载角色</w:t>
            </w:r>
            <w:r>
              <w:rPr>
                <w:rFonts w:ascii="宋体" w:hAnsi="宋体" w:eastAsia="宋体" w:cs="宋体"/>
                <w:sz w:val="24"/>
                <w:szCs w:val="24"/>
              </w:rPr>
              <w:t>：PM 系统管理员（全量产品型号新增、型号关联信息维护、批量导入导出与数据删除）。</w:t>
            </w:r>
          </w:p>
        </w:tc>
      </w:tr>
    </w:tbl>
    <w:p w14:paraId="7B93C38C">
      <w:pPr>
        <w:rPr>
          <w:b w:val="0"/>
          <w:bCs w:val="0"/>
        </w:rPr>
      </w:pPr>
    </w:p>
    <w:p w14:paraId="376C4DEF">
      <w:pPr>
        <w:pStyle w:val="6"/>
        <w:numPr>
          <w:ilvl w:val="0"/>
          <w:numId w:val="225"/>
        </w:numPr>
        <w:bidi w:val="0"/>
        <w:ind w:left="0" w:leftChars="0" w:firstLine="0" w:firstLineChars="0"/>
        <w:rPr>
          <w:b w:val="0"/>
          <w:bCs w:val="0"/>
          <w:sz w:val="28"/>
          <w:szCs w:val="28"/>
        </w:rPr>
      </w:pPr>
      <w:r>
        <w:rPr>
          <w:b w:val="0"/>
          <w:bCs w:val="0"/>
          <w:sz w:val="28"/>
          <w:szCs w:val="28"/>
        </w:rPr>
        <w:t>业务场景与用户故事</w:t>
      </w:r>
    </w:p>
    <w:tbl>
      <w:tblPr>
        <w:tblStyle w:val="38"/>
        <w:tblW w:w="0" w:type="auto"/>
        <w:jc w:val="center"/>
        <w:tblBorders>
          <w:top w:val="none" w:color="auto" w:sz="0" w:space="0"/>
          <w:left w:val="single" w:color="44546A" w:themeColor="text2"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1CAD10F8">
        <w:tblPrEx>
          <w:tblBorders>
            <w:top w:val="none" w:color="auto" w:sz="0" w:space="0"/>
            <w:left w:val="single" w:color="44546A" w:themeColor="text2"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tcPr>
          <w:p w14:paraId="78F0E74C">
            <w:pPr>
              <w:pStyle w:val="19"/>
              <w:bidi w:val="0"/>
              <w:ind w:left="0" w:leftChars="0" w:firstLine="0" w:firstLineChars="0"/>
            </w:pPr>
            <w:r>
              <w:rPr>
                <w:b/>
                <w:bCs/>
                <w:lang w:val="en-US" w:eastAsia="zh-CN"/>
              </w:rPr>
              <w:t>业务场景</w:t>
            </w:r>
            <w:r>
              <w:rPr>
                <w:lang w:val="en-US" w:eastAsia="zh-CN"/>
              </w:rPr>
              <w:t>：面向系统管理员进行精细化产品主数据管控场景，维护产品型号与工厂、工序的关联关系，支撑单品能耗与碳数据分摊核算。</w:t>
            </w:r>
          </w:p>
          <w:p w14:paraId="1CF52A8B">
            <w:pPr>
              <w:pStyle w:val="19"/>
              <w:bidi w:val="0"/>
              <w:ind w:left="0" w:leftChars="0" w:firstLine="0" w:firstLineChars="0"/>
            </w:pPr>
            <w:r>
              <w:rPr>
                <w:b/>
                <w:bCs/>
                <w:lang w:val="en-US" w:eastAsia="zh-CN"/>
              </w:rPr>
              <w:t>用户故事</w:t>
            </w:r>
            <w:r>
              <w:rPr>
                <w:lang w:val="en-US" w:eastAsia="zh-CN"/>
              </w:rPr>
              <w:t>：</w:t>
            </w:r>
          </w:p>
          <w:p w14:paraId="075D6A7D">
            <w:pPr>
              <w:pStyle w:val="19"/>
              <w:bidi w:val="0"/>
            </w:pPr>
            <w:r>
              <w:rPr>
                <w:lang w:val="en-US" w:eastAsia="zh-CN"/>
              </w:rPr>
              <w:t>As a 系统管理员 (Persona PM)，</w:t>
            </w:r>
          </w:p>
          <w:p w14:paraId="64A2CFAB">
            <w:pPr>
              <w:pStyle w:val="19"/>
              <w:bidi w:val="0"/>
            </w:pPr>
            <w:r>
              <w:rPr>
                <w:lang w:val="en-US" w:eastAsia="zh-CN"/>
              </w:rPr>
              <w:t>I want 维护产品型号关联生产资源与工序信息、批量规范化管理数据，</w:t>
            </w:r>
          </w:p>
          <w:p w14:paraId="23053DA0">
            <w:pPr>
              <w:pStyle w:val="19"/>
              <w:bidi w:val="0"/>
            </w:pPr>
            <w:r>
              <w:rPr>
                <w:lang w:val="en-US" w:eastAsia="zh-CN"/>
              </w:rPr>
              <w:t>So that 我能支撑工序能耗分摊、单品碳核算，夯实集团精细化能碳统计底座。</w:t>
            </w:r>
          </w:p>
        </w:tc>
      </w:tr>
    </w:tbl>
    <w:p w14:paraId="2F8EAFE0">
      <w:pPr>
        <w:rPr>
          <w:b w:val="0"/>
          <w:bCs w:val="0"/>
        </w:rPr>
      </w:pPr>
    </w:p>
    <w:p w14:paraId="1B6C9DA9">
      <w:pPr>
        <w:pStyle w:val="6"/>
        <w:numPr>
          <w:ilvl w:val="0"/>
          <w:numId w:val="225"/>
        </w:numPr>
        <w:bidi w:val="0"/>
        <w:ind w:left="0" w:leftChars="0" w:firstLine="0" w:firstLineChars="0"/>
        <w:rPr>
          <w:b w:val="0"/>
          <w:bCs w:val="0"/>
          <w:sz w:val="28"/>
          <w:szCs w:val="28"/>
        </w:rPr>
      </w:pPr>
      <w:r>
        <w:rPr>
          <w:b w:val="0"/>
          <w:bCs w:val="0"/>
          <w:sz w:val="28"/>
          <w:szCs w:val="28"/>
        </w:rPr>
        <w:t>功能规格与交互契约</w:t>
      </w:r>
    </w:p>
    <w:tbl>
      <w:tblPr>
        <w:tblStyle w:val="38"/>
        <w:tblW w:w="0" w:type="auto"/>
        <w:jc w:val="center"/>
        <w:tblBorders>
          <w:top w:val="none" w:color="auto" w:sz="0" w:space="0"/>
          <w:left w:val="single" w:color="EE822F" w:themeColor="accent2"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4DC80E85">
        <w:tblPrEx>
          <w:tblBorders>
            <w:top w:val="none" w:color="auto" w:sz="0" w:space="0"/>
            <w:left w:val="single" w:color="EE822F" w:themeColor="accent2"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tcPr>
          <w:p w14:paraId="3231EC3F">
            <w:pPr>
              <w:pStyle w:val="19"/>
              <w:numPr>
                <w:ilvl w:val="0"/>
                <w:numId w:val="226"/>
              </w:numPr>
              <w:bidi w:val="0"/>
              <w:rPr>
                <w:rFonts w:hint="default" w:eastAsia="宋体"/>
                <w:b w:val="0"/>
                <w:bCs w:val="0"/>
                <w:lang w:val="en-US" w:eastAsia="zh-CN"/>
              </w:rPr>
            </w:pPr>
            <w:r>
              <w:rPr>
                <w:rFonts w:hint="eastAsia"/>
                <w:b w:val="0"/>
                <w:bCs w:val="0"/>
                <w:lang w:val="en-US" w:eastAsia="zh-CN"/>
              </w:rPr>
              <w:t>选择查询条件，根据条件筛选列表数据；</w:t>
            </w:r>
          </w:p>
          <w:p w14:paraId="0A1F9270">
            <w:pPr>
              <w:pStyle w:val="19"/>
              <w:numPr>
                <w:ilvl w:val="0"/>
                <w:numId w:val="226"/>
              </w:numPr>
              <w:bidi w:val="0"/>
              <w:rPr>
                <w:rFonts w:hint="default" w:eastAsia="宋体"/>
                <w:b w:val="0"/>
                <w:bCs w:val="0"/>
                <w:lang w:val="en-US" w:eastAsia="zh-CN"/>
              </w:rPr>
            </w:pPr>
            <w:r>
              <w:rPr>
                <w:rFonts w:hint="eastAsia"/>
                <w:b w:val="0"/>
                <w:bCs w:val="0"/>
                <w:lang w:val="en-US" w:eastAsia="zh-CN"/>
              </w:rPr>
              <w:t>点击【新增型号】打开新增产品型号弹窗；</w:t>
            </w:r>
          </w:p>
          <w:p w14:paraId="0DD925E9">
            <w:pPr>
              <w:pStyle w:val="19"/>
              <w:numPr>
                <w:ilvl w:val="0"/>
                <w:numId w:val="226"/>
              </w:numPr>
              <w:bidi w:val="0"/>
              <w:rPr>
                <w:rFonts w:hint="default" w:eastAsia="宋体"/>
                <w:b w:val="0"/>
                <w:bCs w:val="0"/>
                <w:lang w:val="en-US" w:eastAsia="zh-CN"/>
              </w:rPr>
            </w:pPr>
            <w:r>
              <w:rPr>
                <w:rFonts w:hint="eastAsia"/>
                <w:b w:val="0"/>
                <w:bCs w:val="0"/>
                <w:lang w:val="en-US" w:eastAsia="zh-CN"/>
              </w:rPr>
              <w:t>点击【导入】按钮时打开批量导入产品型号窗口；</w:t>
            </w:r>
          </w:p>
          <w:p w14:paraId="2AC8703F">
            <w:pPr>
              <w:pStyle w:val="19"/>
              <w:numPr>
                <w:ilvl w:val="0"/>
                <w:numId w:val="226"/>
              </w:numPr>
              <w:bidi w:val="0"/>
              <w:rPr>
                <w:b w:val="0"/>
                <w:bCs w:val="0"/>
              </w:rPr>
            </w:pPr>
            <w:r>
              <w:rPr>
                <w:rFonts w:hint="eastAsia"/>
                <w:b w:val="0"/>
                <w:bCs w:val="0"/>
                <w:lang w:val="en-US" w:eastAsia="zh-CN"/>
              </w:rPr>
              <w:t>点击【导出】按钮，可将列表内数据导出到excel；</w:t>
            </w:r>
          </w:p>
          <w:p w14:paraId="4D92C2AF">
            <w:pPr>
              <w:pStyle w:val="19"/>
              <w:numPr>
                <w:ilvl w:val="0"/>
                <w:numId w:val="226"/>
              </w:numPr>
              <w:bidi w:val="0"/>
              <w:rPr>
                <w:b w:val="0"/>
                <w:bCs w:val="0"/>
              </w:rPr>
            </w:pPr>
            <w:r>
              <w:rPr>
                <w:rFonts w:hint="eastAsia"/>
                <w:b w:val="0"/>
                <w:bCs w:val="0"/>
                <w:lang w:val="en-US" w:eastAsia="zh-CN"/>
              </w:rPr>
              <w:t>点击【编辑】打开编辑窗口；</w:t>
            </w:r>
          </w:p>
          <w:p w14:paraId="666E79F8">
            <w:pPr>
              <w:pStyle w:val="19"/>
              <w:numPr>
                <w:ilvl w:val="0"/>
                <w:numId w:val="226"/>
              </w:numPr>
              <w:bidi w:val="0"/>
              <w:rPr>
                <w:b w:val="0"/>
                <w:bCs w:val="0"/>
              </w:rPr>
            </w:pPr>
            <w:r>
              <w:rPr>
                <w:rFonts w:hint="eastAsia"/>
                <w:b w:val="0"/>
                <w:bCs w:val="0"/>
                <w:lang w:val="en-US" w:eastAsia="zh-CN"/>
              </w:rPr>
              <w:t>点击【删除】打开弹窗，点击取消后关闭弹窗，点击确定后关闭弹窗并删除数据；</w:t>
            </w:r>
          </w:p>
        </w:tc>
      </w:tr>
    </w:tbl>
    <w:p w14:paraId="1E30D3AA">
      <w:pPr>
        <w:rPr>
          <w:b w:val="0"/>
          <w:bCs w:val="0"/>
        </w:rPr>
      </w:pPr>
    </w:p>
    <w:p w14:paraId="01D86D6E">
      <w:pPr>
        <w:pStyle w:val="6"/>
        <w:numPr>
          <w:ilvl w:val="0"/>
          <w:numId w:val="225"/>
        </w:numPr>
        <w:bidi w:val="0"/>
        <w:ind w:left="0" w:leftChars="0" w:firstLine="0" w:firstLineChars="0"/>
        <w:rPr>
          <w:b w:val="0"/>
          <w:bCs w:val="0"/>
          <w:sz w:val="28"/>
          <w:szCs w:val="28"/>
        </w:rPr>
      </w:pPr>
      <w:r>
        <w:rPr>
          <w:b w:val="0"/>
          <w:bCs w:val="0"/>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89"/>
        <w:gridCol w:w="1738"/>
        <w:gridCol w:w="1468"/>
        <w:gridCol w:w="1210"/>
        <w:gridCol w:w="4479"/>
      </w:tblGrid>
      <w:tr w14:paraId="2A1F5386">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4F28165">
            <w:pPr>
              <w:pStyle w:val="19"/>
              <w:bidi w:val="0"/>
              <w:spacing w:line="240" w:lineRule="auto"/>
              <w:ind w:left="0" w:leftChars="0" w:right="0" w:rightChars="0" w:firstLine="0" w:firstLineChars="0"/>
              <w:jc w:val="center"/>
              <w:rPr>
                <w:rFonts w:hint="eastAsia" w:ascii="宋体" w:hAnsi="宋体" w:eastAsia="宋体" w:cs="宋体"/>
                <w:b w:val="0"/>
                <w:bCs w:val="0"/>
                <w:sz w:val="24"/>
                <w:szCs w:val="24"/>
              </w:rPr>
            </w:pPr>
            <w:r>
              <w:rPr>
                <w:rFonts w:hint="eastAsia" w:ascii="宋体" w:hAnsi="宋体" w:eastAsia="宋体" w:cs="宋体"/>
                <w:b w:val="0"/>
                <w:bCs w:val="0"/>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45F5A14">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字段中文名称</w:t>
            </w:r>
          </w:p>
        </w:tc>
        <w:tc>
          <w:tcPr>
            <w:tcW w:w="146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540AF8A">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F3862FB">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工程单位</w:t>
            </w:r>
          </w:p>
        </w:tc>
        <w:tc>
          <w:tcPr>
            <w:tcW w:w="447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397EE0F">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校验与约束规则</w:t>
            </w:r>
          </w:p>
        </w:tc>
      </w:tr>
      <w:tr w14:paraId="10DD4008">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AC5F065">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1B5A3FB">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sz w:val="24"/>
                <w:szCs w:val="24"/>
              </w:rPr>
              <w:t>经营单位</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045CFA9">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420F39A">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1C1CEAA">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r>
      <w:tr w14:paraId="54268491">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7311008">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0CB415F">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sz w:val="24"/>
                <w:szCs w:val="24"/>
              </w:rPr>
              <w:t>制造工厂</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D8333ED">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CC788DD">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036DEFB">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r>
      <w:tr w14:paraId="7FC91B23">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2F73451">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3515EBC">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sz w:val="24"/>
                <w:szCs w:val="24"/>
              </w:rPr>
              <w:t>产品大类</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65FA89D">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30DD52F">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442DAD3">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r>
      <w:tr w14:paraId="0032F799">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30A2BD1">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ABCAD6B">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sz w:val="24"/>
                <w:szCs w:val="24"/>
              </w:rPr>
              <w:t>大类编码</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E6BA2A0">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A212642">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AB23353">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r>
      <w:tr w14:paraId="112BFC3D">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2FFAB97">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385222B">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sz w:val="24"/>
                <w:szCs w:val="24"/>
              </w:rPr>
              <w:t>产品中类</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E266325">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82BA95D">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2BC68A8">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r>
      <w:tr w14:paraId="7D53EBA0">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25A58F1">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5EF1B3E">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sz w:val="24"/>
                <w:szCs w:val="24"/>
              </w:rPr>
              <w:t>中类编码</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DEE695F">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D53AB94">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0D6833A">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r>
    </w:tbl>
    <w:p w14:paraId="6332877C">
      <w:pPr>
        <w:pStyle w:val="19"/>
        <w:bidi w:val="0"/>
        <w:rPr>
          <w:b w:val="0"/>
          <w:bCs w:val="0"/>
        </w:rPr>
      </w:pPr>
    </w:p>
    <w:p w14:paraId="5DE4B270">
      <w:pPr>
        <w:pStyle w:val="6"/>
        <w:numPr>
          <w:ilvl w:val="0"/>
          <w:numId w:val="225"/>
        </w:numPr>
        <w:bidi w:val="0"/>
        <w:ind w:left="0" w:leftChars="0" w:firstLine="0" w:firstLineChars="0"/>
        <w:rPr>
          <w:b w:val="0"/>
          <w:bCs w:val="0"/>
          <w:sz w:val="28"/>
          <w:szCs w:val="28"/>
        </w:rPr>
      </w:pPr>
      <w:r>
        <w:rPr>
          <w:b w:val="0"/>
          <w:bCs w:val="0"/>
          <w:sz w:val="28"/>
          <w:szCs w:val="28"/>
        </w:rPr>
        <w:t>核心数学模型与算法框架</w:t>
      </w:r>
    </w:p>
    <w:tbl>
      <w:tblPr>
        <w:tblStyle w:val="38"/>
        <w:tblW w:w="0" w:type="auto"/>
        <w:jc w:val="center"/>
        <w:tblLayout w:type="fixed"/>
        <w:tblCellMar>
          <w:top w:w="0" w:type="dxa"/>
          <w:left w:w="108" w:type="dxa"/>
          <w:bottom w:w="0" w:type="dxa"/>
          <w:right w:w="108" w:type="dxa"/>
        </w:tblCellMar>
      </w:tblPr>
      <w:tblGrid>
        <w:gridCol w:w="9648"/>
      </w:tblGrid>
      <w:tr w14:paraId="680F204C">
        <w:tblPrEx>
          <w:tblCellMar>
            <w:top w:w="0" w:type="dxa"/>
            <w:left w:w="108" w:type="dxa"/>
            <w:bottom w:w="0" w:type="dxa"/>
            <w:right w:w="108" w:type="dxa"/>
          </w:tblCellMar>
        </w:tblPrEx>
        <w:trPr>
          <w:jc w:val="center"/>
        </w:trPr>
        <w:tc>
          <w:tcPr>
            <w:tcW w:w="9648" w:type="dxa"/>
            <w:tcBorders>
              <w:top w:val="nil"/>
              <w:left w:val="single" w:color="16A34A" w:sz="24" w:space="0"/>
              <w:bottom w:val="nil"/>
              <w:right w:val="nil"/>
            </w:tcBorders>
            <w:shd w:val="clear" w:color="auto" w:fill="F0FDF4"/>
            <w:tcMar>
              <w:top w:w="70" w:type="dxa"/>
              <w:left w:w="100" w:type="dxa"/>
              <w:bottom w:w="70" w:type="dxa"/>
              <w:right w:w="100" w:type="dxa"/>
            </w:tcMar>
          </w:tcPr>
          <w:p w14:paraId="1934D1AD">
            <w:pPr>
              <w:pStyle w:val="19"/>
              <w:bidi w:val="0"/>
              <w:rPr>
                <w:b w:val="0"/>
                <w:bCs w:val="0"/>
              </w:rPr>
            </w:pPr>
            <w:r>
              <w:rPr>
                <w:rFonts w:hint="eastAsia"/>
                <w:lang w:val="en-US" w:eastAsia="zh-CN"/>
              </w:rPr>
              <w:t>无</w:t>
            </w:r>
          </w:p>
        </w:tc>
      </w:tr>
    </w:tbl>
    <w:p w14:paraId="5B91B827">
      <w:pPr>
        <w:pStyle w:val="19"/>
        <w:bidi w:val="0"/>
        <w:rPr>
          <w:b w:val="0"/>
          <w:bCs w:val="0"/>
        </w:rPr>
      </w:pPr>
    </w:p>
    <w:p w14:paraId="5FD56E10">
      <w:pPr>
        <w:pStyle w:val="6"/>
        <w:numPr>
          <w:ilvl w:val="0"/>
          <w:numId w:val="225"/>
        </w:numPr>
        <w:bidi w:val="0"/>
        <w:ind w:left="0" w:leftChars="0" w:firstLine="0" w:firstLineChars="0"/>
        <w:rPr>
          <w:b w:val="0"/>
          <w:bCs w:val="0"/>
          <w:sz w:val="28"/>
          <w:szCs w:val="28"/>
        </w:rPr>
      </w:pPr>
      <w:r>
        <w:rPr>
          <w:b w:val="0"/>
          <w:bCs w:val="0"/>
          <w:sz w:val="28"/>
          <w:szCs w:val="28"/>
        </w:rPr>
        <w:t>展示、对标与判定口径</w:t>
      </w:r>
    </w:p>
    <w:tbl>
      <w:tblPr>
        <w:tblStyle w:val="38"/>
        <w:tblW w:w="0" w:type="auto"/>
        <w:jc w:val="center"/>
        <w:tblBorders>
          <w:top w:val="none" w:color="auto" w:sz="0" w:space="0"/>
          <w:left w:val="single" w:color="4874CB" w:themeColor="accent1"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4068F67C">
        <w:tblPrEx>
          <w:tblBorders>
            <w:top w:val="none" w:color="auto" w:sz="0" w:space="0"/>
            <w:left w:val="single" w:color="4874CB" w:themeColor="accent1"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tcPr>
          <w:p w14:paraId="41C66DA3">
            <w:pPr>
              <w:pStyle w:val="19"/>
              <w:bidi w:val="0"/>
              <w:rPr>
                <w:b w:val="0"/>
                <w:bCs w:val="0"/>
              </w:rPr>
            </w:pPr>
          </w:p>
        </w:tc>
      </w:tr>
    </w:tbl>
    <w:p w14:paraId="1B85C771">
      <w:pPr>
        <w:pStyle w:val="19"/>
        <w:bidi w:val="0"/>
        <w:rPr>
          <w:b w:val="0"/>
          <w:bCs w:val="0"/>
        </w:rPr>
      </w:pPr>
    </w:p>
    <w:p w14:paraId="6AF6EA47">
      <w:pPr>
        <w:pStyle w:val="6"/>
        <w:numPr>
          <w:ilvl w:val="0"/>
          <w:numId w:val="225"/>
        </w:numPr>
        <w:bidi w:val="0"/>
        <w:ind w:left="0" w:leftChars="0" w:firstLine="0" w:firstLineChars="0"/>
        <w:rPr>
          <w:b w:val="0"/>
          <w:bCs w:val="0"/>
          <w:sz w:val="28"/>
          <w:szCs w:val="28"/>
        </w:rPr>
      </w:pPr>
      <w:r>
        <w:rPr>
          <w:b w:val="0"/>
          <w:bCs w:val="0"/>
          <w:sz w:val="28"/>
          <w:szCs w:val="28"/>
        </w:rPr>
        <w:t>边界条件、异常处理与防错规则</w:t>
      </w:r>
    </w:p>
    <w:tbl>
      <w:tblPr>
        <w:tblStyle w:val="38"/>
        <w:tblW w:w="0" w:type="auto"/>
        <w:jc w:val="center"/>
        <w:tblBorders>
          <w:top w:val="none" w:color="auto" w:sz="0" w:space="0"/>
          <w:left w:val="single" w:color="E54C5E" w:themeColor="accent6"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59CA9B45">
        <w:tblPrEx>
          <w:tblBorders>
            <w:top w:val="none" w:color="auto" w:sz="0" w:space="0"/>
            <w:left w:val="single" w:color="E54C5E" w:themeColor="accent6"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5F3FF"/>
            <w:tcMar>
              <w:top w:w="70" w:type="dxa"/>
              <w:left w:w="100" w:type="dxa"/>
              <w:bottom w:w="70" w:type="dxa"/>
              <w:right w:w="100" w:type="dxa"/>
            </w:tcMar>
          </w:tcPr>
          <w:p w14:paraId="5ABA7AD5">
            <w:pPr>
              <w:pStyle w:val="19"/>
              <w:bidi w:val="0"/>
              <w:rPr>
                <w:b w:val="0"/>
                <w:bCs w:val="0"/>
              </w:rPr>
            </w:pPr>
          </w:p>
        </w:tc>
      </w:tr>
    </w:tbl>
    <w:p w14:paraId="1B5AB74B">
      <w:pPr>
        <w:rPr>
          <w:b w:val="0"/>
          <w:bCs w:val="0"/>
        </w:rPr>
      </w:pPr>
    </w:p>
    <w:p w14:paraId="4493F238">
      <w:pPr>
        <w:pStyle w:val="6"/>
        <w:numPr>
          <w:ilvl w:val="0"/>
          <w:numId w:val="225"/>
        </w:numPr>
        <w:bidi w:val="0"/>
        <w:ind w:left="0" w:leftChars="0" w:firstLine="0" w:firstLineChars="0"/>
        <w:rPr>
          <w:b w:val="0"/>
          <w:bCs w:val="0"/>
          <w:sz w:val="28"/>
          <w:szCs w:val="28"/>
        </w:rPr>
      </w:pPr>
      <w:r>
        <w:rPr>
          <w:b w:val="0"/>
          <w:bCs w:val="0"/>
          <w:sz w:val="28"/>
          <w:szCs w:val="28"/>
        </w:rPr>
        <w:t>QA 自动化验收准则（Gherkin BDD）</w:t>
      </w:r>
    </w:p>
    <w:tbl>
      <w:tblPr>
        <w:tblStyle w:val="38"/>
        <w:tblW w:w="0" w:type="auto"/>
        <w:jc w:val="center"/>
        <w:tblLayout w:type="fixed"/>
        <w:tblCellMar>
          <w:top w:w="0" w:type="dxa"/>
          <w:left w:w="108" w:type="dxa"/>
          <w:bottom w:w="0" w:type="dxa"/>
          <w:right w:w="108" w:type="dxa"/>
        </w:tblCellMar>
      </w:tblPr>
      <w:tblGrid>
        <w:gridCol w:w="9648"/>
      </w:tblGrid>
      <w:tr w14:paraId="3962A241">
        <w:tblPrEx>
          <w:tblCellMar>
            <w:top w:w="0" w:type="dxa"/>
            <w:left w:w="108" w:type="dxa"/>
            <w:bottom w:w="0" w:type="dxa"/>
            <w:right w:w="108" w:type="dxa"/>
          </w:tblCellMar>
        </w:tblPrEx>
        <w:trPr>
          <w:jc w:val="center"/>
        </w:trPr>
        <w:tc>
          <w:tcPr>
            <w:tcW w:w="9648" w:type="dxa"/>
            <w:tcBorders>
              <w:top w:val="nil"/>
              <w:left w:val="single" w:color="7C3AED" w:sz="24" w:space="0"/>
              <w:bottom w:val="nil"/>
              <w:right w:val="nil"/>
            </w:tcBorders>
            <w:shd w:val="clear" w:color="auto" w:fill="F5F3FF"/>
            <w:tcMar>
              <w:top w:w="70" w:type="dxa"/>
              <w:left w:w="100" w:type="dxa"/>
              <w:bottom w:w="70" w:type="dxa"/>
              <w:right w:w="100" w:type="dxa"/>
            </w:tcMar>
          </w:tcPr>
          <w:p w14:paraId="501C36E3">
            <w:pPr>
              <w:pStyle w:val="19"/>
              <w:bidi w:val="0"/>
              <w:rPr>
                <w:b w:val="0"/>
                <w:bCs w:val="0"/>
              </w:rPr>
            </w:pPr>
          </w:p>
        </w:tc>
      </w:tr>
    </w:tbl>
    <w:p w14:paraId="63544A91">
      <w:pPr>
        <w:rPr>
          <w:rFonts w:hint="eastAsia"/>
          <w:b w:val="0"/>
          <w:bCs w:val="0"/>
          <w:lang w:val="en-US" w:eastAsia="zh-CN"/>
        </w:rPr>
      </w:pPr>
    </w:p>
    <w:p w14:paraId="709F5715">
      <w:pPr>
        <w:pStyle w:val="5"/>
        <w:numPr>
          <w:ilvl w:val="0"/>
          <w:numId w:val="222"/>
        </w:numPr>
        <w:ind w:left="0" w:leftChars="0" w:firstLine="0" w:firstLineChars="0"/>
        <w:outlineLvl w:val="1"/>
        <w:rPr>
          <w:rFonts w:hint="eastAsia"/>
          <w:b w:val="0"/>
          <w:bCs w:val="0"/>
          <w:lang w:val="en-US" w:eastAsia="zh-CN"/>
        </w:rPr>
      </w:pPr>
      <w:bookmarkStart w:id="79" w:name="_Toc15573"/>
      <w:r>
        <w:rPr>
          <w:rFonts w:hint="eastAsia"/>
          <w:b w:val="0"/>
          <w:bCs w:val="0"/>
          <w:lang w:val="en-US" w:eastAsia="zh-CN"/>
        </w:rPr>
        <w:t>基础数据管理</w:t>
      </w:r>
      <w:bookmarkEnd w:id="79"/>
    </w:p>
    <w:p w14:paraId="7A736ADE">
      <w:pPr>
        <w:rPr>
          <w:b w:val="0"/>
          <w:bCs w:val="0"/>
        </w:rPr>
      </w:pPr>
      <w:r>
        <w:drawing>
          <wp:inline distT="0" distB="0" distL="114300" distR="114300">
            <wp:extent cx="5900420" cy="2925445"/>
            <wp:effectExtent l="0" t="0" r="5080" b="8255"/>
            <wp:docPr id="95"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49"/>
                    <pic:cNvPicPr>
                      <a:picLocks noChangeAspect="1"/>
                    </pic:cNvPicPr>
                  </pic:nvPicPr>
                  <pic:blipFill>
                    <a:blip r:embed="rId107"/>
                    <a:stretch>
                      <a:fillRect/>
                    </a:stretch>
                  </pic:blipFill>
                  <pic:spPr>
                    <a:xfrm>
                      <a:off x="0" y="0"/>
                      <a:ext cx="5900420" cy="2925445"/>
                    </a:xfrm>
                    <a:prstGeom prst="rect">
                      <a:avLst/>
                    </a:prstGeom>
                    <a:noFill/>
                    <a:ln>
                      <a:noFill/>
                    </a:ln>
                  </pic:spPr>
                </pic:pic>
              </a:graphicData>
            </a:graphic>
          </wp:inline>
        </w:drawing>
      </w:r>
    </w:p>
    <w:p w14:paraId="11ECF234">
      <w:pPr>
        <w:pStyle w:val="6"/>
        <w:numPr>
          <w:ilvl w:val="0"/>
          <w:numId w:val="227"/>
        </w:numPr>
        <w:bidi w:val="0"/>
        <w:ind w:left="0" w:leftChars="0" w:firstLine="0" w:firstLineChars="0"/>
        <w:rPr>
          <w:b w:val="0"/>
          <w:bCs w:val="0"/>
          <w:sz w:val="28"/>
          <w:szCs w:val="28"/>
        </w:rPr>
      </w:pPr>
      <w:r>
        <w:rPr>
          <w:b w:val="0"/>
          <w:bCs w:val="0"/>
          <w:sz w:val="28"/>
          <w:szCs w:val="28"/>
        </w:rPr>
        <w:t>定位与架构角色</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296A13F0">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PrEx>
        <w:trPr>
          <w:jc w:val="center"/>
        </w:trPr>
        <w:tc>
          <w:tcPr>
            <w:tcW w:w="9648" w:type="dxa"/>
            <w:tcBorders>
              <w:tl2br w:val="nil"/>
              <w:tr2bl w:val="nil"/>
            </w:tcBorders>
            <w:shd w:val="clear" w:color="auto" w:fill="F0FDF4"/>
            <w:tcMar>
              <w:top w:w="70" w:type="dxa"/>
              <w:left w:w="100" w:type="dxa"/>
              <w:bottom w:w="70" w:type="dxa"/>
              <w:right w:w="100" w:type="dxa"/>
            </w:tcMar>
          </w:tcPr>
          <w:p w14:paraId="1FCABD59">
            <w:pPr>
              <w:pStyle w:val="19"/>
              <w:bidi w:val="0"/>
              <w:ind w:left="0" w:leftChars="0" w:firstLine="0" w:firstLineChars="0"/>
              <w:rPr>
                <w:rFonts w:ascii="宋体" w:hAnsi="宋体" w:eastAsia="宋体" w:cs="宋体"/>
                <w:sz w:val="24"/>
                <w:szCs w:val="24"/>
              </w:rPr>
            </w:pPr>
            <w:r>
              <w:rPr>
                <w:rFonts w:ascii="宋体" w:hAnsi="宋体" w:eastAsia="宋体" w:cs="宋体"/>
                <w:b/>
                <w:bCs/>
                <w:sz w:val="24"/>
                <w:szCs w:val="24"/>
              </w:rPr>
              <w:t>・功能定位</w:t>
            </w:r>
            <w:r>
              <w:rPr>
                <w:rFonts w:ascii="宋体" w:hAnsi="宋体" w:eastAsia="宋体" w:cs="宋体"/>
                <w:sz w:val="24"/>
                <w:szCs w:val="24"/>
              </w:rPr>
              <w:t xml:space="preserve">：作为生产数据维护模块下指标主数据管理单元，统一维护各类能源、统计指标的代码、名称、业务分类、计量单位、数据来源、集成方式与采集频率，支持基础数据项新增、参数编辑与数据导出，为平台数据采集、指标计算、报表统计提供标准化指标字典，是平台数据接入与统一口径管理的核心基础依赖。 </w:t>
            </w:r>
          </w:p>
          <w:p w14:paraId="37D045C1">
            <w:pPr>
              <w:pStyle w:val="19"/>
              <w:bidi w:val="0"/>
              <w:ind w:left="0" w:leftChars="0" w:firstLine="0" w:firstLineChars="0"/>
              <w:rPr>
                <w:b w:val="0"/>
                <w:bCs w:val="0"/>
              </w:rPr>
            </w:pPr>
            <w:r>
              <w:rPr>
                <w:rFonts w:ascii="宋体" w:hAnsi="宋体" w:eastAsia="宋体" w:cs="宋体"/>
                <w:b/>
                <w:bCs/>
                <w:sz w:val="24"/>
                <w:szCs w:val="24"/>
              </w:rPr>
              <w:t>・承载角色</w:t>
            </w:r>
            <w:r>
              <w:rPr>
                <w:rFonts w:ascii="宋体" w:hAnsi="宋体" w:eastAsia="宋体" w:cs="宋体"/>
                <w:sz w:val="24"/>
                <w:szCs w:val="24"/>
              </w:rPr>
              <w:t>：PM 系统管理员（全量基础数据项新增、指标属性维护、字典管理与数据导出）。</w:t>
            </w:r>
          </w:p>
        </w:tc>
      </w:tr>
    </w:tbl>
    <w:p w14:paraId="71F3C4E2">
      <w:pPr>
        <w:rPr>
          <w:b w:val="0"/>
          <w:bCs w:val="0"/>
        </w:rPr>
      </w:pPr>
    </w:p>
    <w:p w14:paraId="5B902985">
      <w:pPr>
        <w:pStyle w:val="6"/>
        <w:numPr>
          <w:ilvl w:val="0"/>
          <w:numId w:val="227"/>
        </w:numPr>
        <w:bidi w:val="0"/>
        <w:ind w:left="0" w:leftChars="0" w:firstLine="0" w:firstLineChars="0"/>
        <w:rPr>
          <w:b w:val="0"/>
          <w:bCs w:val="0"/>
          <w:sz w:val="28"/>
          <w:szCs w:val="28"/>
        </w:rPr>
      </w:pPr>
      <w:r>
        <w:rPr>
          <w:b w:val="0"/>
          <w:bCs w:val="0"/>
          <w:sz w:val="28"/>
          <w:szCs w:val="28"/>
        </w:rPr>
        <w:t>业务场景与用户故事</w:t>
      </w:r>
    </w:p>
    <w:tbl>
      <w:tblPr>
        <w:tblStyle w:val="38"/>
        <w:tblW w:w="0" w:type="auto"/>
        <w:jc w:val="center"/>
        <w:tblBorders>
          <w:top w:val="none" w:color="auto" w:sz="0" w:space="0"/>
          <w:left w:val="single" w:color="44546A" w:themeColor="text2"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3E053C56">
        <w:tblPrEx>
          <w:tblBorders>
            <w:top w:val="none" w:color="auto" w:sz="0" w:space="0"/>
            <w:left w:val="single" w:color="44546A" w:themeColor="text2"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tcPr>
          <w:p w14:paraId="60E86A8F">
            <w:pPr>
              <w:pStyle w:val="19"/>
              <w:bidi w:val="0"/>
              <w:ind w:left="0" w:leftChars="0" w:firstLine="0" w:firstLineChars="0"/>
            </w:pPr>
            <w:r>
              <w:rPr>
                <w:b/>
                <w:bCs/>
                <w:lang w:val="en-US" w:eastAsia="zh-CN"/>
              </w:rPr>
              <w:t>业务场景</w:t>
            </w:r>
            <w:r>
              <w:rPr>
                <w:lang w:val="en-US" w:eastAsia="zh-CN"/>
              </w:rPr>
              <w:t>：面向系统管理员进行平台指标字典统一管控场景，标准化所有能碳统计指标、采集规则与数据口径，实现全平台数据统一治理。</w:t>
            </w:r>
          </w:p>
          <w:p w14:paraId="698CACA4">
            <w:pPr>
              <w:pStyle w:val="19"/>
              <w:bidi w:val="0"/>
              <w:ind w:left="0" w:leftChars="0" w:firstLine="0" w:firstLineChars="0"/>
            </w:pPr>
            <w:r>
              <w:rPr>
                <w:b/>
                <w:bCs/>
                <w:lang w:val="en-US" w:eastAsia="zh-CN"/>
              </w:rPr>
              <w:t>用户故事</w:t>
            </w:r>
            <w:r>
              <w:rPr>
                <w:lang w:val="en-US" w:eastAsia="zh-CN"/>
              </w:rPr>
              <w:t>：</w:t>
            </w:r>
          </w:p>
          <w:p w14:paraId="5BBBA5F7">
            <w:pPr>
              <w:pStyle w:val="19"/>
              <w:bidi w:val="0"/>
            </w:pPr>
            <w:r>
              <w:rPr>
                <w:lang w:val="en-US" w:eastAsia="zh-CN"/>
              </w:rPr>
              <w:t>As a 系统管理员 (Persona PM)，</w:t>
            </w:r>
          </w:p>
          <w:p w14:paraId="7FBD50FD">
            <w:pPr>
              <w:pStyle w:val="19"/>
              <w:bidi w:val="0"/>
            </w:pPr>
            <w:r>
              <w:rPr>
                <w:lang w:val="en-US" w:eastAsia="zh-CN"/>
              </w:rPr>
              <w:t>I want 统一维护平台指标编码、口径、采集规则与元数据信息，</w:t>
            </w:r>
          </w:p>
          <w:p w14:paraId="3CED4418">
            <w:pPr>
              <w:pStyle w:val="19"/>
              <w:bidi w:val="0"/>
            </w:pPr>
            <w:r>
              <w:rPr>
                <w:lang w:val="en-US" w:eastAsia="zh-CN"/>
              </w:rPr>
              <w:t>So that 我能实现全平台能碳数据标准化接入，保障大屏实时指标、统计数据口径一致。</w:t>
            </w:r>
          </w:p>
        </w:tc>
      </w:tr>
    </w:tbl>
    <w:p w14:paraId="407199FD">
      <w:pPr>
        <w:rPr>
          <w:b w:val="0"/>
          <w:bCs w:val="0"/>
        </w:rPr>
      </w:pPr>
    </w:p>
    <w:p w14:paraId="5F9A88C9">
      <w:pPr>
        <w:pStyle w:val="6"/>
        <w:numPr>
          <w:ilvl w:val="0"/>
          <w:numId w:val="227"/>
        </w:numPr>
        <w:bidi w:val="0"/>
        <w:ind w:left="0" w:leftChars="0" w:firstLine="0" w:firstLineChars="0"/>
        <w:rPr>
          <w:b w:val="0"/>
          <w:bCs w:val="0"/>
          <w:sz w:val="28"/>
          <w:szCs w:val="28"/>
        </w:rPr>
      </w:pPr>
      <w:r>
        <w:rPr>
          <w:b w:val="0"/>
          <w:bCs w:val="0"/>
          <w:sz w:val="28"/>
          <w:szCs w:val="28"/>
        </w:rPr>
        <w:t>功能规格与交互契约</w:t>
      </w:r>
    </w:p>
    <w:tbl>
      <w:tblPr>
        <w:tblStyle w:val="38"/>
        <w:tblW w:w="0" w:type="auto"/>
        <w:jc w:val="center"/>
        <w:tblBorders>
          <w:top w:val="none" w:color="auto" w:sz="0" w:space="0"/>
          <w:left w:val="single" w:color="EE822F" w:themeColor="accent2"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263A6AE4">
        <w:tblPrEx>
          <w:tblBorders>
            <w:top w:val="none" w:color="auto" w:sz="0" w:space="0"/>
            <w:left w:val="single" w:color="EE822F" w:themeColor="accent2"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tcPr>
          <w:p w14:paraId="2EE791E7">
            <w:pPr>
              <w:pStyle w:val="19"/>
              <w:numPr>
                <w:ilvl w:val="0"/>
                <w:numId w:val="228"/>
              </w:numPr>
              <w:bidi w:val="0"/>
              <w:rPr>
                <w:rFonts w:hint="default" w:eastAsia="宋体"/>
                <w:b w:val="0"/>
                <w:bCs w:val="0"/>
                <w:lang w:val="en-US" w:eastAsia="zh-CN"/>
              </w:rPr>
            </w:pPr>
            <w:r>
              <w:rPr>
                <w:rFonts w:hint="eastAsia"/>
                <w:b w:val="0"/>
                <w:bCs w:val="0"/>
                <w:lang w:val="en-US" w:eastAsia="zh-CN"/>
              </w:rPr>
              <w:t>选择查询条件，根据条件筛选列表数据；</w:t>
            </w:r>
          </w:p>
          <w:p w14:paraId="75943651">
            <w:pPr>
              <w:pStyle w:val="19"/>
              <w:numPr>
                <w:ilvl w:val="0"/>
                <w:numId w:val="228"/>
              </w:numPr>
              <w:bidi w:val="0"/>
              <w:rPr>
                <w:rFonts w:hint="default" w:eastAsia="宋体"/>
                <w:b w:val="0"/>
                <w:bCs w:val="0"/>
                <w:lang w:val="en-US" w:eastAsia="zh-CN"/>
              </w:rPr>
            </w:pPr>
            <w:r>
              <w:rPr>
                <w:rFonts w:hint="eastAsia"/>
                <w:b w:val="0"/>
                <w:bCs w:val="0"/>
                <w:lang w:val="en-US" w:eastAsia="zh-CN"/>
              </w:rPr>
              <w:t>点击【新增基础数据项】打开新增基础数据项弹窗；</w:t>
            </w:r>
          </w:p>
          <w:p w14:paraId="5D06FD0B">
            <w:pPr>
              <w:pStyle w:val="19"/>
              <w:numPr>
                <w:ilvl w:val="0"/>
                <w:numId w:val="228"/>
              </w:numPr>
              <w:bidi w:val="0"/>
              <w:rPr>
                <w:b w:val="0"/>
                <w:bCs w:val="0"/>
              </w:rPr>
            </w:pPr>
            <w:r>
              <w:rPr>
                <w:rFonts w:hint="eastAsia"/>
                <w:b w:val="0"/>
                <w:bCs w:val="0"/>
                <w:lang w:val="en-US" w:eastAsia="zh-CN"/>
              </w:rPr>
              <w:t>点击【导出】按钮，可将列表内数据导出到excel；</w:t>
            </w:r>
          </w:p>
          <w:p w14:paraId="5705DB29">
            <w:pPr>
              <w:pStyle w:val="19"/>
              <w:numPr>
                <w:ilvl w:val="0"/>
                <w:numId w:val="228"/>
              </w:numPr>
              <w:bidi w:val="0"/>
              <w:rPr>
                <w:b w:val="0"/>
                <w:bCs w:val="0"/>
              </w:rPr>
            </w:pPr>
            <w:r>
              <w:rPr>
                <w:rFonts w:hint="eastAsia"/>
                <w:b w:val="0"/>
                <w:bCs w:val="0"/>
                <w:lang w:val="en-US" w:eastAsia="zh-CN"/>
              </w:rPr>
              <w:t>点击【编辑】打开编辑窗口；</w:t>
            </w:r>
          </w:p>
          <w:p w14:paraId="27261BB0">
            <w:pPr>
              <w:pStyle w:val="19"/>
              <w:numPr>
                <w:ilvl w:val="0"/>
                <w:numId w:val="228"/>
              </w:numPr>
              <w:bidi w:val="0"/>
              <w:rPr>
                <w:b w:val="0"/>
                <w:bCs w:val="0"/>
              </w:rPr>
            </w:pPr>
            <w:r>
              <w:rPr>
                <w:rFonts w:hint="eastAsia"/>
                <w:b w:val="0"/>
                <w:bCs w:val="0"/>
                <w:lang w:val="en-US" w:eastAsia="zh-CN"/>
              </w:rPr>
              <w:t>点击【删除】打开弹窗，点击取消后关闭弹窗，点击确定后关闭弹窗并删除数据；</w:t>
            </w:r>
          </w:p>
        </w:tc>
      </w:tr>
    </w:tbl>
    <w:p w14:paraId="2B9C0BBE">
      <w:pPr>
        <w:rPr>
          <w:b w:val="0"/>
          <w:bCs w:val="0"/>
        </w:rPr>
      </w:pPr>
    </w:p>
    <w:p w14:paraId="6F7B9756">
      <w:pPr>
        <w:pStyle w:val="6"/>
        <w:numPr>
          <w:ilvl w:val="0"/>
          <w:numId w:val="227"/>
        </w:numPr>
        <w:bidi w:val="0"/>
        <w:ind w:left="0" w:leftChars="0" w:firstLine="0" w:firstLineChars="0"/>
        <w:rPr>
          <w:b w:val="0"/>
          <w:bCs w:val="0"/>
          <w:sz w:val="28"/>
          <w:szCs w:val="28"/>
        </w:rPr>
      </w:pPr>
      <w:r>
        <w:rPr>
          <w:b w:val="0"/>
          <w:bCs w:val="0"/>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89"/>
        <w:gridCol w:w="1738"/>
        <w:gridCol w:w="1468"/>
        <w:gridCol w:w="1210"/>
        <w:gridCol w:w="4479"/>
      </w:tblGrid>
      <w:tr w14:paraId="51061D52">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6D8C32D">
            <w:pPr>
              <w:pStyle w:val="19"/>
              <w:bidi w:val="0"/>
              <w:spacing w:line="240" w:lineRule="auto"/>
              <w:ind w:left="0" w:leftChars="0" w:right="0" w:rightChars="0" w:firstLine="0" w:firstLineChars="0"/>
              <w:jc w:val="center"/>
              <w:rPr>
                <w:b w:val="0"/>
                <w:bCs w:val="0"/>
                <w:sz w:val="24"/>
                <w:szCs w:val="24"/>
              </w:rPr>
            </w:pPr>
            <w:r>
              <w:rPr>
                <w:b w:val="0"/>
                <w:bCs w:val="0"/>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A2D2042">
            <w:pPr>
              <w:pStyle w:val="19"/>
              <w:bidi w:val="0"/>
              <w:spacing w:line="240" w:lineRule="auto"/>
              <w:ind w:left="0" w:leftChars="0" w:right="0" w:rightChars="0" w:firstLine="0" w:firstLineChars="0"/>
              <w:jc w:val="both"/>
              <w:rPr>
                <w:b w:val="0"/>
                <w:bCs w:val="0"/>
                <w:sz w:val="24"/>
                <w:szCs w:val="24"/>
              </w:rPr>
            </w:pPr>
            <w:r>
              <w:rPr>
                <w:b w:val="0"/>
                <w:bCs w:val="0"/>
                <w:sz w:val="24"/>
                <w:szCs w:val="24"/>
              </w:rPr>
              <w:t>字段中文名称</w:t>
            </w:r>
          </w:p>
        </w:tc>
        <w:tc>
          <w:tcPr>
            <w:tcW w:w="146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E8C7CC0">
            <w:pPr>
              <w:pStyle w:val="19"/>
              <w:bidi w:val="0"/>
              <w:spacing w:line="240" w:lineRule="auto"/>
              <w:ind w:left="0" w:leftChars="0" w:right="0" w:rightChars="0" w:firstLine="0" w:firstLineChars="0"/>
              <w:jc w:val="both"/>
              <w:rPr>
                <w:b w:val="0"/>
                <w:bCs w:val="0"/>
                <w:sz w:val="24"/>
                <w:szCs w:val="24"/>
              </w:rPr>
            </w:pPr>
            <w:r>
              <w:rPr>
                <w:b w:val="0"/>
                <w:bCs w:val="0"/>
                <w:sz w:val="24"/>
                <w:szCs w:val="24"/>
              </w:rPr>
              <w:t>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A2A43C9">
            <w:pPr>
              <w:pStyle w:val="19"/>
              <w:bidi w:val="0"/>
              <w:spacing w:line="240" w:lineRule="auto"/>
              <w:ind w:left="0" w:leftChars="0" w:right="0" w:rightChars="0" w:firstLine="0" w:firstLineChars="0"/>
              <w:jc w:val="both"/>
              <w:rPr>
                <w:b w:val="0"/>
                <w:bCs w:val="0"/>
                <w:sz w:val="24"/>
                <w:szCs w:val="24"/>
              </w:rPr>
            </w:pPr>
            <w:r>
              <w:rPr>
                <w:b w:val="0"/>
                <w:bCs w:val="0"/>
                <w:sz w:val="24"/>
                <w:szCs w:val="24"/>
              </w:rPr>
              <w:t>工程单位</w:t>
            </w:r>
          </w:p>
        </w:tc>
        <w:tc>
          <w:tcPr>
            <w:tcW w:w="447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94D9CF3">
            <w:pPr>
              <w:pStyle w:val="19"/>
              <w:bidi w:val="0"/>
              <w:spacing w:line="240" w:lineRule="auto"/>
              <w:ind w:left="0" w:leftChars="0" w:right="0" w:rightChars="0" w:firstLine="0" w:firstLineChars="0"/>
              <w:jc w:val="both"/>
              <w:rPr>
                <w:b w:val="0"/>
                <w:bCs w:val="0"/>
                <w:sz w:val="24"/>
                <w:szCs w:val="24"/>
              </w:rPr>
            </w:pPr>
            <w:r>
              <w:rPr>
                <w:b w:val="0"/>
                <w:bCs w:val="0"/>
                <w:sz w:val="24"/>
                <w:szCs w:val="24"/>
              </w:rPr>
              <w:t>校验与约束规则</w:t>
            </w:r>
          </w:p>
        </w:tc>
      </w:tr>
      <w:tr w14:paraId="00271C17">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5F9EEA1">
            <w:pPr>
              <w:pStyle w:val="19"/>
              <w:bidi w:val="0"/>
              <w:spacing w:line="240" w:lineRule="auto"/>
              <w:ind w:left="0" w:leftChars="0" w:right="0" w:rightChars="0" w:firstLine="0" w:firstLineChars="0"/>
              <w:jc w:val="center"/>
              <w:rPr>
                <w:rFonts w:hint="eastAsia" w:eastAsia="宋体"/>
                <w:b w:val="0"/>
                <w:bCs w:val="0"/>
                <w:sz w:val="24"/>
                <w:szCs w:val="24"/>
                <w:lang w:val="en-US" w:eastAsia="zh-CN"/>
              </w:rPr>
            </w:pPr>
            <w:r>
              <w:rPr>
                <w:rFonts w:hint="eastAsia"/>
                <w:b w:val="0"/>
                <w:bCs w:val="0"/>
                <w:sz w:val="24"/>
                <w:szCs w:val="24"/>
                <w:lang w:val="en-US" w:eastAsia="zh-CN"/>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6AF5EB3">
            <w:pPr>
              <w:bidi w:val="0"/>
              <w:spacing w:line="240" w:lineRule="auto"/>
              <w:ind w:left="0" w:leftChars="0" w:right="0" w:rightChars="0" w:firstLine="0" w:firstLineChars="0"/>
              <w:jc w:val="both"/>
              <w:rPr>
                <w:b w:val="0"/>
                <w:bCs w:val="0"/>
                <w:sz w:val="24"/>
                <w:szCs w:val="24"/>
              </w:rPr>
            </w:pPr>
            <w:r>
              <w:rPr>
                <w:rFonts w:hint="eastAsia"/>
                <w:sz w:val="24"/>
                <w:szCs w:val="24"/>
              </w:rPr>
              <w:t>数据项名称</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500C574">
            <w:pPr>
              <w:pStyle w:val="19"/>
              <w:bidi w:val="0"/>
              <w:spacing w:line="240" w:lineRule="auto"/>
              <w:ind w:left="0" w:leftChars="0" w:right="0" w:rightChars="0" w:firstLine="0" w:firstLineChars="0"/>
              <w:jc w:val="both"/>
              <w:rPr>
                <w:b w:val="0"/>
                <w:bCs w:val="0"/>
                <w:sz w:val="24"/>
                <w:szCs w:val="24"/>
              </w:rPr>
            </w:pP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8F1655A">
            <w:pPr>
              <w:pStyle w:val="19"/>
              <w:bidi w:val="0"/>
              <w:spacing w:line="240" w:lineRule="auto"/>
              <w:ind w:left="0" w:leftChars="0" w:right="0" w:rightChars="0" w:firstLine="0" w:firstLineChars="0"/>
              <w:jc w:val="both"/>
              <w:rPr>
                <w:b w:val="0"/>
                <w:bCs w:val="0"/>
                <w:sz w:val="24"/>
                <w:szCs w:val="24"/>
              </w:rPr>
            </w:pP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1360E3C">
            <w:pPr>
              <w:pStyle w:val="19"/>
              <w:bidi w:val="0"/>
              <w:spacing w:line="240" w:lineRule="auto"/>
              <w:ind w:left="0" w:leftChars="0" w:right="0" w:rightChars="0" w:firstLine="0" w:firstLineChars="0"/>
              <w:jc w:val="both"/>
              <w:rPr>
                <w:b w:val="0"/>
                <w:bCs w:val="0"/>
                <w:sz w:val="24"/>
                <w:szCs w:val="24"/>
              </w:rPr>
            </w:pPr>
          </w:p>
        </w:tc>
      </w:tr>
      <w:tr w14:paraId="6D154B2C">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8F802F2">
            <w:pPr>
              <w:pStyle w:val="19"/>
              <w:bidi w:val="0"/>
              <w:spacing w:line="240" w:lineRule="auto"/>
              <w:ind w:left="0" w:leftChars="0" w:right="0" w:rightChars="0" w:firstLine="0" w:firstLineChars="0"/>
              <w:jc w:val="center"/>
              <w:rPr>
                <w:rFonts w:hint="eastAsia" w:eastAsia="宋体"/>
                <w:b w:val="0"/>
                <w:bCs w:val="0"/>
                <w:sz w:val="24"/>
                <w:szCs w:val="24"/>
                <w:lang w:val="en-US" w:eastAsia="zh-CN"/>
              </w:rPr>
            </w:pPr>
            <w:r>
              <w:rPr>
                <w:rFonts w:hint="eastAsia"/>
                <w:b w:val="0"/>
                <w:bCs w:val="0"/>
                <w:sz w:val="24"/>
                <w:szCs w:val="24"/>
                <w:lang w:val="en-US" w:eastAsia="zh-CN"/>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80DEA36">
            <w:pPr>
              <w:bidi w:val="0"/>
              <w:spacing w:line="240" w:lineRule="auto"/>
              <w:ind w:left="0" w:leftChars="0" w:right="0" w:rightChars="0" w:firstLine="0" w:firstLineChars="0"/>
              <w:jc w:val="both"/>
              <w:rPr>
                <w:b w:val="0"/>
                <w:bCs w:val="0"/>
                <w:sz w:val="24"/>
                <w:szCs w:val="24"/>
              </w:rPr>
            </w:pPr>
            <w:r>
              <w:rPr>
                <w:rFonts w:hint="eastAsia"/>
                <w:sz w:val="24"/>
                <w:szCs w:val="24"/>
              </w:rPr>
              <w:t>业务分类</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FD4DF91">
            <w:pPr>
              <w:pStyle w:val="19"/>
              <w:bidi w:val="0"/>
              <w:spacing w:line="240" w:lineRule="auto"/>
              <w:ind w:left="0" w:leftChars="0" w:right="0" w:rightChars="0" w:firstLine="0" w:firstLineChars="0"/>
              <w:jc w:val="both"/>
              <w:rPr>
                <w:b w:val="0"/>
                <w:bCs w:val="0"/>
                <w:sz w:val="24"/>
                <w:szCs w:val="24"/>
              </w:rPr>
            </w:pP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8F09BFE">
            <w:pPr>
              <w:pStyle w:val="19"/>
              <w:bidi w:val="0"/>
              <w:spacing w:line="240" w:lineRule="auto"/>
              <w:ind w:left="0" w:leftChars="0" w:right="0" w:rightChars="0" w:firstLine="0" w:firstLineChars="0"/>
              <w:jc w:val="both"/>
              <w:rPr>
                <w:b w:val="0"/>
                <w:bCs w:val="0"/>
                <w:sz w:val="24"/>
                <w:szCs w:val="24"/>
              </w:rPr>
            </w:pP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9B5E237">
            <w:pPr>
              <w:pStyle w:val="19"/>
              <w:bidi w:val="0"/>
              <w:spacing w:line="240" w:lineRule="auto"/>
              <w:ind w:left="0" w:leftChars="0" w:right="0" w:rightChars="0" w:firstLine="0" w:firstLineChars="0"/>
              <w:jc w:val="both"/>
              <w:rPr>
                <w:b w:val="0"/>
                <w:bCs w:val="0"/>
                <w:sz w:val="24"/>
                <w:szCs w:val="24"/>
              </w:rPr>
            </w:pPr>
          </w:p>
        </w:tc>
      </w:tr>
      <w:tr w14:paraId="037AAA65">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956B6F3">
            <w:pPr>
              <w:pStyle w:val="19"/>
              <w:bidi w:val="0"/>
              <w:spacing w:line="240" w:lineRule="auto"/>
              <w:ind w:left="0" w:leftChars="0" w:right="0" w:rightChars="0" w:firstLine="0" w:firstLineChars="0"/>
              <w:jc w:val="center"/>
              <w:rPr>
                <w:rFonts w:hint="eastAsia" w:eastAsia="宋体"/>
                <w:b w:val="0"/>
                <w:bCs w:val="0"/>
                <w:sz w:val="24"/>
                <w:szCs w:val="24"/>
                <w:lang w:val="en-US" w:eastAsia="zh-CN"/>
              </w:rPr>
            </w:pPr>
            <w:r>
              <w:rPr>
                <w:rFonts w:hint="eastAsia"/>
                <w:b w:val="0"/>
                <w:bCs w:val="0"/>
                <w:sz w:val="24"/>
                <w:szCs w:val="24"/>
                <w:lang w:val="en-US" w:eastAsia="zh-CN"/>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FD70246">
            <w:pPr>
              <w:bidi w:val="0"/>
              <w:spacing w:line="240" w:lineRule="auto"/>
              <w:ind w:left="0" w:leftChars="0" w:right="0" w:rightChars="0" w:firstLine="0" w:firstLineChars="0"/>
              <w:jc w:val="both"/>
              <w:rPr>
                <w:b w:val="0"/>
                <w:bCs w:val="0"/>
                <w:sz w:val="24"/>
                <w:szCs w:val="24"/>
              </w:rPr>
            </w:pPr>
            <w:r>
              <w:rPr>
                <w:rFonts w:hint="eastAsia"/>
                <w:sz w:val="24"/>
                <w:szCs w:val="24"/>
              </w:rPr>
              <w:t>计量单位</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A903F4E">
            <w:pPr>
              <w:pStyle w:val="19"/>
              <w:bidi w:val="0"/>
              <w:spacing w:line="240" w:lineRule="auto"/>
              <w:ind w:left="0" w:leftChars="0" w:right="0" w:rightChars="0" w:firstLine="0" w:firstLineChars="0"/>
              <w:jc w:val="both"/>
              <w:rPr>
                <w:b w:val="0"/>
                <w:bCs w:val="0"/>
                <w:sz w:val="24"/>
                <w:szCs w:val="24"/>
              </w:rPr>
            </w:pP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732452A">
            <w:pPr>
              <w:pStyle w:val="19"/>
              <w:bidi w:val="0"/>
              <w:spacing w:line="240" w:lineRule="auto"/>
              <w:ind w:left="0" w:leftChars="0" w:right="0" w:rightChars="0" w:firstLine="0" w:firstLineChars="0"/>
              <w:jc w:val="both"/>
              <w:rPr>
                <w:b w:val="0"/>
                <w:bCs w:val="0"/>
                <w:sz w:val="24"/>
                <w:szCs w:val="24"/>
              </w:rPr>
            </w:pP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5108C98">
            <w:pPr>
              <w:pStyle w:val="19"/>
              <w:bidi w:val="0"/>
              <w:spacing w:line="240" w:lineRule="auto"/>
              <w:ind w:left="0" w:leftChars="0" w:right="0" w:rightChars="0" w:firstLine="0" w:firstLineChars="0"/>
              <w:jc w:val="both"/>
              <w:rPr>
                <w:b w:val="0"/>
                <w:bCs w:val="0"/>
                <w:sz w:val="24"/>
                <w:szCs w:val="24"/>
              </w:rPr>
            </w:pPr>
          </w:p>
        </w:tc>
      </w:tr>
      <w:tr w14:paraId="1E1A10E0">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65D681A">
            <w:pPr>
              <w:pStyle w:val="19"/>
              <w:bidi w:val="0"/>
              <w:spacing w:line="240" w:lineRule="auto"/>
              <w:ind w:left="0" w:leftChars="0" w:right="0" w:rightChars="0" w:firstLine="0" w:firstLineChars="0"/>
              <w:jc w:val="center"/>
              <w:rPr>
                <w:rFonts w:hint="eastAsia" w:eastAsia="宋体"/>
                <w:b w:val="0"/>
                <w:bCs w:val="0"/>
                <w:sz w:val="24"/>
                <w:szCs w:val="24"/>
                <w:lang w:val="en-US" w:eastAsia="zh-CN"/>
              </w:rPr>
            </w:pPr>
            <w:r>
              <w:rPr>
                <w:rFonts w:hint="eastAsia"/>
                <w:b w:val="0"/>
                <w:bCs w:val="0"/>
                <w:sz w:val="24"/>
                <w:szCs w:val="24"/>
                <w:lang w:val="en-US" w:eastAsia="zh-CN"/>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56D217E">
            <w:pPr>
              <w:bidi w:val="0"/>
              <w:spacing w:line="240" w:lineRule="auto"/>
              <w:ind w:left="0" w:leftChars="0" w:right="0" w:rightChars="0" w:firstLine="0" w:firstLineChars="0"/>
              <w:jc w:val="both"/>
              <w:rPr>
                <w:b w:val="0"/>
                <w:bCs w:val="0"/>
                <w:sz w:val="24"/>
                <w:szCs w:val="24"/>
              </w:rPr>
            </w:pPr>
            <w:r>
              <w:rPr>
                <w:rFonts w:hint="eastAsia"/>
                <w:sz w:val="24"/>
                <w:szCs w:val="24"/>
              </w:rPr>
              <w:t>默认值</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B3861AF">
            <w:pPr>
              <w:pStyle w:val="19"/>
              <w:bidi w:val="0"/>
              <w:spacing w:line="240" w:lineRule="auto"/>
              <w:ind w:left="0" w:leftChars="0" w:right="0" w:rightChars="0" w:firstLine="0" w:firstLineChars="0"/>
              <w:jc w:val="both"/>
              <w:rPr>
                <w:b w:val="0"/>
                <w:bCs w:val="0"/>
                <w:sz w:val="24"/>
                <w:szCs w:val="24"/>
              </w:rPr>
            </w:pP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8DFE05B">
            <w:pPr>
              <w:pStyle w:val="19"/>
              <w:bidi w:val="0"/>
              <w:spacing w:line="240" w:lineRule="auto"/>
              <w:ind w:left="0" w:leftChars="0" w:right="0" w:rightChars="0" w:firstLine="0" w:firstLineChars="0"/>
              <w:jc w:val="both"/>
              <w:rPr>
                <w:b w:val="0"/>
                <w:bCs w:val="0"/>
                <w:sz w:val="24"/>
                <w:szCs w:val="24"/>
              </w:rPr>
            </w:pP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1922911">
            <w:pPr>
              <w:pStyle w:val="19"/>
              <w:bidi w:val="0"/>
              <w:spacing w:line="240" w:lineRule="auto"/>
              <w:ind w:left="0" w:leftChars="0" w:right="0" w:rightChars="0" w:firstLine="0" w:firstLineChars="0"/>
              <w:jc w:val="both"/>
              <w:rPr>
                <w:b w:val="0"/>
                <w:bCs w:val="0"/>
                <w:sz w:val="24"/>
                <w:szCs w:val="24"/>
              </w:rPr>
            </w:pPr>
          </w:p>
        </w:tc>
      </w:tr>
      <w:tr w14:paraId="6D731116">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CFBBBA7">
            <w:pPr>
              <w:pStyle w:val="19"/>
              <w:bidi w:val="0"/>
              <w:spacing w:line="240" w:lineRule="auto"/>
              <w:ind w:left="0" w:leftChars="0" w:right="0" w:rightChars="0" w:firstLine="0" w:firstLineChars="0"/>
              <w:jc w:val="center"/>
              <w:rPr>
                <w:rFonts w:hint="eastAsia" w:eastAsia="宋体"/>
                <w:b w:val="0"/>
                <w:bCs w:val="0"/>
                <w:sz w:val="24"/>
                <w:szCs w:val="24"/>
                <w:lang w:val="en-US" w:eastAsia="zh-CN"/>
              </w:rPr>
            </w:pPr>
            <w:r>
              <w:rPr>
                <w:rFonts w:hint="eastAsia"/>
                <w:b w:val="0"/>
                <w:bCs w:val="0"/>
                <w:sz w:val="24"/>
                <w:szCs w:val="24"/>
                <w:lang w:val="en-US" w:eastAsia="zh-CN"/>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CB9AA28">
            <w:pPr>
              <w:bidi w:val="0"/>
              <w:spacing w:line="240" w:lineRule="auto"/>
              <w:ind w:left="0" w:leftChars="0" w:right="0" w:rightChars="0" w:firstLine="0" w:firstLineChars="0"/>
              <w:jc w:val="both"/>
              <w:rPr>
                <w:b w:val="0"/>
                <w:bCs w:val="0"/>
                <w:sz w:val="24"/>
                <w:szCs w:val="24"/>
              </w:rPr>
            </w:pPr>
            <w:r>
              <w:rPr>
                <w:rFonts w:hint="eastAsia"/>
                <w:sz w:val="24"/>
                <w:szCs w:val="24"/>
              </w:rPr>
              <w:t>数据来源</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A4AD08E">
            <w:pPr>
              <w:pStyle w:val="19"/>
              <w:bidi w:val="0"/>
              <w:spacing w:line="240" w:lineRule="auto"/>
              <w:ind w:left="0" w:leftChars="0" w:right="0" w:rightChars="0" w:firstLine="0" w:firstLineChars="0"/>
              <w:jc w:val="both"/>
              <w:rPr>
                <w:b w:val="0"/>
                <w:bCs w:val="0"/>
                <w:sz w:val="24"/>
                <w:szCs w:val="24"/>
              </w:rPr>
            </w:pP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2C6B52C">
            <w:pPr>
              <w:pStyle w:val="19"/>
              <w:bidi w:val="0"/>
              <w:spacing w:line="240" w:lineRule="auto"/>
              <w:ind w:left="0" w:leftChars="0" w:right="0" w:rightChars="0" w:firstLine="0" w:firstLineChars="0"/>
              <w:jc w:val="both"/>
              <w:rPr>
                <w:b w:val="0"/>
                <w:bCs w:val="0"/>
                <w:sz w:val="24"/>
                <w:szCs w:val="24"/>
              </w:rPr>
            </w:pP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727D136">
            <w:pPr>
              <w:pStyle w:val="19"/>
              <w:bidi w:val="0"/>
              <w:spacing w:line="240" w:lineRule="auto"/>
              <w:ind w:left="0" w:leftChars="0" w:right="0" w:rightChars="0" w:firstLine="0" w:firstLineChars="0"/>
              <w:jc w:val="both"/>
              <w:rPr>
                <w:b w:val="0"/>
                <w:bCs w:val="0"/>
                <w:sz w:val="24"/>
                <w:szCs w:val="24"/>
              </w:rPr>
            </w:pPr>
          </w:p>
        </w:tc>
      </w:tr>
      <w:tr w14:paraId="4500C08E">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56B70D5">
            <w:pPr>
              <w:pStyle w:val="19"/>
              <w:bidi w:val="0"/>
              <w:spacing w:line="240" w:lineRule="auto"/>
              <w:ind w:left="0" w:leftChars="0" w:right="0" w:rightChars="0" w:firstLine="0" w:firstLineChars="0"/>
              <w:jc w:val="center"/>
              <w:rPr>
                <w:rFonts w:hint="eastAsia" w:eastAsia="宋体"/>
                <w:b w:val="0"/>
                <w:bCs w:val="0"/>
                <w:sz w:val="24"/>
                <w:szCs w:val="24"/>
                <w:lang w:val="en-US" w:eastAsia="zh-CN"/>
              </w:rPr>
            </w:pPr>
            <w:r>
              <w:rPr>
                <w:rFonts w:hint="eastAsia"/>
                <w:b w:val="0"/>
                <w:bCs w:val="0"/>
                <w:sz w:val="24"/>
                <w:szCs w:val="24"/>
                <w:lang w:val="en-US" w:eastAsia="zh-CN"/>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175F4FF">
            <w:pPr>
              <w:bidi w:val="0"/>
              <w:spacing w:line="240" w:lineRule="auto"/>
              <w:ind w:left="0" w:leftChars="0" w:right="0" w:rightChars="0" w:firstLine="0" w:firstLineChars="0"/>
              <w:jc w:val="both"/>
              <w:rPr>
                <w:b w:val="0"/>
                <w:bCs w:val="0"/>
                <w:sz w:val="24"/>
                <w:szCs w:val="24"/>
              </w:rPr>
            </w:pPr>
            <w:r>
              <w:rPr>
                <w:rFonts w:hint="eastAsia"/>
                <w:sz w:val="24"/>
                <w:szCs w:val="24"/>
              </w:rPr>
              <w:t>集成方式</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A551330">
            <w:pPr>
              <w:pStyle w:val="19"/>
              <w:bidi w:val="0"/>
              <w:spacing w:line="240" w:lineRule="auto"/>
              <w:ind w:left="0" w:leftChars="0" w:right="0" w:rightChars="0" w:firstLine="0" w:firstLineChars="0"/>
              <w:jc w:val="both"/>
              <w:rPr>
                <w:b w:val="0"/>
                <w:bCs w:val="0"/>
                <w:sz w:val="24"/>
                <w:szCs w:val="24"/>
              </w:rPr>
            </w:pP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8F7A7CB">
            <w:pPr>
              <w:pStyle w:val="19"/>
              <w:bidi w:val="0"/>
              <w:spacing w:line="240" w:lineRule="auto"/>
              <w:ind w:left="0" w:leftChars="0" w:right="0" w:rightChars="0" w:firstLine="0" w:firstLineChars="0"/>
              <w:jc w:val="both"/>
              <w:rPr>
                <w:b w:val="0"/>
                <w:bCs w:val="0"/>
                <w:sz w:val="24"/>
                <w:szCs w:val="24"/>
              </w:rPr>
            </w:pP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25C721F">
            <w:pPr>
              <w:pStyle w:val="19"/>
              <w:bidi w:val="0"/>
              <w:spacing w:line="240" w:lineRule="auto"/>
              <w:ind w:left="0" w:leftChars="0" w:right="0" w:rightChars="0" w:firstLine="0" w:firstLineChars="0"/>
              <w:jc w:val="both"/>
              <w:rPr>
                <w:b w:val="0"/>
                <w:bCs w:val="0"/>
                <w:sz w:val="24"/>
                <w:szCs w:val="24"/>
              </w:rPr>
            </w:pPr>
          </w:p>
        </w:tc>
      </w:tr>
      <w:tr w14:paraId="26FB17A8">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97813E1">
            <w:pPr>
              <w:pStyle w:val="19"/>
              <w:bidi w:val="0"/>
              <w:spacing w:line="240" w:lineRule="auto"/>
              <w:ind w:left="0" w:leftChars="0" w:right="0" w:rightChars="0" w:firstLine="0" w:firstLineChars="0"/>
              <w:jc w:val="center"/>
              <w:rPr>
                <w:rFonts w:hint="eastAsia" w:eastAsia="宋体"/>
                <w:b w:val="0"/>
                <w:bCs w:val="0"/>
                <w:sz w:val="24"/>
                <w:szCs w:val="24"/>
                <w:lang w:val="en-US" w:eastAsia="zh-CN"/>
              </w:rPr>
            </w:pPr>
            <w:r>
              <w:rPr>
                <w:rFonts w:hint="eastAsia"/>
                <w:b w:val="0"/>
                <w:bCs w:val="0"/>
                <w:sz w:val="24"/>
                <w:szCs w:val="24"/>
                <w:lang w:val="en-US" w:eastAsia="zh-CN"/>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6B422F0">
            <w:pPr>
              <w:bidi w:val="0"/>
              <w:spacing w:line="240" w:lineRule="auto"/>
              <w:ind w:left="0" w:leftChars="0" w:right="0" w:rightChars="0" w:firstLine="0" w:firstLineChars="0"/>
              <w:jc w:val="both"/>
              <w:rPr>
                <w:b w:val="0"/>
                <w:bCs w:val="0"/>
                <w:sz w:val="24"/>
                <w:szCs w:val="24"/>
              </w:rPr>
            </w:pPr>
            <w:r>
              <w:rPr>
                <w:rFonts w:hint="eastAsia"/>
                <w:sz w:val="24"/>
                <w:szCs w:val="24"/>
              </w:rPr>
              <w:t>采集频率</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3E827D3">
            <w:pPr>
              <w:pStyle w:val="19"/>
              <w:bidi w:val="0"/>
              <w:spacing w:line="240" w:lineRule="auto"/>
              <w:ind w:left="0" w:leftChars="0" w:right="0" w:rightChars="0" w:firstLine="0" w:firstLineChars="0"/>
              <w:jc w:val="both"/>
              <w:rPr>
                <w:b w:val="0"/>
                <w:bCs w:val="0"/>
                <w:sz w:val="24"/>
                <w:szCs w:val="24"/>
              </w:rPr>
            </w:pP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8A900D8">
            <w:pPr>
              <w:pStyle w:val="19"/>
              <w:bidi w:val="0"/>
              <w:spacing w:line="240" w:lineRule="auto"/>
              <w:ind w:left="0" w:leftChars="0" w:right="0" w:rightChars="0" w:firstLine="0" w:firstLineChars="0"/>
              <w:jc w:val="both"/>
              <w:rPr>
                <w:b w:val="0"/>
                <w:bCs w:val="0"/>
                <w:sz w:val="24"/>
                <w:szCs w:val="24"/>
              </w:rPr>
            </w:pP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4CEA713">
            <w:pPr>
              <w:pStyle w:val="19"/>
              <w:bidi w:val="0"/>
              <w:spacing w:line="240" w:lineRule="auto"/>
              <w:ind w:left="0" w:leftChars="0" w:right="0" w:rightChars="0" w:firstLine="0" w:firstLineChars="0"/>
              <w:jc w:val="both"/>
              <w:rPr>
                <w:b w:val="0"/>
                <w:bCs w:val="0"/>
                <w:sz w:val="24"/>
                <w:szCs w:val="24"/>
              </w:rPr>
            </w:pPr>
          </w:p>
        </w:tc>
      </w:tr>
    </w:tbl>
    <w:p w14:paraId="00CE0EE8">
      <w:pPr>
        <w:pStyle w:val="19"/>
        <w:bidi w:val="0"/>
        <w:rPr>
          <w:b w:val="0"/>
          <w:bCs w:val="0"/>
        </w:rPr>
      </w:pPr>
    </w:p>
    <w:p w14:paraId="3E96AA88">
      <w:pPr>
        <w:pStyle w:val="6"/>
        <w:numPr>
          <w:ilvl w:val="0"/>
          <w:numId w:val="227"/>
        </w:numPr>
        <w:bidi w:val="0"/>
        <w:ind w:left="0" w:leftChars="0" w:firstLine="0" w:firstLineChars="0"/>
        <w:rPr>
          <w:b w:val="0"/>
          <w:bCs w:val="0"/>
          <w:sz w:val="28"/>
          <w:szCs w:val="28"/>
        </w:rPr>
      </w:pPr>
      <w:r>
        <w:rPr>
          <w:b w:val="0"/>
          <w:bCs w:val="0"/>
          <w:sz w:val="28"/>
          <w:szCs w:val="28"/>
        </w:rPr>
        <w:t>核心数学模型与算法框架</w:t>
      </w:r>
    </w:p>
    <w:tbl>
      <w:tblPr>
        <w:tblStyle w:val="38"/>
        <w:tblW w:w="0" w:type="auto"/>
        <w:jc w:val="center"/>
        <w:tblLayout w:type="fixed"/>
        <w:tblCellMar>
          <w:top w:w="0" w:type="dxa"/>
          <w:left w:w="108" w:type="dxa"/>
          <w:bottom w:w="0" w:type="dxa"/>
          <w:right w:w="108" w:type="dxa"/>
        </w:tblCellMar>
      </w:tblPr>
      <w:tblGrid>
        <w:gridCol w:w="9648"/>
      </w:tblGrid>
      <w:tr w14:paraId="6CB65C27">
        <w:tblPrEx>
          <w:tblCellMar>
            <w:top w:w="0" w:type="dxa"/>
            <w:left w:w="108" w:type="dxa"/>
            <w:bottom w:w="0" w:type="dxa"/>
            <w:right w:w="108" w:type="dxa"/>
          </w:tblCellMar>
        </w:tblPrEx>
        <w:trPr>
          <w:jc w:val="center"/>
        </w:trPr>
        <w:tc>
          <w:tcPr>
            <w:tcW w:w="9648" w:type="dxa"/>
            <w:tcBorders>
              <w:top w:val="nil"/>
              <w:left w:val="single" w:color="16A34A" w:sz="24" w:space="0"/>
              <w:bottom w:val="nil"/>
              <w:right w:val="nil"/>
            </w:tcBorders>
            <w:shd w:val="clear" w:color="auto" w:fill="F0FDF4"/>
            <w:tcMar>
              <w:top w:w="70" w:type="dxa"/>
              <w:left w:w="100" w:type="dxa"/>
              <w:bottom w:w="70" w:type="dxa"/>
              <w:right w:w="100" w:type="dxa"/>
            </w:tcMar>
          </w:tcPr>
          <w:p w14:paraId="0C3353DA">
            <w:pPr>
              <w:pStyle w:val="19"/>
              <w:bidi w:val="0"/>
              <w:rPr>
                <w:b w:val="0"/>
                <w:bCs w:val="0"/>
              </w:rPr>
            </w:pPr>
            <w:r>
              <w:rPr>
                <w:rFonts w:hint="eastAsia"/>
                <w:lang w:val="en-US" w:eastAsia="zh-CN"/>
              </w:rPr>
              <w:t>无</w:t>
            </w:r>
          </w:p>
        </w:tc>
      </w:tr>
    </w:tbl>
    <w:p w14:paraId="1C695D48">
      <w:pPr>
        <w:pStyle w:val="19"/>
        <w:bidi w:val="0"/>
        <w:rPr>
          <w:b w:val="0"/>
          <w:bCs w:val="0"/>
        </w:rPr>
      </w:pPr>
    </w:p>
    <w:p w14:paraId="61BB6BFB">
      <w:pPr>
        <w:pStyle w:val="6"/>
        <w:numPr>
          <w:ilvl w:val="0"/>
          <w:numId w:val="227"/>
        </w:numPr>
        <w:bidi w:val="0"/>
        <w:ind w:left="0" w:leftChars="0" w:firstLine="0" w:firstLineChars="0"/>
        <w:rPr>
          <w:b w:val="0"/>
          <w:bCs w:val="0"/>
          <w:sz w:val="28"/>
          <w:szCs w:val="28"/>
        </w:rPr>
      </w:pPr>
      <w:r>
        <w:rPr>
          <w:b w:val="0"/>
          <w:bCs w:val="0"/>
          <w:sz w:val="28"/>
          <w:szCs w:val="28"/>
        </w:rPr>
        <w:t>展示、对标与判定口径</w:t>
      </w:r>
    </w:p>
    <w:tbl>
      <w:tblPr>
        <w:tblStyle w:val="38"/>
        <w:tblW w:w="0" w:type="auto"/>
        <w:jc w:val="center"/>
        <w:tblBorders>
          <w:top w:val="none" w:color="auto" w:sz="0" w:space="0"/>
          <w:left w:val="single" w:color="4874CB" w:themeColor="accent1"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60DB2746">
        <w:tblPrEx>
          <w:tblBorders>
            <w:top w:val="none" w:color="auto" w:sz="0" w:space="0"/>
            <w:left w:val="single" w:color="4874CB" w:themeColor="accent1"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tcPr>
          <w:p w14:paraId="27538B06">
            <w:pPr>
              <w:pStyle w:val="19"/>
              <w:bidi w:val="0"/>
              <w:rPr>
                <w:b w:val="0"/>
                <w:bCs w:val="0"/>
              </w:rPr>
            </w:pPr>
          </w:p>
        </w:tc>
      </w:tr>
    </w:tbl>
    <w:p w14:paraId="1ADD193E">
      <w:pPr>
        <w:pStyle w:val="19"/>
        <w:bidi w:val="0"/>
        <w:rPr>
          <w:b w:val="0"/>
          <w:bCs w:val="0"/>
        </w:rPr>
      </w:pPr>
    </w:p>
    <w:p w14:paraId="1AD4FBCA">
      <w:pPr>
        <w:pStyle w:val="6"/>
        <w:numPr>
          <w:ilvl w:val="0"/>
          <w:numId w:val="227"/>
        </w:numPr>
        <w:bidi w:val="0"/>
        <w:ind w:left="0" w:leftChars="0" w:firstLine="0" w:firstLineChars="0"/>
        <w:rPr>
          <w:b w:val="0"/>
          <w:bCs w:val="0"/>
          <w:sz w:val="28"/>
          <w:szCs w:val="28"/>
        </w:rPr>
      </w:pPr>
      <w:r>
        <w:rPr>
          <w:b w:val="0"/>
          <w:bCs w:val="0"/>
          <w:sz w:val="28"/>
          <w:szCs w:val="28"/>
        </w:rPr>
        <w:t>边界条件、异常处理与防错规则</w:t>
      </w:r>
    </w:p>
    <w:tbl>
      <w:tblPr>
        <w:tblStyle w:val="38"/>
        <w:tblW w:w="0" w:type="auto"/>
        <w:jc w:val="center"/>
        <w:tblBorders>
          <w:top w:val="none" w:color="auto" w:sz="0" w:space="0"/>
          <w:left w:val="single" w:color="E54C5E" w:themeColor="accent6"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1AE94469">
        <w:tblPrEx>
          <w:tblBorders>
            <w:top w:val="none" w:color="auto" w:sz="0" w:space="0"/>
            <w:left w:val="single" w:color="E54C5E" w:themeColor="accent6"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5F3FF"/>
            <w:tcMar>
              <w:top w:w="70" w:type="dxa"/>
              <w:left w:w="100" w:type="dxa"/>
              <w:bottom w:w="70" w:type="dxa"/>
              <w:right w:w="100" w:type="dxa"/>
            </w:tcMar>
          </w:tcPr>
          <w:p w14:paraId="53D16E4E">
            <w:pPr>
              <w:pStyle w:val="19"/>
              <w:bidi w:val="0"/>
              <w:rPr>
                <w:b w:val="0"/>
                <w:bCs w:val="0"/>
              </w:rPr>
            </w:pPr>
          </w:p>
        </w:tc>
      </w:tr>
    </w:tbl>
    <w:p w14:paraId="1986411F">
      <w:pPr>
        <w:rPr>
          <w:b w:val="0"/>
          <w:bCs w:val="0"/>
        </w:rPr>
      </w:pPr>
    </w:p>
    <w:p w14:paraId="3A70AF2B">
      <w:pPr>
        <w:pStyle w:val="6"/>
        <w:numPr>
          <w:ilvl w:val="0"/>
          <w:numId w:val="227"/>
        </w:numPr>
        <w:bidi w:val="0"/>
        <w:ind w:left="0" w:leftChars="0" w:firstLine="0" w:firstLineChars="0"/>
        <w:rPr>
          <w:b w:val="0"/>
          <w:bCs w:val="0"/>
          <w:sz w:val="28"/>
          <w:szCs w:val="28"/>
        </w:rPr>
      </w:pPr>
      <w:r>
        <w:rPr>
          <w:b w:val="0"/>
          <w:bCs w:val="0"/>
          <w:sz w:val="28"/>
          <w:szCs w:val="28"/>
        </w:rPr>
        <w:t>QA 自动化验收准则（Gherkin BDD）</w:t>
      </w:r>
    </w:p>
    <w:tbl>
      <w:tblPr>
        <w:tblStyle w:val="38"/>
        <w:tblW w:w="0" w:type="auto"/>
        <w:jc w:val="center"/>
        <w:tblLayout w:type="fixed"/>
        <w:tblCellMar>
          <w:top w:w="0" w:type="dxa"/>
          <w:left w:w="108" w:type="dxa"/>
          <w:bottom w:w="0" w:type="dxa"/>
          <w:right w:w="108" w:type="dxa"/>
        </w:tblCellMar>
      </w:tblPr>
      <w:tblGrid>
        <w:gridCol w:w="9648"/>
      </w:tblGrid>
      <w:tr w14:paraId="4E6E6782">
        <w:tblPrEx>
          <w:tblCellMar>
            <w:top w:w="0" w:type="dxa"/>
            <w:left w:w="108" w:type="dxa"/>
            <w:bottom w:w="0" w:type="dxa"/>
            <w:right w:w="108" w:type="dxa"/>
          </w:tblCellMar>
        </w:tblPrEx>
        <w:trPr>
          <w:jc w:val="center"/>
        </w:trPr>
        <w:tc>
          <w:tcPr>
            <w:tcW w:w="9648" w:type="dxa"/>
            <w:tcBorders>
              <w:top w:val="nil"/>
              <w:left w:val="single" w:color="7C3AED" w:sz="24" w:space="0"/>
              <w:bottom w:val="nil"/>
              <w:right w:val="nil"/>
            </w:tcBorders>
            <w:shd w:val="clear" w:color="auto" w:fill="F5F3FF"/>
            <w:tcMar>
              <w:top w:w="70" w:type="dxa"/>
              <w:left w:w="100" w:type="dxa"/>
              <w:bottom w:w="70" w:type="dxa"/>
              <w:right w:w="100" w:type="dxa"/>
            </w:tcMar>
          </w:tcPr>
          <w:p w14:paraId="2730BFEC">
            <w:pPr>
              <w:pStyle w:val="19"/>
              <w:bidi w:val="0"/>
              <w:rPr>
                <w:b w:val="0"/>
                <w:bCs w:val="0"/>
              </w:rPr>
            </w:pPr>
          </w:p>
        </w:tc>
      </w:tr>
    </w:tbl>
    <w:p w14:paraId="3FC4D14D">
      <w:pPr>
        <w:rPr>
          <w:rFonts w:hint="eastAsia"/>
          <w:b w:val="0"/>
          <w:bCs w:val="0"/>
          <w:lang w:val="en-US" w:eastAsia="zh-CN"/>
        </w:rPr>
      </w:pPr>
    </w:p>
    <w:p w14:paraId="23C7984C">
      <w:pPr>
        <w:pStyle w:val="5"/>
        <w:numPr>
          <w:ilvl w:val="0"/>
          <w:numId w:val="222"/>
        </w:numPr>
        <w:ind w:left="0" w:leftChars="0" w:firstLine="0" w:firstLineChars="0"/>
        <w:outlineLvl w:val="1"/>
        <w:rPr>
          <w:rFonts w:hint="default"/>
          <w:b w:val="0"/>
          <w:bCs w:val="0"/>
          <w:lang w:val="en-US" w:eastAsia="zh-CN"/>
        </w:rPr>
      </w:pPr>
      <w:bookmarkStart w:id="80" w:name="_Toc7820"/>
      <w:r>
        <w:rPr>
          <w:rFonts w:hint="eastAsia"/>
          <w:b w:val="0"/>
          <w:bCs w:val="0"/>
          <w:lang w:val="en-US" w:eastAsia="zh-CN"/>
        </w:rPr>
        <w:t>生产工序管理</w:t>
      </w:r>
      <w:bookmarkEnd w:id="80"/>
    </w:p>
    <w:p w14:paraId="08E8A828">
      <w:pPr>
        <w:rPr>
          <w:b w:val="0"/>
          <w:bCs w:val="0"/>
        </w:rPr>
      </w:pPr>
      <w:r>
        <w:drawing>
          <wp:inline distT="0" distB="0" distL="114300" distR="114300">
            <wp:extent cx="5900420" cy="2925445"/>
            <wp:effectExtent l="0" t="0" r="5080" b="8255"/>
            <wp:docPr id="96"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50"/>
                    <pic:cNvPicPr>
                      <a:picLocks noChangeAspect="1"/>
                    </pic:cNvPicPr>
                  </pic:nvPicPr>
                  <pic:blipFill>
                    <a:blip r:embed="rId108"/>
                    <a:stretch>
                      <a:fillRect/>
                    </a:stretch>
                  </pic:blipFill>
                  <pic:spPr>
                    <a:xfrm>
                      <a:off x="0" y="0"/>
                      <a:ext cx="5900420" cy="2925445"/>
                    </a:xfrm>
                    <a:prstGeom prst="rect">
                      <a:avLst/>
                    </a:prstGeom>
                    <a:noFill/>
                    <a:ln>
                      <a:noFill/>
                    </a:ln>
                  </pic:spPr>
                </pic:pic>
              </a:graphicData>
            </a:graphic>
          </wp:inline>
        </w:drawing>
      </w:r>
    </w:p>
    <w:p w14:paraId="2D9A5340">
      <w:pPr>
        <w:pStyle w:val="6"/>
        <w:numPr>
          <w:ilvl w:val="0"/>
          <w:numId w:val="229"/>
        </w:numPr>
        <w:bidi w:val="0"/>
        <w:ind w:left="0" w:leftChars="0" w:firstLine="0" w:firstLineChars="0"/>
        <w:rPr>
          <w:b w:val="0"/>
          <w:bCs w:val="0"/>
          <w:sz w:val="28"/>
          <w:szCs w:val="28"/>
        </w:rPr>
      </w:pPr>
      <w:r>
        <w:rPr>
          <w:b w:val="0"/>
          <w:bCs w:val="0"/>
          <w:sz w:val="28"/>
          <w:szCs w:val="28"/>
        </w:rPr>
        <w:t>定位与架构角色</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433C3E9D">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tcPr>
          <w:p w14:paraId="5C9A7628">
            <w:pPr>
              <w:pStyle w:val="19"/>
              <w:bidi w:val="0"/>
              <w:ind w:left="0" w:leftChars="0" w:firstLine="0" w:firstLineChars="0"/>
              <w:rPr>
                <w:rFonts w:ascii="宋体" w:hAnsi="宋体" w:eastAsia="宋体" w:cs="宋体"/>
                <w:sz w:val="24"/>
                <w:szCs w:val="24"/>
              </w:rPr>
            </w:pPr>
            <w:r>
              <w:rPr>
                <w:rFonts w:ascii="宋体" w:hAnsi="宋体" w:eastAsia="宋体" w:cs="宋体"/>
                <w:b/>
                <w:bCs/>
                <w:sz w:val="24"/>
                <w:szCs w:val="24"/>
              </w:rPr>
              <w:t>・功能定位</w:t>
            </w:r>
            <w:r>
              <w:rPr>
                <w:rFonts w:ascii="宋体" w:hAnsi="宋体" w:eastAsia="宋体" w:cs="宋体"/>
                <w:sz w:val="24"/>
                <w:szCs w:val="24"/>
              </w:rPr>
              <w:t xml:space="preserve">：作为生产数据维护模块下生产工序主数据管理单元，维护工序名称、能源消耗类型、关联工厂与关联产品中类信息，支持生产工序新增、信息编辑与数据导出，为工序级能耗分摊、工序碳核算、产品碳足迹拆解提供工序基础主数据，实现生产过程能耗与碳排放的精细化溯源，是产品碳核算模型的前置基础依赖。 </w:t>
            </w:r>
          </w:p>
          <w:p w14:paraId="7C621BB6">
            <w:pPr>
              <w:pStyle w:val="19"/>
              <w:bidi w:val="0"/>
              <w:ind w:left="0" w:leftChars="0" w:firstLine="0" w:firstLineChars="0"/>
              <w:rPr>
                <w:b w:val="0"/>
                <w:bCs w:val="0"/>
              </w:rPr>
            </w:pPr>
            <w:r>
              <w:rPr>
                <w:rFonts w:ascii="宋体" w:hAnsi="宋体" w:eastAsia="宋体" w:cs="宋体"/>
                <w:b/>
                <w:bCs/>
                <w:sz w:val="24"/>
                <w:szCs w:val="24"/>
              </w:rPr>
              <w:t>・承载角色</w:t>
            </w:r>
            <w:r>
              <w:rPr>
                <w:rFonts w:ascii="宋体" w:hAnsi="宋体" w:eastAsia="宋体" w:cs="宋体"/>
                <w:sz w:val="24"/>
                <w:szCs w:val="24"/>
              </w:rPr>
              <w:t>：PM 系统管理员（全量生产工序新增、工序关联信息维护、分类管理与数据导出）。</w:t>
            </w:r>
          </w:p>
        </w:tc>
      </w:tr>
    </w:tbl>
    <w:p w14:paraId="04C9AA33">
      <w:pPr>
        <w:rPr>
          <w:b w:val="0"/>
          <w:bCs w:val="0"/>
        </w:rPr>
      </w:pPr>
    </w:p>
    <w:p w14:paraId="55A875D6">
      <w:pPr>
        <w:pStyle w:val="6"/>
        <w:numPr>
          <w:ilvl w:val="0"/>
          <w:numId w:val="229"/>
        </w:numPr>
        <w:bidi w:val="0"/>
        <w:ind w:left="0" w:leftChars="0" w:firstLine="0" w:firstLineChars="0"/>
        <w:rPr>
          <w:b w:val="0"/>
          <w:bCs w:val="0"/>
          <w:sz w:val="28"/>
          <w:szCs w:val="28"/>
        </w:rPr>
      </w:pPr>
      <w:r>
        <w:rPr>
          <w:b w:val="0"/>
          <w:bCs w:val="0"/>
          <w:sz w:val="28"/>
          <w:szCs w:val="28"/>
        </w:rPr>
        <w:t>业务场景与用户故事</w:t>
      </w:r>
    </w:p>
    <w:tbl>
      <w:tblPr>
        <w:tblStyle w:val="38"/>
        <w:tblW w:w="0" w:type="auto"/>
        <w:jc w:val="center"/>
        <w:tblBorders>
          <w:top w:val="none" w:color="auto" w:sz="0" w:space="0"/>
          <w:left w:val="single" w:color="44546A" w:themeColor="text2"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1A97AB9A">
        <w:tblPrEx>
          <w:tblBorders>
            <w:top w:val="none" w:color="auto" w:sz="0" w:space="0"/>
            <w:left w:val="single" w:color="44546A" w:themeColor="text2"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tcPr>
          <w:p w14:paraId="2ACBCDB8">
            <w:pPr>
              <w:pStyle w:val="19"/>
              <w:bidi w:val="0"/>
              <w:ind w:left="0" w:leftChars="0" w:firstLine="0" w:firstLineChars="0"/>
            </w:pPr>
            <w:r>
              <w:rPr>
                <w:b/>
                <w:bCs/>
                <w:lang w:val="en-US" w:eastAsia="zh-CN"/>
              </w:rPr>
              <w:t>业务场景</w:t>
            </w:r>
            <w:r>
              <w:rPr>
                <w:lang w:val="en-US" w:eastAsia="zh-CN"/>
              </w:rPr>
              <w:t>：面向系统管理员进行生产工序主数据管控场景，维护工厂生产工序与能耗、产品的关联关系，支撑工序级精细化能碳溯源。</w:t>
            </w:r>
          </w:p>
          <w:p w14:paraId="3357D561">
            <w:pPr>
              <w:pStyle w:val="19"/>
              <w:bidi w:val="0"/>
              <w:ind w:left="0" w:leftChars="0" w:firstLine="0" w:firstLineChars="0"/>
            </w:pPr>
            <w:r>
              <w:rPr>
                <w:b/>
                <w:bCs/>
                <w:lang w:val="en-US" w:eastAsia="zh-CN"/>
              </w:rPr>
              <w:t>用户故事</w:t>
            </w:r>
            <w:r>
              <w:rPr>
                <w:lang w:val="en-US" w:eastAsia="zh-CN"/>
              </w:rPr>
              <w:t>：</w:t>
            </w:r>
          </w:p>
          <w:p w14:paraId="5CF78569">
            <w:pPr>
              <w:pStyle w:val="19"/>
              <w:bidi w:val="0"/>
            </w:pPr>
            <w:r>
              <w:rPr>
                <w:lang w:val="en-US" w:eastAsia="zh-CN"/>
              </w:rPr>
              <w:t>As a 系统管理员 (Persona PM)，</w:t>
            </w:r>
          </w:p>
          <w:p w14:paraId="2B2450A2">
            <w:pPr>
              <w:pStyle w:val="19"/>
              <w:bidi w:val="0"/>
            </w:pPr>
            <w:r>
              <w:rPr>
                <w:lang w:val="en-US" w:eastAsia="zh-CN"/>
              </w:rPr>
              <w:t>I want 维护全集团生产工序基础信息与关联能耗、产品数据，</w:t>
            </w:r>
          </w:p>
          <w:p w14:paraId="610C6B56">
            <w:pPr>
              <w:pStyle w:val="19"/>
              <w:bidi w:val="0"/>
            </w:pPr>
            <w:r>
              <w:rPr>
                <w:lang w:val="en-US" w:eastAsia="zh-CN"/>
              </w:rPr>
              <w:t>So that 我能支撑工序能耗、工序碳排放拆解溯源，支撑集团精细化能碳成效分析展示。</w:t>
            </w:r>
          </w:p>
        </w:tc>
      </w:tr>
    </w:tbl>
    <w:p w14:paraId="539F48FF">
      <w:pPr>
        <w:rPr>
          <w:b w:val="0"/>
          <w:bCs w:val="0"/>
        </w:rPr>
      </w:pPr>
    </w:p>
    <w:p w14:paraId="45FE5950">
      <w:pPr>
        <w:pStyle w:val="6"/>
        <w:numPr>
          <w:ilvl w:val="0"/>
          <w:numId w:val="229"/>
        </w:numPr>
        <w:bidi w:val="0"/>
        <w:ind w:left="0" w:leftChars="0" w:firstLine="0" w:firstLineChars="0"/>
        <w:rPr>
          <w:b w:val="0"/>
          <w:bCs w:val="0"/>
          <w:sz w:val="28"/>
          <w:szCs w:val="28"/>
        </w:rPr>
      </w:pPr>
      <w:r>
        <w:rPr>
          <w:b w:val="0"/>
          <w:bCs w:val="0"/>
          <w:sz w:val="28"/>
          <w:szCs w:val="28"/>
        </w:rPr>
        <w:t>功能规格与交互契约</w:t>
      </w:r>
    </w:p>
    <w:tbl>
      <w:tblPr>
        <w:tblStyle w:val="38"/>
        <w:tblW w:w="0" w:type="auto"/>
        <w:jc w:val="center"/>
        <w:tblBorders>
          <w:top w:val="none" w:color="auto" w:sz="0" w:space="0"/>
          <w:left w:val="single" w:color="EE822F" w:themeColor="accent2"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478A556E">
        <w:tblPrEx>
          <w:tblBorders>
            <w:top w:val="none" w:color="auto" w:sz="0" w:space="0"/>
            <w:left w:val="single" w:color="EE822F" w:themeColor="accent2"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tcPr>
          <w:p w14:paraId="32AE13B7">
            <w:pPr>
              <w:pStyle w:val="19"/>
              <w:numPr>
                <w:ilvl w:val="0"/>
                <w:numId w:val="230"/>
              </w:numPr>
              <w:bidi w:val="0"/>
              <w:rPr>
                <w:rFonts w:hint="default" w:eastAsia="宋体"/>
                <w:b w:val="0"/>
                <w:bCs w:val="0"/>
                <w:lang w:val="en-US" w:eastAsia="zh-CN"/>
              </w:rPr>
            </w:pPr>
            <w:r>
              <w:rPr>
                <w:rFonts w:hint="eastAsia"/>
                <w:b w:val="0"/>
                <w:bCs w:val="0"/>
                <w:lang w:val="en-US" w:eastAsia="zh-CN"/>
              </w:rPr>
              <w:t>选择查询条件，根据条件筛选列表数据；</w:t>
            </w:r>
          </w:p>
          <w:p w14:paraId="3BBFF49C">
            <w:pPr>
              <w:pStyle w:val="19"/>
              <w:numPr>
                <w:ilvl w:val="0"/>
                <w:numId w:val="230"/>
              </w:numPr>
              <w:bidi w:val="0"/>
              <w:rPr>
                <w:rFonts w:hint="default" w:eastAsia="宋体"/>
                <w:b w:val="0"/>
                <w:bCs w:val="0"/>
                <w:lang w:val="en-US" w:eastAsia="zh-CN"/>
              </w:rPr>
            </w:pPr>
            <w:r>
              <w:rPr>
                <w:rFonts w:hint="eastAsia"/>
                <w:b w:val="0"/>
                <w:bCs w:val="0"/>
                <w:lang w:val="en-US" w:eastAsia="zh-CN"/>
              </w:rPr>
              <w:t>点击【新增生产工序】打开新增生产工序弹窗；</w:t>
            </w:r>
          </w:p>
          <w:p w14:paraId="601B30BA">
            <w:pPr>
              <w:pStyle w:val="19"/>
              <w:numPr>
                <w:ilvl w:val="0"/>
                <w:numId w:val="230"/>
              </w:numPr>
              <w:bidi w:val="0"/>
              <w:rPr>
                <w:b w:val="0"/>
                <w:bCs w:val="0"/>
              </w:rPr>
            </w:pPr>
            <w:r>
              <w:rPr>
                <w:rFonts w:hint="eastAsia"/>
                <w:b w:val="0"/>
                <w:bCs w:val="0"/>
                <w:lang w:val="en-US" w:eastAsia="zh-CN"/>
              </w:rPr>
              <w:t>点击【导出】按钮，可将列表内数据导出到excel；</w:t>
            </w:r>
          </w:p>
          <w:p w14:paraId="0F36CFFB">
            <w:pPr>
              <w:pStyle w:val="19"/>
              <w:numPr>
                <w:ilvl w:val="0"/>
                <w:numId w:val="230"/>
              </w:numPr>
              <w:bidi w:val="0"/>
              <w:rPr>
                <w:b w:val="0"/>
                <w:bCs w:val="0"/>
              </w:rPr>
            </w:pPr>
            <w:r>
              <w:rPr>
                <w:rFonts w:hint="eastAsia"/>
                <w:b w:val="0"/>
                <w:bCs w:val="0"/>
                <w:lang w:val="en-US" w:eastAsia="zh-CN"/>
              </w:rPr>
              <w:t>点击【编辑】打开编辑窗口；</w:t>
            </w:r>
          </w:p>
          <w:p w14:paraId="3411AED4">
            <w:pPr>
              <w:pStyle w:val="19"/>
              <w:numPr>
                <w:ilvl w:val="0"/>
                <w:numId w:val="230"/>
              </w:numPr>
              <w:bidi w:val="0"/>
              <w:rPr>
                <w:b w:val="0"/>
                <w:bCs w:val="0"/>
              </w:rPr>
            </w:pPr>
            <w:r>
              <w:rPr>
                <w:rFonts w:hint="eastAsia"/>
                <w:b w:val="0"/>
                <w:bCs w:val="0"/>
                <w:lang w:val="en-US" w:eastAsia="zh-CN"/>
              </w:rPr>
              <w:t>点击【删除】打开弹窗，点击取消后关闭弹窗，点击确定后关闭弹窗并删除数据；</w:t>
            </w:r>
          </w:p>
        </w:tc>
      </w:tr>
    </w:tbl>
    <w:p w14:paraId="711A41ED">
      <w:pPr>
        <w:rPr>
          <w:b w:val="0"/>
          <w:bCs w:val="0"/>
        </w:rPr>
      </w:pPr>
    </w:p>
    <w:p w14:paraId="7C15F643">
      <w:pPr>
        <w:pStyle w:val="6"/>
        <w:numPr>
          <w:ilvl w:val="0"/>
          <w:numId w:val="229"/>
        </w:numPr>
        <w:bidi w:val="0"/>
        <w:ind w:left="0" w:leftChars="0" w:firstLine="0" w:firstLineChars="0"/>
        <w:rPr>
          <w:b w:val="0"/>
          <w:bCs w:val="0"/>
          <w:sz w:val="28"/>
          <w:szCs w:val="28"/>
        </w:rPr>
      </w:pPr>
      <w:r>
        <w:rPr>
          <w:b w:val="0"/>
          <w:bCs w:val="0"/>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89"/>
        <w:gridCol w:w="1738"/>
        <w:gridCol w:w="1468"/>
        <w:gridCol w:w="1210"/>
        <w:gridCol w:w="4479"/>
      </w:tblGrid>
      <w:tr w14:paraId="12E15BE1">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D972CC9">
            <w:pPr>
              <w:pStyle w:val="19"/>
              <w:bidi w:val="0"/>
              <w:spacing w:line="240" w:lineRule="auto"/>
              <w:ind w:left="0" w:leftChars="0" w:right="0" w:rightChars="0" w:firstLine="0" w:firstLineChars="0"/>
              <w:jc w:val="center"/>
              <w:rPr>
                <w:rFonts w:hint="eastAsia" w:ascii="宋体" w:hAnsi="宋体" w:eastAsia="宋体" w:cs="宋体"/>
                <w:b w:val="0"/>
                <w:bCs w:val="0"/>
                <w:sz w:val="24"/>
                <w:szCs w:val="24"/>
              </w:rPr>
            </w:pPr>
            <w:r>
              <w:rPr>
                <w:rFonts w:hint="eastAsia" w:ascii="宋体" w:hAnsi="宋体" w:eastAsia="宋体" w:cs="宋体"/>
                <w:b w:val="0"/>
                <w:bCs w:val="0"/>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B563DC7">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字段中文名称</w:t>
            </w:r>
          </w:p>
        </w:tc>
        <w:tc>
          <w:tcPr>
            <w:tcW w:w="146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8DAE21C">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6147B99">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工程单位</w:t>
            </w:r>
          </w:p>
        </w:tc>
        <w:tc>
          <w:tcPr>
            <w:tcW w:w="447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B111E06">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校验与约束规则</w:t>
            </w:r>
          </w:p>
        </w:tc>
      </w:tr>
      <w:tr w14:paraId="7A5BB532">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BDEA887">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cs="宋体"/>
                <w:b w:val="0"/>
                <w:bCs w:val="0"/>
                <w:sz w:val="24"/>
                <w:szCs w:val="24"/>
                <w:lang w:val="en-US" w:eastAsia="zh-CN"/>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78B8CF6">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sz w:val="24"/>
                <w:szCs w:val="24"/>
              </w:rPr>
              <w:t>生产工序名称</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FE0718E">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383B772">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98D4270">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r>
      <w:tr w14:paraId="5CA8D1CA">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A1460BC">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cs="宋体"/>
                <w:b w:val="0"/>
                <w:bCs w:val="0"/>
                <w:sz w:val="24"/>
                <w:szCs w:val="24"/>
                <w:lang w:val="en-US" w:eastAsia="zh-CN"/>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54F73A7">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sz w:val="24"/>
                <w:szCs w:val="24"/>
              </w:rPr>
              <w:t>使用能源类型</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7319358">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021BFA7">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9C84FD3">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r>
      <w:tr w14:paraId="5F68B6E2">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8D348BA">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cs="宋体"/>
                <w:b w:val="0"/>
                <w:bCs w:val="0"/>
                <w:sz w:val="24"/>
                <w:szCs w:val="24"/>
                <w:lang w:val="en-US" w:eastAsia="zh-CN"/>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95B56B2">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sz w:val="24"/>
                <w:szCs w:val="24"/>
              </w:rPr>
              <w:t>关联工厂</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56B7B7B">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EC0F50E">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F55BEDC">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r>
      <w:tr w14:paraId="1748302D">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1C2D787">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cs="宋体"/>
                <w:b w:val="0"/>
                <w:bCs w:val="0"/>
                <w:sz w:val="24"/>
                <w:szCs w:val="24"/>
                <w:lang w:val="en-US" w:eastAsia="zh-CN"/>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8526A5F">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sz w:val="24"/>
                <w:szCs w:val="24"/>
              </w:rPr>
              <w:t>关联产品中类</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4E203FD">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BB1FE16">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313CB2C">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r>
      <w:tr w14:paraId="6F9498A6">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BCE5839">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cs="宋体"/>
                <w:b w:val="0"/>
                <w:bCs w:val="0"/>
                <w:sz w:val="24"/>
                <w:szCs w:val="24"/>
                <w:lang w:val="en-US" w:eastAsia="zh-CN"/>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A868E9D">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sz w:val="24"/>
                <w:szCs w:val="24"/>
              </w:rPr>
              <w:t>计星单位</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C717060">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A2D6984">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4165886">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r>
    </w:tbl>
    <w:p w14:paraId="41088D11">
      <w:pPr>
        <w:pStyle w:val="19"/>
        <w:bidi w:val="0"/>
        <w:rPr>
          <w:b w:val="0"/>
          <w:bCs w:val="0"/>
        </w:rPr>
      </w:pPr>
    </w:p>
    <w:p w14:paraId="73A66949">
      <w:pPr>
        <w:pStyle w:val="6"/>
        <w:numPr>
          <w:ilvl w:val="0"/>
          <w:numId w:val="229"/>
        </w:numPr>
        <w:bidi w:val="0"/>
        <w:ind w:left="0" w:leftChars="0" w:firstLine="0" w:firstLineChars="0"/>
        <w:rPr>
          <w:b w:val="0"/>
          <w:bCs w:val="0"/>
          <w:sz w:val="28"/>
          <w:szCs w:val="28"/>
        </w:rPr>
      </w:pPr>
      <w:r>
        <w:rPr>
          <w:b w:val="0"/>
          <w:bCs w:val="0"/>
          <w:sz w:val="28"/>
          <w:szCs w:val="28"/>
        </w:rPr>
        <w:t>核心数学模型与算法框架</w:t>
      </w:r>
    </w:p>
    <w:tbl>
      <w:tblPr>
        <w:tblStyle w:val="38"/>
        <w:tblW w:w="0" w:type="auto"/>
        <w:jc w:val="center"/>
        <w:tblLayout w:type="fixed"/>
        <w:tblCellMar>
          <w:top w:w="0" w:type="dxa"/>
          <w:left w:w="108" w:type="dxa"/>
          <w:bottom w:w="0" w:type="dxa"/>
          <w:right w:w="108" w:type="dxa"/>
        </w:tblCellMar>
      </w:tblPr>
      <w:tblGrid>
        <w:gridCol w:w="9648"/>
      </w:tblGrid>
      <w:tr w14:paraId="557E7AC1">
        <w:tblPrEx>
          <w:tblCellMar>
            <w:top w:w="0" w:type="dxa"/>
            <w:left w:w="108" w:type="dxa"/>
            <w:bottom w:w="0" w:type="dxa"/>
            <w:right w:w="108" w:type="dxa"/>
          </w:tblCellMar>
        </w:tblPrEx>
        <w:trPr>
          <w:jc w:val="center"/>
        </w:trPr>
        <w:tc>
          <w:tcPr>
            <w:tcW w:w="9648" w:type="dxa"/>
            <w:tcBorders>
              <w:top w:val="nil"/>
              <w:left w:val="single" w:color="16A34A" w:sz="24" w:space="0"/>
              <w:bottom w:val="nil"/>
              <w:right w:val="nil"/>
            </w:tcBorders>
            <w:shd w:val="clear" w:color="auto" w:fill="F0FDF4"/>
            <w:tcMar>
              <w:top w:w="70" w:type="dxa"/>
              <w:left w:w="100" w:type="dxa"/>
              <w:bottom w:w="70" w:type="dxa"/>
              <w:right w:w="100" w:type="dxa"/>
            </w:tcMar>
          </w:tcPr>
          <w:p w14:paraId="607992F7">
            <w:pPr>
              <w:pStyle w:val="19"/>
              <w:bidi w:val="0"/>
              <w:rPr>
                <w:b w:val="0"/>
                <w:bCs w:val="0"/>
              </w:rPr>
            </w:pPr>
            <w:r>
              <w:rPr>
                <w:rFonts w:hint="eastAsia"/>
                <w:lang w:val="en-US" w:eastAsia="zh-CN"/>
              </w:rPr>
              <w:t>无</w:t>
            </w:r>
          </w:p>
        </w:tc>
      </w:tr>
    </w:tbl>
    <w:p w14:paraId="7014D660">
      <w:pPr>
        <w:pStyle w:val="19"/>
        <w:bidi w:val="0"/>
        <w:rPr>
          <w:b w:val="0"/>
          <w:bCs w:val="0"/>
        </w:rPr>
      </w:pPr>
    </w:p>
    <w:p w14:paraId="2DEECA4A">
      <w:pPr>
        <w:pStyle w:val="6"/>
        <w:numPr>
          <w:ilvl w:val="0"/>
          <w:numId w:val="229"/>
        </w:numPr>
        <w:bidi w:val="0"/>
        <w:ind w:left="0" w:leftChars="0" w:firstLine="0" w:firstLineChars="0"/>
        <w:rPr>
          <w:b w:val="0"/>
          <w:bCs w:val="0"/>
          <w:sz w:val="28"/>
          <w:szCs w:val="28"/>
        </w:rPr>
      </w:pPr>
      <w:r>
        <w:rPr>
          <w:b w:val="0"/>
          <w:bCs w:val="0"/>
          <w:sz w:val="28"/>
          <w:szCs w:val="28"/>
        </w:rPr>
        <w:t>展示、对标与判定口径</w:t>
      </w:r>
    </w:p>
    <w:tbl>
      <w:tblPr>
        <w:tblStyle w:val="38"/>
        <w:tblW w:w="0" w:type="auto"/>
        <w:jc w:val="center"/>
        <w:tblBorders>
          <w:top w:val="none" w:color="auto" w:sz="0" w:space="0"/>
          <w:left w:val="single" w:color="4874CB" w:themeColor="accent1"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4F3675BB">
        <w:tblPrEx>
          <w:tblBorders>
            <w:top w:val="none" w:color="auto" w:sz="0" w:space="0"/>
            <w:left w:val="single" w:color="4874CB" w:themeColor="accent1"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tcPr>
          <w:p w14:paraId="7BCDCD48">
            <w:pPr>
              <w:pStyle w:val="19"/>
              <w:bidi w:val="0"/>
              <w:rPr>
                <w:b w:val="0"/>
                <w:bCs w:val="0"/>
              </w:rPr>
            </w:pPr>
          </w:p>
        </w:tc>
      </w:tr>
    </w:tbl>
    <w:p w14:paraId="7F9DF156">
      <w:pPr>
        <w:pStyle w:val="19"/>
        <w:bidi w:val="0"/>
        <w:rPr>
          <w:b w:val="0"/>
          <w:bCs w:val="0"/>
        </w:rPr>
      </w:pPr>
    </w:p>
    <w:p w14:paraId="580722C5">
      <w:pPr>
        <w:pStyle w:val="6"/>
        <w:numPr>
          <w:ilvl w:val="0"/>
          <w:numId w:val="229"/>
        </w:numPr>
        <w:bidi w:val="0"/>
        <w:ind w:left="0" w:leftChars="0" w:firstLine="0" w:firstLineChars="0"/>
        <w:rPr>
          <w:b w:val="0"/>
          <w:bCs w:val="0"/>
          <w:sz w:val="28"/>
          <w:szCs w:val="28"/>
        </w:rPr>
      </w:pPr>
      <w:r>
        <w:rPr>
          <w:b w:val="0"/>
          <w:bCs w:val="0"/>
          <w:sz w:val="28"/>
          <w:szCs w:val="28"/>
        </w:rPr>
        <w:t>边界条件、异常处理与防错规则</w:t>
      </w:r>
    </w:p>
    <w:tbl>
      <w:tblPr>
        <w:tblStyle w:val="38"/>
        <w:tblW w:w="0" w:type="auto"/>
        <w:jc w:val="center"/>
        <w:tblBorders>
          <w:top w:val="none" w:color="auto" w:sz="0" w:space="0"/>
          <w:left w:val="single" w:color="E54C5E" w:themeColor="accent6"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05B8B7F5">
        <w:tblPrEx>
          <w:tblBorders>
            <w:top w:val="none" w:color="auto" w:sz="0" w:space="0"/>
            <w:left w:val="single" w:color="E54C5E" w:themeColor="accent6"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5F3FF"/>
            <w:tcMar>
              <w:top w:w="70" w:type="dxa"/>
              <w:left w:w="100" w:type="dxa"/>
              <w:bottom w:w="70" w:type="dxa"/>
              <w:right w:w="100" w:type="dxa"/>
            </w:tcMar>
          </w:tcPr>
          <w:p w14:paraId="22F6D202">
            <w:pPr>
              <w:pStyle w:val="19"/>
              <w:bidi w:val="0"/>
              <w:rPr>
                <w:b w:val="0"/>
                <w:bCs w:val="0"/>
              </w:rPr>
            </w:pPr>
          </w:p>
        </w:tc>
      </w:tr>
    </w:tbl>
    <w:p w14:paraId="33999C91">
      <w:pPr>
        <w:rPr>
          <w:b w:val="0"/>
          <w:bCs w:val="0"/>
        </w:rPr>
      </w:pPr>
    </w:p>
    <w:p w14:paraId="5EAD2A7F">
      <w:pPr>
        <w:pStyle w:val="6"/>
        <w:numPr>
          <w:ilvl w:val="0"/>
          <w:numId w:val="229"/>
        </w:numPr>
        <w:bidi w:val="0"/>
        <w:ind w:left="0" w:leftChars="0" w:firstLine="0" w:firstLineChars="0"/>
        <w:rPr>
          <w:b w:val="0"/>
          <w:bCs w:val="0"/>
          <w:sz w:val="28"/>
          <w:szCs w:val="28"/>
        </w:rPr>
      </w:pPr>
      <w:r>
        <w:rPr>
          <w:b w:val="0"/>
          <w:bCs w:val="0"/>
          <w:sz w:val="28"/>
          <w:szCs w:val="28"/>
        </w:rPr>
        <w:t>QA 自动化验收准则（Gherkin BDD）</w:t>
      </w:r>
    </w:p>
    <w:tbl>
      <w:tblPr>
        <w:tblStyle w:val="38"/>
        <w:tblW w:w="0" w:type="auto"/>
        <w:jc w:val="center"/>
        <w:tblLayout w:type="fixed"/>
        <w:tblCellMar>
          <w:top w:w="0" w:type="dxa"/>
          <w:left w:w="108" w:type="dxa"/>
          <w:bottom w:w="0" w:type="dxa"/>
          <w:right w:w="108" w:type="dxa"/>
        </w:tblCellMar>
      </w:tblPr>
      <w:tblGrid>
        <w:gridCol w:w="9648"/>
      </w:tblGrid>
      <w:tr w14:paraId="79D39E56">
        <w:trPr>
          <w:jc w:val="center"/>
        </w:trPr>
        <w:tc>
          <w:tcPr>
            <w:tcW w:w="9648" w:type="dxa"/>
            <w:tcBorders>
              <w:top w:val="nil"/>
              <w:left w:val="single" w:color="7C3AED" w:sz="24" w:space="0"/>
              <w:bottom w:val="nil"/>
              <w:right w:val="nil"/>
            </w:tcBorders>
            <w:shd w:val="clear" w:color="auto" w:fill="F5F3FF"/>
            <w:tcMar>
              <w:top w:w="70" w:type="dxa"/>
              <w:left w:w="100" w:type="dxa"/>
              <w:bottom w:w="70" w:type="dxa"/>
              <w:right w:w="100" w:type="dxa"/>
            </w:tcMar>
          </w:tcPr>
          <w:p w14:paraId="59413B86">
            <w:pPr>
              <w:pStyle w:val="19"/>
              <w:bidi w:val="0"/>
              <w:rPr>
                <w:b w:val="0"/>
                <w:bCs w:val="0"/>
              </w:rPr>
            </w:pPr>
          </w:p>
        </w:tc>
      </w:tr>
    </w:tbl>
    <w:p w14:paraId="36607F95">
      <w:pPr>
        <w:rPr>
          <w:rFonts w:hint="default"/>
          <w:b w:val="0"/>
          <w:bCs w:val="0"/>
          <w:lang w:val="en-US" w:eastAsia="zh-CN"/>
        </w:rPr>
      </w:pPr>
    </w:p>
    <w:p w14:paraId="04FA5D12">
      <w:pPr>
        <w:pStyle w:val="4"/>
        <w:numPr>
          <w:ilvl w:val="0"/>
          <w:numId w:val="199"/>
        </w:numPr>
        <w:topLinePunct w:val="0"/>
        <w:ind w:left="0" w:leftChars="0" w:firstLine="0" w:firstLineChars="0"/>
        <w:outlineLvl w:val="0"/>
        <w:rPr>
          <w:rFonts w:hint="default" w:ascii="Times New Roman" w:hAnsi="Times New Roman" w:eastAsia="黑体" w:cs="Times New Roman"/>
          <w:b w:val="0"/>
          <w:bCs w:val="0"/>
          <w:sz w:val="30"/>
          <w:szCs w:val="32"/>
          <w:lang w:val="en-US" w:eastAsia="zh-CN"/>
        </w:rPr>
      </w:pPr>
      <w:bookmarkStart w:id="81" w:name="_Toc12273"/>
      <w:r>
        <w:rPr>
          <w:rFonts w:hint="eastAsia" w:ascii="Times New Roman" w:hAnsi="Times New Roman" w:eastAsia="黑体" w:cs="Times New Roman"/>
          <w:b w:val="0"/>
          <w:bCs w:val="0"/>
          <w:sz w:val="30"/>
          <w:szCs w:val="32"/>
          <w:lang w:val="en-US" w:eastAsia="zh-CN"/>
        </w:rPr>
        <w:t>日志管理</w:t>
      </w:r>
      <w:bookmarkEnd w:id="81"/>
    </w:p>
    <w:p w14:paraId="5CB61582">
      <w:pPr>
        <w:rPr>
          <w:b w:val="0"/>
          <w:bCs w:val="0"/>
        </w:rPr>
      </w:pPr>
      <w:r>
        <w:drawing>
          <wp:inline distT="0" distB="0" distL="114300" distR="114300">
            <wp:extent cx="5900420" cy="2925445"/>
            <wp:effectExtent l="0" t="0" r="5080" b="8255"/>
            <wp:docPr id="97"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51"/>
                    <pic:cNvPicPr>
                      <a:picLocks noChangeAspect="1"/>
                    </pic:cNvPicPr>
                  </pic:nvPicPr>
                  <pic:blipFill>
                    <a:blip r:embed="rId109"/>
                    <a:stretch>
                      <a:fillRect/>
                    </a:stretch>
                  </pic:blipFill>
                  <pic:spPr>
                    <a:xfrm>
                      <a:off x="0" y="0"/>
                      <a:ext cx="5900420" cy="2925445"/>
                    </a:xfrm>
                    <a:prstGeom prst="rect">
                      <a:avLst/>
                    </a:prstGeom>
                    <a:noFill/>
                    <a:ln>
                      <a:noFill/>
                    </a:ln>
                  </pic:spPr>
                </pic:pic>
              </a:graphicData>
            </a:graphic>
          </wp:inline>
        </w:drawing>
      </w:r>
    </w:p>
    <w:p w14:paraId="24A781EE">
      <w:pPr>
        <w:pStyle w:val="6"/>
        <w:numPr>
          <w:ilvl w:val="0"/>
          <w:numId w:val="231"/>
        </w:numPr>
        <w:bidi w:val="0"/>
        <w:ind w:left="0" w:leftChars="0" w:firstLine="0" w:firstLineChars="0"/>
        <w:rPr>
          <w:b w:val="0"/>
          <w:bCs w:val="0"/>
          <w:sz w:val="28"/>
          <w:szCs w:val="28"/>
        </w:rPr>
      </w:pPr>
      <w:r>
        <w:rPr>
          <w:b w:val="0"/>
          <w:bCs w:val="0"/>
          <w:sz w:val="28"/>
          <w:szCs w:val="28"/>
        </w:rPr>
        <w:t>定位与架构角色</w:t>
      </w:r>
    </w:p>
    <w:tbl>
      <w:tblPr>
        <w:tblStyle w:val="38"/>
        <w:tblW w:w="0" w:type="auto"/>
        <w:jc w:val="center"/>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04027709">
        <w:tblPrEx>
          <w:tblBorders>
            <w:top w:val="none" w:color="auto" w:sz="0" w:space="0"/>
            <w:left w:val="single" w:color="ACD78D" w:themeColor="accent4" w:themeTint="99"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tcPr>
          <w:p w14:paraId="17AD6948">
            <w:pPr>
              <w:pStyle w:val="19"/>
              <w:bidi w:val="0"/>
              <w:ind w:left="0" w:leftChars="0" w:firstLine="0" w:firstLineChars="0"/>
              <w:rPr>
                <w:rFonts w:ascii="宋体" w:hAnsi="宋体" w:eastAsia="宋体" w:cs="宋体"/>
                <w:sz w:val="24"/>
                <w:szCs w:val="24"/>
              </w:rPr>
            </w:pPr>
            <w:r>
              <w:rPr>
                <w:rFonts w:ascii="宋体" w:hAnsi="宋体" w:eastAsia="宋体" w:cs="宋体"/>
                <w:b/>
                <w:bCs/>
                <w:sz w:val="24"/>
                <w:szCs w:val="24"/>
              </w:rPr>
              <w:t>・功能定位</w:t>
            </w:r>
            <w:r>
              <w:rPr>
                <w:rFonts w:ascii="宋体" w:hAnsi="宋体" w:eastAsia="宋体" w:cs="宋体"/>
                <w:sz w:val="24"/>
                <w:szCs w:val="24"/>
              </w:rPr>
              <w:t xml:space="preserve">：作为系统管理模块下操作审计单元，统一记录账号登录、数据提交、因子变更、权限调整、报表导出等全量关键操作，留存操作时间、操作人、操作类型、操作对象、IP 地址与执行结果；日志存储周期不少于 3 年且不可删除，支持按关键字、日志类型、操作结果检索与日志导出，用于系统安全审计、问题追溯、合规留痕，满足能碳平台数据可追溯管理要求。 </w:t>
            </w:r>
          </w:p>
          <w:p w14:paraId="4FA7BAEB">
            <w:pPr>
              <w:pStyle w:val="19"/>
              <w:bidi w:val="0"/>
              <w:ind w:left="0" w:leftChars="0" w:firstLine="0" w:firstLineChars="0"/>
              <w:rPr>
                <w:b w:val="0"/>
                <w:bCs w:val="0"/>
              </w:rPr>
            </w:pPr>
            <w:r>
              <w:rPr>
                <w:rFonts w:ascii="宋体" w:hAnsi="宋体" w:eastAsia="宋体" w:cs="宋体"/>
                <w:b/>
                <w:bCs/>
                <w:sz w:val="24"/>
                <w:szCs w:val="24"/>
              </w:rPr>
              <w:t>・承载角色</w:t>
            </w:r>
            <w:r>
              <w:rPr>
                <w:rFonts w:ascii="宋体" w:hAnsi="宋体" w:eastAsia="宋体" w:cs="宋体"/>
                <w:sz w:val="24"/>
                <w:szCs w:val="24"/>
              </w:rPr>
              <w:t>：PM 系统管理员（仅支持查询、检索、导出日志，不支持日志新增、修改与删除）。</w:t>
            </w:r>
          </w:p>
        </w:tc>
      </w:tr>
    </w:tbl>
    <w:p w14:paraId="6C0E03D4">
      <w:pPr>
        <w:rPr>
          <w:b w:val="0"/>
          <w:bCs w:val="0"/>
        </w:rPr>
      </w:pPr>
    </w:p>
    <w:p w14:paraId="09AF25C6">
      <w:pPr>
        <w:pStyle w:val="6"/>
        <w:numPr>
          <w:ilvl w:val="0"/>
          <w:numId w:val="231"/>
        </w:numPr>
        <w:bidi w:val="0"/>
        <w:ind w:left="0" w:leftChars="0" w:firstLine="0" w:firstLineChars="0"/>
        <w:rPr>
          <w:b w:val="0"/>
          <w:bCs w:val="0"/>
          <w:sz w:val="28"/>
          <w:szCs w:val="28"/>
        </w:rPr>
      </w:pPr>
      <w:r>
        <w:rPr>
          <w:b w:val="0"/>
          <w:bCs w:val="0"/>
          <w:sz w:val="28"/>
          <w:szCs w:val="28"/>
        </w:rPr>
        <w:t>业务场景与用户故事</w:t>
      </w:r>
    </w:p>
    <w:tbl>
      <w:tblPr>
        <w:tblStyle w:val="38"/>
        <w:tblW w:w="0" w:type="auto"/>
        <w:jc w:val="center"/>
        <w:tblBorders>
          <w:top w:val="none" w:color="auto" w:sz="0" w:space="0"/>
          <w:left w:val="single" w:color="44546A" w:themeColor="text2"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6DE3D946">
        <w:tblPrEx>
          <w:tblBorders>
            <w:top w:val="none" w:color="auto" w:sz="0" w:space="0"/>
            <w:left w:val="single" w:color="44546A" w:themeColor="text2"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tcPr>
          <w:p w14:paraId="6A1F8DA3">
            <w:pPr>
              <w:pStyle w:val="19"/>
              <w:bidi w:val="0"/>
              <w:ind w:left="0" w:leftChars="0" w:firstLine="0" w:firstLineChars="0"/>
            </w:pPr>
            <w:r>
              <w:rPr>
                <w:b/>
                <w:bCs/>
                <w:lang w:val="en-US" w:eastAsia="zh-CN"/>
              </w:rPr>
              <w:t>业务场景</w:t>
            </w:r>
            <w:r>
              <w:rPr>
                <w:lang w:val="en-US" w:eastAsia="zh-CN"/>
              </w:rPr>
              <w:t>：面向系统管理员进行平台操作审计与合规管控场景，全量留存平台后台配置、数据修改、权限变更等操作记录，实现全程可追溯。</w:t>
            </w:r>
          </w:p>
          <w:p w14:paraId="57A72F57">
            <w:pPr>
              <w:pStyle w:val="19"/>
              <w:bidi w:val="0"/>
              <w:ind w:left="0" w:leftChars="0" w:firstLine="0" w:firstLineChars="0"/>
            </w:pPr>
            <w:r>
              <w:rPr>
                <w:b/>
                <w:bCs/>
                <w:lang w:val="en-US" w:eastAsia="zh-CN"/>
              </w:rPr>
              <w:t>用户故事</w:t>
            </w:r>
            <w:r>
              <w:rPr>
                <w:lang w:val="en-US" w:eastAsia="zh-CN"/>
              </w:rPr>
              <w:t>：</w:t>
            </w:r>
          </w:p>
          <w:p w14:paraId="30938380">
            <w:pPr>
              <w:pStyle w:val="19"/>
              <w:bidi w:val="0"/>
            </w:pPr>
            <w:r>
              <w:rPr>
                <w:lang w:val="en-US" w:eastAsia="zh-CN"/>
              </w:rPr>
              <w:t>As a 系统管理员 (Persona PM)，</w:t>
            </w:r>
          </w:p>
          <w:p w14:paraId="4DD208EE">
            <w:pPr>
              <w:pStyle w:val="19"/>
              <w:bidi w:val="0"/>
            </w:pPr>
            <w:r>
              <w:rPr>
                <w:lang w:val="en-US" w:eastAsia="zh-CN"/>
              </w:rPr>
              <w:t>I want 全程留存、查询、导出平台所有关键操作日志，数据不可篡改，</w:t>
            </w:r>
          </w:p>
          <w:p w14:paraId="0913C793">
            <w:pPr>
              <w:pStyle w:val="19"/>
              <w:bidi w:val="0"/>
            </w:pPr>
            <w:r>
              <w:rPr>
                <w:lang w:val="en-US" w:eastAsia="zh-CN"/>
              </w:rPr>
              <w:t>So that 我能实现平台操作合规审计、问题溯源，保障大屏底层配置数据安全可信、全程留痕。</w:t>
            </w:r>
          </w:p>
          <w:p w14:paraId="60BB35C9">
            <w:pPr>
              <w:pStyle w:val="19"/>
              <w:bidi w:val="0"/>
            </w:pPr>
          </w:p>
        </w:tc>
      </w:tr>
    </w:tbl>
    <w:p w14:paraId="36E071B5">
      <w:pPr>
        <w:rPr>
          <w:b w:val="0"/>
          <w:bCs w:val="0"/>
        </w:rPr>
      </w:pPr>
    </w:p>
    <w:p w14:paraId="783AFE7F">
      <w:pPr>
        <w:pStyle w:val="6"/>
        <w:numPr>
          <w:ilvl w:val="0"/>
          <w:numId w:val="231"/>
        </w:numPr>
        <w:bidi w:val="0"/>
        <w:ind w:left="0" w:leftChars="0" w:firstLine="0" w:firstLineChars="0"/>
        <w:rPr>
          <w:b w:val="0"/>
          <w:bCs w:val="0"/>
          <w:sz w:val="28"/>
          <w:szCs w:val="28"/>
        </w:rPr>
      </w:pPr>
      <w:r>
        <w:rPr>
          <w:b w:val="0"/>
          <w:bCs w:val="0"/>
          <w:sz w:val="28"/>
          <w:szCs w:val="28"/>
        </w:rPr>
        <w:t>功能规格与交互契约</w:t>
      </w:r>
    </w:p>
    <w:tbl>
      <w:tblPr>
        <w:tblStyle w:val="38"/>
        <w:tblW w:w="0" w:type="auto"/>
        <w:jc w:val="center"/>
        <w:tblBorders>
          <w:top w:val="none" w:color="auto" w:sz="0" w:space="0"/>
          <w:left w:val="single" w:color="EE822F" w:themeColor="accent2"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1BDEB040">
        <w:tblPrEx>
          <w:tblBorders>
            <w:top w:val="none" w:color="auto" w:sz="0" w:space="0"/>
            <w:left w:val="single" w:color="EE822F" w:themeColor="accent2"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tcPr>
          <w:p w14:paraId="1CFECAFC">
            <w:pPr>
              <w:pStyle w:val="19"/>
              <w:numPr>
                <w:ilvl w:val="0"/>
                <w:numId w:val="232"/>
              </w:numPr>
              <w:bidi w:val="0"/>
              <w:rPr>
                <w:b w:val="0"/>
                <w:bCs w:val="0"/>
              </w:rPr>
            </w:pPr>
            <w:r>
              <w:rPr>
                <w:rFonts w:hint="eastAsia"/>
                <w:b w:val="0"/>
                <w:bCs w:val="0"/>
                <w:lang w:val="en-US" w:eastAsia="zh-CN"/>
              </w:rPr>
              <w:t>选择查询条件，根据条件筛选列表数据；</w:t>
            </w:r>
          </w:p>
          <w:p w14:paraId="276CC54A">
            <w:pPr>
              <w:pStyle w:val="19"/>
              <w:numPr>
                <w:ilvl w:val="0"/>
                <w:numId w:val="232"/>
              </w:numPr>
              <w:bidi w:val="0"/>
              <w:rPr>
                <w:b w:val="0"/>
                <w:bCs w:val="0"/>
              </w:rPr>
            </w:pPr>
            <w:r>
              <w:rPr>
                <w:rFonts w:hint="eastAsia"/>
                <w:b w:val="0"/>
                <w:bCs w:val="0"/>
                <w:lang w:val="en-US" w:eastAsia="zh-CN"/>
              </w:rPr>
              <w:t>点击【导出】按钮，可将列表内数据导出到excel；</w:t>
            </w:r>
          </w:p>
          <w:p w14:paraId="58CBBC2A">
            <w:pPr>
              <w:pStyle w:val="19"/>
              <w:numPr>
                <w:ilvl w:val="0"/>
                <w:numId w:val="232"/>
              </w:numPr>
              <w:bidi w:val="0"/>
              <w:rPr>
                <w:b w:val="0"/>
                <w:bCs w:val="0"/>
              </w:rPr>
            </w:pPr>
            <w:r>
              <w:rPr>
                <w:rFonts w:hint="eastAsia"/>
                <w:b w:val="0"/>
                <w:bCs w:val="0"/>
                <w:lang w:val="en-US" w:eastAsia="zh-CN"/>
              </w:rPr>
              <w:t>点击【重置】按钮，重置查询条件；</w:t>
            </w:r>
          </w:p>
        </w:tc>
      </w:tr>
    </w:tbl>
    <w:p w14:paraId="58C14010">
      <w:pPr>
        <w:rPr>
          <w:b w:val="0"/>
          <w:bCs w:val="0"/>
        </w:rPr>
      </w:pPr>
    </w:p>
    <w:p w14:paraId="1E5D0390">
      <w:pPr>
        <w:pStyle w:val="6"/>
        <w:numPr>
          <w:ilvl w:val="0"/>
          <w:numId w:val="231"/>
        </w:numPr>
        <w:bidi w:val="0"/>
        <w:ind w:left="0" w:leftChars="0" w:firstLine="0" w:firstLineChars="0"/>
        <w:rPr>
          <w:b w:val="0"/>
          <w:bCs w:val="0"/>
          <w:sz w:val="28"/>
          <w:szCs w:val="28"/>
        </w:rPr>
      </w:pPr>
      <w:r>
        <w:rPr>
          <w:b w:val="0"/>
          <w:bCs w:val="0"/>
          <w:sz w:val="28"/>
          <w:szCs w:val="28"/>
        </w:rPr>
        <w:t>页面字段字典与数据契约</w:t>
      </w:r>
    </w:p>
    <w:tbl>
      <w:tblPr>
        <w:tblStyle w:val="38"/>
        <w:tblW w:w="9784" w:type="dxa"/>
        <w:jc w:val="center"/>
        <w:tblLayout w:type="autofit"/>
        <w:tblCellMar>
          <w:top w:w="0" w:type="dxa"/>
          <w:left w:w="108" w:type="dxa"/>
          <w:bottom w:w="0" w:type="dxa"/>
          <w:right w:w="108" w:type="dxa"/>
        </w:tblCellMar>
      </w:tblPr>
      <w:tblGrid>
        <w:gridCol w:w="889"/>
        <w:gridCol w:w="1657"/>
        <w:gridCol w:w="1468"/>
        <w:gridCol w:w="1291"/>
        <w:gridCol w:w="4479"/>
      </w:tblGrid>
      <w:tr w14:paraId="1C21197A">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0D1C1A1">
            <w:pPr>
              <w:pStyle w:val="19"/>
              <w:bidi w:val="0"/>
              <w:spacing w:line="240" w:lineRule="auto"/>
              <w:ind w:left="0" w:leftChars="0" w:right="0" w:rightChars="0" w:firstLine="0" w:firstLineChars="0"/>
              <w:jc w:val="center"/>
              <w:rPr>
                <w:rFonts w:hint="eastAsia" w:ascii="宋体" w:hAnsi="宋体" w:eastAsia="宋体" w:cs="宋体"/>
                <w:b w:val="0"/>
                <w:bCs w:val="0"/>
                <w:sz w:val="24"/>
                <w:szCs w:val="24"/>
              </w:rPr>
            </w:pPr>
            <w:r>
              <w:rPr>
                <w:rFonts w:hint="eastAsia" w:ascii="宋体" w:hAnsi="宋体" w:eastAsia="宋体" w:cs="宋体"/>
                <w:b w:val="0"/>
                <w:bCs w:val="0"/>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E708E79">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字段中文名称</w:t>
            </w:r>
          </w:p>
        </w:tc>
        <w:tc>
          <w:tcPr>
            <w:tcW w:w="146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318E67A">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7B0CCCF">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工程单位</w:t>
            </w:r>
          </w:p>
        </w:tc>
        <w:tc>
          <w:tcPr>
            <w:tcW w:w="447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6326908">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校验与约束规则</w:t>
            </w:r>
          </w:p>
        </w:tc>
      </w:tr>
      <w:tr w14:paraId="4DC0861E">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3115DAE">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544C785">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sz w:val="24"/>
                <w:szCs w:val="24"/>
              </w:rPr>
              <w:t>时间</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5D2CD98">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BCA1888">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B26D21B">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r>
      <w:tr w14:paraId="2509E9DE">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5595D6B">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2</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C23BB7F">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sz w:val="24"/>
                <w:szCs w:val="24"/>
              </w:rPr>
              <w:t>操作人</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D972678">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0BAD54C">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F2EC36D">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r>
      <w:tr w14:paraId="68857CE0">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E543B94">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7543D03">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sz w:val="24"/>
                <w:szCs w:val="24"/>
              </w:rPr>
              <w:t>操作对象</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F74C080">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34696AF">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B32CA6C">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r>
      <w:tr w14:paraId="16633B6E">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B714E3F">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4</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46B64C1">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sz w:val="24"/>
                <w:szCs w:val="24"/>
              </w:rPr>
              <w:t>IP地址</w:t>
            </w:r>
          </w:p>
        </w:tc>
        <w:tc>
          <w:tcPr>
            <w:tcW w:w="146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6C31B85">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3323405">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447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B96390E">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r>
      <w:tr w14:paraId="62B26780">
        <w:tblPrEx>
          <w:tblCellMar>
            <w:top w:w="0" w:type="dxa"/>
            <w:left w:w="108" w:type="dxa"/>
            <w:bottom w:w="0" w:type="dxa"/>
            <w:right w:w="108" w:type="dxa"/>
          </w:tblCellMar>
        </w:tblPrEx>
        <w:trPr>
          <w:jc w:val="center"/>
        </w:trPr>
        <w:tc>
          <w:tcPr>
            <w:tcW w:w="8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81F8339">
            <w:pPr>
              <w:pStyle w:val="19"/>
              <w:bidi w:val="0"/>
              <w:spacing w:line="240" w:lineRule="auto"/>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5</w:t>
            </w:r>
          </w:p>
        </w:tc>
        <w:tc>
          <w:tcPr>
            <w:tcW w:w="165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C69F273">
            <w:pPr>
              <w:bidi w:val="0"/>
              <w:spacing w:line="240" w:lineRule="auto"/>
              <w:ind w:left="0" w:leftChars="0" w:right="0" w:rightChars="0" w:firstLine="0" w:firstLineChars="0"/>
              <w:jc w:val="both"/>
              <w:rPr>
                <w:rFonts w:hint="eastAsia" w:ascii="宋体" w:hAnsi="宋体" w:eastAsia="宋体" w:cs="宋体"/>
                <w:b w:val="0"/>
                <w:bCs w:val="0"/>
                <w:sz w:val="24"/>
                <w:szCs w:val="24"/>
              </w:rPr>
            </w:pPr>
            <w:r>
              <w:rPr>
                <w:rFonts w:hint="eastAsia" w:ascii="宋体" w:hAnsi="宋体" w:eastAsia="宋体" w:cs="宋体"/>
                <w:sz w:val="24"/>
                <w:szCs w:val="24"/>
              </w:rPr>
              <w:t>结果</w:t>
            </w:r>
          </w:p>
        </w:tc>
        <w:tc>
          <w:tcPr>
            <w:tcW w:w="146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CBFC986">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129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0B6D92B">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c>
          <w:tcPr>
            <w:tcW w:w="4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12C7C0B">
            <w:pPr>
              <w:pStyle w:val="19"/>
              <w:bidi w:val="0"/>
              <w:spacing w:line="240" w:lineRule="auto"/>
              <w:ind w:left="0" w:leftChars="0" w:right="0" w:rightChars="0" w:firstLine="0" w:firstLineChars="0"/>
              <w:jc w:val="both"/>
              <w:rPr>
                <w:rFonts w:hint="eastAsia" w:ascii="宋体" w:hAnsi="宋体" w:eastAsia="宋体" w:cs="宋体"/>
                <w:b w:val="0"/>
                <w:bCs w:val="0"/>
                <w:sz w:val="24"/>
                <w:szCs w:val="24"/>
              </w:rPr>
            </w:pPr>
          </w:p>
        </w:tc>
      </w:tr>
    </w:tbl>
    <w:p w14:paraId="507B3EEF">
      <w:pPr>
        <w:pStyle w:val="19"/>
        <w:bidi w:val="0"/>
        <w:rPr>
          <w:b w:val="0"/>
          <w:bCs w:val="0"/>
        </w:rPr>
      </w:pPr>
    </w:p>
    <w:p w14:paraId="204210FD">
      <w:pPr>
        <w:pStyle w:val="6"/>
        <w:numPr>
          <w:ilvl w:val="0"/>
          <w:numId w:val="231"/>
        </w:numPr>
        <w:bidi w:val="0"/>
        <w:ind w:left="0" w:leftChars="0" w:firstLine="0" w:firstLineChars="0"/>
        <w:rPr>
          <w:b w:val="0"/>
          <w:bCs w:val="0"/>
          <w:sz w:val="28"/>
          <w:szCs w:val="28"/>
        </w:rPr>
      </w:pPr>
      <w:r>
        <w:rPr>
          <w:b w:val="0"/>
          <w:bCs w:val="0"/>
          <w:sz w:val="28"/>
          <w:szCs w:val="28"/>
        </w:rPr>
        <w:t>核心数学模型与算法框架</w:t>
      </w:r>
    </w:p>
    <w:tbl>
      <w:tblPr>
        <w:tblStyle w:val="38"/>
        <w:tblW w:w="0" w:type="auto"/>
        <w:jc w:val="center"/>
        <w:tblLayout w:type="fixed"/>
        <w:tblCellMar>
          <w:top w:w="0" w:type="dxa"/>
          <w:left w:w="108" w:type="dxa"/>
          <w:bottom w:w="0" w:type="dxa"/>
          <w:right w:w="108" w:type="dxa"/>
        </w:tblCellMar>
      </w:tblPr>
      <w:tblGrid>
        <w:gridCol w:w="9648"/>
      </w:tblGrid>
      <w:tr w14:paraId="5B41516F">
        <w:tblPrEx>
          <w:tblCellMar>
            <w:top w:w="0" w:type="dxa"/>
            <w:left w:w="108" w:type="dxa"/>
            <w:bottom w:w="0" w:type="dxa"/>
            <w:right w:w="108" w:type="dxa"/>
          </w:tblCellMar>
        </w:tblPrEx>
        <w:trPr>
          <w:jc w:val="center"/>
        </w:trPr>
        <w:tc>
          <w:tcPr>
            <w:tcW w:w="9648" w:type="dxa"/>
            <w:tcBorders>
              <w:top w:val="nil"/>
              <w:left w:val="single" w:color="16A34A" w:sz="24" w:space="0"/>
              <w:bottom w:val="nil"/>
              <w:right w:val="nil"/>
            </w:tcBorders>
            <w:shd w:val="clear" w:color="auto" w:fill="F0FDF4"/>
            <w:tcMar>
              <w:top w:w="70" w:type="dxa"/>
              <w:left w:w="100" w:type="dxa"/>
              <w:bottom w:w="70" w:type="dxa"/>
              <w:right w:w="100" w:type="dxa"/>
            </w:tcMar>
          </w:tcPr>
          <w:p w14:paraId="7F318770">
            <w:pPr>
              <w:pStyle w:val="19"/>
              <w:bidi w:val="0"/>
              <w:rPr>
                <w:b w:val="0"/>
                <w:bCs w:val="0"/>
              </w:rPr>
            </w:pPr>
            <w:r>
              <w:rPr>
                <w:rFonts w:hint="eastAsia"/>
                <w:lang w:val="en-US" w:eastAsia="zh-CN"/>
              </w:rPr>
              <w:t>无</w:t>
            </w:r>
          </w:p>
        </w:tc>
      </w:tr>
    </w:tbl>
    <w:p w14:paraId="770DED9E">
      <w:pPr>
        <w:pStyle w:val="19"/>
        <w:bidi w:val="0"/>
        <w:rPr>
          <w:b w:val="0"/>
          <w:bCs w:val="0"/>
        </w:rPr>
      </w:pPr>
    </w:p>
    <w:p w14:paraId="700752D1">
      <w:pPr>
        <w:pStyle w:val="6"/>
        <w:numPr>
          <w:ilvl w:val="0"/>
          <w:numId w:val="231"/>
        </w:numPr>
        <w:bidi w:val="0"/>
        <w:ind w:left="0" w:leftChars="0" w:firstLine="0" w:firstLineChars="0"/>
        <w:rPr>
          <w:b w:val="0"/>
          <w:bCs w:val="0"/>
          <w:sz w:val="28"/>
          <w:szCs w:val="28"/>
        </w:rPr>
      </w:pPr>
      <w:r>
        <w:rPr>
          <w:b w:val="0"/>
          <w:bCs w:val="0"/>
          <w:sz w:val="28"/>
          <w:szCs w:val="28"/>
        </w:rPr>
        <w:t>展示、对标与判定口径</w:t>
      </w:r>
    </w:p>
    <w:tbl>
      <w:tblPr>
        <w:tblStyle w:val="38"/>
        <w:tblW w:w="0" w:type="auto"/>
        <w:jc w:val="center"/>
        <w:tblBorders>
          <w:top w:val="none" w:color="auto" w:sz="0" w:space="0"/>
          <w:left w:val="single" w:color="4874CB" w:themeColor="accent1"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4D0F051A">
        <w:tblPrEx>
          <w:tblBorders>
            <w:top w:val="none" w:color="auto" w:sz="0" w:space="0"/>
            <w:left w:val="single" w:color="4874CB" w:themeColor="accent1"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0FDF4"/>
            <w:tcMar>
              <w:top w:w="70" w:type="dxa"/>
              <w:left w:w="100" w:type="dxa"/>
              <w:bottom w:w="70" w:type="dxa"/>
              <w:right w:w="100" w:type="dxa"/>
            </w:tcMar>
          </w:tcPr>
          <w:p w14:paraId="173B6E80">
            <w:pPr>
              <w:pStyle w:val="19"/>
              <w:bidi w:val="0"/>
              <w:rPr>
                <w:b w:val="0"/>
                <w:bCs w:val="0"/>
              </w:rPr>
            </w:pPr>
          </w:p>
        </w:tc>
      </w:tr>
    </w:tbl>
    <w:p w14:paraId="3B5B5958">
      <w:pPr>
        <w:pStyle w:val="19"/>
        <w:bidi w:val="0"/>
        <w:rPr>
          <w:b w:val="0"/>
          <w:bCs w:val="0"/>
        </w:rPr>
      </w:pPr>
    </w:p>
    <w:p w14:paraId="1B39B10A">
      <w:pPr>
        <w:pStyle w:val="6"/>
        <w:numPr>
          <w:ilvl w:val="0"/>
          <w:numId w:val="231"/>
        </w:numPr>
        <w:bidi w:val="0"/>
        <w:ind w:left="0" w:leftChars="0" w:firstLine="0" w:firstLineChars="0"/>
        <w:rPr>
          <w:b w:val="0"/>
          <w:bCs w:val="0"/>
          <w:sz w:val="28"/>
          <w:szCs w:val="28"/>
        </w:rPr>
      </w:pPr>
      <w:r>
        <w:rPr>
          <w:b w:val="0"/>
          <w:bCs w:val="0"/>
          <w:sz w:val="28"/>
          <w:szCs w:val="28"/>
        </w:rPr>
        <w:t>边界条件、异常处理与防错规则</w:t>
      </w:r>
    </w:p>
    <w:tbl>
      <w:tblPr>
        <w:tblStyle w:val="38"/>
        <w:tblW w:w="0" w:type="auto"/>
        <w:jc w:val="center"/>
        <w:tblBorders>
          <w:top w:val="none" w:color="auto" w:sz="0" w:space="0"/>
          <w:left w:val="single" w:color="E54C5E" w:themeColor="accent6" w:sz="24"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48"/>
      </w:tblGrid>
      <w:tr w14:paraId="272437CC">
        <w:tblPrEx>
          <w:tblBorders>
            <w:top w:val="none" w:color="auto" w:sz="0" w:space="0"/>
            <w:left w:val="single" w:color="E54C5E" w:themeColor="accent6" w:sz="24"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8" w:type="dxa"/>
            <w:tcBorders>
              <w:tl2br w:val="nil"/>
              <w:tr2bl w:val="nil"/>
            </w:tcBorders>
            <w:shd w:val="clear" w:color="auto" w:fill="F5F3FF"/>
            <w:tcMar>
              <w:top w:w="70" w:type="dxa"/>
              <w:left w:w="100" w:type="dxa"/>
              <w:bottom w:w="70" w:type="dxa"/>
              <w:right w:w="100" w:type="dxa"/>
            </w:tcMar>
          </w:tcPr>
          <w:p w14:paraId="7647EB61">
            <w:pPr>
              <w:pStyle w:val="19"/>
              <w:bidi w:val="0"/>
              <w:rPr>
                <w:b w:val="0"/>
                <w:bCs w:val="0"/>
              </w:rPr>
            </w:pPr>
          </w:p>
        </w:tc>
      </w:tr>
    </w:tbl>
    <w:p w14:paraId="069F4EA4">
      <w:pPr>
        <w:rPr>
          <w:b w:val="0"/>
          <w:bCs w:val="0"/>
        </w:rPr>
      </w:pPr>
    </w:p>
    <w:p w14:paraId="32CEF986">
      <w:pPr>
        <w:pStyle w:val="6"/>
        <w:numPr>
          <w:ilvl w:val="0"/>
          <w:numId w:val="231"/>
        </w:numPr>
        <w:bidi w:val="0"/>
        <w:ind w:left="0" w:leftChars="0" w:firstLine="0" w:firstLineChars="0"/>
        <w:rPr>
          <w:b w:val="0"/>
          <w:bCs w:val="0"/>
          <w:sz w:val="28"/>
          <w:szCs w:val="28"/>
        </w:rPr>
      </w:pPr>
      <w:r>
        <w:rPr>
          <w:b w:val="0"/>
          <w:bCs w:val="0"/>
          <w:sz w:val="28"/>
          <w:szCs w:val="28"/>
        </w:rPr>
        <w:t>QA 自动化验收准则（Gherkin BDD）</w:t>
      </w:r>
    </w:p>
    <w:tbl>
      <w:tblPr>
        <w:tblStyle w:val="38"/>
        <w:tblW w:w="0" w:type="auto"/>
        <w:jc w:val="center"/>
        <w:tblLayout w:type="fixed"/>
        <w:tblCellMar>
          <w:top w:w="0" w:type="dxa"/>
          <w:left w:w="108" w:type="dxa"/>
          <w:bottom w:w="0" w:type="dxa"/>
          <w:right w:w="108" w:type="dxa"/>
        </w:tblCellMar>
      </w:tblPr>
      <w:tblGrid>
        <w:gridCol w:w="9648"/>
      </w:tblGrid>
      <w:tr w14:paraId="6AF08D57">
        <w:tblPrEx>
          <w:tblCellMar>
            <w:top w:w="0" w:type="dxa"/>
            <w:left w:w="108" w:type="dxa"/>
            <w:bottom w:w="0" w:type="dxa"/>
            <w:right w:w="108" w:type="dxa"/>
          </w:tblCellMar>
        </w:tblPrEx>
        <w:trPr>
          <w:jc w:val="center"/>
        </w:trPr>
        <w:tc>
          <w:tcPr>
            <w:tcW w:w="9648" w:type="dxa"/>
            <w:tcBorders>
              <w:top w:val="nil"/>
              <w:left w:val="single" w:color="7C3AED" w:sz="24" w:space="0"/>
              <w:bottom w:val="nil"/>
              <w:right w:val="nil"/>
            </w:tcBorders>
            <w:shd w:val="clear" w:color="auto" w:fill="F5F3FF"/>
            <w:tcMar>
              <w:top w:w="70" w:type="dxa"/>
              <w:left w:w="100" w:type="dxa"/>
              <w:bottom w:w="70" w:type="dxa"/>
              <w:right w:w="100" w:type="dxa"/>
            </w:tcMar>
          </w:tcPr>
          <w:p w14:paraId="696E9672">
            <w:pPr>
              <w:pStyle w:val="19"/>
              <w:bidi w:val="0"/>
              <w:rPr>
                <w:b w:val="0"/>
                <w:bCs w:val="0"/>
              </w:rPr>
            </w:pPr>
          </w:p>
        </w:tc>
      </w:tr>
    </w:tbl>
    <w:p w14:paraId="2908CD5F">
      <w:pPr>
        <w:rPr>
          <w:rFonts w:hint="default"/>
          <w:lang w:val="en-US" w:eastAsia="zh-CN"/>
        </w:rPr>
      </w:pPr>
    </w:p>
    <w:p w14:paraId="348B46DC">
      <w:pPr>
        <w:pStyle w:val="3"/>
        <w:numPr>
          <w:ilvl w:val="0"/>
          <w:numId w:val="7"/>
        </w:numPr>
        <w:ind w:left="0" w:leftChars="0" w:firstLine="0" w:firstLineChars="0"/>
        <w:rPr>
          <w:rFonts w:eastAsia="黑体"/>
          <w:b w:val="0"/>
          <w:bCs w:val="0"/>
          <w:sz w:val="32"/>
          <w:szCs w:val="44"/>
        </w:rPr>
      </w:pPr>
      <w:bookmarkStart w:id="82" w:name="_Toc21402"/>
      <w:r>
        <w:rPr>
          <w:rFonts w:ascii="Times New Roman" w:hAnsi="Times New Roman" w:eastAsia="黑体" w:cs="Times New Roman"/>
          <w:b w:val="0"/>
          <w:bCs w:val="0"/>
          <w:sz w:val="32"/>
          <w:szCs w:val="44"/>
        </w:rPr>
        <w:t>系统底座、接口契约与 QA 质量验收</w:t>
      </w:r>
      <w:bookmarkEnd w:id="82"/>
    </w:p>
    <w:p w14:paraId="2D6B1291">
      <w:pPr>
        <w:pStyle w:val="4"/>
        <w:numPr>
          <w:ilvl w:val="0"/>
          <w:numId w:val="233"/>
        </w:numPr>
        <w:topLinePunct w:val="0"/>
        <w:ind w:left="0" w:leftChars="0" w:firstLine="0" w:firstLineChars="0"/>
        <w:outlineLvl w:val="0"/>
        <w:rPr>
          <w:rFonts w:hint="eastAsia" w:eastAsia="黑体"/>
          <w:b w:val="0"/>
          <w:bCs w:val="0"/>
          <w:sz w:val="30"/>
          <w:szCs w:val="32"/>
        </w:rPr>
      </w:pPr>
      <w:bookmarkStart w:id="83" w:name="_Toc11975"/>
      <w:r>
        <w:rPr>
          <w:rFonts w:ascii="Times New Roman" w:hAnsi="Times New Roman" w:eastAsia="黑体" w:cs="Times New Roman"/>
          <w:b w:val="0"/>
          <w:bCs w:val="0"/>
          <w:sz w:val="30"/>
          <w:szCs w:val="32"/>
        </w:rPr>
        <w:t>六级组织架构与穿透鉴权体系</w:t>
      </w:r>
      <w:bookmarkEnd w:id="83"/>
    </w:p>
    <w:p w14:paraId="1AC6C606">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架构规范</w:t>
      </w:r>
      <w:r>
        <w:rPr>
          <w:rFonts w:ascii="Times New Roman" w:hAnsi="Times New Roman" w:eastAsia="宋体" w:cs="Times New Roman"/>
          <w:i w:val="0"/>
          <w:color w:val="1F2937"/>
          <w:sz w:val="24"/>
          <w:szCs w:val="24"/>
        </w:rPr>
        <w:t>：系统严格执行【特变电工集团 ➔ 产业集团 ➔ 二级公司 ➔ 生产园区 ➔ 制造车间 ➔ 用能设备】六级穿透鉴权与数据物理隔离。上级节点通过物化视图自动聚合下级指标，下级节点严格隔离，越权请求触发拦截并审计。</w:t>
      </w:r>
    </w:p>
    <w:tbl>
      <w:tblPr>
        <w:tblStyle w:val="38"/>
        <w:tblW w:w="9784" w:type="dxa"/>
        <w:jc w:val="center"/>
        <w:tblLayout w:type="autofit"/>
        <w:tblCellMar>
          <w:top w:w="0" w:type="dxa"/>
          <w:left w:w="108" w:type="dxa"/>
          <w:bottom w:w="0" w:type="dxa"/>
          <w:right w:w="108" w:type="dxa"/>
        </w:tblCellMar>
      </w:tblPr>
      <w:tblGrid>
        <w:gridCol w:w="1231"/>
        <w:gridCol w:w="1831"/>
        <w:gridCol w:w="3078"/>
        <w:gridCol w:w="1839"/>
        <w:gridCol w:w="1805"/>
      </w:tblGrid>
      <w:tr w14:paraId="16DFF668">
        <w:tblPrEx>
          <w:tblCellMar>
            <w:top w:w="0" w:type="dxa"/>
            <w:left w:w="108" w:type="dxa"/>
            <w:bottom w:w="0" w:type="dxa"/>
            <w:right w:w="108" w:type="dxa"/>
          </w:tblCellMar>
        </w:tblPrEx>
        <w:trPr>
          <w:tblHeader/>
          <w:jc w:val="center"/>
        </w:trPr>
        <w:tc>
          <w:tcPr>
            <w:tcW w:w="123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820548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层级</w:t>
            </w:r>
          </w:p>
        </w:tc>
        <w:tc>
          <w:tcPr>
            <w:tcW w:w="183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B07262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节点名称</w:t>
            </w:r>
          </w:p>
        </w:tc>
        <w:tc>
          <w:tcPr>
            <w:tcW w:w="307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A38C23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典型实体</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E8B1AF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数据可见范围</w:t>
            </w:r>
          </w:p>
        </w:tc>
        <w:tc>
          <w:tcPr>
            <w:tcW w:w="180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CCF30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聚合方式</w:t>
            </w:r>
          </w:p>
        </w:tc>
      </w:tr>
      <w:tr w14:paraId="4F83D1C3">
        <w:tblPrEx>
          <w:tblCellMar>
            <w:top w:w="0" w:type="dxa"/>
            <w:left w:w="108" w:type="dxa"/>
            <w:bottom w:w="0" w:type="dxa"/>
            <w:right w:w="108" w:type="dxa"/>
          </w:tblCellMar>
        </w:tblPrEx>
        <w:trPr>
          <w:jc w:val="center"/>
        </w:trPr>
        <w:tc>
          <w:tcPr>
            <w:tcW w:w="123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78D92F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Level 1</w:t>
            </w:r>
          </w:p>
        </w:tc>
        <w:tc>
          <w:tcPr>
            <w:tcW w:w="183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C12858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特变电工集团</w:t>
            </w:r>
          </w:p>
        </w:tc>
        <w:tc>
          <w:tcPr>
            <w:tcW w:w="307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D57001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集团总部</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A44DFF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全集团全量数据</w:t>
            </w:r>
          </w:p>
        </w:tc>
        <w:tc>
          <w:tcPr>
            <w:tcW w:w="180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E34CAD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下级物化视图汇总</w:t>
            </w:r>
          </w:p>
        </w:tc>
      </w:tr>
      <w:tr w14:paraId="60918A2C">
        <w:tblPrEx>
          <w:tblCellMar>
            <w:top w:w="0" w:type="dxa"/>
            <w:left w:w="108" w:type="dxa"/>
            <w:bottom w:w="0" w:type="dxa"/>
            <w:right w:w="108" w:type="dxa"/>
          </w:tblCellMar>
        </w:tblPrEx>
        <w:trPr>
          <w:jc w:val="center"/>
        </w:trPr>
        <w:tc>
          <w:tcPr>
            <w:tcW w:w="123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3F9890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Level 2</w:t>
            </w:r>
          </w:p>
        </w:tc>
        <w:tc>
          <w:tcPr>
            <w:tcW w:w="183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19EA6A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产业集团</w:t>
            </w:r>
          </w:p>
        </w:tc>
        <w:tc>
          <w:tcPr>
            <w:tcW w:w="307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F2E448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电装集团</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CA014F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所辖产业全量数据</w:t>
            </w:r>
          </w:p>
        </w:tc>
        <w:tc>
          <w:tcPr>
            <w:tcW w:w="18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D3A7D3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下级物化视图汇总</w:t>
            </w:r>
          </w:p>
        </w:tc>
      </w:tr>
      <w:tr w14:paraId="5BBF8103">
        <w:tblPrEx>
          <w:tblCellMar>
            <w:top w:w="0" w:type="dxa"/>
            <w:left w:w="108" w:type="dxa"/>
            <w:bottom w:w="0" w:type="dxa"/>
            <w:right w:w="108" w:type="dxa"/>
          </w:tblCellMar>
        </w:tblPrEx>
        <w:trPr>
          <w:jc w:val="center"/>
        </w:trPr>
        <w:tc>
          <w:tcPr>
            <w:tcW w:w="123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DD969D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Level 3</w:t>
            </w:r>
          </w:p>
        </w:tc>
        <w:tc>
          <w:tcPr>
            <w:tcW w:w="183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4004E8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二级公司</w:t>
            </w:r>
          </w:p>
        </w:tc>
        <w:tc>
          <w:tcPr>
            <w:tcW w:w="307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D785C3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沈变、衡变、新变、鲁缆、新缆、德缆</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A20EC6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本公司全量数据</w:t>
            </w:r>
          </w:p>
        </w:tc>
        <w:tc>
          <w:tcPr>
            <w:tcW w:w="180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D9CF88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下级物化视图汇总</w:t>
            </w:r>
          </w:p>
        </w:tc>
      </w:tr>
      <w:tr w14:paraId="0FFB9F3C">
        <w:tblPrEx>
          <w:tblCellMar>
            <w:top w:w="0" w:type="dxa"/>
            <w:left w:w="108" w:type="dxa"/>
            <w:bottom w:w="0" w:type="dxa"/>
            <w:right w:w="108" w:type="dxa"/>
          </w:tblCellMar>
        </w:tblPrEx>
        <w:trPr>
          <w:jc w:val="center"/>
        </w:trPr>
        <w:tc>
          <w:tcPr>
            <w:tcW w:w="123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8429B8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Level 4</w:t>
            </w:r>
          </w:p>
        </w:tc>
        <w:tc>
          <w:tcPr>
            <w:tcW w:w="183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466614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生产园区</w:t>
            </w:r>
          </w:p>
        </w:tc>
        <w:tc>
          <w:tcPr>
            <w:tcW w:w="307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1D457E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各生产基地园区</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7090A4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本园区全量数据</w:t>
            </w:r>
          </w:p>
        </w:tc>
        <w:tc>
          <w:tcPr>
            <w:tcW w:w="18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593D41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下级物化视图汇总</w:t>
            </w:r>
          </w:p>
        </w:tc>
      </w:tr>
      <w:tr w14:paraId="7CB62B6D">
        <w:tblPrEx>
          <w:tblCellMar>
            <w:top w:w="0" w:type="dxa"/>
            <w:left w:w="108" w:type="dxa"/>
            <w:bottom w:w="0" w:type="dxa"/>
            <w:right w:w="108" w:type="dxa"/>
          </w:tblCellMar>
        </w:tblPrEx>
        <w:trPr>
          <w:jc w:val="center"/>
        </w:trPr>
        <w:tc>
          <w:tcPr>
            <w:tcW w:w="123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8FEDF3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Level 5</w:t>
            </w:r>
          </w:p>
        </w:tc>
        <w:tc>
          <w:tcPr>
            <w:tcW w:w="183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99B1BD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制造车间</w:t>
            </w:r>
          </w:p>
        </w:tc>
        <w:tc>
          <w:tcPr>
            <w:tcW w:w="307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767A09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各生产车间</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0662A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本车间数据</w:t>
            </w:r>
          </w:p>
        </w:tc>
        <w:tc>
          <w:tcPr>
            <w:tcW w:w="180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17D6A9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下级物化视图汇总</w:t>
            </w:r>
          </w:p>
        </w:tc>
      </w:tr>
      <w:tr w14:paraId="70D954AB">
        <w:tblPrEx>
          <w:tblCellMar>
            <w:top w:w="0" w:type="dxa"/>
            <w:left w:w="108" w:type="dxa"/>
            <w:bottom w:w="0" w:type="dxa"/>
            <w:right w:w="108" w:type="dxa"/>
          </w:tblCellMar>
        </w:tblPrEx>
        <w:trPr>
          <w:jc w:val="center"/>
        </w:trPr>
        <w:tc>
          <w:tcPr>
            <w:tcW w:w="123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F16C6F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Level 6</w:t>
            </w:r>
          </w:p>
        </w:tc>
        <w:tc>
          <w:tcPr>
            <w:tcW w:w="183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3CC9EA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用能设备</w:t>
            </w:r>
          </w:p>
        </w:tc>
        <w:tc>
          <w:tcPr>
            <w:tcW w:w="307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E14027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采集表计与工艺设备</w:t>
            </w:r>
          </w:p>
        </w:tc>
        <w:tc>
          <w:tcPr>
            <w:tcW w:w="18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790155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本设备遥测与台账</w:t>
            </w:r>
          </w:p>
        </w:tc>
        <w:tc>
          <w:tcPr>
            <w:tcW w:w="18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A59035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原始采集数据</w:t>
            </w:r>
          </w:p>
        </w:tc>
      </w:tr>
    </w:tbl>
    <w:p w14:paraId="42D33F33">
      <w:pPr>
        <w:spacing w:after="60"/>
        <w:rPr>
          <w:rFonts w:hint="eastAsia" w:ascii="宋体" w:hAnsi="宋体" w:eastAsia="宋体" w:cs="宋体"/>
          <w:i w:val="0"/>
          <w:iCs w:val="0"/>
          <w:sz w:val="24"/>
          <w:szCs w:val="24"/>
        </w:rPr>
      </w:pPr>
    </w:p>
    <w:p w14:paraId="0558987B">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数据范围隔离规则：</w:t>
      </w:r>
    </w:p>
    <w:p w14:paraId="0C854EED">
      <w:pPr>
        <w:pStyle w:val="19"/>
        <w:widowControl/>
        <w:numPr>
          <w:ilvl w:val="0"/>
          <w:numId w:val="23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行级多租户隔离（RLS）</w:t>
      </w:r>
      <w:r>
        <w:rPr>
          <w:rFonts w:ascii="Times New Roman" w:hAnsi="Times New Roman" w:eastAsia="宋体" w:cs="Times New Roman"/>
          <w:i w:val="0"/>
          <w:color w:val="1F2937"/>
          <w:sz w:val="24"/>
          <w:szCs w:val="24"/>
        </w:rPr>
        <w:t>：数据库层面按组织节点编码实施行级安全策略，越权查询返回空集并记录审计日志。</w:t>
      </w:r>
    </w:p>
    <w:p w14:paraId="3D43BD58">
      <w:pPr>
        <w:pStyle w:val="19"/>
        <w:widowControl/>
        <w:numPr>
          <w:ilvl w:val="0"/>
          <w:numId w:val="23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财务月度统一切账锁账隔离</w:t>
      </w:r>
      <w:r>
        <w:rPr>
          <w:rFonts w:ascii="Times New Roman" w:hAnsi="Times New Roman" w:eastAsia="宋体" w:cs="Times New Roman"/>
          <w:i w:val="0"/>
          <w:color w:val="1F2937"/>
          <w:sz w:val="24"/>
          <w:szCs w:val="24"/>
        </w:rPr>
        <w:t>：月度关账后，该月度的产量、能耗与成本数据整体冻结，任何修改须走特批反冲流程。</w:t>
      </w:r>
    </w:p>
    <w:p w14:paraId="7D5C541A">
      <w:pPr>
        <w:pStyle w:val="19"/>
        <w:widowControl/>
        <w:numPr>
          <w:ilvl w:val="0"/>
          <w:numId w:val="234"/>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外部审计沙箱隔离</w:t>
      </w:r>
      <w:r>
        <w:rPr>
          <w:rFonts w:ascii="Times New Roman" w:hAnsi="Times New Roman" w:eastAsia="宋体" w:cs="Times New Roman"/>
          <w:i w:val="0"/>
          <w:color w:val="1F2937"/>
          <w:sz w:val="24"/>
          <w:szCs w:val="24"/>
        </w:rPr>
        <w:t>：P6 外部独立审计机构仅可访问与其认证报告关联的指定数据，且禁止全量导出。</w:t>
      </w:r>
    </w:p>
    <w:p w14:paraId="58AEE90B">
      <w:pPr>
        <w:pStyle w:val="4"/>
        <w:numPr>
          <w:ilvl w:val="0"/>
          <w:numId w:val="233"/>
        </w:numPr>
        <w:topLinePunct w:val="0"/>
        <w:ind w:left="0" w:leftChars="0" w:firstLine="0" w:firstLineChars="0"/>
        <w:outlineLvl w:val="0"/>
        <w:rPr>
          <w:rFonts w:hint="eastAsia" w:eastAsia="黑体"/>
          <w:b w:val="0"/>
          <w:bCs w:val="0"/>
          <w:sz w:val="30"/>
          <w:szCs w:val="32"/>
        </w:rPr>
      </w:pPr>
      <w:bookmarkStart w:id="84" w:name="_Toc8628"/>
      <w:r>
        <w:rPr>
          <w:rFonts w:ascii="Times New Roman" w:hAnsi="Times New Roman" w:eastAsia="黑体" w:cs="Times New Roman"/>
          <w:b w:val="0"/>
          <w:bCs w:val="0"/>
          <w:sz w:val="30"/>
          <w:szCs w:val="32"/>
        </w:rPr>
        <w:t>外部系统集成与 API 契约</w:t>
      </w:r>
      <w:bookmarkEnd w:id="84"/>
    </w:p>
    <w:p w14:paraId="4A417F49">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接口协议：</w:t>
      </w:r>
    </w:p>
    <w:p w14:paraId="7497147D">
      <w:pPr>
        <w:pStyle w:val="19"/>
        <w:widowControl/>
        <w:numPr>
          <w:ilvl w:val="0"/>
          <w:numId w:val="235"/>
        </w:numPr>
        <w:ind w:left="0" w:leftChars="0" w:firstLine="482" w:firstLineChars="0"/>
        <w:rPr>
          <w:rFonts w:eastAsia="宋体"/>
          <w:b/>
          <w:i w:val="0"/>
          <w:color w:val="0284C7"/>
          <w:sz w:val="24"/>
          <w:szCs w:val="24"/>
        </w:rPr>
      </w:pPr>
      <w:r>
        <w:rPr>
          <w:rFonts w:ascii="Times New Roman" w:hAnsi="Times New Roman" w:eastAsia="宋体" w:cs="Times New Roman"/>
          <w:i w:val="0"/>
          <w:color w:val="1F2937"/>
          <w:sz w:val="24"/>
          <w:szCs w:val="24"/>
        </w:rPr>
        <w:t>IoT 物联采集网关：通过 Modbus-TCP / MQTT 协议实现全厂数千台数字电表、变送器秒级遥测高频采集，在边缘侧完成 1s~5s 本地闭环告警后，按 15 分钟等间隔汇聚写入分布式时序数据库（TDengine 3.x，边缘侧 SQLite 本地缓存）。</w:t>
      </w:r>
    </w:p>
    <w:p w14:paraId="77536442">
      <w:pPr>
        <w:pStyle w:val="19"/>
        <w:widowControl/>
        <w:numPr>
          <w:ilvl w:val="0"/>
          <w:numId w:val="235"/>
        </w:numPr>
        <w:ind w:left="0" w:leftChars="0" w:firstLine="482" w:firstLineChars="0"/>
        <w:rPr>
          <w:rFonts w:eastAsia="宋体"/>
          <w:b/>
          <w:i w:val="0"/>
          <w:color w:val="0284C7"/>
          <w:sz w:val="24"/>
          <w:szCs w:val="24"/>
        </w:rPr>
      </w:pPr>
      <w:r>
        <w:rPr>
          <w:rFonts w:ascii="Times New Roman" w:hAnsi="Times New Roman" w:eastAsia="宋体" w:cs="Times New Roman"/>
          <w:b/>
          <w:i w:val="0"/>
          <w:color w:val="1E3A8A"/>
          <w:sz w:val="24"/>
          <w:szCs w:val="24"/>
        </w:rPr>
        <w:t>企业 ERP/MES 集成</w:t>
      </w:r>
      <w:r>
        <w:rPr>
          <w:rFonts w:ascii="Times New Roman" w:hAnsi="Times New Roman" w:eastAsia="宋体" w:cs="Times New Roman"/>
          <w:i w:val="0"/>
          <w:color w:val="1F2937"/>
          <w:sz w:val="24"/>
          <w:szCs w:val="24"/>
        </w:rPr>
        <w:t>：基于 OpenAPI 3.0 契约，自动定时同步产品批次 BOM 清单、实际报工产量工时及财务电费账单。</w:t>
      </w:r>
    </w:p>
    <w:p w14:paraId="36EEDBDC">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八大核心业务接口端点概览：</w:t>
      </w:r>
    </w:p>
    <w:tbl>
      <w:tblPr>
        <w:tblStyle w:val="38"/>
        <w:tblW w:w="9784" w:type="dxa"/>
        <w:jc w:val="center"/>
        <w:tblLayout w:type="autofit"/>
        <w:tblCellMar>
          <w:top w:w="0" w:type="dxa"/>
          <w:left w:w="108" w:type="dxa"/>
          <w:bottom w:w="0" w:type="dxa"/>
          <w:right w:w="108" w:type="dxa"/>
        </w:tblCellMar>
      </w:tblPr>
      <w:tblGrid>
        <w:gridCol w:w="791"/>
        <w:gridCol w:w="2275"/>
        <w:gridCol w:w="3720"/>
        <w:gridCol w:w="813"/>
        <w:gridCol w:w="2185"/>
      </w:tblGrid>
      <w:tr w14:paraId="02AF17F4">
        <w:tblPrEx>
          <w:tblCellMar>
            <w:top w:w="0" w:type="dxa"/>
            <w:left w:w="108" w:type="dxa"/>
            <w:bottom w:w="0" w:type="dxa"/>
            <w:right w:w="108" w:type="dxa"/>
          </w:tblCellMar>
        </w:tblPrEx>
        <w:trPr>
          <w:tblHeader/>
          <w:jc w:val="center"/>
        </w:trPr>
        <w:tc>
          <w:tcPr>
            <w:tcW w:w="83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290BE8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FA63A2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端点名称</w:t>
            </w:r>
          </w:p>
        </w:tc>
        <w:tc>
          <w:tcPr>
            <w:tcW w:w="332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32E031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路径</w:t>
            </w:r>
          </w:p>
        </w:tc>
        <w:tc>
          <w:tcPr>
            <w:tcW w:w="83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57E0B3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方法</w:t>
            </w:r>
          </w:p>
        </w:tc>
        <w:tc>
          <w:tcPr>
            <w:tcW w:w="232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8BFC04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关键约束</w:t>
            </w:r>
          </w:p>
        </w:tc>
      </w:tr>
      <w:tr w14:paraId="03B2ABFB">
        <w:tblPrEx>
          <w:tblCellMar>
            <w:top w:w="0" w:type="dxa"/>
            <w:left w:w="108" w:type="dxa"/>
            <w:bottom w:w="0" w:type="dxa"/>
            <w:right w:w="108" w:type="dxa"/>
          </w:tblCellMar>
        </w:tblPrEx>
        <w:trPr>
          <w:jc w:val="center"/>
        </w:trPr>
        <w:tc>
          <w:tcPr>
            <w:tcW w:w="8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8279B8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FB08B2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全景态势与监控大屏核心遥测</w:t>
            </w:r>
          </w:p>
        </w:tc>
        <w:tc>
          <w:tcPr>
            <w:tcW w:w="332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70CAD8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val="0"/>
                <w:i w:val="0"/>
                <w:iCs w:val="0"/>
                <w:color w:val="0284C7"/>
                <w:sz w:val="24"/>
                <w:szCs w:val="24"/>
              </w:rPr>
              <w:t xml:space="preserve">/monitor/v1/telemetry/overview </w:t>
            </w:r>
          </w:p>
        </w:tc>
        <w:tc>
          <w:tcPr>
            <w:tcW w:w="8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987896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GET</w:t>
            </w:r>
          </w:p>
        </w:tc>
        <w:tc>
          <w:tcPr>
            <w:tcW w:w="23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FD4D18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只读，缓存 TTL 30s</w:t>
            </w:r>
          </w:p>
        </w:tc>
      </w:tr>
      <w:tr w14:paraId="3B400D42">
        <w:tblPrEx>
          <w:tblCellMar>
            <w:top w:w="0" w:type="dxa"/>
            <w:left w:w="108" w:type="dxa"/>
            <w:bottom w:w="0" w:type="dxa"/>
            <w:right w:w="108" w:type="dxa"/>
          </w:tblCellMar>
        </w:tblPrEx>
        <w:trPr>
          <w:jc w:val="center"/>
        </w:trPr>
        <w:tc>
          <w:tcPr>
            <w:tcW w:w="8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A046C7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9590E2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单位产品能耗隔离核算</w:t>
            </w:r>
          </w:p>
        </w:tc>
        <w:tc>
          <w:tcPr>
            <w:tcW w:w="332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CA5C0C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val="0"/>
                <w:i w:val="0"/>
                <w:iCs w:val="0"/>
                <w:color w:val="0284C7"/>
                <w:sz w:val="24"/>
                <w:szCs w:val="24"/>
              </w:rPr>
              <w:t xml:space="preserve">/monitor/v1/kpi/unit-consumption </w:t>
            </w:r>
          </w:p>
        </w:tc>
        <w:tc>
          <w:tcPr>
            <w:tcW w:w="8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6A6980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GET</w:t>
            </w:r>
          </w:p>
        </w:tc>
        <w:tc>
          <w:tcPr>
            <w:tcW w:w="23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226468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强制传入产业分类，量纲隔离</w:t>
            </w:r>
          </w:p>
        </w:tc>
      </w:tr>
      <w:tr w14:paraId="261CEADF">
        <w:tblPrEx>
          <w:tblCellMar>
            <w:top w:w="0" w:type="dxa"/>
            <w:left w:w="108" w:type="dxa"/>
            <w:bottom w:w="0" w:type="dxa"/>
            <w:right w:w="108" w:type="dxa"/>
          </w:tblCellMar>
        </w:tblPrEx>
        <w:trPr>
          <w:jc w:val="center"/>
        </w:trPr>
        <w:tc>
          <w:tcPr>
            <w:tcW w:w="8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C697EF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0606E7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基层能耗数据填报录入</w:t>
            </w:r>
          </w:p>
        </w:tc>
        <w:tc>
          <w:tcPr>
            <w:tcW w:w="332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537F08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val="0"/>
                <w:i w:val="0"/>
                <w:iCs w:val="0"/>
                <w:color w:val="0284C7"/>
                <w:sz w:val="24"/>
                <w:szCs w:val="24"/>
              </w:rPr>
              <w:t xml:space="preserve">/monitor/v1/entry/energy </w:t>
            </w:r>
          </w:p>
        </w:tc>
        <w:tc>
          <w:tcPr>
            <w:tcW w:w="8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6AE48D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POST</w:t>
            </w:r>
          </w:p>
        </w:tc>
        <w:tc>
          <w:tcPr>
            <w:tcW w:w="23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5097F8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幂等 Token，非负校验</w:t>
            </w:r>
          </w:p>
        </w:tc>
      </w:tr>
      <w:tr w14:paraId="72EEA803">
        <w:tblPrEx>
          <w:tblCellMar>
            <w:top w:w="0" w:type="dxa"/>
            <w:left w:w="108" w:type="dxa"/>
            <w:bottom w:w="0" w:type="dxa"/>
            <w:right w:w="108" w:type="dxa"/>
          </w:tblCellMar>
        </w:tblPrEx>
        <w:trPr>
          <w:jc w:val="center"/>
        </w:trPr>
        <w:tc>
          <w:tcPr>
            <w:tcW w:w="8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E4A9E9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97C841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 LCA 五阶段滚算核算</w:t>
            </w:r>
          </w:p>
        </w:tc>
        <w:tc>
          <w:tcPr>
            <w:tcW w:w="332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136111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val="0"/>
                <w:i w:val="0"/>
                <w:iCs w:val="0"/>
                <w:color w:val="0284C7"/>
                <w:sz w:val="24"/>
                <w:szCs w:val="24"/>
              </w:rPr>
              <w:t xml:space="preserve">/cf/v1/lca/compute </w:t>
            </w:r>
          </w:p>
        </w:tc>
        <w:tc>
          <w:tcPr>
            <w:tcW w:w="8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0AE094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POST</w:t>
            </w:r>
          </w:p>
        </w:tc>
        <w:tc>
          <w:tcPr>
            <w:tcW w:w="23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2F3305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五阶段加总容差 ≤0.01</w:t>
            </w:r>
          </w:p>
        </w:tc>
      </w:tr>
      <w:tr w14:paraId="29D6F361">
        <w:tblPrEx>
          <w:tblCellMar>
            <w:top w:w="0" w:type="dxa"/>
            <w:left w:w="108" w:type="dxa"/>
            <w:bottom w:w="0" w:type="dxa"/>
            <w:right w:w="108" w:type="dxa"/>
          </w:tblCellMar>
        </w:tblPrEx>
        <w:trPr>
          <w:jc w:val="center"/>
        </w:trPr>
        <w:tc>
          <w:tcPr>
            <w:tcW w:w="8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1A3346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BBB9B5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欧盟 CBAM 关税模拟与申报</w:t>
            </w:r>
          </w:p>
        </w:tc>
        <w:tc>
          <w:tcPr>
            <w:tcW w:w="332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68E566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val="0"/>
                <w:i w:val="0"/>
                <w:iCs w:val="0"/>
                <w:color w:val="0284C7"/>
                <w:sz w:val="24"/>
                <w:szCs w:val="24"/>
              </w:rPr>
              <w:t xml:space="preserve">/cf/v1/cbam/declaration </w:t>
            </w:r>
          </w:p>
        </w:tc>
        <w:tc>
          <w:tcPr>
            <w:tcW w:w="8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E7C99B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POST</w:t>
            </w:r>
          </w:p>
        </w:tc>
        <w:tc>
          <w:tcPr>
            <w:tcW w:w="23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CF70A0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XSD 校验，双签门禁</w:t>
            </w:r>
          </w:p>
        </w:tc>
      </w:tr>
      <w:tr w14:paraId="12D25EF3">
        <w:tblPrEx>
          <w:tblCellMar>
            <w:top w:w="0" w:type="dxa"/>
            <w:left w:w="108" w:type="dxa"/>
            <w:bottom w:w="0" w:type="dxa"/>
            <w:right w:w="108" w:type="dxa"/>
          </w:tblCellMar>
        </w:tblPrEx>
        <w:trPr>
          <w:jc w:val="center"/>
        </w:trPr>
        <w:tc>
          <w:tcPr>
            <w:tcW w:w="8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464887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831447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因子库多维分页检索</w:t>
            </w:r>
          </w:p>
        </w:tc>
        <w:tc>
          <w:tcPr>
            <w:tcW w:w="332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880042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val="0"/>
                <w:i w:val="0"/>
                <w:iCs w:val="0"/>
                <w:color w:val="0284C7"/>
                <w:sz w:val="24"/>
                <w:szCs w:val="24"/>
              </w:rPr>
              <w:t xml:space="preserve">/cf/v1/factors/search </w:t>
            </w:r>
          </w:p>
        </w:tc>
        <w:tc>
          <w:tcPr>
            <w:tcW w:w="8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202A8A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GET</w:t>
            </w:r>
          </w:p>
        </w:tc>
        <w:tc>
          <w:tcPr>
            <w:tcW w:w="23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8C050E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过期因子默认过滤</w:t>
            </w:r>
          </w:p>
        </w:tc>
      </w:tr>
      <w:tr w14:paraId="7B95451E">
        <w:tblPrEx>
          <w:tblCellMar>
            <w:top w:w="0" w:type="dxa"/>
            <w:left w:w="108" w:type="dxa"/>
            <w:bottom w:w="0" w:type="dxa"/>
            <w:right w:w="108" w:type="dxa"/>
          </w:tblCellMar>
        </w:tblPrEx>
        <w:trPr>
          <w:jc w:val="center"/>
        </w:trPr>
        <w:tc>
          <w:tcPr>
            <w:tcW w:w="8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F7D3D5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652DDF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节能技改项目 M&amp;V 评估</w:t>
            </w:r>
          </w:p>
        </w:tc>
        <w:tc>
          <w:tcPr>
            <w:tcW w:w="332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8BE65C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val="0"/>
                <w:i w:val="0"/>
                <w:iCs w:val="0"/>
                <w:color w:val="0284C7"/>
                <w:sz w:val="24"/>
                <w:szCs w:val="24"/>
              </w:rPr>
              <w:t xml:space="preserve">/monitor/v1/project/mv-evaluate </w:t>
            </w:r>
          </w:p>
        </w:tc>
        <w:tc>
          <w:tcPr>
            <w:tcW w:w="8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0104FC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POST</w:t>
            </w:r>
          </w:p>
        </w:tc>
        <w:tc>
          <w:tcPr>
            <w:tcW w:w="23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3A0C34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基准期 ≥12 个月</w:t>
            </w:r>
          </w:p>
        </w:tc>
      </w:tr>
      <w:tr w14:paraId="7530A61B">
        <w:tblPrEx>
          <w:tblCellMar>
            <w:top w:w="0" w:type="dxa"/>
            <w:left w:w="108" w:type="dxa"/>
            <w:bottom w:w="0" w:type="dxa"/>
            <w:right w:w="108" w:type="dxa"/>
          </w:tblCellMar>
        </w:tblPrEx>
        <w:trPr>
          <w:jc w:val="center"/>
        </w:trPr>
        <w:tc>
          <w:tcPr>
            <w:tcW w:w="8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9FD9E9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24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65C5E8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双中心用户会话与 RBAC 鉴权刷新</w:t>
            </w:r>
          </w:p>
        </w:tc>
        <w:tc>
          <w:tcPr>
            <w:tcW w:w="332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59BC66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val="0"/>
                <w:i w:val="0"/>
                <w:iCs w:val="0"/>
                <w:color w:val="0284C7"/>
                <w:sz w:val="24"/>
                <w:szCs w:val="24"/>
              </w:rPr>
              <w:t xml:space="preserve">/auth/v1/session/refresh </w:t>
            </w:r>
          </w:p>
        </w:tc>
        <w:tc>
          <w:tcPr>
            <w:tcW w:w="8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2A6875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POST</w:t>
            </w:r>
          </w:p>
        </w:tc>
        <w:tc>
          <w:tcPr>
            <w:tcW w:w="23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CD7CBE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JWT 有效期滚动</w:t>
            </w:r>
          </w:p>
        </w:tc>
      </w:tr>
    </w:tbl>
    <w:p w14:paraId="376DFC71">
      <w:pPr>
        <w:spacing w:after="60"/>
        <w:rPr>
          <w:rFonts w:hint="eastAsia" w:ascii="宋体" w:hAnsi="宋体" w:eastAsia="宋体" w:cs="宋体"/>
          <w:i w:val="0"/>
          <w:iCs w:val="0"/>
          <w:sz w:val="24"/>
          <w:szCs w:val="24"/>
        </w:rPr>
      </w:pPr>
    </w:p>
    <w:p w14:paraId="0CD46589">
      <w:pPr>
        <w:pStyle w:val="19"/>
        <w:widowControl/>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通用请求头规范：</w:t>
      </w:r>
    </w:p>
    <w:tbl>
      <w:tblPr>
        <w:tblStyle w:val="38"/>
        <w:tblW w:w="9784" w:type="dxa"/>
        <w:jc w:val="center"/>
        <w:tblLayout w:type="autofit"/>
        <w:tblCellMar>
          <w:top w:w="0" w:type="dxa"/>
          <w:left w:w="108" w:type="dxa"/>
          <w:bottom w:w="0" w:type="dxa"/>
          <w:right w:w="108" w:type="dxa"/>
        </w:tblCellMar>
      </w:tblPr>
      <w:tblGrid>
        <w:gridCol w:w="2840"/>
        <w:gridCol w:w="5209"/>
        <w:gridCol w:w="1735"/>
      </w:tblGrid>
      <w:tr w14:paraId="538C909A">
        <w:tblPrEx>
          <w:tblCellMar>
            <w:top w:w="0" w:type="dxa"/>
            <w:left w:w="108" w:type="dxa"/>
            <w:bottom w:w="0" w:type="dxa"/>
            <w:right w:w="108" w:type="dxa"/>
          </w:tblCellMar>
        </w:tblPrEx>
        <w:trPr>
          <w:tblHeade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3666549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Header</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0BD2987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说明</w:t>
            </w:r>
          </w:p>
        </w:tc>
        <w:tc>
          <w:tcPr>
            <w:tcW w:w="173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DB3EB6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是否必填</w:t>
            </w:r>
          </w:p>
        </w:tc>
      </w:tr>
      <w:tr w14:paraId="14215FA3">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B5F6E8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Authorization</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28472F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Bearer JWT 访问令牌</w:t>
            </w:r>
          </w:p>
        </w:tc>
        <w:tc>
          <w:tcPr>
            <w:tcW w:w="17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0F9516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必填</w:t>
            </w:r>
          </w:p>
        </w:tc>
      </w:tr>
      <w:tr w14:paraId="6770AAC2">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FB925A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X-Tenant-Org</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3C40EA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请求发起组织节点编码（用于 RLS）</w:t>
            </w:r>
          </w:p>
        </w:tc>
        <w:tc>
          <w:tcPr>
            <w:tcW w:w="17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39219A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必填</w:t>
            </w:r>
          </w:p>
        </w:tc>
      </w:tr>
      <w:tr w14:paraId="0BD3E35F">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7C3E9D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X-Request-Id</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692F43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全链路追踪 ID，用于日志关联</w:t>
            </w:r>
          </w:p>
        </w:tc>
        <w:tc>
          <w:tcPr>
            <w:tcW w:w="17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844764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必填</w:t>
            </w:r>
          </w:p>
        </w:tc>
      </w:tr>
      <w:tr w14:paraId="21A6FCF4">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A2A564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X-Idempotency-Key</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222D95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幂等键，写操作必填</w:t>
            </w:r>
          </w:p>
        </w:tc>
        <w:tc>
          <w:tcPr>
            <w:tcW w:w="17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330015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写操作必填</w:t>
            </w:r>
          </w:p>
        </w:tc>
      </w:tr>
      <w:tr w14:paraId="2C3242D9">
        <w:tblPrEx>
          <w:tblCellMar>
            <w:top w:w="0" w:type="dxa"/>
            <w:left w:w="108" w:type="dxa"/>
            <w:bottom w:w="0" w:type="dxa"/>
            <w:right w:w="108" w:type="dxa"/>
          </w:tblCellMar>
        </w:tblPrEx>
        <w:trPr>
          <w:jc w:val="center"/>
        </w:trPr>
        <w:tc>
          <w:tcPr>
            <w:tcW w:w="284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5FBD3E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X-Signature</w:t>
            </w:r>
          </w:p>
        </w:tc>
        <w:tc>
          <w:tcPr>
            <w:tcW w:w="520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915DDB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HMAC-SHA256 报文签名</w:t>
            </w:r>
          </w:p>
        </w:tc>
        <w:tc>
          <w:tcPr>
            <w:tcW w:w="17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30CF0A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必填</w:t>
            </w:r>
          </w:p>
        </w:tc>
      </w:tr>
    </w:tbl>
    <w:p w14:paraId="20393932">
      <w:pPr>
        <w:spacing w:after="60"/>
        <w:rPr>
          <w:rFonts w:hint="eastAsia" w:ascii="宋体" w:hAnsi="宋体" w:eastAsia="宋体" w:cs="宋体"/>
          <w:i w:val="0"/>
          <w:iCs w:val="0"/>
          <w:sz w:val="24"/>
          <w:szCs w:val="24"/>
        </w:rPr>
      </w:pPr>
    </w:p>
    <w:p w14:paraId="426904FA">
      <w:pPr>
        <w:pStyle w:val="4"/>
        <w:numPr>
          <w:ilvl w:val="0"/>
          <w:numId w:val="233"/>
        </w:numPr>
        <w:topLinePunct w:val="0"/>
        <w:ind w:left="0" w:leftChars="0" w:firstLine="0" w:firstLineChars="0"/>
        <w:outlineLvl w:val="0"/>
        <w:rPr>
          <w:rFonts w:hint="eastAsia" w:eastAsia="黑体"/>
          <w:b w:val="0"/>
          <w:bCs w:val="0"/>
          <w:sz w:val="30"/>
          <w:szCs w:val="32"/>
        </w:rPr>
      </w:pPr>
      <w:bookmarkStart w:id="85" w:name="_Toc30400"/>
      <w:r>
        <w:rPr>
          <w:rFonts w:ascii="Times New Roman" w:hAnsi="Times New Roman" w:eastAsia="黑体" w:cs="Times New Roman"/>
          <w:b w:val="0"/>
          <w:bCs w:val="0"/>
          <w:sz w:val="30"/>
          <w:szCs w:val="32"/>
        </w:rPr>
        <w:t>质量保障体系与全量验收测试用例矩阵</w:t>
      </w:r>
      <w:bookmarkEnd w:id="85"/>
    </w:p>
    <w:tbl>
      <w:tblPr>
        <w:tblStyle w:val="38"/>
        <w:tblW w:w="9530" w:type="dxa"/>
        <w:jc w:val="center"/>
        <w:tblLayout w:type="autofit"/>
        <w:tblCellMar>
          <w:top w:w="0" w:type="dxa"/>
          <w:left w:w="108" w:type="dxa"/>
          <w:bottom w:w="0" w:type="dxa"/>
          <w:right w:w="108" w:type="dxa"/>
        </w:tblCellMar>
      </w:tblPr>
      <w:tblGrid>
        <w:gridCol w:w="1320"/>
        <w:gridCol w:w="1421"/>
        <w:gridCol w:w="2167"/>
        <w:gridCol w:w="3492"/>
        <w:gridCol w:w="1130"/>
      </w:tblGrid>
      <w:tr w14:paraId="0632645B">
        <w:tblPrEx>
          <w:tblCellMar>
            <w:top w:w="0" w:type="dxa"/>
            <w:left w:w="108" w:type="dxa"/>
            <w:bottom w:w="0" w:type="dxa"/>
            <w:right w:w="108" w:type="dxa"/>
          </w:tblCellMar>
        </w:tblPrEx>
        <w:trPr>
          <w:jc w:val="center"/>
        </w:trPr>
        <w:tc>
          <w:tcPr>
            <w:tcW w:w="132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C8ABEC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用例编号</w:t>
            </w:r>
          </w:p>
        </w:tc>
        <w:tc>
          <w:tcPr>
            <w:tcW w:w="142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7C1035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验证要点</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488F4E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测试输入与方法</w:t>
            </w:r>
          </w:p>
        </w:tc>
        <w:tc>
          <w:tcPr>
            <w:tcW w:w="349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1D3FC5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期望输出与验收指标</w:t>
            </w:r>
          </w:p>
        </w:tc>
        <w:tc>
          <w:tcPr>
            <w:tcW w:w="112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CB176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阻断级别</w:t>
            </w:r>
          </w:p>
        </w:tc>
      </w:tr>
      <w:tr w14:paraId="006A3B9E">
        <w:tblPrEx>
          <w:tblCellMar>
            <w:top w:w="0" w:type="dxa"/>
            <w:left w:w="108" w:type="dxa"/>
            <w:bottom w:w="0" w:type="dxa"/>
            <w:right w:w="108" w:type="dxa"/>
          </w:tblCellMar>
        </w:tblPrEx>
        <w:trPr>
          <w:jc w:val="center"/>
        </w:trPr>
        <w:tc>
          <w:tcPr>
            <w:tcW w:w="132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4F63F9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TC-01</w:t>
            </w:r>
          </w:p>
        </w:tc>
        <w:tc>
          <w:tcPr>
            <w:tcW w:w="14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C93264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lang w:val="en-US" w:eastAsia="zh-CN"/>
              </w:rPr>
              <w:t>固定</w:t>
            </w:r>
            <w:r>
              <w:rPr>
                <w:rFonts w:hint="eastAsia" w:ascii="宋体" w:hAnsi="宋体" w:eastAsia="宋体" w:cs="宋体"/>
                <w:i w:val="0"/>
                <w:iCs w:val="0"/>
                <w:color w:val="1F2937"/>
                <w:sz w:val="24"/>
                <w:szCs w:val="24"/>
              </w:rPr>
              <w:t>表格行高</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1E077E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CSS 样式扫描 + 像素检查</w:t>
            </w:r>
          </w:p>
        </w:tc>
        <w:tc>
          <w:tcPr>
            <w:tcW w:w="349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7E6392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全站所有表格行固定行高，垂直居中无抖动</w:t>
            </w:r>
          </w:p>
        </w:tc>
        <w:tc>
          <w:tcPr>
            <w:tcW w:w="112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ED803F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阻断（Red-Line）</w:t>
            </w:r>
          </w:p>
        </w:tc>
      </w:tr>
      <w:tr w14:paraId="2EABAD6A">
        <w:tblPrEx>
          <w:tblCellMar>
            <w:top w:w="0" w:type="dxa"/>
            <w:left w:w="108" w:type="dxa"/>
            <w:bottom w:w="0" w:type="dxa"/>
            <w:right w:w="108" w:type="dxa"/>
          </w:tblCellMar>
        </w:tblPrEx>
        <w:trPr>
          <w:jc w:val="center"/>
        </w:trPr>
        <w:tc>
          <w:tcPr>
            <w:tcW w:w="132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8BB220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TC-02</w:t>
            </w:r>
          </w:p>
        </w:tc>
        <w:tc>
          <w:tcPr>
            <w:tcW w:w="142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E9A3EC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lang w:val="en-US" w:eastAsia="zh-CN"/>
              </w:rPr>
              <w:t>一致性</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2A888F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自动化对标</w:t>
            </w:r>
          </w:p>
        </w:tc>
        <w:tc>
          <w:tcPr>
            <w:tcW w:w="349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B38A4A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浅色端功能、图表与样式 100% 一致</w:t>
            </w:r>
          </w:p>
        </w:tc>
        <w:tc>
          <w:tcPr>
            <w:tcW w:w="112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152530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阻断（Red-Line）</w:t>
            </w:r>
          </w:p>
        </w:tc>
      </w:tr>
      <w:tr w14:paraId="69B62855">
        <w:tblPrEx>
          <w:tblCellMar>
            <w:top w:w="0" w:type="dxa"/>
            <w:left w:w="108" w:type="dxa"/>
            <w:bottom w:w="0" w:type="dxa"/>
            <w:right w:w="108" w:type="dxa"/>
          </w:tblCellMar>
        </w:tblPrEx>
        <w:trPr>
          <w:jc w:val="center"/>
        </w:trPr>
        <w:tc>
          <w:tcPr>
            <w:tcW w:w="132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39FF07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TC-03</w:t>
            </w:r>
          </w:p>
        </w:tc>
        <w:tc>
          <w:tcPr>
            <w:tcW w:w="14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A1D5DB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工序白名单判空</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F9B952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选择沈变/鲁缆智慧能源等无工序单位</w:t>
            </w:r>
          </w:p>
        </w:tc>
        <w:tc>
          <w:tcPr>
            <w:tcW w:w="349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C9519F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工序区域整行仅输出单行"暂无相关工序！"，无大段说教</w:t>
            </w:r>
          </w:p>
        </w:tc>
        <w:tc>
          <w:tcPr>
            <w:tcW w:w="112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C1A2EB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阻断（Red-Line）</w:t>
            </w:r>
          </w:p>
        </w:tc>
      </w:tr>
      <w:tr w14:paraId="02A557F9">
        <w:tblPrEx>
          <w:tblCellMar>
            <w:top w:w="0" w:type="dxa"/>
            <w:left w:w="108" w:type="dxa"/>
            <w:bottom w:w="0" w:type="dxa"/>
            <w:right w:w="108" w:type="dxa"/>
          </w:tblCellMar>
        </w:tblPrEx>
        <w:trPr>
          <w:jc w:val="center"/>
        </w:trPr>
        <w:tc>
          <w:tcPr>
            <w:tcW w:w="132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865090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TC-04</w:t>
            </w:r>
          </w:p>
        </w:tc>
        <w:tc>
          <w:tcPr>
            <w:tcW w:w="142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47CFC0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客观中立性纯洁度</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0498EA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全系统文字定性词正则扫描</w:t>
            </w:r>
          </w:p>
        </w:tc>
        <w:tc>
          <w:tcPr>
            <w:tcW w:w="349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3F89BE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零主观定性词汇（"表现优异/运行欠佳/落后单位"等）</w:t>
            </w:r>
          </w:p>
        </w:tc>
        <w:tc>
          <w:tcPr>
            <w:tcW w:w="112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9A237A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阻断（Red-Line）</w:t>
            </w:r>
          </w:p>
        </w:tc>
      </w:tr>
      <w:tr w14:paraId="082BA07D">
        <w:tblPrEx>
          <w:tblCellMar>
            <w:top w:w="0" w:type="dxa"/>
            <w:left w:w="108" w:type="dxa"/>
            <w:bottom w:w="0" w:type="dxa"/>
            <w:right w:w="108" w:type="dxa"/>
          </w:tblCellMar>
        </w:tblPrEx>
        <w:trPr>
          <w:jc w:val="center"/>
        </w:trPr>
        <w:tc>
          <w:tcPr>
            <w:tcW w:w="132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F79AB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TC-05</w:t>
            </w:r>
          </w:p>
        </w:tc>
        <w:tc>
          <w:tcPr>
            <w:tcW w:w="14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3C5C21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极限除零边界防御</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884B8C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BVA 极限输入月度产量 M = 0</w:t>
            </w:r>
          </w:p>
        </w:tc>
        <w:tc>
          <w:tcPr>
            <w:tcW w:w="349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2323F4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自动拦截除以零异常，单耗显示"--"，严禁 NaN 或白屏</w:t>
            </w:r>
          </w:p>
        </w:tc>
        <w:tc>
          <w:tcPr>
            <w:tcW w:w="112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273477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阻断（Red-Line）</w:t>
            </w:r>
          </w:p>
        </w:tc>
      </w:tr>
      <w:tr w14:paraId="165AEF61">
        <w:tblPrEx>
          <w:tblCellMar>
            <w:top w:w="0" w:type="dxa"/>
            <w:left w:w="108" w:type="dxa"/>
            <w:bottom w:w="0" w:type="dxa"/>
            <w:right w:w="108" w:type="dxa"/>
          </w:tblCellMar>
        </w:tblPrEx>
        <w:trPr>
          <w:jc w:val="center"/>
        </w:trPr>
        <w:tc>
          <w:tcPr>
            <w:tcW w:w="132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BFDD51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TC-06</w:t>
            </w:r>
          </w:p>
        </w:tc>
        <w:tc>
          <w:tcPr>
            <w:tcW w:w="142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695D70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数据录入并发防刷</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0C0E6E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100ms 内快速连续点击提交 3 次</w:t>
            </w:r>
          </w:p>
        </w:tc>
        <w:tc>
          <w:tcPr>
            <w:tcW w:w="349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610BBB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Token 幂等拦截，仅首笔入库，提示防刷，防止重复记账</w:t>
            </w:r>
          </w:p>
        </w:tc>
        <w:tc>
          <w:tcPr>
            <w:tcW w:w="112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AB62AA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阻断（Red-Line）</w:t>
            </w:r>
          </w:p>
        </w:tc>
      </w:tr>
      <w:tr w14:paraId="3CC20A60">
        <w:tblPrEx>
          <w:tblCellMar>
            <w:top w:w="0" w:type="dxa"/>
            <w:left w:w="108" w:type="dxa"/>
            <w:bottom w:w="0" w:type="dxa"/>
            <w:right w:w="108" w:type="dxa"/>
          </w:tblCellMar>
        </w:tblPrEx>
        <w:trPr>
          <w:jc w:val="center"/>
        </w:trPr>
        <w:tc>
          <w:tcPr>
            <w:tcW w:w="132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84CFF1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TC-07</w:t>
            </w:r>
          </w:p>
        </w:tc>
        <w:tc>
          <w:tcPr>
            <w:tcW w:w="14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47678C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非负防错校验</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F40894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录入工作台输入产量为 -500 kVA</w:t>
            </w:r>
          </w:p>
        </w:tc>
        <w:tc>
          <w:tcPr>
            <w:tcW w:w="349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4B6AB5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前端即时拦截并红框高亮，禁止发送请求</w:t>
            </w:r>
          </w:p>
        </w:tc>
        <w:tc>
          <w:tcPr>
            <w:tcW w:w="112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AA7EC9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阻断（Red-Line）</w:t>
            </w:r>
          </w:p>
        </w:tc>
      </w:tr>
      <w:tr w14:paraId="11F8A713">
        <w:tblPrEx>
          <w:tblCellMar>
            <w:top w:w="0" w:type="dxa"/>
            <w:left w:w="108" w:type="dxa"/>
            <w:bottom w:w="0" w:type="dxa"/>
            <w:right w:w="108" w:type="dxa"/>
          </w:tblCellMar>
        </w:tblPrEx>
        <w:trPr>
          <w:jc w:val="center"/>
        </w:trPr>
        <w:tc>
          <w:tcPr>
            <w:tcW w:w="132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5BE3ED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TC-08</w:t>
            </w:r>
          </w:p>
        </w:tc>
        <w:tc>
          <w:tcPr>
            <w:tcW w:w="142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44B873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网络故障降级容灾</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DC75F9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断网混沌工程故障注入</w:t>
            </w:r>
          </w:p>
        </w:tc>
        <w:tc>
          <w:tcPr>
            <w:tcW w:w="349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DCEA38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优雅提示网络连接异常，恢复后支持一键重试刷新</w:t>
            </w:r>
          </w:p>
        </w:tc>
        <w:tc>
          <w:tcPr>
            <w:tcW w:w="112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5ED2CC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高优先级</w:t>
            </w:r>
          </w:p>
        </w:tc>
      </w:tr>
      <w:tr w14:paraId="005313C8">
        <w:tblPrEx>
          <w:tblCellMar>
            <w:top w:w="0" w:type="dxa"/>
            <w:left w:w="108" w:type="dxa"/>
            <w:bottom w:w="0" w:type="dxa"/>
            <w:right w:w="108" w:type="dxa"/>
          </w:tblCellMar>
        </w:tblPrEx>
        <w:trPr>
          <w:jc w:val="center"/>
        </w:trPr>
        <w:tc>
          <w:tcPr>
            <w:tcW w:w="132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CA1DCF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TC-09</w:t>
            </w:r>
          </w:p>
        </w:tc>
        <w:tc>
          <w:tcPr>
            <w:tcW w:w="14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9AC4F6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模块八段式完整性</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13F739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全量模块结构扫描</w:t>
            </w:r>
          </w:p>
        </w:tc>
        <w:tc>
          <w:tcPr>
            <w:tcW w:w="349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D1093C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每个功能模块均含八段结构：定位/场景故事/交互契约/字段字典/数学模型/判定口径/边界异常/Gherkin 验收</w:t>
            </w:r>
          </w:p>
        </w:tc>
        <w:tc>
          <w:tcPr>
            <w:tcW w:w="112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E62075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阻断（Red-Line）</w:t>
            </w:r>
          </w:p>
        </w:tc>
      </w:tr>
      <w:tr w14:paraId="43FC29AE">
        <w:tblPrEx>
          <w:tblCellMar>
            <w:top w:w="0" w:type="dxa"/>
            <w:left w:w="108" w:type="dxa"/>
            <w:bottom w:w="0" w:type="dxa"/>
            <w:right w:w="108" w:type="dxa"/>
          </w:tblCellMar>
        </w:tblPrEx>
        <w:trPr>
          <w:jc w:val="center"/>
        </w:trPr>
        <w:tc>
          <w:tcPr>
            <w:tcW w:w="132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1B8A05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TC-10</w:t>
            </w:r>
          </w:p>
        </w:tc>
        <w:tc>
          <w:tcPr>
            <w:tcW w:w="142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1BC14A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产业分母隔离铁律</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628D7E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数据层与导出层字段扫描</w:t>
            </w:r>
          </w:p>
        </w:tc>
        <w:tc>
          <w:tcPr>
            <w:tcW w:w="349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E9C8D4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变压器与线缆单耗不存在同列或跨产业排名</w:t>
            </w:r>
          </w:p>
        </w:tc>
        <w:tc>
          <w:tcPr>
            <w:tcW w:w="112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4E2D11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阻断（Red-Line）</w:t>
            </w:r>
          </w:p>
        </w:tc>
      </w:tr>
      <w:tr w14:paraId="43178254">
        <w:tblPrEx>
          <w:tblCellMar>
            <w:top w:w="0" w:type="dxa"/>
            <w:left w:w="108" w:type="dxa"/>
            <w:bottom w:w="0" w:type="dxa"/>
            <w:right w:w="108" w:type="dxa"/>
          </w:tblCellMar>
        </w:tblPrEx>
        <w:trPr>
          <w:jc w:val="center"/>
        </w:trPr>
        <w:tc>
          <w:tcPr>
            <w:tcW w:w="132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91C161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TC-11</w:t>
            </w:r>
          </w:p>
        </w:tc>
        <w:tc>
          <w:tcPr>
            <w:tcW w:w="14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2A44F5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因子版本时效拦截</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49266C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选用超出 effective_to 的因子</w:t>
            </w:r>
          </w:p>
        </w:tc>
        <w:tc>
          <w:tcPr>
            <w:tcW w:w="349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839850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选用动作被拦截并返回 E_VAL_FACTOR_EXPIRED</w:t>
            </w:r>
          </w:p>
        </w:tc>
        <w:tc>
          <w:tcPr>
            <w:tcW w:w="112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E51959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高优先级</w:t>
            </w:r>
          </w:p>
        </w:tc>
      </w:tr>
      <w:tr w14:paraId="533F33B6">
        <w:tblPrEx>
          <w:tblCellMar>
            <w:top w:w="0" w:type="dxa"/>
            <w:left w:w="108" w:type="dxa"/>
            <w:bottom w:w="0" w:type="dxa"/>
            <w:right w:w="108" w:type="dxa"/>
          </w:tblCellMar>
        </w:tblPrEx>
        <w:trPr>
          <w:jc w:val="center"/>
        </w:trPr>
        <w:tc>
          <w:tcPr>
            <w:tcW w:w="132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79F3D7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TC-12</w:t>
            </w:r>
          </w:p>
        </w:tc>
        <w:tc>
          <w:tcPr>
            <w:tcW w:w="142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AB810B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审计哈希链完整性</w:t>
            </w:r>
          </w:p>
        </w:tc>
        <w:tc>
          <w:tcPr>
            <w:tcW w:w="216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0286CF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篡改 LCA 报告内容后校验哈希</w:t>
            </w:r>
          </w:p>
        </w:tc>
        <w:tc>
          <w:tcPr>
            <w:tcW w:w="349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86366F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校验失败并锁定当事单据，返回 E_AUDIT_HASH_BROKEN</w:t>
            </w:r>
          </w:p>
        </w:tc>
        <w:tc>
          <w:tcPr>
            <w:tcW w:w="112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E1DED6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阻断（Red-Line）</w:t>
            </w:r>
          </w:p>
        </w:tc>
      </w:tr>
    </w:tbl>
    <w:p w14:paraId="63215597">
      <w:pPr>
        <w:spacing w:after="60"/>
        <w:rPr>
          <w:rFonts w:hint="eastAsia" w:ascii="宋体" w:hAnsi="宋体" w:eastAsia="宋体" w:cs="宋体"/>
          <w:i w:val="0"/>
          <w:iCs w:val="0"/>
          <w:sz w:val="24"/>
          <w:szCs w:val="24"/>
        </w:rPr>
      </w:pPr>
    </w:p>
    <w:p w14:paraId="0F536DA2">
      <w:pPr>
        <w:rPr>
          <w:rFonts w:hint="eastAsia" w:ascii="宋体" w:hAnsi="宋体" w:eastAsia="宋体" w:cs="宋体"/>
          <w:i w:val="0"/>
          <w:iCs w:val="0"/>
          <w:sz w:val="24"/>
          <w:szCs w:val="24"/>
        </w:rPr>
      </w:pPr>
      <w:r>
        <w:rPr>
          <w:rFonts w:hint="eastAsia" w:ascii="宋体" w:hAnsi="宋体" w:eastAsia="宋体" w:cs="宋体"/>
          <w:i w:val="0"/>
          <w:iCs w:val="0"/>
          <w:sz w:val="24"/>
          <w:szCs w:val="24"/>
        </w:rPr>
        <w:br w:type="page"/>
      </w:r>
    </w:p>
    <w:p w14:paraId="58E55B1C">
      <w:pPr>
        <w:pStyle w:val="3"/>
        <w:numPr>
          <w:ilvl w:val="0"/>
          <w:numId w:val="7"/>
        </w:numPr>
        <w:ind w:left="0" w:leftChars="0" w:firstLine="0" w:firstLineChars="0"/>
        <w:rPr>
          <w:rFonts w:eastAsia="黑体"/>
          <w:b w:val="0"/>
          <w:bCs w:val="0"/>
          <w:sz w:val="32"/>
          <w:szCs w:val="44"/>
        </w:rPr>
      </w:pPr>
      <w:bookmarkStart w:id="86" w:name="_Toc31896"/>
      <w:r>
        <w:rPr>
          <w:rFonts w:ascii="Times New Roman" w:hAnsi="Times New Roman" w:eastAsia="黑体" w:cs="Times New Roman"/>
          <w:b w:val="0"/>
          <w:bCs w:val="0"/>
          <w:sz w:val="32"/>
          <w:szCs w:val="44"/>
        </w:rPr>
        <w:t>工程治理、状态机与合规保障体系</w:t>
      </w:r>
      <w:bookmarkEnd w:id="86"/>
    </w:p>
    <w:p w14:paraId="33439157">
      <w:pPr>
        <w:pStyle w:val="4"/>
        <w:numPr>
          <w:ilvl w:val="0"/>
          <w:numId w:val="236"/>
        </w:numPr>
        <w:topLinePunct w:val="0"/>
        <w:ind w:left="0" w:leftChars="0" w:firstLine="0" w:firstLineChars="0"/>
        <w:outlineLvl w:val="0"/>
        <w:rPr>
          <w:rFonts w:hint="eastAsia" w:eastAsia="黑体"/>
          <w:b w:val="0"/>
          <w:bCs w:val="0"/>
          <w:sz w:val="30"/>
          <w:szCs w:val="32"/>
        </w:rPr>
      </w:pPr>
      <w:bookmarkStart w:id="87" w:name="_Toc28871"/>
      <w:r>
        <w:rPr>
          <w:rFonts w:ascii="Times New Roman" w:hAnsi="Times New Roman" w:eastAsia="黑体" w:cs="Times New Roman"/>
          <w:b w:val="0"/>
          <w:bCs w:val="0"/>
          <w:sz w:val="30"/>
          <w:szCs w:val="32"/>
        </w:rPr>
        <w:t>数据治理与商密合规</w:t>
      </w:r>
      <w:bookmarkEnd w:id="87"/>
    </w:p>
    <w:p w14:paraId="58FBCA29">
      <w:pPr>
        <w:pStyle w:val="19"/>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color w:val="1F2937"/>
          <w:sz w:val="24"/>
          <w:szCs w:val="24"/>
        </w:rPr>
        <w:t>依据大型央国企商密规范与海外出海安全条例，建立严格的 L0~L4 数据分级、脱敏与审计留痕机制。</w:t>
      </w:r>
    </w:p>
    <w:tbl>
      <w:tblPr>
        <w:tblStyle w:val="38"/>
        <w:tblW w:w="10369" w:type="dxa"/>
        <w:jc w:val="center"/>
        <w:tblLayout w:type="autofit"/>
        <w:tblCellMar>
          <w:top w:w="0" w:type="dxa"/>
          <w:left w:w="108" w:type="dxa"/>
          <w:bottom w:w="0" w:type="dxa"/>
          <w:right w:w="108" w:type="dxa"/>
        </w:tblCellMar>
      </w:tblPr>
      <w:tblGrid>
        <w:gridCol w:w="1299"/>
        <w:gridCol w:w="817"/>
        <w:gridCol w:w="2858"/>
        <w:gridCol w:w="2758"/>
        <w:gridCol w:w="2637"/>
      </w:tblGrid>
      <w:tr w14:paraId="6CB3797D">
        <w:tblPrEx>
          <w:tblCellMar>
            <w:top w:w="0" w:type="dxa"/>
            <w:left w:w="108" w:type="dxa"/>
            <w:bottom w:w="0" w:type="dxa"/>
            <w:right w:w="108" w:type="dxa"/>
          </w:tblCellMar>
        </w:tblPrEx>
        <w:trPr>
          <w:tblHeader/>
          <w:jc w:val="center"/>
        </w:trPr>
        <w:tc>
          <w:tcPr>
            <w:tcW w:w="129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3AA02B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级别标签</w:t>
            </w:r>
          </w:p>
        </w:tc>
        <w:tc>
          <w:tcPr>
            <w:tcW w:w="81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B7AC77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名称</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D396C8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典型业务字段</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BF233C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展示脱敏规则</w:t>
            </w:r>
          </w:p>
        </w:tc>
        <w:tc>
          <w:tcPr>
            <w:tcW w:w="263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80E33E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导出与存储处理要求</w:t>
            </w:r>
          </w:p>
        </w:tc>
      </w:tr>
      <w:tr w14:paraId="0AB74A01">
        <w:tblPrEx>
          <w:tblCellMar>
            <w:top w:w="0" w:type="dxa"/>
            <w:left w:w="108" w:type="dxa"/>
            <w:bottom w:w="0" w:type="dxa"/>
            <w:right w:w="108" w:type="dxa"/>
          </w:tblCellMar>
        </w:tblPrEx>
        <w:trPr>
          <w:jc w:val="center"/>
        </w:trPr>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96AA51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L0</w:t>
            </w:r>
          </w:p>
        </w:tc>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18EE0E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公开</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900B47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国家行业能耗先进值、国家准入值、折标煤系数</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4B9572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明文正常展示</w:t>
            </w:r>
          </w:p>
        </w:tc>
        <w:tc>
          <w:tcPr>
            <w:tcW w:w="26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5E0BC2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允许对外发布与公开引用</w:t>
            </w:r>
          </w:p>
        </w:tc>
      </w:tr>
      <w:tr w14:paraId="3163CDDB">
        <w:tblPrEx>
          <w:tblCellMar>
            <w:top w:w="0" w:type="dxa"/>
            <w:left w:w="108" w:type="dxa"/>
            <w:bottom w:w="0" w:type="dxa"/>
            <w:right w:w="108" w:type="dxa"/>
          </w:tblCellMar>
        </w:tblPrEx>
        <w:trPr>
          <w:jc w:val="center"/>
        </w:trPr>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377148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L1</w:t>
            </w:r>
          </w:p>
        </w:tc>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B89616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内部</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54241F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各基地万元产值能耗、单位产品单耗、绿电消纳率</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C17A5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全集团统一内网展示</w:t>
            </w:r>
          </w:p>
        </w:tc>
        <w:tc>
          <w:tcPr>
            <w:tcW w:w="26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5FEF73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仅限特变电工内部网络访问与流转</w:t>
            </w:r>
          </w:p>
        </w:tc>
      </w:tr>
      <w:tr w14:paraId="7E19C834">
        <w:tblPrEx>
          <w:tblCellMar>
            <w:top w:w="0" w:type="dxa"/>
            <w:left w:w="108" w:type="dxa"/>
            <w:bottom w:w="0" w:type="dxa"/>
            <w:right w:w="108" w:type="dxa"/>
          </w:tblCellMar>
        </w:tblPrEx>
        <w:trPr>
          <w:jc w:val="center"/>
        </w:trPr>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E9147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L2</w:t>
            </w:r>
          </w:p>
        </w:tc>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120EAF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敏感</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EF49F3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重点设备编码、车间统计员手机号、采集表计 UUID</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58F1B1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手机号保留前 3 后 4，UUID 保留尾 4 位</w:t>
            </w:r>
          </w:p>
        </w:tc>
        <w:tc>
          <w:tcPr>
            <w:tcW w:w="26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BE8BC1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访问审计留痕，导出带工号动态水印</w:t>
            </w:r>
          </w:p>
        </w:tc>
      </w:tr>
      <w:tr w14:paraId="0E5DC058">
        <w:tblPrEx>
          <w:tblCellMar>
            <w:top w:w="0" w:type="dxa"/>
            <w:left w:w="108" w:type="dxa"/>
            <w:bottom w:w="0" w:type="dxa"/>
            <w:right w:w="108" w:type="dxa"/>
          </w:tblCellMar>
        </w:tblPrEx>
        <w:trPr>
          <w:jc w:val="center"/>
        </w:trPr>
        <w:tc>
          <w:tcPr>
            <w:tcW w:w="129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76CA23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L3</w:t>
            </w:r>
          </w:p>
        </w:tc>
        <w:tc>
          <w:tcPr>
            <w:tcW w:w="8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842F5C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商密</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446C69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变压器工艺配方、月度电费金额、CBAM 申报底表</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2702CF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电费四舍五入到万元，CBAM 底表仅 P5/PM 可见</w:t>
            </w:r>
          </w:p>
        </w:tc>
        <w:tc>
          <w:tcPr>
            <w:tcW w:w="263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BABB9A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落盘 AES-256 加密存储，操作链式 Hash 留痕</w:t>
            </w:r>
          </w:p>
        </w:tc>
      </w:tr>
      <w:tr w14:paraId="0ACC3D18">
        <w:tblPrEx>
          <w:tblCellMar>
            <w:top w:w="0" w:type="dxa"/>
            <w:left w:w="108" w:type="dxa"/>
            <w:bottom w:w="0" w:type="dxa"/>
            <w:right w:w="108" w:type="dxa"/>
          </w:tblCellMar>
        </w:tblPrEx>
        <w:trPr>
          <w:jc w:val="center"/>
        </w:trPr>
        <w:tc>
          <w:tcPr>
            <w:tcW w:w="129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B7A253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L4</w:t>
            </w:r>
          </w:p>
        </w:tc>
        <w:tc>
          <w:tcPr>
            <w:tcW w:w="8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28994F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绝密</w:t>
            </w:r>
          </w:p>
        </w:tc>
        <w:tc>
          <w:tcPr>
            <w:tcW w:w="28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76E020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集团双碳战略投资路线图、上市公司核心能耗决算</w:t>
            </w:r>
          </w:p>
        </w:tc>
        <w:tc>
          <w:tcPr>
            <w:tcW w:w="27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A48C47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高管双重鉴权展示，强制显式全屏防截屏水印</w:t>
            </w:r>
          </w:p>
        </w:tc>
        <w:tc>
          <w:tcPr>
            <w:tcW w:w="26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52692A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仅 P1 集团决策层授权访问，双人签批导出</w:t>
            </w:r>
          </w:p>
        </w:tc>
      </w:tr>
    </w:tbl>
    <w:p w14:paraId="0957058A">
      <w:pPr>
        <w:spacing w:after="60"/>
        <w:rPr>
          <w:rFonts w:hint="eastAsia" w:ascii="宋体" w:hAnsi="宋体" w:eastAsia="宋体" w:cs="宋体"/>
          <w:i w:val="0"/>
          <w:iCs w:val="0"/>
          <w:sz w:val="24"/>
          <w:szCs w:val="24"/>
        </w:rPr>
      </w:pPr>
    </w:p>
    <w:p w14:paraId="1588B8BE">
      <w:pPr>
        <w:pStyle w:val="19"/>
        <w:widowControl/>
        <w:ind w:left="0" w:leftChars="0" w:firstLine="0" w:firstLineChars="0"/>
        <w:rPr>
          <w:rFonts w:ascii="Times New Roman" w:hAnsi="Times New Roman" w:eastAsia="宋体" w:cs="Times New Roman"/>
          <w:i w:val="0"/>
          <w:sz w:val="24"/>
          <w:szCs w:val="24"/>
        </w:rPr>
      </w:pPr>
      <w:r>
        <w:rPr>
          <w:rFonts w:ascii="Times New Roman" w:hAnsi="Times New Roman" w:eastAsia="宋体" w:cs="Times New Roman"/>
          <w:b/>
          <w:i w:val="0"/>
          <w:color w:val="1E3A8A"/>
          <w:sz w:val="24"/>
          <w:szCs w:val="24"/>
        </w:rPr>
        <w:t>数据法定保留与销毁期限：</w:t>
      </w:r>
    </w:p>
    <w:p w14:paraId="575ED141">
      <w:pPr>
        <w:pStyle w:val="19"/>
        <w:widowControl/>
        <w:numPr>
          <w:ilvl w:val="0"/>
          <w:numId w:val="237"/>
        </w:numPr>
        <w:ind w:left="0" w:leftChars="0" w:firstLine="0" w:firstLineChars="0"/>
        <w:rPr>
          <w:rFonts w:eastAsia="宋体"/>
          <w:b/>
          <w:i w:val="0"/>
          <w:color w:val="1E3A8A"/>
          <w:sz w:val="24"/>
          <w:szCs w:val="24"/>
        </w:rPr>
      </w:pPr>
      <w:r>
        <w:rPr>
          <w:rFonts w:ascii="Times New Roman" w:hAnsi="Times New Roman" w:eastAsia="宋体" w:cs="Times New Roman"/>
          <w:i w:val="0"/>
          <w:color w:val="1F2937"/>
          <w:sz w:val="24"/>
          <w:szCs w:val="24"/>
        </w:rPr>
        <w:t>工业时序遥测数据：在线存储 ≥ 3 年，冷归档存储 ≥ 10 年。</w:t>
      </w:r>
    </w:p>
    <w:p w14:paraId="7AE6BCD7">
      <w:pPr>
        <w:pStyle w:val="19"/>
        <w:widowControl/>
        <w:numPr>
          <w:ilvl w:val="0"/>
          <w:numId w:val="237"/>
        </w:numPr>
        <w:ind w:left="0" w:leftChars="0" w:firstLine="0" w:firstLineChars="0"/>
        <w:rPr>
          <w:rFonts w:eastAsia="宋体"/>
          <w:b/>
          <w:i w:val="0"/>
          <w:color w:val="1E3A8A"/>
          <w:sz w:val="24"/>
          <w:szCs w:val="24"/>
        </w:rPr>
      </w:pPr>
      <w:r>
        <w:rPr>
          <w:rFonts w:ascii="Times New Roman" w:hAnsi="Times New Roman" w:eastAsia="宋体" w:cs="Times New Roman"/>
          <w:i w:val="0"/>
          <w:color w:val="1F2937"/>
          <w:sz w:val="24"/>
          <w:szCs w:val="24"/>
        </w:rPr>
        <w:t>财务电费与用能台账：法定保留 ≥ 10 年，到期按国家档案法规销毁。</w:t>
      </w:r>
    </w:p>
    <w:p w14:paraId="5A11257A">
      <w:pPr>
        <w:pStyle w:val="19"/>
        <w:widowControl/>
        <w:numPr>
          <w:ilvl w:val="0"/>
          <w:numId w:val="237"/>
        </w:numPr>
        <w:ind w:left="0" w:leftChars="0" w:firstLine="0" w:firstLineChars="0"/>
        <w:rPr>
          <w:rFonts w:eastAsia="宋体"/>
          <w:b/>
          <w:i w:val="0"/>
          <w:color w:val="1E3A8A"/>
          <w:sz w:val="24"/>
          <w:szCs w:val="24"/>
        </w:rPr>
      </w:pPr>
      <w:r>
        <w:rPr>
          <w:rFonts w:ascii="Times New Roman" w:hAnsi="Times New Roman" w:eastAsia="宋体" w:cs="Times New Roman"/>
          <w:i w:val="0"/>
          <w:color w:val="1F2937"/>
          <w:sz w:val="24"/>
          <w:szCs w:val="24"/>
        </w:rPr>
        <w:t>欧盟 CBAM 申报底表：法定保留 ≥ 10 年（欧盟海关追溯要求）。</w:t>
      </w:r>
    </w:p>
    <w:p w14:paraId="3F2F626A">
      <w:pPr>
        <w:pStyle w:val="19"/>
        <w:widowControl/>
        <w:numPr>
          <w:ilvl w:val="0"/>
          <w:numId w:val="237"/>
        </w:numPr>
        <w:ind w:left="0" w:leftChars="0" w:firstLine="0" w:firstLineChars="0"/>
        <w:rPr>
          <w:rFonts w:eastAsia="宋体"/>
          <w:b/>
          <w:i w:val="0"/>
          <w:color w:val="1E3A8A"/>
          <w:sz w:val="24"/>
          <w:szCs w:val="24"/>
        </w:rPr>
      </w:pPr>
      <w:r>
        <w:rPr>
          <w:rFonts w:ascii="Times New Roman" w:hAnsi="Times New Roman" w:eastAsia="宋体" w:cs="Times New Roman"/>
          <w:i w:val="0"/>
          <w:color w:val="1F2937"/>
          <w:sz w:val="24"/>
          <w:szCs w:val="24"/>
        </w:rPr>
        <w:t>LCA 碳足迹报告与认证声明：永久留底，严禁销毁。</w:t>
      </w:r>
    </w:p>
    <w:p w14:paraId="3E0292CC">
      <w:pPr>
        <w:pStyle w:val="4"/>
        <w:numPr>
          <w:ilvl w:val="0"/>
          <w:numId w:val="236"/>
        </w:numPr>
        <w:topLinePunct w:val="0"/>
        <w:ind w:left="0" w:leftChars="0" w:firstLine="0" w:firstLineChars="0"/>
        <w:outlineLvl w:val="0"/>
        <w:rPr>
          <w:rFonts w:hint="eastAsia" w:eastAsia="黑体"/>
          <w:b w:val="0"/>
          <w:bCs w:val="0"/>
          <w:sz w:val="30"/>
          <w:szCs w:val="32"/>
        </w:rPr>
      </w:pPr>
      <w:bookmarkStart w:id="88" w:name="_Toc1283"/>
      <w:r>
        <w:rPr>
          <w:rFonts w:ascii="Times New Roman" w:hAnsi="Times New Roman" w:eastAsia="黑体" w:cs="Times New Roman"/>
          <w:b w:val="0"/>
          <w:bCs w:val="0"/>
          <w:sz w:val="30"/>
          <w:szCs w:val="32"/>
        </w:rPr>
        <w:t>数据冲突仲裁与降级补传治理机制（Reconciliation）</w:t>
      </w:r>
      <w:bookmarkEnd w:id="88"/>
    </w:p>
    <w:p w14:paraId="17DFB00F">
      <w:pPr>
        <w:pStyle w:val="19"/>
        <w:widowControl/>
        <w:ind w:left="0" w:leftChars="0" w:firstLine="439" w:firstLineChars="183"/>
        <w:rPr>
          <w:rFonts w:ascii="Times New Roman" w:hAnsi="Times New Roman" w:eastAsia="宋体" w:cs="Times New Roman"/>
          <w:b w:val="0"/>
          <w:bCs/>
          <w:i w:val="0"/>
          <w:color w:val="auto"/>
          <w:sz w:val="24"/>
          <w:szCs w:val="24"/>
        </w:rPr>
      </w:pPr>
      <w:r>
        <w:rPr>
          <w:rFonts w:ascii="Times New Roman" w:hAnsi="Times New Roman" w:eastAsia="宋体" w:cs="Times New Roman"/>
          <w:b w:val="0"/>
          <w:bCs/>
          <w:i w:val="0"/>
          <w:color w:val="auto"/>
          <w:sz w:val="24"/>
          <w:szCs w:val="24"/>
        </w:rPr>
        <w:t>平台允许边缘网关在物理断网期间本地缓存补传（ E_IO_GATEWAY_OFFLINE ），亦允许 ERP 接口超时期间由人工上传 Excel BOM（ INV-FALLBACK 模式）。两类降级通道与主线数据源恢复后必然产生时序冲突与版本冲突，本节定义强制冲突消解规则，杜绝静默覆盖与指标口径漂移。</w:t>
      </w:r>
    </w:p>
    <w:p w14:paraId="2800B42A">
      <w:pPr>
        <w:pStyle w:val="5"/>
        <w:numPr>
          <w:ilvl w:val="0"/>
          <w:numId w:val="238"/>
        </w:numPr>
        <w:ind w:left="0" w:leftChars="0" w:firstLine="0" w:firstLineChars="0"/>
        <w:outlineLvl w:val="1"/>
        <w:rPr>
          <w:rFonts w:ascii="Times New Roman" w:hAnsi="Times New Roman" w:eastAsia="黑体" w:cs="Times New Roman"/>
          <w:b w:val="0"/>
          <w:bCs w:val="0"/>
          <w:sz w:val="30"/>
          <w:szCs w:val="24"/>
        </w:rPr>
      </w:pPr>
      <w:bookmarkStart w:id="89" w:name="_Toc12326"/>
      <w:r>
        <w:rPr>
          <w:rFonts w:ascii="Times New Roman" w:hAnsi="Times New Roman" w:eastAsia="黑体" w:cs="Times New Roman"/>
          <w:b w:val="0"/>
          <w:bCs w:val="0"/>
          <w:sz w:val="30"/>
          <w:szCs w:val="24"/>
        </w:rPr>
        <w:t>时序补传冲突消解（断网恢复场景）</w:t>
      </w:r>
      <w:bookmarkEnd w:id="89"/>
    </w:p>
    <w:p w14:paraId="7DA9F511">
      <w:pPr>
        <w:pStyle w:val="19"/>
        <w:widowControl/>
        <w:ind w:left="0" w:leftChars="0" w:firstLine="439" w:firstLineChars="183"/>
        <w:rPr>
          <w:rFonts w:ascii="Times New Roman" w:hAnsi="Times New Roman" w:eastAsia="宋体" w:cs="Times New Roman"/>
          <w:b w:val="0"/>
          <w:bCs/>
          <w:i w:val="0"/>
          <w:color w:val="auto"/>
          <w:sz w:val="24"/>
          <w:szCs w:val="24"/>
        </w:rPr>
      </w:pPr>
      <w:r>
        <w:rPr>
          <w:rFonts w:ascii="Times New Roman" w:hAnsi="Times New Roman" w:eastAsia="宋体" w:cs="Times New Roman"/>
          <w:b w:val="0"/>
          <w:bCs/>
          <w:i w:val="0"/>
          <w:color w:val="auto"/>
          <w:sz w:val="24"/>
          <w:szCs w:val="24"/>
        </w:rPr>
        <w:t>判定基准：以边缘网关本地 SQLite 中携带原始硬件时间戳的补传数据为准，云端接收时间仅作参考，不作为业务发生时间。</w:t>
      </w:r>
    </w:p>
    <w:p w14:paraId="1D7DABB8">
      <w:pPr>
        <w:pStyle w:val="19"/>
        <w:widowControl/>
        <w:ind w:left="0" w:leftChars="0" w:firstLine="0" w:firstLineChars="0"/>
        <w:rPr>
          <w:rFonts w:ascii="Times New Roman" w:hAnsi="Times New Roman" w:eastAsia="宋体" w:cs="Times New Roman"/>
          <w:b w:val="0"/>
          <w:bCs/>
          <w:i w:val="0"/>
          <w:color w:val="auto"/>
          <w:sz w:val="24"/>
          <w:szCs w:val="24"/>
        </w:rPr>
      </w:pPr>
      <w:r>
        <w:rPr>
          <w:rFonts w:ascii="Times New Roman" w:hAnsi="Times New Roman" w:eastAsia="宋体" w:cs="Times New Roman"/>
          <w:b w:val="0"/>
          <w:bCs/>
          <w:i w:val="0"/>
          <w:color w:val="auto"/>
          <w:sz w:val="24"/>
          <w:szCs w:val="24"/>
        </w:rPr>
        <w:t>时序重写：补传数据落库后触发时序重写，按原始硬件时间戳重新排序并覆盖同点位同时刻的云端记录，重写前后的值写入差异流水。</w:t>
      </w:r>
    </w:p>
    <w:p w14:paraId="2C444A90">
      <w:pPr>
        <w:pStyle w:val="19"/>
        <w:widowControl/>
        <w:ind w:left="0" w:leftChars="0" w:firstLine="0" w:firstLineChars="0"/>
        <w:rPr>
          <w:rFonts w:ascii="Times New Roman" w:hAnsi="Times New Roman" w:eastAsia="宋体" w:cs="Times New Roman"/>
          <w:b w:val="0"/>
          <w:bCs/>
          <w:i w:val="0"/>
          <w:color w:val="auto"/>
          <w:sz w:val="24"/>
          <w:szCs w:val="24"/>
        </w:rPr>
      </w:pPr>
      <w:r>
        <w:rPr>
          <w:rFonts w:ascii="Times New Roman" w:hAnsi="Times New Roman" w:eastAsia="宋体" w:cs="Times New Roman"/>
          <w:b w:val="0"/>
          <w:bCs/>
          <w:i w:val="0"/>
          <w:color w:val="auto"/>
          <w:sz w:val="24"/>
          <w:szCs w:val="24"/>
        </w:rPr>
        <w:t>指标重算：时序重写完成后自动重新触发当日指标物化视图重算，重算范围限于受影响组织节点与介质，不做全量重算。</w:t>
      </w:r>
    </w:p>
    <w:p w14:paraId="19E1548B">
      <w:pPr>
        <w:pStyle w:val="19"/>
        <w:widowControl/>
        <w:ind w:left="0" w:leftChars="0" w:firstLine="0" w:firstLineChars="0"/>
        <w:rPr>
          <w:rFonts w:ascii="Times New Roman" w:hAnsi="Times New Roman" w:eastAsia="宋体" w:cs="Times New Roman"/>
          <w:b w:val="0"/>
          <w:bCs/>
          <w:i w:val="0"/>
          <w:color w:val="auto"/>
          <w:sz w:val="24"/>
          <w:szCs w:val="24"/>
        </w:rPr>
      </w:pPr>
      <w:r>
        <w:rPr>
          <w:rFonts w:ascii="Times New Roman" w:hAnsi="Times New Roman" w:eastAsia="宋体" w:cs="Times New Roman"/>
          <w:b w:val="0"/>
          <w:bCs/>
          <w:i w:val="0"/>
          <w:color w:val="auto"/>
          <w:sz w:val="24"/>
          <w:szCs w:val="24"/>
        </w:rPr>
        <w:t>操作留痕：每一次补传更新均写入「补传更新」操作流水（网关编号、断网起止时间、补传点数、受影响指标清单、重算结果）。</w:t>
      </w:r>
    </w:p>
    <w:p w14:paraId="0D8A4C33">
      <w:pPr>
        <w:pStyle w:val="19"/>
        <w:widowControl/>
        <w:ind w:left="0" w:leftChars="0" w:firstLine="0" w:firstLineChars="0"/>
        <w:rPr>
          <w:rFonts w:ascii="Times New Roman" w:hAnsi="Times New Roman" w:eastAsia="宋体" w:cs="Times New Roman"/>
          <w:b w:val="0"/>
          <w:bCs/>
          <w:i w:val="0"/>
          <w:color w:val="auto"/>
          <w:sz w:val="24"/>
          <w:szCs w:val="24"/>
        </w:rPr>
      </w:pPr>
      <w:r>
        <w:rPr>
          <w:rFonts w:ascii="Times New Roman" w:hAnsi="Times New Roman" w:eastAsia="宋体" w:cs="Times New Roman"/>
          <w:b w:val="0"/>
          <w:bCs/>
          <w:i w:val="0"/>
          <w:color w:val="auto"/>
          <w:sz w:val="24"/>
          <w:szCs w:val="24"/>
        </w:rPr>
        <w:t>越界保护：补传数据时间戳早于已锁账月份期末时，不得直接改写历史锁账数据，须走特批反冲流程并生成对账待办。</w:t>
      </w:r>
    </w:p>
    <w:tbl>
      <w:tblPr>
        <w:tblStyle w:val="38"/>
        <w:tblW w:w="10379" w:type="dxa"/>
        <w:jc w:val="center"/>
        <w:tblLayout w:type="autofit"/>
        <w:tblCellMar>
          <w:top w:w="0" w:type="dxa"/>
          <w:left w:w="108" w:type="dxa"/>
          <w:bottom w:w="0" w:type="dxa"/>
          <w:right w:w="108" w:type="dxa"/>
        </w:tblCellMar>
      </w:tblPr>
      <w:tblGrid>
        <w:gridCol w:w="1418"/>
        <w:gridCol w:w="2745"/>
        <w:gridCol w:w="2976"/>
        <w:gridCol w:w="3240"/>
      </w:tblGrid>
      <w:tr w14:paraId="4A1D096D">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F6BCF6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冲突场景</w:t>
            </w:r>
          </w:p>
        </w:tc>
        <w:tc>
          <w:tcPr>
            <w:tcW w:w="274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BA9001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触发条件</w:t>
            </w:r>
          </w:p>
        </w:tc>
        <w:tc>
          <w:tcPr>
            <w:tcW w:w="297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C7FE42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仲裁规则</w:t>
            </w:r>
          </w:p>
        </w:tc>
        <w:tc>
          <w:tcPr>
            <w:tcW w:w="275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51FDB9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系统动作与留痕</w:t>
            </w:r>
          </w:p>
        </w:tc>
      </w:tr>
      <w:tr w14:paraId="641826D8">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A22CA3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主备通道同时刻冲突</w:t>
            </w:r>
          </w:p>
        </w:tc>
        <w:tc>
          <w:tcPr>
            <w:tcW w:w="27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119CFF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网关补传与云端采集存在同点位同时刻记录</w:t>
            </w:r>
          </w:p>
        </w:tc>
        <w:tc>
          <w:tcPr>
            <w:tcW w:w="29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C4215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以网关本地 SQLite 原始硬件时间戳记录为准</w:t>
            </w:r>
          </w:p>
        </w:tc>
        <w:tc>
          <w:tcPr>
            <w:tcW w:w="27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2FDFFF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覆盖云端记录，写入时序重写差异流水</w:t>
            </w:r>
          </w:p>
        </w:tc>
      </w:tr>
      <w:tr w14:paraId="745683CF">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884DB8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补传时间戳倒序</w:t>
            </w:r>
          </w:p>
        </w:tc>
        <w:tc>
          <w:tcPr>
            <w:tcW w:w="27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27B45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补传数据时间戳早于云端最新记录</w:t>
            </w:r>
          </w:p>
        </w:tc>
        <w:tc>
          <w:tcPr>
            <w:tcW w:w="29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7CE419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按原始硬件时间戳重排，允许乱序补传</w:t>
            </w:r>
          </w:p>
        </w:tc>
        <w:tc>
          <w:tcPr>
            <w:tcW w:w="27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1D1FA2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触发当日指标物化视图重算</w:t>
            </w:r>
          </w:p>
        </w:tc>
      </w:tr>
      <w:tr w14:paraId="6DF38CB3">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602A5A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补传落入已锁账月份</w:t>
            </w:r>
          </w:p>
        </w:tc>
        <w:tc>
          <w:tcPr>
            <w:tcW w:w="27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31896B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补传数据时间戳早于已锁账月份期末</w:t>
            </w:r>
          </w:p>
        </w:tc>
        <w:tc>
          <w:tcPr>
            <w:tcW w:w="29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34F254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不得直接改写锁账数据，须走特批反冲</w:t>
            </w:r>
          </w:p>
        </w:tc>
        <w:tc>
          <w:tcPr>
            <w:tcW w:w="27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8EBA5A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生成对账待办并触发 E_SYS_ENTRY_ALREADY_LOCKED</w:t>
            </w:r>
          </w:p>
        </w:tc>
      </w:tr>
      <w:tr w14:paraId="7A007D8A">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C2E74C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双网关重复上报</w:t>
            </w:r>
          </w:p>
        </w:tc>
        <w:tc>
          <w:tcPr>
            <w:tcW w:w="27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93D79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同一测点被两台网关同时上报</w:t>
            </w:r>
          </w:p>
        </w:tc>
        <w:tc>
          <w:tcPr>
            <w:tcW w:w="29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AD39EE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按网关优先级 + 时间戳精度仲裁，低优先级记录丢弃</w:t>
            </w:r>
          </w:p>
        </w:tc>
        <w:tc>
          <w:tcPr>
            <w:tcW w:w="27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E6881D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记录重复上报计数并纳入链路健康度</w:t>
            </w:r>
          </w:p>
        </w:tc>
      </w:tr>
      <w:tr w14:paraId="3E33EBA0">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F3989D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补传数据超期</w:t>
            </w:r>
          </w:p>
        </w:tc>
        <w:tc>
          <w:tcPr>
            <w:tcW w:w="27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FAFCD4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断网时长超过本地缓存容量导致数据缺口</w:t>
            </w:r>
          </w:p>
        </w:tc>
        <w:tc>
          <w:tcPr>
            <w:tcW w:w="29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CB3FCF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缺口区间标记「数据缺失」不插值补造</w:t>
            </w:r>
          </w:p>
        </w:tc>
        <w:tc>
          <w:tcPr>
            <w:tcW w:w="27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1A4DB2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输出数据缺失标签并纳入数据质量报告</w:t>
            </w:r>
          </w:p>
        </w:tc>
      </w:tr>
    </w:tbl>
    <w:p w14:paraId="0AE971B6">
      <w:pPr>
        <w:pStyle w:val="5"/>
        <w:numPr>
          <w:ilvl w:val="0"/>
          <w:numId w:val="238"/>
        </w:numPr>
        <w:ind w:left="0" w:leftChars="0" w:firstLine="0" w:firstLineChars="0"/>
        <w:outlineLvl w:val="1"/>
        <w:rPr>
          <w:rFonts w:ascii="Times New Roman" w:hAnsi="Times New Roman" w:eastAsia="黑体" w:cs="Times New Roman"/>
          <w:b w:val="0"/>
          <w:bCs w:val="0"/>
          <w:sz w:val="30"/>
          <w:szCs w:val="24"/>
        </w:rPr>
      </w:pPr>
      <w:bookmarkStart w:id="90" w:name="_Toc2219"/>
      <w:r>
        <w:rPr>
          <w:rFonts w:ascii="Times New Roman" w:hAnsi="Times New Roman" w:eastAsia="黑体" w:cs="Times New Roman"/>
          <w:b w:val="0"/>
          <w:bCs w:val="0"/>
          <w:sz w:val="30"/>
          <w:szCs w:val="24"/>
        </w:rPr>
        <w:t>BOM 差异对账仲裁（ERP 恢复场景）</w:t>
      </w:r>
      <w:bookmarkEnd w:id="90"/>
    </w:p>
    <w:p w14:paraId="7C75C4FB">
      <w:pPr>
        <w:pStyle w:val="19"/>
        <w:widowControl/>
        <w:ind w:left="0" w:leftChars="0" w:firstLine="439" w:firstLineChars="183"/>
        <w:rPr>
          <w:rFonts w:ascii="Times New Roman" w:hAnsi="Times New Roman" w:eastAsia="宋体" w:cs="Times New Roman"/>
          <w:b w:val="0"/>
          <w:bCs/>
          <w:i w:val="0"/>
          <w:color w:val="auto"/>
          <w:sz w:val="24"/>
          <w:szCs w:val="24"/>
        </w:rPr>
      </w:pPr>
      <w:r>
        <w:rPr>
          <w:rFonts w:ascii="Times New Roman" w:hAnsi="Times New Roman" w:eastAsia="宋体" w:cs="Times New Roman"/>
          <w:b w:val="0"/>
          <w:bCs/>
          <w:i w:val="0"/>
          <w:color w:val="auto"/>
          <w:sz w:val="24"/>
          <w:szCs w:val="24"/>
        </w:rPr>
        <w:t>禁止静默覆盖：ERP 接口恢复后，系统不得静默覆盖人工上传的临时 BOM，一律进入差异对账流程。</w:t>
      </w:r>
    </w:p>
    <w:p w14:paraId="2A6861AB">
      <w:pPr>
        <w:pStyle w:val="19"/>
        <w:widowControl/>
        <w:ind w:left="0" w:leftChars="0" w:firstLine="439" w:firstLineChars="183"/>
        <w:rPr>
          <w:rFonts w:ascii="Times New Roman" w:hAnsi="Times New Roman" w:eastAsia="宋体" w:cs="Times New Roman"/>
          <w:b w:val="0"/>
          <w:bCs/>
          <w:i w:val="0"/>
          <w:color w:val="auto"/>
          <w:sz w:val="24"/>
          <w:szCs w:val="24"/>
        </w:rPr>
      </w:pPr>
      <w:r>
        <w:rPr>
          <w:rFonts w:ascii="Times New Roman" w:hAnsi="Times New Roman" w:eastAsia="宋体" w:cs="Times New Roman"/>
          <w:b w:val="0"/>
          <w:bCs/>
          <w:i w:val="0"/>
          <w:color w:val="auto"/>
          <w:sz w:val="24"/>
          <w:szCs w:val="24"/>
        </w:rPr>
        <w:t>差异对账待办：系统自动比对本期人工上传 BOM 与 ERP 最新版本 BOM，生成「差异对账待办」并推送至 P4 碳核算工程师待办中心。</w:t>
      </w:r>
    </w:p>
    <w:p w14:paraId="47CDA66C">
      <w:pPr>
        <w:pStyle w:val="19"/>
        <w:widowControl/>
        <w:ind w:left="0" w:leftChars="0" w:firstLine="439" w:firstLineChars="183"/>
        <w:rPr>
          <w:rFonts w:ascii="Times New Roman" w:hAnsi="Times New Roman" w:eastAsia="宋体" w:cs="Times New Roman"/>
          <w:b w:val="0"/>
          <w:bCs/>
          <w:i w:val="0"/>
          <w:color w:val="auto"/>
          <w:sz w:val="24"/>
          <w:szCs w:val="24"/>
        </w:rPr>
      </w:pPr>
      <w:r>
        <w:rPr>
          <w:rFonts w:ascii="Times New Roman" w:hAnsi="Times New Roman" w:eastAsia="宋体" w:cs="Times New Roman"/>
          <w:b w:val="0"/>
          <w:bCs/>
          <w:i w:val="0"/>
          <w:color w:val="auto"/>
          <w:sz w:val="24"/>
          <w:szCs w:val="24"/>
        </w:rPr>
        <w:t>高亮比对：对账界面高亮差异字段（物料编码、物料名称、单耗用量、物料单价、供应商），并统计差异条目数与差异金额占比。</w:t>
      </w:r>
    </w:p>
    <w:p w14:paraId="06E5ED4E">
      <w:pPr>
        <w:pStyle w:val="19"/>
        <w:widowControl/>
        <w:ind w:left="0" w:leftChars="0" w:firstLine="439" w:firstLineChars="183"/>
        <w:rPr>
          <w:rFonts w:ascii="Times New Roman" w:hAnsi="Times New Roman" w:eastAsia="宋体" w:cs="Times New Roman"/>
          <w:b w:val="0"/>
          <w:bCs/>
          <w:i w:val="0"/>
          <w:color w:val="auto"/>
          <w:sz w:val="24"/>
          <w:szCs w:val="24"/>
        </w:rPr>
      </w:pPr>
      <w:r>
        <w:rPr>
          <w:rFonts w:ascii="Times New Roman" w:hAnsi="Times New Roman" w:eastAsia="宋体" w:cs="Times New Roman"/>
          <w:b w:val="0"/>
          <w:bCs/>
          <w:i w:val="0"/>
          <w:color w:val="auto"/>
          <w:sz w:val="24"/>
          <w:szCs w:val="24"/>
        </w:rPr>
        <w:t>人工裁决：由 P4 碳核算工程师逐项确认采用「ERP 最新版本」或「保留当前核准版本」；选择保留时须填写保留理由与依据。</w:t>
      </w:r>
    </w:p>
    <w:p w14:paraId="07E5544A">
      <w:pPr>
        <w:pStyle w:val="19"/>
        <w:widowControl/>
        <w:ind w:left="0" w:leftChars="0" w:firstLine="439" w:firstLineChars="183"/>
        <w:rPr>
          <w:rFonts w:ascii="Times New Roman" w:hAnsi="Times New Roman" w:eastAsia="宋体" w:cs="Times New Roman"/>
          <w:b w:val="0"/>
          <w:bCs/>
          <w:i w:val="0"/>
          <w:color w:val="auto"/>
          <w:sz w:val="24"/>
          <w:szCs w:val="24"/>
        </w:rPr>
      </w:pPr>
      <w:r>
        <w:rPr>
          <w:rFonts w:ascii="Times New Roman" w:hAnsi="Times New Roman" w:eastAsia="宋体" w:cs="Times New Roman"/>
          <w:b w:val="0"/>
          <w:bCs/>
          <w:i w:val="0"/>
          <w:color w:val="auto"/>
          <w:sz w:val="24"/>
          <w:szCs w:val="24"/>
        </w:rPr>
        <w:t>裁决留痕与重算：裁决结果写入 BOM 版本裁决流水；若裁决改变已出具 LCA 报告的物料口径，自动标记受影响报告为「待重算」并阻断报告发布。</w:t>
      </w:r>
    </w:p>
    <w:tbl>
      <w:tblPr>
        <w:tblStyle w:val="38"/>
        <w:tblW w:w="10379" w:type="dxa"/>
        <w:jc w:val="center"/>
        <w:tblLayout w:type="autofit"/>
        <w:tblCellMar>
          <w:top w:w="0" w:type="dxa"/>
          <w:left w:w="108" w:type="dxa"/>
          <w:bottom w:w="0" w:type="dxa"/>
          <w:right w:w="108" w:type="dxa"/>
        </w:tblCellMar>
      </w:tblPr>
      <w:tblGrid>
        <w:gridCol w:w="1900"/>
        <w:gridCol w:w="2745"/>
        <w:gridCol w:w="2976"/>
        <w:gridCol w:w="2758"/>
      </w:tblGrid>
      <w:tr w14:paraId="09CF5B64">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C21AFD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冲突场景</w:t>
            </w:r>
          </w:p>
        </w:tc>
        <w:tc>
          <w:tcPr>
            <w:tcW w:w="274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710875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触发条件</w:t>
            </w:r>
          </w:p>
        </w:tc>
        <w:tc>
          <w:tcPr>
            <w:tcW w:w="297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DCB637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仲裁规则</w:t>
            </w:r>
          </w:p>
        </w:tc>
        <w:tc>
          <w:tcPr>
            <w:tcW w:w="275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4A51AE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系统动作与留痕</w:t>
            </w:r>
          </w:p>
        </w:tc>
      </w:tr>
      <w:tr w14:paraId="5E8E2AC4">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6CCF84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人工 BOM 与 ERP BOM 不一致</w:t>
            </w:r>
          </w:p>
        </w:tc>
        <w:tc>
          <w:tcPr>
            <w:tcW w:w="27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9E2D9F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ERP 接口恢复且本期已存在人工上传 BOM</w:t>
            </w:r>
          </w:p>
        </w:tc>
        <w:tc>
          <w:tcPr>
            <w:tcW w:w="29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D3410B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禁止静默覆盖，强制进入差异对账</w:t>
            </w:r>
          </w:p>
        </w:tc>
        <w:tc>
          <w:tcPr>
            <w:tcW w:w="27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B3088E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生成差异对账待办并推送至 P4 待办中心</w:t>
            </w:r>
          </w:p>
        </w:tc>
      </w:tr>
      <w:tr w14:paraId="51395A4C">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C45AC7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差异涉及已出具报告</w:t>
            </w:r>
          </w:p>
        </w:tc>
        <w:tc>
          <w:tcPr>
            <w:tcW w:w="27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8B4D5A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裁决改变物料口径且该批次已出具 LCA 报告</w:t>
            </w:r>
          </w:p>
        </w:tc>
        <w:tc>
          <w:tcPr>
            <w:tcW w:w="29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102B29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受影响报告整体标记「待重算」</w:t>
            </w:r>
          </w:p>
        </w:tc>
        <w:tc>
          <w:tcPr>
            <w:tcW w:w="27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625875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阻断报告发布并生成重算任务</w:t>
            </w:r>
          </w:p>
        </w:tc>
      </w:tr>
      <w:tr w14:paraId="2D412B4C">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11FB06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差异金额占比超阈值</w:t>
            </w:r>
          </w:p>
        </w:tc>
        <w:tc>
          <w:tcPr>
            <w:tcW w:w="27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DB1D1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差异金额占比 &gt; 5.00%</w:t>
            </w:r>
          </w:p>
        </w:tc>
        <w:tc>
          <w:tcPr>
            <w:tcW w:w="29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1948E0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升级至 PM 与财务复核</w:t>
            </w:r>
          </w:p>
        </w:tc>
        <w:tc>
          <w:tcPr>
            <w:tcW w:w="27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9685C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对账待办升级，未复核不得关账</w:t>
            </w:r>
          </w:p>
        </w:tc>
      </w:tr>
      <w:tr w14:paraId="72631E77">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71550C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对账超期未裁决</w:t>
            </w:r>
          </w:p>
        </w:tc>
        <w:tc>
          <w:tcPr>
            <w:tcW w:w="27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704347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对账待办超过 3 个工作日未裁决</w:t>
            </w:r>
          </w:p>
        </w:tc>
        <w:tc>
          <w:tcPr>
            <w:tcW w:w="29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F2EDAE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按「当前核准版本」暂用并在数据上标注</w:t>
            </w:r>
          </w:p>
        </w:tc>
        <w:tc>
          <w:tcPr>
            <w:tcW w:w="27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46AED3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记录暂用标记，纳入月度数据质量报告</w:t>
            </w:r>
          </w:p>
        </w:tc>
      </w:tr>
      <w:tr w14:paraId="41195725">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D1119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人工 BOM 缺失版本信息</w:t>
            </w:r>
          </w:p>
        </w:tc>
        <w:tc>
          <w:tcPr>
            <w:tcW w:w="27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9BB795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人工上传 BOM 未填写版本号与上传依据</w:t>
            </w:r>
          </w:p>
        </w:tc>
        <w:tc>
          <w:tcPr>
            <w:tcW w:w="29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F540E3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拒绝入库并要求补充版本信息</w:t>
            </w:r>
          </w:p>
        </w:tc>
        <w:tc>
          <w:tcPr>
            <w:tcW w:w="27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897348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返回校验拦截并保留原文件供追溯</w:t>
            </w:r>
          </w:p>
        </w:tc>
      </w:tr>
    </w:tbl>
    <w:p w14:paraId="07D43C93">
      <w:pPr>
        <w:pStyle w:val="19"/>
        <w:widowControl/>
        <w:ind w:left="0" w:leftChars="0" w:firstLine="439" w:firstLineChars="183"/>
        <w:rPr>
          <w:rFonts w:ascii="Times New Roman" w:hAnsi="Times New Roman" w:eastAsia="宋体" w:cs="Times New Roman"/>
          <w:b w:val="0"/>
          <w:bCs/>
          <w:i w:val="0"/>
          <w:color w:val="auto"/>
          <w:sz w:val="24"/>
          <w:szCs w:val="24"/>
        </w:rPr>
      </w:pPr>
      <w:r>
        <w:rPr>
          <w:rFonts w:ascii="Times New Roman" w:hAnsi="Times New Roman" w:eastAsia="宋体" w:cs="Times New Roman"/>
          <w:b w:val="0"/>
          <w:bCs/>
          <w:i w:val="0"/>
          <w:color w:val="auto"/>
          <w:sz w:val="24"/>
          <w:szCs w:val="24"/>
        </w:rPr>
        <w:t>静默覆盖红线：任何降级通道恢复后的数据合并，严禁静默覆盖人工核准版本；违反即判定为 P0 级数据事故并追溯责任人。</w:t>
      </w:r>
    </w:p>
    <w:p w14:paraId="5706C547">
      <w:pPr>
        <w:pStyle w:val="19"/>
        <w:widowControl/>
        <w:ind w:left="0" w:leftChars="0" w:firstLine="439" w:firstLineChars="183"/>
        <w:rPr>
          <w:rFonts w:ascii="Times New Roman" w:hAnsi="Times New Roman" w:eastAsia="宋体" w:cs="Times New Roman"/>
          <w:b w:val="0"/>
          <w:bCs/>
          <w:i w:val="0"/>
          <w:color w:val="auto"/>
          <w:sz w:val="24"/>
          <w:szCs w:val="24"/>
        </w:rPr>
      </w:pPr>
      <w:r>
        <w:rPr>
          <w:rFonts w:ascii="Times New Roman" w:hAnsi="Times New Roman" w:eastAsia="宋体" w:cs="Times New Roman"/>
          <w:b w:val="0"/>
          <w:bCs/>
          <w:i w:val="0"/>
          <w:color w:val="auto"/>
          <w:sz w:val="24"/>
          <w:szCs w:val="24"/>
        </w:rPr>
        <w:t>锁账红线：已锁账月份的数据不得被补传或对账流程直接改写，必须走特批反冲流程。</w:t>
      </w:r>
    </w:p>
    <w:p w14:paraId="63B6AD33">
      <w:pPr>
        <w:pStyle w:val="19"/>
        <w:widowControl/>
        <w:ind w:left="0" w:leftChars="0" w:firstLine="439" w:firstLineChars="183"/>
        <w:rPr>
          <w:rFonts w:ascii="Times New Roman" w:hAnsi="Times New Roman" w:eastAsia="宋体" w:cs="Times New Roman"/>
          <w:b w:val="0"/>
          <w:bCs/>
          <w:i w:val="0"/>
          <w:color w:val="auto"/>
          <w:sz w:val="24"/>
          <w:szCs w:val="24"/>
        </w:rPr>
      </w:pPr>
      <w:r>
        <w:rPr>
          <w:rFonts w:ascii="Times New Roman" w:hAnsi="Times New Roman" w:eastAsia="宋体" w:cs="Times New Roman"/>
          <w:b w:val="0"/>
          <w:bCs/>
          <w:i w:val="0"/>
          <w:color w:val="auto"/>
          <w:sz w:val="24"/>
          <w:szCs w:val="24"/>
        </w:rPr>
        <w:t>留痕红线：补传更新与 BOM 裁决必须全量留痕，审计日志零丢失。</w:t>
      </w:r>
    </w:p>
    <w:p w14:paraId="240EAC91">
      <w:pPr>
        <w:pStyle w:val="4"/>
        <w:numPr>
          <w:ilvl w:val="0"/>
          <w:numId w:val="236"/>
        </w:numPr>
        <w:topLinePunct w:val="0"/>
        <w:ind w:left="0" w:leftChars="0" w:firstLine="0" w:firstLineChars="0"/>
        <w:outlineLvl w:val="0"/>
        <w:rPr>
          <w:rFonts w:hint="eastAsia" w:eastAsia="黑体"/>
          <w:b w:val="0"/>
          <w:bCs w:val="0"/>
          <w:sz w:val="30"/>
          <w:szCs w:val="32"/>
        </w:rPr>
      </w:pPr>
      <w:bookmarkStart w:id="91" w:name="_Toc31999"/>
      <w:r>
        <w:rPr>
          <w:rFonts w:ascii="Times New Roman" w:hAnsi="Times New Roman" w:eastAsia="黑体" w:cs="Times New Roman"/>
          <w:b w:val="0"/>
          <w:bCs w:val="0"/>
          <w:sz w:val="30"/>
          <w:szCs w:val="32"/>
        </w:rPr>
        <w:t>关键业务长流程状态机图谱</w:t>
      </w:r>
      <w:bookmarkEnd w:id="91"/>
    </w:p>
    <w:p w14:paraId="5FBCD127">
      <w:pPr>
        <w:pStyle w:val="19"/>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color w:val="1F2937"/>
          <w:sz w:val="24"/>
          <w:szCs w:val="24"/>
        </w:rPr>
        <w:t>为全系统长流程、跨角色、涉及审批与回退的业务节点定义标准化状态流转机制。</w:t>
      </w:r>
    </w:p>
    <w:tbl>
      <w:tblPr>
        <w:tblStyle w:val="38"/>
        <w:tblW w:w="9515" w:type="dxa"/>
        <w:jc w:val="center"/>
        <w:tblLayout w:type="autofit"/>
        <w:tblCellMar>
          <w:top w:w="0" w:type="dxa"/>
          <w:left w:w="108" w:type="dxa"/>
          <w:bottom w:w="0" w:type="dxa"/>
          <w:right w:w="108" w:type="dxa"/>
        </w:tblCellMar>
      </w:tblPr>
      <w:tblGrid>
        <w:gridCol w:w="1036"/>
        <w:gridCol w:w="2489"/>
        <w:gridCol w:w="3232"/>
        <w:gridCol w:w="2758"/>
      </w:tblGrid>
      <w:tr w14:paraId="3D73F72B">
        <w:tblPrEx>
          <w:tblCellMar>
            <w:top w:w="0" w:type="dxa"/>
            <w:left w:w="108" w:type="dxa"/>
            <w:bottom w:w="0" w:type="dxa"/>
            <w:right w:w="108" w:type="dxa"/>
          </w:tblCellMar>
        </w:tblPrEx>
        <w:trPr>
          <w:jc w:val="center"/>
        </w:trPr>
        <w:tc>
          <w:tcPr>
            <w:tcW w:w="103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922A53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业务流程名称</w:t>
            </w:r>
          </w:p>
        </w:tc>
        <w:tc>
          <w:tcPr>
            <w:tcW w:w="248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41978A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全生命周期状态流转链</w:t>
            </w:r>
          </w:p>
        </w:tc>
        <w:tc>
          <w:tcPr>
            <w:tcW w:w="323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EF9E77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可触发动作与角色边界</w:t>
            </w:r>
          </w:p>
        </w:tc>
        <w:tc>
          <w:tcPr>
            <w:tcW w:w="2758"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68C4B6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异常回退策略</w:t>
            </w:r>
          </w:p>
        </w:tc>
      </w:tr>
      <w:tr w14:paraId="6F02CF61">
        <w:tblPrEx>
          <w:tblCellMar>
            <w:top w:w="0" w:type="dxa"/>
            <w:left w:w="108" w:type="dxa"/>
            <w:bottom w:w="0" w:type="dxa"/>
            <w:right w:w="108" w:type="dxa"/>
          </w:tblCellMar>
        </w:tblPrEx>
        <w:trPr>
          <w:jc w:val="center"/>
        </w:trPr>
        <w:tc>
          <w:tcPr>
            <w:tcW w:w="10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007C1E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LCA 碳足迹核算</w:t>
            </w:r>
          </w:p>
        </w:tc>
        <w:tc>
          <w:tcPr>
            <w:tcW w:w="24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FCEB72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草稿 → 送审 → 认证中 → 已认证 → 已发布 → 已归档</w:t>
            </w:r>
          </w:p>
        </w:tc>
        <w:tc>
          <w:tcPr>
            <w:tcW w:w="323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501F4F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草稿仅 P4 自身编辑；送审后锁定；认证中第三方介入；发布需 P4+PM 联合签字</w:t>
            </w:r>
          </w:p>
        </w:tc>
        <w:tc>
          <w:tcPr>
            <w:tcW w:w="27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620518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机构退回时状态回退至"草稿"，释放编辑锁并记录退回意见</w:t>
            </w:r>
          </w:p>
        </w:tc>
      </w:tr>
      <w:tr w14:paraId="71A304CA">
        <w:tblPrEx>
          <w:tblCellMar>
            <w:top w:w="0" w:type="dxa"/>
            <w:left w:w="108" w:type="dxa"/>
            <w:bottom w:w="0" w:type="dxa"/>
            <w:right w:w="108" w:type="dxa"/>
          </w:tblCellMar>
        </w:tblPrEx>
        <w:trPr>
          <w:jc w:val="center"/>
        </w:trPr>
        <w:tc>
          <w:tcPr>
            <w:tcW w:w="10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D22DAB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CBAM 关税申报</w:t>
            </w:r>
          </w:p>
        </w:tc>
        <w:tc>
          <w:tcPr>
            <w:tcW w:w="24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0B0336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模拟测算 → 待审 → 已提交 → 海关反馈 → 已归档</w:t>
            </w:r>
          </w:p>
        </w:tc>
        <w:tc>
          <w:tcPr>
            <w:tcW w:w="323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230F5A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模拟仅 P5 可触发；提交必须经 P5 报关专家与 P1 集团决策层双重电子签章</w:t>
            </w:r>
          </w:p>
        </w:tc>
        <w:tc>
          <w:tcPr>
            <w:tcW w:w="275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3C7E20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海关质询时转入"海关反馈"，补正后重新提交并生成新修订流水号</w:t>
            </w:r>
          </w:p>
        </w:tc>
      </w:tr>
      <w:tr w14:paraId="4DF62876">
        <w:tblPrEx>
          <w:tblCellMar>
            <w:top w:w="0" w:type="dxa"/>
            <w:left w:w="108" w:type="dxa"/>
            <w:bottom w:w="0" w:type="dxa"/>
            <w:right w:w="108" w:type="dxa"/>
          </w:tblCellMar>
        </w:tblPrEx>
        <w:trPr>
          <w:jc w:val="center"/>
        </w:trPr>
        <w:tc>
          <w:tcPr>
            <w:tcW w:w="10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0158A3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节能效益评估</w:t>
            </w:r>
          </w:p>
        </w:tc>
        <w:tc>
          <w:tcPr>
            <w:tcW w:w="24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75CC43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项目立项 → 建设施工 → 并网试运行 → 稳定运行 → 已完结</w:t>
            </w:r>
          </w:p>
        </w:tc>
        <w:tc>
          <w:tcPr>
            <w:tcW w:w="323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E36B88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并网试运行需满足 90 天 M&amp;V 连续采数，验收通过方可流转至"稳定运行"</w:t>
            </w:r>
          </w:p>
        </w:tc>
        <w:tc>
          <w:tcPr>
            <w:tcW w:w="2758"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FAF279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年度复评未达标时转入"整改"，整改完毕复核转回</w:t>
            </w:r>
          </w:p>
        </w:tc>
      </w:tr>
      <w:tr w14:paraId="5E2ABC3C">
        <w:tblPrEx>
          <w:tblCellMar>
            <w:top w:w="0" w:type="dxa"/>
            <w:left w:w="108" w:type="dxa"/>
            <w:bottom w:w="0" w:type="dxa"/>
            <w:right w:w="108" w:type="dxa"/>
          </w:tblCellMar>
        </w:tblPrEx>
        <w:trPr>
          <w:jc w:val="center"/>
        </w:trPr>
        <w:tc>
          <w:tcPr>
            <w:tcW w:w="10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040B83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基层数据填报</w:t>
            </w:r>
          </w:p>
        </w:tc>
        <w:tc>
          <w:tcPr>
            <w:tcW w:w="24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100C7D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空白 → 录入中 → 已暂存 → 已提交 → 已入账 → 锁账</w:t>
            </w:r>
          </w:p>
        </w:tc>
        <w:tc>
          <w:tcPr>
            <w:tcW w:w="323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AB1C72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车间统计员（P3）录入暂存；动力处长审核提交；月度终了财务关账后状态变为"锁账"</w:t>
            </w:r>
          </w:p>
        </w:tc>
        <w:tc>
          <w:tcPr>
            <w:tcW w:w="2758"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1C1C36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审核驳回时退回至"已暂存"，入账后如需纠错须走特批反冲审批流程</w:t>
            </w:r>
          </w:p>
        </w:tc>
      </w:tr>
    </w:tbl>
    <w:p w14:paraId="1F74987E">
      <w:pPr>
        <w:spacing w:after="60"/>
        <w:rPr>
          <w:rFonts w:hint="eastAsia" w:ascii="宋体" w:hAnsi="宋体" w:eastAsia="宋体" w:cs="宋体"/>
          <w:i w:val="0"/>
          <w:iCs w:val="0"/>
          <w:sz w:val="24"/>
          <w:szCs w:val="24"/>
        </w:rPr>
      </w:pPr>
    </w:p>
    <w:p w14:paraId="40B4F145">
      <w:pPr>
        <w:spacing w:after="60"/>
        <w:rPr>
          <w:rFonts w:hint="eastAsia" w:ascii="宋体" w:hAnsi="宋体" w:eastAsia="宋体" w:cs="宋体"/>
          <w:i w:val="0"/>
          <w:iCs w:val="0"/>
          <w:sz w:val="24"/>
          <w:szCs w:val="24"/>
        </w:rPr>
      </w:pPr>
    </w:p>
    <w:p w14:paraId="722CF166">
      <w:pPr>
        <w:spacing w:after="60"/>
        <w:rPr>
          <w:rFonts w:hint="eastAsia" w:ascii="宋体" w:hAnsi="宋体" w:eastAsia="宋体" w:cs="宋体"/>
          <w:i w:val="0"/>
          <w:iCs w:val="0"/>
          <w:sz w:val="24"/>
          <w:szCs w:val="24"/>
        </w:rPr>
      </w:pPr>
    </w:p>
    <w:p w14:paraId="6E0702B6">
      <w:pPr>
        <w:spacing w:after="60"/>
        <w:rPr>
          <w:rFonts w:hint="eastAsia" w:ascii="宋体" w:hAnsi="宋体" w:eastAsia="宋体" w:cs="宋体"/>
          <w:i w:val="0"/>
          <w:iCs w:val="0"/>
          <w:sz w:val="24"/>
          <w:szCs w:val="24"/>
        </w:rPr>
      </w:pPr>
    </w:p>
    <w:p w14:paraId="21A62CEE">
      <w:pPr>
        <w:pStyle w:val="4"/>
        <w:numPr>
          <w:ilvl w:val="0"/>
          <w:numId w:val="236"/>
        </w:numPr>
        <w:topLinePunct w:val="0"/>
        <w:ind w:left="0" w:leftChars="0" w:firstLine="0" w:firstLineChars="0"/>
        <w:outlineLvl w:val="0"/>
        <w:rPr>
          <w:rFonts w:hint="eastAsia" w:eastAsia="黑体"/>
          <w:b w:val="0"/>
          <w:bCs w:val="0"/>
          <w:sz w:val="30"/>
          <w:szCs w:val="32"/>
        </w:rPr>
      </w:pPr>
      <w:bookmarkStart w:id="92" w:name="_Toc17227"/>
      <w:r>
        <w:rPr>
          <w:rFonts w:ascii="Times New Roman" w:hAnsi="Times New Roman" w:eastAsia="黑体" w:cs="Times New Roman"/>
          <w:b w:val="0"/>
          <w:bCs w:val="0"/>
          <w:sz w:val="30"/>
          <w:szCs w:val="32"/>
        </w:rPr>
        <w:t>术语表与缩略语大全</w:t>
      </w:r>
      <w:bookmarkEnd w:id="92"/>
    </w:p>
    <w:tbl>
      <w:tblPr>
        <w:tblStyle w:val="38"/>
        <w:tblW w:w="9784" w:type="dxa"/>
        <w:jc w:val="center"/>
        <w:tblLayout w:type="autofit"/>
        <w:tblCellMar>
          <w:top w:w="0" w:type="dxa"/>
          <w:left w:w="108" w:type="dxa"/>
          <w:bottom w:w="0" w:type="dxa"/>
          <w:right w:w="108" w:type="dxa"/>
        </w:tblCellMar>
      </w:tblPr>
      <w:tblGrid>
        <w:gridCol w:w="1385"/>
        <w:gridCol w:w="2985"/>
        <w:gridCol w:w="3389"/>
        <w:gridCol w:w="2025"/>
      </w:tblGrid>
      <w:tr w14:paraId="7ACA92A1">
        <w:tblPrEx>
          <w:tblCellMar>
            <w:top w:w="0" w:type="dxa"/>
            <w:left w:w="108" w:type="dxa"/>
            <w:bottom w:w="0" w:type="dxa"/>
            <w:right w:w="108" w:type="dxa"/>
          </w:tblCellMar>
        </w:tblPrEx>
        <w:trPr>
          <w:jc w:val="center"/>
        </w:trPr>
        <w:tc>
          <w:tcPr>
            <w:tcW w:w="138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F65520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术语/缩写</w:t>
            </w:r>
          </w:p>
        </w:tc>
        <w:tc>
          <w:tcPr>
            <w:tcW w:w="298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9E8901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英文全称</w:t>
            </w:r>
          </w:p>
        </w:tc>
        <w:tc>
          <w:tcPr>
            <w:tcW w:w="338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598918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工业/业务释义</w:t>
            </w:r>
          </w:p>
        </w:tc>
        <w:tc>
          <w:tcPr>
            <w:tcW w:w="202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3AC1B6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PRD关联章节</w:t>
            </w:r>
          </w:p>
        </w:tc>
      </w:tr>
      <w:tr w14:paraId="37A1C1A7">
        <w:tblPrEx>
          <w:tblCellMar>
            <w:top w:w="0" w:type="dxa"/>
            <w:left w:w="108" w:type="dxa"/>
            <w:bottom w:w="0" w:type="dxa"/>
            <w:right w:w="108" w:type="dxa"/>
          </w:tblCellMar>
        </w:tblPrEx>
        <w:trPr>
          <w:jc w:val="center"/>
        </w:trPr>
        <w:tc>
          <w:tcPr>
            <w:tcW w:w="13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9E93AB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PRD</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8ACC90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Product Requirements Document</w:t>
            </w:r>
          </w:p>
        </w:tc>
        <w:tc>
          <w:tcPr>
            <w:tcW w:w="33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7F1959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产品需求规格说明书，最高研发与交付契约</w:t>
            </w:r>
          </w:p>
        </w:tc>
        <w:tc>
          <w:tcPr>
            <w:tcW w:w="202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DF5999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全文</w:t>
            </w:r>
          </w:p>
        </w:tc>
      </w:tr>
      <w:tr w14:paraId="39925369">
        <w:tblPrEx>
          <w:tblCellMar>
            <w:top w:w="0" w:type="dxa"/>
            <w:left w:w="108" w:type="dxa"/>
            <w:bottom w:w="0" w:type="dxa"/>
            <w:right w:w="108" w:type="dxa"/>
          </w:tblCellMar>
        </w:tblPrEx>
        <w:trPr>
          <w:jc w:val="center"/>
        </w:trPr>
        <w:tc>
          <w:tcPr>
            <w:tcW w:w="13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BDBB8F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CBAM</w:t>
            </w:r>
          </w:p>
        </w:tc>
        <w:tc>
          <w:tcPr>
            <w:tcW w:w="29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45DA61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Carbon Border Adjustment Mechanism</w:t>
            </w:r>
          </w:p>
        </w:tc>
        <w:tc>
          <w:tcPr>
            <w:tcW w:w="33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0F18CC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欧盟碳边境调节机制（碳关税），2026 年正式开征</w:t>
            </w:r>
          </w:p>
        </w:tc>
        <w:tc>
          <w:tcPr>
            <w:tcW w:w="202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D46F21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第三章（四、CBAM 管理）</w:t>
            </w:r>
          </w:p>
        </w:tc>
      </w:tr>
      <w:tr w14:paraId="032409D3">
        <w:tblPrEx>
          <w:tblCellMar>
            <w:top w:w="0" w:type="dxa"/>
            <w:left w:w="108" w:type="dxa"/>
            <w:bottom w:w="0" w:type="dxa"/>
            <w:right w:w="108" w:type="dxa"/>
          </w:tblCellMar>
        </w:tblPrEx>
        <w:trPr>
          <w:jc w:val="center"/>
        </w:trPr>
        <w:tc>
          <w:tcPr>
            <w:tcW w:w="13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C868FE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ETS</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09B138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Emissions Trading System</w:t>
            </w:r>
          </w:p>
        </w:tc>
        <w:tc>
          <w:tcPr>
            <w:tcW w:w="33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FE1DA5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欧盟碳排放交易体系，碳配额实时拍卖价格</w:t>
            </w:r>
          </w:p>
        </w:tc>
        <w:tc>
          <w:tcPr>
            <w:tcW w:w="202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D0D62B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第三章（四、CBAM 管理）</w:t>
            </w:r>
          </w:p>
        </w:tc>
      </w:tr>
      <w:tr w14:paraId="7448AB99">
        <w:tblPrEx>
          <w:tblCellMar>
            <w:top w:w="0" w:type="dxa"/>
            <w:left w:w="108" w:type="dxa"/>
            <w:bottom w:w="0" w:type="dxa"/>
            <w:right w:w="108" w:type="dxa"/>
          </w:tblCellMar>
        </w:tblPrEx>
        <w:trPr>
          <w:jc w:val="center"/>
        </w:trPr>
        <w:tc>
          <w:tcPr>
            <w:tcW w:w="13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054F4B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LCA</w:t>
            </w:r>
          </w:p>
        </w:tc>
        <w:tc>
          <w:tcPr>
            <w:tcW w:w="29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35D7B4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Life Cycle Assessment</w:t>
            </w:r>
          </w:p>
        </w:tc>
        <w:tc>
          <w:tcPr>
            <w:tcW w:w="33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65E390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生命周期评价（涵盖原材料、制造、运输、使用、废弃）</w:t>
            </w:r>
          </w:p>
        </w:tc>
        <w:tc>
          <w:tcPr>
            <w:tcW w:w="202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80F13B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第三章（三、实景数据库与碳足迹核算）</w:t>
            </w:r>
          </w:p>
        </w:tc>
      </w:tr>
      <w:tr w14:paraId="048853A9">
        <w:tblPrEx>
          <w:tblCellMar>
            <w:top w:w="0" w:type="dxa"/>
            <w:left w:w="108" w:type="dxa"/>
            <w:bottom w:w="0" w:type="dxa"/>
            <w:right w:w="108" w:type="dxa"/>
          </w:tblCellMar>
        </w:tblPrEx>
        <w:trPr>
          <w:jc w:val="center"/>
        </w:trPr>
        <w:tc>
          <w:tcPr>
            <w:tcW w:w="13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92B5E5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BOM</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7A90E2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Bill of Materials</w:t>
            </w:r>
          </w:p>
        </w:tc>
        <w:tc>
          <w:tcPr>
            <w:tcW w:w="33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6E07B9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产品物料清单，碳足迹核算层级分解的基础输入</w:t>
            </w:r>
          </w:p>
        </w:tc>
        <w:tc>
          <w:tcPr>
            <w:tcW w:w="202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1DE55C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第三章（三）</w:t>
            </w:r>
          </w:p>
        </w:tc>
      </w:tr>
      <w:tr w14:paraId="0CF7E791">
        <w:tblPrEx>
          <w:tblCellMar>
            <w:top w:w="0" w:type="dxa"/>
            <w:left w:w="108" w:type="dxa"/>
            <w:bottom w:w="0" w:type="dxa"/>
            <w:right w:w="108" w:type="dxa"/>
          </w:tblCellMar>
        </w:tblPrEx>
        <w:trPr>
          <w:jc w:val="center"/>
        </w:trPr>
        <w:tc>
          <w:tcPr>
            <w:tcW w:w="13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96FF05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SCADA</w:t>
            </w:r>
          </w:p>
        </w:tc>
        <w:tc>
          <w:tcPr>
            <w:tcW w:w="29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3F8149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Supervisory Control and Data Acquisition</w:t>
            </w:r>
          </w:p>
        </w:tc>
        <w:tc>
          <w:tcPr>
            <w:tcW w:w="33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7949E3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数据采集与监视控制系统，变配电秒级遥测来源</w:t>
            </w:r>
          </w:p>
        </w:tc>
        <w:tc>
          <w:tcPr>
            <w:tcW w:w="202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FE7936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第二章（二、集中监管）</w:t>
            </w:r>
          </w:p>
        </w:tc>
      </w:tr>
      <w:tr w14:paraId="6B239E1D">
        <w:tblPrEx>
          <w:tblCellMar>
            <w:top w:w="0" w:type="dxa"/>
            <w:left w:w="108" w:type="dxa"/>
            <w:bottom w:w="0" w:type="dxa"/>
            <w:right w:w="108" w:type="dxa"/>
          </w:tblCellMar>
        </w:tblPrEx>
        <w:trPr>
          <w:jc w:val="center"/>
        </w:trPr>
        <w:tc>
          <w:tcPr>
            <w:tcW w:w="13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2EB977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MQTT</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5B5B2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Message Queuing Telemetry Transport</w:t>
            </w:r>
          </w:p>
        </w:tc>
        <w:tc>
          <w:tcPr>
            <w:tcW w:w="33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B5BE2C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轻量级物联网消息发布订阅协议，传感器上报标准</w:t>
            </w:r>
          </w:p>
        </w:tc>
        <w:tc>
          <w:tcPr>
            <w:tcW w:w="202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7981FC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第四章（二、外部系统集成）</w:t>
            </w:r>
          </w:p>
        </w:tc>
      </w:tr>
      <w:tr w14:paraId="7B56291A">
        <w:tblPrEx>
          <w:tblCellMar>
            <w:top w:w="0" w:type="dxa"/>
            <w:left w:w="108" w:type="dxa"/>
            <w:bottom w:w="0" w:type="dxa"/>
            <w:right w:w="108" w:type="dxa"/>
          </w:tblCellMar>
        </w:tblPrEx>
        <w:trPr>
          <w:jc w:val="center"/>
        </w:trPr>
        <w:tc>
          <w:tcPr>
            <w:tcW w:w="13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0DF4B6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M&amp;V</w:t>
            </w:r>
          </w:p>
        </w:tc>
        <w:tc>
          <w:tcPr>
            <w:tcW w:w="29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6872CF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Measurement and Verification</w:t>
            </w:r>
          </w:p>
        </w:tc>
        <w:tc>
          <w:tcPr>
            <w:tcW w:w="33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1CE2B2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节能量测量与验证（遵循国际通用 IPMVP 规程）</w:t>
            </w:r>
          </w:p>
        </w:tc>
        <w:tc>
          <w:tcPr>
            <w:tcW w:w="202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518EFF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第二章（四、零碳项目评估）</w:t>
            </w:r>
          </w:p>
        </w:tc>
      </w:tr>
      <w:tr w14:paraId="49813E38">
        <w:tblPrEx>
          <w:tblCellMar>
            <w:top w:w="0" w:type="dxa"/>
            <w:left w:w="108" w:type="dxa"/>
            <w:bottom w:w="0" w:type="dxa"/>
            <w:right w:w="108" w:type="dxa"/>
          </w:tblCellMar>
        </w:tblPrEx>
        <w:trPr>
          <w:jc w:val="center"/>
        </w:trPr>
        <w:tc>
          <w:tcPr>
            <w:tcW w:w="13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6AF8C4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kgce/tce</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92544B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kilogram / ton of coal equivalent</w:t>
            </w:r>
          </w:p>
        </w:tc>
        <w:tc>
          <w:tcPr>
            <w:tcW w:w="33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E85A54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千克标准煤 / 吨标准煤，我国通用综合能源计量单位</w:t>
            </w:r>
          </w:p>
        </w:tc>
        <w:tc>
          <w:tcPr>
            <w:tcW w:w="202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0C8AAB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第二章（二/三/五）</w:t>
            </w:r>
          </w:p>
        </w:tc>
      </w:tr>
      <w:tr w14:paraId="42E9BDE4">
        <w:tblPrEx>
          <w:tblCellMar>
            <w:top w:w="0" w:type="dxa"/>
            <w:left w:w="108" w:type="dxa"/>
            <w:bottom w:w="0" w:type="dxa"/>
            <w:right w:w="108" w:type="dxa"/>
          </w:tblCellMar>
        </w:tblPrEx>
        <w:trPr>
          <w:jc w:val="center"/>
        </w:trPr>
        <w:tc>
          <w:tcPr>
            <w:tcW w:w="13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F49443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TOU</w:t>
            </w:r>
          </w:p>
        </w:tc>
        <w:tc>
          <w:tcPr>
            <w:tcW w:w="29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D1B7F4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Time of Use</w:t>
            </w:r>
          </w:p>
        </w:tc>
        <w:tc>
          <w:tcPr>
            <w:tcW w:w="33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266DC9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分时电价制度，尖峰平谷四时段计价</w:t>
            </w:r>
          </w:p>
        </w:tc>
        <w:tc>
          <w:tcPr>
            <w:tcW w:w="202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B61CEC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第二章（二、用能在线监测）</w:t>
            </w:r>
          </w:p>
        </w:tc>
      </w:tr>
      <w:tr w14:paraId="1F6B1906">
        <w:tblPrEx>
          <w:tblCellMar>
            <w:top w:w="0" w:type="dxa"/>
            <w:left w:w="108" w:type="dxa"/>
            <w:bottom w:w="0" w:type="dxa"/>
            <w:right w:w="108" w:type="dxa"/>
          </w:tblCellMar>
        </w:tblPrEx>
        <w:trPr>
          <w:jc w:val="center"/>
        </w:trPr>
        <w:tc>
          <w:tcPr>
            <w:tcW w:w="13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DE0830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Scope 1</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78B5A8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Direct GHG Emissions</w:t>
            </w:r>
          </w:p>
        </w:tc>
        <w:tc>
          <w:tcPr>
            <w:tcW w:w="33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92BC33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范围一：企业拥有或控制的排放源燃烧化石燃料的直接排放</w:t>
            </w:r>
          </w:p>
        </w:tc>
        <w:tc>
          <w:tcPr>
            <w:tcW w:w="202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72EAEA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第二章（二、集中监管）</w:t>
            </w:r>
          </w:p>
        </w:tc>
      </w:tr>
      <w:tr w14:paraId="66DC5FBC">
        <w:tblPrEx>
          <w:tblCellMar>
            <w:top w:w="0" w:type="dxa"/>
            <w:left w:w="108" w:type="dxa"/>
            <w:bottom w:w="0" w:type="dxa"/>
            <w:right w:w="108" w:type="dxa"/>
          </w:tblCellMar>
        </w:tblPrEx>
        <w:trPr>
          <w:jc w:val="center"/>
        </w:trPr>
        <w:tc>
          <w:tcPr>
            <w:tcW w:w="13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4B0A02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Scope 2</w:t>
            </w:r>
          </w:p>
        </w:tc>
        <w:tc>
          <w:tcPr>
            <w:tcW w:w="29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D378DF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Electricity Indirect GHG Emissions</w:t>
            </w:r>
          </w:p>
        </w:tc>
        <w:tc>
          <w:tcPr>
            <w:tcW w:w="33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B619B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范围二：外购电力、热力或蒸汽消费导致的间接温室气体排放</w:t>
            </w:r>
          </w:p>
        </w:tc>
        <w:tc>
          <w:tcPr>
            <w:tcW w:w="202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00125F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第二章（二、集中监管）</w:t>
            </w:r>
          </w:p>
        </w:tc>
      </w:tr>
      <w:tr w14:paraId="20BBEDF2">
        <w:tblPrEx>
          <w:tblCellMar>
            <w:top w:w="0" w:type="dxa"/>
            <w:left w:w="108" w:type="dxa"/>
            <w:bottom w:w="0" w:type="dxa"/>
            <w:right w:w="108" w:type="dxa"/>
          </w:tblCellMar>
        </w:tblPrEx>
        <w:trPr>
          <w:jc w:val="center"/>
        </w:trPr>
        <w:tc>
          <w:tcPr>
            <w:tcW w:w="13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EFDD5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Scope 3</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ABEC95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Other Indirect GHG Emissions</w:t>
            </w:r>
          </w:p>
        </w:tc>
        <w:tc>
          <w:tcPr>
            <w:tcW w:w="33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8E3C21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范围三：企业价值链上下游所有其他间接排放（采购、外协等）</w:t>
            </w:r>
          </w:p>
        </w:tc>
        <w:tc>
          <w:tcPr>
            <w:tcW w:w="202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A3BB30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第三章（三）</w:t>
            </w:r>
          </w:p>
        </w:tc>
      </w:tr>
      <w:tr w14:paraId="50B2D618">
        <w:tblPrEx>
          <w:tblCellMar>
            <w:top w:w="0" w:type="dxa"/>
            <w:left w:w="108" w:type="dxa"/>
            <w:bottom w:w="0" w:type="dxa"/>
            <w:right w:w="108" w:type="dxa"/>
          </w:tblCellMar>
        </w:tblPrEx>
        <w:trPr>
          <w:jc w:val="center"/>
        </w:trPr>
        <w:tc>
          <w:tcPr>
            <w:tcW w:w="13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67CD94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IPMVP</w:t>
            </w:r>
          </w:p>
        </w:tc>
        <w:tc>
          <w:tcPr>
            <w:tcW w:w="29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B476C5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International Performance Measurement and Verification Protocol</w:t>
            </w:r>
          </w:p>
        </w:tc>
        <w:tc>
          <w:tcPr>
            <w:tcW w:w="33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028F3F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国际节能量测量与验证规程</w:t>
            </w:r>
          </w:p>
        </w:tc>
        <w:tc>
          <w:tcPr>
            <w:tcW w:w="202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1CEB7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第二章（四、项目运行评估）</w:t>
            </w:r>
          </w:p>
        </w:tc>
      </w:tr>
      <w:tr w14:paraId="3C0187B4">
        <w:tblPrEx>
          <w:tblCellMar>
            <w:top w:w="0" w:type="dxa"/>
            <w:left w:w="108" w:type="dxa"/>
            <w:bottom w:w="0" w:type="dxa"/>
            <w:right w:w="108" w:type="dxa"/>
          </w:tblCellMar>
        </w:tblPrEx>
        <w:trPr>
          <w:jc w:val="center"/>
        </w:trPr>
        <w:tc>
          <w:tcPr>
            <w:tcW w:w="13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72E69B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EQP / BVA</w:t>
            </w:r>
          </w:p>
        </w:tc>
        <w:tc>
          <w:tcPr>
            <w:tcW w:w="298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573271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Equivalence Partitioning / Boundary Value Analysis</w:t>
            </w:r>
          </w:p>
        </w:tc>
        <w:tc>
          <w:tcPr>
            <w:tcW w:w="33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1D5811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等价类划分与边界值分析，QA 极限测试方法论</w:t>
            </w:r>
          </w:p>
        </w:tc>
        <w:tc>
          <w:tcPr>
            <w:tcW w:w="202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ED8284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第四章（三、质量保障体系）</w:t>
            </w:r>
          </w:p>
        </w:tc>
      </w:tr>
      <w:tr w14:paraId="639F4D44">
        <w:tblPrEx>
          <w:tblCellMar>
            <w:top w:w="0" w:type="dxa"/>
            <w:left w:w="108" w:type="dxa"/>
            <w:bottom w:w="0" w:type="dxa"/>
            <w:right w:w="108" w:type="dxa"/>
          </w:tblCellMar>
        </w:tblPrEx>
        <w:trPr>
          <w:jc w:val="center"/>
        </w:trPr>
        <w:tc>
          <w:tcPr>
            <w:tcW w:w="13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300684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RACI</w:t>
            </w:r>
          </w:p>
        </w:tc>
        <w:tc>
          <w:tcPr>
            <w:tcW w:w="29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043DE9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Responsible / Accountable / Consulted / Informed</w:t>
            </w:r>
          </w:p>
        </w:tc>
        <w:tc>
          <w:tcPr>
            <w:tcW w:w="338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9DB85F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责任分配矩阵，明确各项决策的唯一最终责任人</w:t>
            </w:r>
          </w:p>
        </w:tc>
        <w:tc>
          <w:tcPr>
            <w:tcW w:w="202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865692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第五章（五、决策治理 RACI）</w:t>
            </w:r>
          </w:p>
        </w:tc>
      </w:tr>
    </w:tbl>
    <w:p w14:paraId="5B113B4C">
      <w:pPr>
        <w:spacing w:after="60"/>
        <w:rPr>
          <w:rFonts w:hint="eastAsia" w:ascii="宋体" w:hAnsi="宋体" w:eastAsia="宋体" w:cs="宋体"/>
          <w:i w:val="0"/>
          <w:iCs w:val="0"/>
          <w:sz w:val="24"/>
          <w:szCs w:val="24"/>
        </w:rPr>
      </w:pPr>
    </w:p>
    <w:p w14:paraId="0242C7C0">
      <w:pPr>
        <w:pStyle w:val="4"/>
        <w:numPr>
          <w:ilvl w:val="0"/>
          <w:numId w:val="236"/>
        </w:numPr>
        <w:topLinePunct w:val="0"/>
        <w:ind w:left="0" w:leftChars="0" w:firstLine="0" w:firstLineChars="0"/>
        <w:outlineLvl w:val="0"/>
        <w:rPr>
          <w:rFonts w:hint="eastAsia" w:eastAsia="黑体"/>
          <w:b w:val="0"/>
          <w:bCs w:val="0"/>
          <w:sz w:val="30"/>
          <w:szCs w:val="32"/>
        </w:rPr>
      </w:pPr>
      <w:bookmarkStart w:id="93" w:name="_Toc28606"/>
      <w:r>
        <w:rPr>
          <w:rFonts w:ascii="Times New Roman" w:hAnsi="Times New Roman" w:eastAsia="黑体" w:cs="Times New Roman"/>
          <w:b w:val="0"/>
          <w:bCs w:val="0"/>
          <w:sz w:val="30"/>
          <w:szCs w:val="32"/>
        </w:rPr>
        <w:t>标准化错误码字典与异常分级</w:t>
      </w:r>
      <w:bookmarkEnd w:id="93"/>
    </w:p>
    <w:p w14:paraId="2C739634">
      <w:pPr>
        <w:pStyle w:val="19"/>
        <w:widowControl/>
        <w:ind w:left="0" w:leftChars="0" w:firstLine="439" w:firstLineChars="183"/>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color w:val="1F2937"/>
          <w:sz w:val="24"/>
          <w:szCs w:val="24"/>
        </w:rPr>
        <w:t>全平台执行统一规范格式：</w:t>
      </w:r>
      <w:r>
        <w:rPr>
          <w:rFonts w:ascii="Times New Roman" w:hAnsi="Times New Roman" w:eastAsia="宋体" w:cs="Times New Roman"/>
          <w:b w:val="0"/>
          <w:bCs w:val="0"/>
          <w:i w:val="0"/>
          <w:color w:val="0284C7"/>
          <w:sz w:val="24"/>
          <w:szCs w:val="24"/>
        </w:rPr>
        <w:t xml:space="preserve"> E_&lt;DOMAIN&gt;_&lt;MODULE&gt;_&lt;REASON&gt;[_&lt;SUFFIX&gt;] </w:t>
      </w:r>
      <w:r>
        <w:rPr>
          <w:rFonts w:ascii="Times New Roman" w:hAnsi="Times New Roman" w:eastAsia="宋体" w:cs="Times New Roman"/>
          <w:b w:val="0"/>
          <w:bCs w:val="0"/>
          <w:i w:val="0"/>
          <w:color w:val="1F2937"/>
          <w:sz w:val="24"/>
          <w:szCs w:val="24"/>
        </w:rPr>
        <w:t>，分划 P0 系统级、P1 业务级、P2 提示级、P3 信息级四大级别。</w:t>
      </w:r>
    </w:p>
    <w:tbl>
      <w:tblPr>
        <w:tblStyle w:val="38"/>
        <w:tblW w:w="9790" w:type="dxa"/>
        <w:jc w:val="center"/>
        <w:tblLayout w:type="autofit"/>
        <w:tblCellMar>
          <w:top w:w="0" w:type="dxa"/>
          <w:left w:w="108" w:type="dxa"/>
          <w:bottom w:w="0" w:type="dxa"/>
          <w:right w:w="108" w:type="dxa"/>
        </w:tblCellMar>
      </w:tblPr>
      <w:tblGrid>
        <w:gridCol w:w="3360"/>
        <w:gridCol w:w="1335"/>
        <w:gridCol w:w="2205"/>
        <w:gridCol w:w="2890"/>
      </w:tblGrid>
      <w:tr w14:paraId="5BA81EFC">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151E91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标准错误码</w:t>
            </w:r>
          </w:p>
        </w:tc>
        <w:tc>
          <w:tcPr>
            <w:tcW w:w="133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861C04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HTTP状态</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11C244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触发业务场景</w:t>
            </w:r>
          </w:p>
        </w:tc>
        <w:tc>
          <w:tcPr>
            <w:tcW w:w="289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F2732A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前端交互与后端处理建议</w:t>
            </w:r>
          </w:p>
        </w:tc>
      </w:tr>
      <w:tr w14:paraId="17104DA0">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16042C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E_VAL_ENERGY_NEGATIVE</w:t>
            </w:r>
          </w:p>
        </w:tc>
        <w:tc>
          <w:tcPr>
            <w:tcW w:w="13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1250E3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400</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678240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填报工作台录入电/水/气/蒸汽实物消耗负数</w:t>
            </w:r>
          </w:p>
        </w:tc>
        <w:tc>
          <w:tcPr>
            <w:tcW w:w="28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2A910C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输入框红框高亮，提示"能源消耗量必须为非负数值"，阻断提交</w:t>
            </w:r>
          </w:p>
        </w:tc>
      </w:tr>
      <w:tr w14:paraId="3C11EACE">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864747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E_VAL_PROD_QTY_NEGATIVE</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C5BCF0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400</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CBDF5A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录入变压器容量或线缆长度负数</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CEE951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输入框红框高亮，提示"合格产品产量必须为非负数值"，阻断提交</w:t>
            </w:r>
          </w:p>
        </w:tc>
      </w:tr>
      <w:tr w14:paraId="7740B272">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380389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E_VAL_MON_KVA_ZERO</w:t>
            </w:r>
          </w:p>
        </w:tc>
        <w:tc>
          <w:tcPr>
            <w:tcW w:w="13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C2C527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400</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177164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变压器单耗核算时输入产量分母为 0</w:t>
            </w:r>
          </w:p>
        </w:tc>
        <w:tc>
          <w:tcPr>
            <w:tcW w:w="28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7AEF86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提示"当月产量为 0 无法直接计算单耗"，要求核对报工单据</w:t>
            </w:r>
          </w:p>
        </w:tc>
      </w:tr>
      <w:tr w14:paraId="7EA9E2D9">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4189EE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E_VAL_FACTOR_EXPIRED</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17F712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422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FABA8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LCA 选用已过有效期的碳排放因子版本</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D7ED00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因子标签标红，禁用"选用"按钮，提示"该因子已过期，请升级最新库"</w:t>
            </w:r>
          </w:p>
        </w:tc>
      </w:tr>
      <w:tr w14:paraId="43671F33">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446E55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E_VAL_LCA_TOTAL_NEGATIVE</w:t>
            </w:r>
          </w:p>
        </w:tc>
        <w:tc>
          <w:tcPr>
            <w:tcW w:w="13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85C0CD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400</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E8E6E1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LCA 滚算加总结果出现负数</w:t>
            </w:r>
          </w:p>
        </w:tc>
        <w:tc>
          <w:tcPr>
            <w:tcW w:w="28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F2A431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阻断保存，提示"产品生命周期碳足迹不可小于零"</w:t>
            </w:r>
          </w:p>
        </w:tc>
      </w:tr>
      <w:tr w14:paraId="524202A0">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B52032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E_CALC_UNIT_DIV_ZERO_SOFT</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100DE6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200</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0E7923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单耗或万元产值分母为 0（停产检修）</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2BED83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核心安全兜底：前端安全显示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，无报错，悬停友好说明</w:t>
            </w:r>
          </w:p>
        </w:tc>
      </w:tr>
      <w:tr w14:paraId="1EDDBD95">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0D7988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E_CALC_LCA_TDIV_ZERO</w:t>
            </w:r>
          </w:p>
        </w:tc>
        <w:tc>
          <w:tcPr>
            <w:tcW w:w="13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D1E10F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422</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C4B7A1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LCA 试验阶段录入工时 </w:t>
            </w:r>
            <w:r>
              <w:rPr>
                <w:rFonts w:hint="eastAsia" w:ascii="宋体" w:hAnsi="宋体" w:eastAsia="宋体" w:cs="宋体"/>
                <w:i w:val="0"/>
                <w:iCs w:val="0"/>
                <w:color w:val="15803D"/>
                <w:sz w:val="24"/>
                <w:szCs w:val="24"/>
              </w:rPr>
              <w:t>T_m = 0</w:t>
            </w:r>
          </w:p>
        </w:tc>
        <w:tc>
          <w:tcPr>
            <w:tcW w:w="28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1F4AA6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提示"试验工时不可为 0"，阻断阶段算式生成</w:t>
            </w:r>
          </w:p>
        </w:tc>
      </w:tr>
      <w:tr w14:paraId="3674B533">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C608E5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E_CALC_LCA_SUM_MISMATCH</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4402DA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500</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4A6D6A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 阶段碳排加总与总碳排容差超出 0.01</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26F5DF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后台阻断证书签发与对外发布，触发算法引擎重新核算</w:t>
            </w:r>
          </w:p>
        </w:tc>
      </w:tr>
      <w:tr w14:paraId="0A0CE687">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13F4E2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E_IO_MQTT_TIMEOUT</w:t>
            </w:r>
          </w:p>
        </w:tc>
        <w:tc>
          <w:tcPr>
            <w:tcW w:w="13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01F41F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504</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5171D2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物联网 SCADA 网关 5 秒无遥测心跳</w:t>
            </w:r>
          </w:p>
        </w:tc>
        <w:tc>
          <w:tcPr>
            <w:tcW w:w="28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D2DFE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自动降级读取时序库最近缓存快照，图表提示离线状态</w:t>
            </w:r>
          </w:p>
        </w:tc>
      </w:tr>
      <w:tr w14:paraId="47447ECD">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2F5413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E_IO_GATEWAY_OFFLINE</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D003EC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503</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EC77ED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变电站边缘一体机物理断网</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AAA29F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启动边缘一体机本地断点续传机制，恢复联网后自动同步</w:t>
            </w:r>
          </w:p>
        </w:tc>
      </w:tr>
      <w:tr w14:paraId="0A1F9B8A">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8ED2D0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E_AUTH_RBAC_FORBIDDEN</w:t>
            </w:r>
          </w:p>
        </w:tc>
        <w:tc>
          <w:tcPr>
            <w:tcW w:w="13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541829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403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38CEBD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车间填报员越权访问 CBAM 申报底表</w:t>
            </w:r>
          </w:p>
        </w:tc>
        <w:tc>
          <w:tcPr>
            <w:tcW w:w="28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DEBB86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API 网关切面拦截，跳转专属 403 无权限页面，记录安全审计日志</w:t>
            </w:r>
          </w:p>
        </w:tc>
      </w:tr>
      <w:tr w14:paraId="1E1FB32F">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4725D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E_AUTH_TOKEN_EXPIRED</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D88A0D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401</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83A521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JWT 鉴权凭据超出有效期限</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9A7F4B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提示"会话已过期"，保留用户当前填报草稿后平滑跳转登录页</w:t>
            </w:r>
          </w:p>
        </w:tc>
      </w:tr>
      <w:tr w14:paraId="4BC13B6C">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0BAD3C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E_AUTH_SIGN_INVALID</w:t>
            </w:r>
          </w:p>
        </w:tc>
        <w:tc>
          <w:tcPr>
            <w:tcW w:w="13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0549A0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401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B5DBDE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客户端上送报文 HMAC-SHA256 签名错误</w:t>
            </w:r>
          </w:p>
        </w:tc>
        <w:tc>
          <w:tcPr>
            <w:tcW w:w="28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E2B911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拒绝处理请求，记录潜在重放攻击与中间人篡改安全告警</w:t>
            </w:r>
          </w:p>
        </w:tc>
      </w:tr>
      <w:tr w14:paraId="08F4052D">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DAC7FB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E_EXT_ETS_PRICE_STALE</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90A75E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200</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B5FF7B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欧洲能源交易所 ETS 价格超 24h 未同步</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93F46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界面标黄标注价格时间戳，允许用户基于最近有效历史均价测算</w:t>
            </w:r>
          </w:p>
        </w:tc>
      </w:tr>
      <w:tr w14:paraId="7059FF71">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E9D3AE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E_EXT_ERP_BOM_TIMEOUT</w:t>
            </w:r>
          </w:p>
        </w:tc>
        <w:tc>
          <w:tcPr>
            <w:tcW w:w="13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324A69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504</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89D583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SAP/用友 ERP 系统 BOM 查询接口超时</w:t>
            </w:r>
          </w:p>
        </w:tc>
        <w:tc>
          <w:tcPr>
            <w:tcW w:w="28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0C1F97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重试 3 次后自动降级使用系统本地缓存的 BOM 历史快照版本</w:t>
            </w:r>
          </w:p>
        </w:tc>
      </w:tr>
      <w:tr w14:paraId="47982E9E">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22B52F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E_EXT_ECOINVENT_LICENSE</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70312E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503</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D8CB86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Ecoinvent 因子库商业授权到期</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819B89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自动降级使用中国本土生命周期数据库（CLCD）因子兜底</w:t>
            </w:r>
          </w:p>
        </w:tc>
      </w:tr>
      <w:tr w14:paraId="2E1BBFD9">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43648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E_SYS_DB_CONN_LOST</w:t>
            </w:r>
          </w:p>
        </w:tc>
        <w:tc>
          <w:tcPr>
            <w:tcW w:w="13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FEAE08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503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BAA870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主数据库集群连接池断开</w:t>
            </w:r>
          </w:p>
        </w:tc>
        <w:tc>
          <w:tcPr>
            <w:tcW w:w="28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6EC997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30 秒内高可用集群备库无缝接管，系统自动切换至只读模式</w:t>
            </w:r>
          </w:p>
        </w:tc>
      </w:tr>
      <w:tr w14:paraId="0F8A6200">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B24203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E_SYS_REDIS_CRASH</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83544E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500</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D27C2F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Redis 缓存集群节点宕机</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EF1A60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自动降级直查主库，业务流程不中断</w:t>
            </w:r>
          </w:p>
        </w:tc>
      </w:tr>
      <w:tr w14:paraId="0DDD31ED">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3C8982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E_SYS_CONCURRENCY_LOCK</w:t>
            </w:r>
          </w:p>
        </w:tc>
        <w:tc>
          <w:tcPr>
            <w:tcW w:w="13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B99F7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409</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7CE5EB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100ms 内快速连续双击"提交"按钮</w:t>
            </w:r>
          </w:p>
        </w:tc>
        <w:tc>
          <w:tcPr>
            <w:tcW w:w="28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49FB29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分布式锁拦截并发重复请求，仅允许首笔交易成功入库</w:t>
            </w:r>
          </w:p>
        </w:tc>
      </w:tr>
      <w:tr w14:paraId="54E02C7B">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5C9DE5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E_QM_WHITE_LIST_MISS</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7D74BA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200</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B46C26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组织树选中的单位不属于工序白名单</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AA411A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单行纯文本干练输出：</w:t>
            </w:r>
            <w:r>
              <w:rPr>
                <w:rFonts w:hint="eastAsia" w:ascii="宋体" w:hAnsi="宋体" w:eastAsia="宋体" w:cs="宋体"/>
                <w:b w:val="0"/>
                <w:i w:val="0"/>
                <w:iCs w:val="0"/>
                <w:color w:val="0284C7"/>
                <w:sz w:val="24"/>
                <w:szCs w:val="24"/>
              </w:rPr>
              <w:t xml:space="preserve"> 暂无相关工序！ </w:t>
            </w:r>
            <w:r>
              <w:rPr>
                <w:rFonts w:hint="eastAsia" w:ascii="宋体" w:hAnsi="宋体" w:eastAsia="宋体" w:cs="宋体"/>
                <w:i w:val="0"/>
                <w:iCs w:val="0"/>
                <w:color w:val="1F2937"/>
                <w:sz w:val="24"/>
                <w:szCs w:val="24"/>
              </w:rPr>
              <w:t>，严禁大段解释</w:t>
            </w:r>
          </w:p>
        </w:tc>
      </w:tr>
      <w:tr w14:paraId="700AA380">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782D56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E_AUDIT_HASH_BROKEN</w:t>
            </w:r>
          </w:p>
        </w:tc>
        <w:tc>
          <w:tcPr>
            <w:tcW w:w="13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596791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500</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7BED37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LCA 报告或 CBAM 报关包哈希比对失败</w:t>
            </w:r>
          </w:p>
        </w:tc>
        <w:tc>
          <w:tcPr>
            <w:tcW w:w="28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3BD369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导出引擎强制阻断，标记"数据已被非法篡改"，锁定当事单据</w:t>
            </w:r>
          </w:p>
        </w:tc>
      </w:tr>
      <w:tr w14:paraId="41AE3D0E">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A78DE2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E_VAL_CBAM_SCHEMA_INVALID</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13F0CA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422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9A6E38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CBAM 申报 XML 不符合欧盟 XSD 规范</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E58A97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提示具体节点 Schema 违规信息，阻断申报包导出出境</w:t>
            </w:r>
          </w:p>
        </w:tc>
      </w:tr>
      <w:tr w14:paraId="4056B3DC">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C3C531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E_SYS_ENTRY_ALREADY_LOCKED</w:t>
            </w:r>
          </w:p>
        </w:tc>
        <w:tc>
          <w:tcPr>
            <w:tcW w:w="133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AB418F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423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F854A9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试图修改已锁账月度的产量或能耗数据</w:t>
            </w:r>
          </w:p>
        </w:tc>
        <w:tc>
          <w:tcPr>
            <w:tcW w:w="289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A597DA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提示"当月财务账期已关账锁定，如需修正需由 P1 集团高管特批"</w:t>
            </w:r>
          </w:p>
        </w:tc>
      </w:tr>
      <w:tr w14:paraId="3AE7DA75">
        <w:tblPrEx>
          <w:tblCellMar>
            <w:top w:w="0" w:type="dxa"/>
            <w:left w:w="108" w:type="dxa"/>
            <w:bottom w:w="0" w:type="dxa"/>
            <w:right w:w="108" w:type="dxa"/>
          </w:tblCellMar>
        </w:tblPrEx>
        <w:trPr>
          <w:jc w:val="center"/>
        </w:trPr>
        <w:tc>
          <w:tcPr>
            <w:tcW w:w="336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37DC6B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E_VAL_PRJ_MV_BASELINE_EMPTY</w:t>
            </w:r>
          </w:p>
        </w:tc>
        <w:tc>
          <w:tcPr>
            <w:tcW w:w="133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B8631A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400</w:t>
            </w:r>
          </w:p>
        </w:tc>
        <w:tc>
          <w:tcPr>
            <w:tcW w:w="2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3E1E7B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节能技改效益评估缺少基准期能耗记录</w:t>
            </w:r>
          </w:p>
        </w:tc>
        <w:tc>
          <w:tcPr>
            <w:tcW w:w="289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1DB5C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阻断评估，提示"必须录入技改前至少 12 个月的基准期负荷数据"</w:t>
            </w:r>
          </w:p>
        </w:tc>
      </w:tr>
    </w:tbl>
    <w:p w14:paraId="3C7A0E29">
      <w:pPr>
        <w:spacing w:after="60"/>
        <w:rPr>
          <w:rFonts w:hint="eastAsia" w:ascii="宋体" w:hAnsi="宋体" w:eastAsia="宋体" w:cs="宋体"/>
          <w:i w:val="0"/>
          <w:iCs w:val="0"/>
          <w:sz w:val="24"/>
          <w:szCs w:val="24"/>
        </w:rPr>
      </w:pPr>
    </w:p>
    <w:p w14:paraId="6F6E68CD">
      <w:pPr>
        <w:pStyle w:val="4"/>
        <w:numPr>
          <w:ilvl w:val="0"/>
          <w:numId w:val="236"/>
        </w:numPr>
        <w:topLinePunct w:val="0"/>
        <w:ind w:left="0" w:leftChars="0" w:firstLine="0" w:firstLineChars="0"/>
        <w:outlineLvl w:val="0"/>
        <w:rPr>
          <w:rFonts w:hint="eastAsia" w:eastAsia="黑体"/>
          <w:b w:val="0"/>
          <w:bCs w:val="0"/>
          <w:sz w:val="30"/>
          <w:szCs w:val="32"/>
        </w:rPr>
      </w:pPr>
      <w:bookmarkStart w:id="94" w:name="_Toc28882"/>
      <w:r>
        <w:rPr>
          <w:rFonts w:ascii="Times New Roman" w:hAnsi="Times New Roman" w:eastAsia="黑体" w:cs="Times New Roman"/>
          <w:b w:val="0"/>
          <w:bCs w:val="0"/>
          <w:sz w:val="30"/>
          <w:szCs w:val="32"/>
        </w:rPr>
        <w:t>决策治理责任矩阵</w:t>
      </w:r>
      <w:bookmarkEnd w:id="94"/>
    </w:p>
    <w:p w14:paraId="48C1917A">
      <w:pPr>
        <w:pStyle w:val="19"/>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color w:val="1F2937"/>
          <w:sz w:val="24"/>
          <w:szCs w:val="24"/>
        </w:rPr>
        <w:t>明确关键决策点单一 A（唯一最终责任人），杜绝职责推诿。R = 执行，A = 唯一最终责任人，C = 被咨询，I = 被告知。</w:t>
      </w:r>
    </w:p>
    <w:tbl>
      <w:tblPr>
        <w:tblStyle w:val="38"/>
        <w:tblW w:w="9780" w:type="dxa"/>
        <w:jc w:val="center"/>
        <w:tblLayout w:type="autofit"/>
        <w:tblCellMar>
          <w:top w:w="0" w:type="dxa"/>
          <w:left w:w="108" w:type="dxa"/>
          <w:bottom w:w="0" w:type="dxa"/>
          <w:right w:w="108" w:type="dxa"/>
        </w:tblCellMar>
      </w:tblPr>
      <w:tblGrid>
        <w:gridCol w:w="3896"/>
        <w:gridCol w:w="1141"/>
        <w:gridCol w:w="1419"/>
        <w:gridCol w:w="1141"/>
        <w:gridCol w:w="440"/>
        <w:gridCol w:w="581"/>
        <w:gridCol w:w="441"/>
        <w:gridCol w:w="721"/>
      </w:tblGrid>
      <w:tr w14:paraId="5E5D2976">
        <w:tblPrEx>
          <w:tblCellMar>
            <w:top w:w="0" w:type="dxa"/>
            <w:left w:w="108" w:type="dxa"/>
            <w:bottom w:w="0" w:type="dxa"/>
            <w:right w:w="108" w:type="dxa"/>
          </w:tblCellMar>
        </w:tblPrEx>
        <w:trPr>
          <w:tblHeade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4FDDE80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核心决策事项</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2CC702C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P1 集团</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81E160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P4 碳专员</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EFAF3E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P5 报关</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B616F4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PM</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7D1EFB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Dev</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2772EB7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QA</w:t>
            </w:r>
          </w:p>
        </w:tc>
        <w:tc>
          <w:tcPr>
            <w:tcW w:w="72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4087A9B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法务</w:t>
            </w:r>
          </w:p>
        </w:tc>
      </w:tr>
      <w:tr w14:paraId="2FAE18F5">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FEA72B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北极星指标与业务范围定义</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50A772D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0B56A85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4127519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50C5779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R</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29FA670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60FB50C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w:t>
            </w:r>
          </w:p>
        </w:tc>
        <w:tc>
          <w:tcPr>
            <w:tcW w:w="7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49FBA2D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w:t>
            </w:r>
          </w:p>
        </w:tc>
      </w:tr>
      <w:tr w14:paraId="46275679">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3D5BA5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LCA碳足迹报告正式对外签发</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10A5CE7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74D183D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6BCF034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11E8E26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R</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42168A0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70E1512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w:t>
            </w:r>
          </w:p>
        </w:tc>
        <w:tc>
          <w:tcPr>
            <w:tcW w:w="72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7652598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w:t>
            </w:r>
          </w:p>
        </w:tc>
      </w:tr>
      <w:tr w14:paraId="77156049">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C20CEC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欧盟CBAM申报数据包终审报送</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5D2687C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15306D4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79F71F6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2FCCD1B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R</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1AD8612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09BE367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w:t>
            </w:r>
          </w:p>
        </w:tc>
        <w:tc>
          <w:tcPr>
            <w:tcW w:w="7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4F2D635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w:t>
            </w:r>
          </w:p>
        </w:tc>
      </w:tr>
      <w:tr w14:paraId="26767E3B">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A85203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月度基层数据关账与反冲审批</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15ED4A7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4DC865F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2E1CF24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457564D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591F620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R</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773062D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w:t>
            </w:r>
          </w:p>
        </w:tc>
        <w:tc>
          <w:tcPr>
            <w:tcW w:w="72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12BE04C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w:t>
            </w:r>
          </w:p>
        </w:tc>
      </w:tr>
      <w:tr w14:paraId="2F2F2AB8">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D713EC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统一错误码与API契约变更</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3069334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451F313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7A96537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2C01753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384FFB6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R</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422D861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w:t>
            </w:r>
          </w:p>
        </w:tc>
        <w:tc>
          <w:tcPr>
            <w:tcW w:w="7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74BE415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w:t>
            </w:r>
          </w:p>
        </w:tc>
      </w:tr>
      <w:tr w14:paraId="06B23B32">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75BFA2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铁律修订</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777132C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25BD0DA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7DFC68A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58E0566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5969F26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735BE41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R</w:t>
            </w:r>
          </w:p>
        </w:tc>
        <w:tc>
          <w:tcPr>
            <w:tcW w:w="72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46144C4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w:t>
            </w:r>
          </w:p>
        </w:tc>
      </w:tr>
      <w:tr w14:paraId="014DF231">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CA31E2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权威工序白名单判定扩展</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537EEBA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4F13FA5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04D06F6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2719A9F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7483FB5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R</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7DB23B3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w:t>
            </w:r>
          </w:p>
        </w:tc>
        <w:tc>
          <w:tcPr>
            <w:tcW w:w="7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top"/>
          </w:tcPr>
          <w:p w14:paraId="1E89146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w:t>
            </w:r>
          </w:p>
        </w:tc>
      </w:tr>
      <w:tr w14:paraId="265306E9">
        <w:tblPrEx>
          <w:tblCellMar>
            <w:top w:w="0" w:type="dxa"/>
            <w:left w:w="108" w:type="dxa"/>
            <w:bottom w:w="0" w:type="dxa"/>
            <w:right w:w="108" w:type="dxa"/>
          </w:tblCellMar>
        </w:tblPrEx>
        <w:trPr>
          <w:jc w:val="center"/>
        </w:trPr>
        <w:tc>
          <w:tcPr>
            <w:tcW w:w="389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9DA2B9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模块八段式结构完整性评审</w:t>
            </w:r>
          </w:p>
        </w:tc>
        <w:tc>
          <w:tcPr>
            <w:tcW w:w="114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2458D5B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w:t>
            </w:r>
          </w:p>
        </w:tc>
        <w:tc>
          <w:tcPr>
            <w:tcW w:w="141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2EC17A9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w:t>
            </w:r>
          </w:p>
        </w:tc>
        <w:tc>
          <w:tcPr>
            <w:tcW w:w="114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74DD1F9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w:t>
            </w:r>
          </w:p>
        </w:tc>
        <w:tc>
          <w:tcPr>
            <w:tcW w:w="44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1483C34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R</w:t>
            </w:r>
          </w:p>
        </w:tc>
        <w:tc>
          <w:tcPr>
            <w:tcW w:w="58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591AF12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w:t>
            </w:r>
          </w:p>
        </w:tc>
        <w:tc>
          <w:tcPr>
            <w:tcW w:w="44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68E1126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w:t>
            </w:r>
          </w:p>
        </w:tc>
        <w:tc>
          <w:tcPr>
            <w:tcW w:w="72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top"/>
          </w:tcPr>
          <w:p w14:paraId="212CA2B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w:t>
            </w:r>
          </w:p>
        </w:tc>
      </w:tr>
    </w:tbl>
    <w:p w14:paraId="4100EACE">
      <w:pPr>
        <w:spacing w:after="60"/>
        <w:rPr>
          <w:rFonts w:hint="eastAsia" w:ascii="宋体" w:hAnsi="宋体" w:eastAsia="宋体" w:cs="宋体"/>
          <w:i w:val="0"/>
          <w:iCs w:val="0"/>
          <w:sz w:val="24"/>
          <w:szCs w:val="24"/>
        </w:rPr>
      </w:pPr>
    </w:p>
    <w:p w14:paraId="3A8CC811">
      <w:pPr>
        <w:rPr>
          <w:rFonts w:hint="eastAsia" w:ascii="宋体" w:hAnsi="宋体" w:eastAsia="宋体" w:cs="宋体"/>
          <w:i w:val="0"/>
          <w:iCs w:val="0"/>
          <w:sz w:val="24"/>
          <w:szCs w:val="24"/>
        </w:rPr>
      </w:pPr>
      <w:r>
        <w:rPr>
          <w:rFonts w:hint="eastAsia" w:ascii="宋体" w:hAnsi="宋体" w:eastAsia="宋体" w:cs="宋体"/>
          <w:i w:val="0"/>
          <w:iCs w:val="0"/>
          <w:sz w:val="24"/>
          <w:szCs w:val="24"/>
        </w:rPr>
        <w:br w:type="page"/>
      </w:r>
    </w:p>
    <w:p w14:paraId="29F67193">
      <w:pPr>
        <w:pStyle w:val="3"/>
        <w:numPr>
          <w:ilvl w:val="0"/>
          <w:numId w:val="7"/>
        </w:numPr>
        <w:ind w:left="0" w:leftChars="0" w:firstLine="0" w:firstLineChars="0"/>
        <w:rPr>
          <w:rFonts w:eastAsia="黑体"/>
          <w:b w:val="0"/>
          <w:bCs w:val="0"/>
          <w:sz w:val="32"/>
          <w:szCs w:val="44"/>
        </w:rPr>
      </w:pPr>
      <w:bookmarkStart w:id="95" w:name="_Toc3327"/>
      <w:r>
        <w:rPr>
          <w:rFonts w:ascii="Times New Roman" w:hAnsi="Times New Roman" w:eastAsia="黑体" w:cs="Times New Roman"/>
          <w:b w:val="0"/>
          <w:bCs w:val="0"/>
          <w:sz w:val="32"/>
          <w:szCs w:val="44"/>
        </w:rPr>
        <w:t>非功能需求与性能指标</w:t>
      </w:r>
      <w:bookmarkEnd w:id="95"/>
    </w:p>
    <w:p w14:paraId="5C2D59ED">
      <w:pPr>
        <w:pStyle w:val="19"/>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color w:val="1F2937"/>
          <w:sz w:val="24"/>
          <w:szCs w:val="24"/>
        </w:rPr>
        <w:t>本章定义平台级非功能需求基线。已回捞 PRD-07 分卷（产品碳足迹集采中心·LCA 模块）中已验证的指标作为基准；集控中心、大屏、报表等其余模块指标已于本次架构评审定稿，全部指标均具备可测量位置与测量方法。</w:t>
      </w:r>
    </w:p>
    <w:p w14:paraId="49E99F43">
      <w:pPr>
        <w:pStyle w:val="4"/>
        <w:numPr>
          <w:ilvl w:val="0"/>
          <w:numId w:val="239"/>
        </w:numPr>
        <w:topLinePunct w:val="0"/>
        <w:ind w:left="0" w:leftChars="0" w:firstLine="0" w:firstLineChars="0"/>
        <w:outlineLvl w:val="0"/>
        <w:rPr>
          <w:rFonts w:hint="eastAsia" w:eastAsia="黑体"/>
          <w:b w:val="0"/>
          <w:bCs w:val="0"/>
          <w:sz w:val="30"/>
          <w:szCs w:val="32"/>
        </w:rPr>
      </w:pPr>
      <w:bookmarkStart w:id="96" w:name="_Toc555"/>
      <w:r>
        <w:rPr>
          <w:rFonts w:ascii="Times New Roman" w:hAnsi="Times New Roman" w:eastAsia="黑体" w:cs="Times New Roman"/>
          <w:b w:val="0"/>
          <w:bCs w:val="0"/>
          <w:sz w:val="30"/>
          <w:szCs w:val="32"/>
        </w:rPr>
        <w:t>性能指标基线</w:t>
      </w:r>
      <w:bookmarkEnd w:id="96"/>
    </w:p>
    <w:tbl>
      <w:tblPr>
        <w:tblStyle w:val="38"/>
        <w:tblW w:w="9784" w:type="dxa"/>
        <w:jc w:val="center"/>
        <w:tblLayout w:type="autofit"/>
        <w:tblCellMar>
          <w:top w:w="0" w:type="dxa"/>
          <w:left w:w="108" w:type="dxa"/>
          <w:bottom w:w="0" w:type="dxa"/>
          <w:right w:w="108" w:type="dxa"/>
        </w:tblCellMar>
      </w:tblPr>
      <w:tblGrid>
        <w:gridCol w:w="3915"/>
        <w:gridCol w:w="2152"/>
        <w:gridCol w:w="3717"/>
      </w:tblGrid>
      <w:tr w14:paraId="7917B019">
        <w:tblPrEx>
          <w:tblCellMar>
            <w:top w:w="0" w:type="dxa"/>
            <w:left w:w="108" w:type="dxa"/>
            <w:bottom w:w="0" w:type="dxa"/>
            <w:right w:w="108" w:type="dxa"/>
          </w:tblCellMar>
        </w:tblPrEx>
        <w:trPr>
          <w:tblHeader/>
          <w:jc w:val="center"/>
        </w:trPr>
        <w:tc>
          <w:tcPr>
            <w:tcW w:w="391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A10284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指标</w:t>
            </w:r>
          </w:p>
        </w:tc>
        <w:tc>
          <w:tcPr>
            <w:tcW w:w="215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175FE3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阈值</w:t>
            </w:r>
          </w:p>
        </w:tc>
        <w:tc>
          <w:tcPr>
            <w:tcW w:w="371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A14098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测量位置</w:t>
            </w:r>
          </w:p>
        </w:tc>
      </w:tr>
      <w:tr w14:paraId="7F54AF6C">
        <w:tblPrEx>
          <w:tblCellMar>
            <w:top w:w="0" w:type="dxa"/>
            <w:left w:w="108" w:type="dxa"/>
            <w:bottom w:w="0" w:type="dxa"/>
            <w:right w:w="108" w:type="dxa"/>
          </w:tblCellMar>
        </w:tblPrEx>
        <w:trPr>
          <w:jc w:val="center"/>
        </w:trPr>
        <w:tc>
          <w:tcPr>
            <w:tcW w:w="391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E585E6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LCP（最大内容绘制）</w:t>
            </w:r>
          </w:p>
        </w:tc>
        <w:tc>
          <w:tcPr>
            <w:tcW w:w="215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0BCBF5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&lt; 1.8s</w:t>
            </w:r>
          </w:p>
        </w:tc>
        <w:tc>
          <w:tcPr>
            <w:tcW w:w="37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373D4B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路由进入</w:t>
            </w:r>
          </w:p>
        </w:tc>
      </w:tr>
      <w:tr w14:paraId="1A4BEED6">
        <w:tblPrEx>
          <w:tblCellMar>
            <w:top w:w="0" w:type="dxa"/>
            <w:left w:w="108" w:type="dxa"/>
            <w:bottom w:w="0" w:type="dxa"/>
            <w:right w:w="108" w:type="dxa"/>
          </w:tblCellMar>
        </w:tblPrEx>
        <w:trPr>
          <w:jc w:val="center"/>
        </w:trPr>
        <w:tc>
          <w:tcPr>
            <w:tcW w:w="391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929E97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INP（交互响应延迟）</w:t>
            </w:r>
          </w:p>
        </w:tc>
        <w:tc>
          <w:tcPr>
            <w:tcW w:w="215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DB58E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&lt; 100ms</w:t>
            </w:r>
          </w:p>
        </w:tc>
        <w:tc>
          <w:tcPr>
            <w:tcW w:w="37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966C17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模块切换、因子点击</w:t>
            </w:r>
          </w:p>
        </w:tc>
      </w:tr>
      <w:tr w14:paraId="5C0851D6">
        <w:tblPrEx>
          <w:tblCellMar>
            <w:top w:w="0" w:type="dxa"/>
            <w:left w:w="108" w:type="dxa"/>
            <w:bottom w:w="0" w:type="dxa"/>
            <w:right w:w="108" w:type="dxa"/>
          </w:tblCellMar>
        </w:tblPrEx>
        <w:trPr>
          <w:jc w:val="center"/>
        </w:trPr>
        <w:tc>
          <w:tcPr>
            <w:tcW w:w="391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0B4D61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CLS（累计布局偏移）</w:t>
            </w:r>
          </w:p>
        </w:tc>
        <w:tc>
          <w:tcPr>
            <w:tcW w:w="215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BF4DF2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&lt; 0.05</w:t>
            </w:r>
          </w:p>
        </w:tc>
        <w:tc>
          <w:tcPr>
            <w:tcW w:w="37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FA6154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列表 / 表格加载</w:t>
            </w:r>
          </w:p>
        </w:tc>
      </w:tr>
      <w:tr w14:paraId="599B6C23">
        <w:tblPrEx>
          <w:tblCellMar>
            <w:top w:w="0" w:type="dxa"/>
            <w:left w:w="108" w:type="dxa"/>
            <w:bottom w:w="0" w:type="dxa"/>
            <w:right w:w="108" w:type="dxa"/>
          </w:tblCellMar>
        </w:tblPrEx>
        <w:trPr>
          <w:jc w:val="center"/>
        </w:trPr>
        <w:tc>
          <w:tcPr>
            <w:tcW w:w="391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2A2F8E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LCA 单 SKU 计算</w:t>
            </w:r>
          </w:p>
        </w:tc>
        <w:tc>
          <w:tcPr>
            <w:tcW w:w="215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353789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&lt; 5s</w:t>
            </w:r>
          </w:p>
        </w:tc>
        <w:tc>
          <w:tcPr>
            <w:tcW w:w="37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258459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 阶段滚算</w:t>
            </w:r>
          </w:p>
        </w:tc>
      </w:tr>
      <w:tr w14:paraId="33B4DEF7">
        <w:tblPrEx>
          <w:tblCellMar>
            <w:top w:w="0" w:type="dxa"/>
            <w:left w:w="108" w:type="dxa"/>
            <w:bottom w:w="0" w:type="dxa"/>
            <w:right w:w="108" w:type="dxa"/>
          </w:tblCellMar>
        </w:tblPrEx>
        <w:trPr>
          <w:jc w:val="center"/>
        </w:trPr>
        <w:tc>
          <w:tcPr>
            <w:tcW w:w="391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69B94C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中英双语报告生成</w:t>
            </w:r>
          </w:p>
        </w:tc>
        <w:tc>
          <w:tcPr>
            <w:tcW w:w="215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BAB5A0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&lt; 15s</w:t>
            </w:r>
          </w:p>
        </w:tc>
        <w:tc>
          <w:tcPr>
            <w:tcW w:w="37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C8571E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PDF 导出</w:t>
            </w:r>
          </w:p>
        </w:tc>
      </w:tr>
      <w:tr w14:paraId="2A49B147">
        <w:tblPrEx>
          <w:tblCellMar>
            <w:top w:w="0" w:type="dxa"/>
            <w:left w:w="108" w:type="dxa"/>
            <w:bottom w:w="0" w:type="dxa"/>
            <w:right w:w="108" w:type="dxa"/>
          </w:tblCellMar>
        </w:tblPrEx>
        <w:trPr>
          <w:jc w:val="center"/>
        </w:trPr>
        <w:tc>
          <w:tcPr>
            <w:tcW w:w="391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2B6D8D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CBAM 实时测算</w:t>
            </w:r>
          </w:p>
        </w:tc>
        <w:tc>
          <w:tcPr>
            <w:tcW w:w="215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3F0D37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&lt; 3s</w:t>
            </w:r>
          </w:p>
        </w:tc>
        <w:tc>
          <w:tcPr>
            <w:tcW w:w="37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66746C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ETS 价格刷新</w:t>
            </w:r>
          </w:p>
        </w:tc>
      </w:tr>
      <w:tr w14:paraId="1F27407F">
        <w:tblPrEx>
          <w:tblCellMar>
            <w:top w:w="0" w:type="dxa"/>
            <w:left w:w="108" w:type="dxa"/>
            <w:bottom w:w="0" w:type="dxa"/>
            <w:right w:w="108" w:type="dxa"/>
          </w:tblCellMar>
        </w:tblPrEx>
        <w:trPr>
          <w:jc w:val="center"/>
        </w:trPr>
        <w:tc>
          <w:tcPr>
            <w:tcW w:w="391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928887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大屏首屏加载</w:t>
            </w:r>
          </w:p>
        </w:tc>
        <w:tc>
          <w:tcPr>
            <w:tcW w:w="215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71F73E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&lt; 3.0s</w:t>
            </w:r>
          </w:p>
        </w:tc>
        <w:tc>
          <w:tcPr>
            <w:tcW w:w="37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708A59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46:9 环幕进入（含 3D 浮雕地图与航标粒子渲染完成）</w:t>
            </w:r>
          </w:p>
        </w:tc>
      </w:tr>
      <w:tr w14:paraId="2FC542D2">
        <w:tblPrEx>
          <w:tblCellMar>
            <w:top w:w="0" w:type="dxa"/>
            <w:left w:w="108" w:type="dxa"/>
            <w:bottom w:w="0" w:type="dxa"/>
            <w:right w:w="108" w:type="dxa"/>
          </w:tblCellMar>
        </w:tblPrEx>
        <w:trPr>
          <w:jc w:val="center"/>
        </w:trPr>
        <w:tc>
          <w:tcPr>
            <w:tcW w:w="391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368BE0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图表查询 P95 响应</w:t>
            </w:r>
          </w:p>
        </w:tc>
        <w:tc>
          <w:tcPr>
            <w:tcW w:w="215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F9784B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&lt; 800ms</w:t>
            </w:r>
          </w:p>
        </w:tc>
        <w:tc>
          <w:tcPr>
            <w:tcW w:w="37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D98ED5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跨月单指标趋势查询</w:t>
            </w:r>
          </w:p>
        </w:tc>
      </w:tr>
      <w:tr w14:paraId="7613FD72">
        <w:tblPrEx>
          <w:tblCellMar>
            <w:top w:w="0" w:type="dxa"/>
            <w:left w:w="108" w:type="dxa"/>
            <w:bottom w:w="0" w:type="dxa"/>
            <w:right w:w="108" w:type="dxa"/>
          </w:tblCellMar>
        </w:tblPrEx>
        <w:trPr>
          <w:jc w:val="center"/>
        </w:trPr>
        <w:tc>
          <w:tcPr>
            <w:tcW w:w="391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065CA5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全集团月度用能报表生成</w:t>
            </w:r>
          </w:p>
        </w:tc>
        <w:tc>
          <w:tcPr>
            <w:tcW w:w="215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BA0D7D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&lt; 2.0s</w:t>
            </w:r>
          </w:p>
        </w:tc>
        <w:tc>
          <w:tcPr>
            <w:tcW w:w="37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DB7546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全集团 21 家工厂月度用能报表</w:t>
            </w:r>
          </w:p>
        </w:tc>
      </w:tr>
      <w:tr w14:paraId="29B1BADB">
        <w:tblPrEx>
          <w:tblCellMar>
            <w:top w:w="0" w:type="dxa"/>
            <w:left w:w="108" w:type="dxa"/>
            <w:bottom w:w="0" w:type="dxa"/>
            <w:right w:w="108" w:type="dxa"/>
          </w:tblCellMar>
        </w:tblPrEx>
        <w:trPr>
          <w:jc w:val="center"/>
        </w:trPr>
        <w:tc>
          <w:tcPr>
            <w:tcW w:w="391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C81F0C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三维场景运行帧率（FPS）</w:t>
            </w:r>
          </w:p>
        </w:tc>
        <w:tc>
          <w:tcPr>
            <w:tcW w:w="215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CFD549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45 FPS</w:t>
            </w:r>
          </w:p>
        </w:tc>
        <w:tc>
          <w:tcPr>
            <w:tcW w:w="37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0423C4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46:9 环幕与三维场景持续运行</w:t>
            </w:r>
          </w:p>
        </w:tc>
      </w:tr>
      <w:tr w14:paraId="412740C7">
        <w:tblPrEx>
          <w:tblCellMar>
            <w:top w:w="0" w:type="dxa"/>
            <w:left w:w="108" w:type="dxa"/>
            <w:bottom w:w="0" w:type="dxa"/>
            <w:right w:w="108" w:type="dxa"/>
          </w:tblCellMar>
        </w:tblPrEx>
        <w:trPr>
          <w:jc w:val="center"/>
        </w:trPr>
        <w:tc>
          <w:tcPr>
            <w:tcW w:w="391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D536DB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 万行级多维明细台账异步导出</w:t>
            </w:r>
          </w:p>
        </w:tc>
        <w:tc>
          <w:tcPr>
            <w:tcW w:w="215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0F6964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&lt; 30s</w:t>
            </w:r>
          </w:p>
        </w:tc>
        <w:tc>
          <w:tcPr>
            <w:tcW w:w="37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20260E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后台下载中心推流下载</w:t>
            </w:r>
          </w:p>
        </w:tc>
      </w:tr>
    </w:tbl>
    <w:p w14:paraId="12C6BF21">
      <w:pPr>
        <w:pStyle w:val="4"/>
        <w:numPr>
          <w:ilvl w:val="0"/>
          <w:numId w:val="239"/>
        </w:numPr>
        <w:topLinePunct w:val="0"/>
        <w:ind w:left="0" w:leftChars="0" w:firstLine="0" w:firstLineChars="0"/>
        <w:outlineLvl w:val="0"/>
        <w:rPr>
          <w:rFonts w:hint="eastAsia" w:eastAsia="黑体"/>
          <w:b w:val="0"/>
          <w:bCs w:val="0"/>
          <w:sz w:val="30"/>
          <w:szCs w:val="32"/>
        </w:rPr>
      </w:pPr>
      <w:bookmarkStart w:id="97" w:name="_Toc3514"/>
      <w:r>
        <w:rPr>
          <w:rFonts w:ascii="Times New Roman" w:hAnsi="Times New Roman" w:eastAsia="黑体" w:cs="Times New Roman"/>
          <w:b w:val="0"/>
          <w:bCs w:val="0"/>
          <w:sz w:val="30"/>
          <w:szCs w:val="32"/>
        </w:rPr>
        <w:t>可靠性与可观测性基线</w:t>
      </w:r>
      <w:bookmarkEnd w:id="97"/>
    </w:p>
    <w:tbl>
      <w:tblPr>
        <w:tblStyle w:val="38"/>
        <w:tblW w:w="9784" w:type="dxa"/>
        <w:jc w:val="center"/>
        <w:tblLayout w:type="autofit"/>
        <w:tblCellMar>
          <w:top w:w="0" w:type="dxa"/>
          <w:left w:w="108" w:type="dxa"/>
          <w:bottom w:w="0" w:type="dxa"/>
          <w:right w:w="108" w:type="dxa"/>
        </w:tblCellMar>
      </w:tblPr>
      <w:tblGrid>
        <w:gridCol w:w="2045"/>
        <w:gridCol w:w="7739"/>
      </w:tblGrid>
      <w:tr w14:paraId="7CB8D4CE">
        <w:tblPrEx>
          <w:tblCellMar>
            <w:top w:w="0" w:type="dxa"/>
            <w:left w:w="108" w:type="dxa"/>
            <w:bottom w:w="0" w:type="dxa"/>
            <w:right w:w="108" w:type="dxa"/>
          </w:tblCellMar>
        </w:tblPrEx>
        <w:trPr>
          <w:tblHeader/>
          <w:jc w:val="center"/>
        </w:trPr>
        <w:tc>
          <w:tcPr>
            <w:tcW w:w="204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4AB14D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项</w:t>
            </w:r>
          </w:p>
        </w:tc>
        <w:tc>
          <w:tcPr>
            <w:tcW w:w="773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31D698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阈值</w:t>
            </w:r>
          </w:p>
        </w:tc>
      </w:tr>
      <w:tr w14:paraId="74B65E9C">
        <w:tblPrEx>
          <w:tblCellMar>
            <w:top w:w="0" w:type="dxa"/>
            <w:left w:w="108" w:type="dxa"/>
            <w:bottom w:w="0" w:type="dxa"/>
            <w:right w:w="108" w:type="dxa"/>
          </w:tblCellMar>
        </w:tblPrEx>
        <w:trPr>
          <w:jc w:val="center"/>
        </w:trPr>
        <w:tc>
          <w:tcPr>
            <w:tcW w:w="20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DDC14C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模块可用性 SLO</w:t>
            </w:r>
          </w:p>
        </w:tc>
        <w:tc>
          <w:tcPr>
            <w:tcW w:w="77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6EB83D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99.9%（年宕机 ≤ 8.76h）</w:t>
            </w:r>
          </w:p>
        </w:tc>
      </w:tr>
      <w:tr w14:paraId="45CF3F57">
        <w:tblPrEx>
          <w:tblCellMar>
            <w:top w:w="0" w:type="dxa"/>
            <w:left w:w="108" w:type="dxa"/>
            <w:bottom w:w="0" w:type="dxa"/>
            <w:right w:w="108" w:type="dxa"/>
          </w:tblCellMar>
        </w:tblPrEx>
        <w:trPr>
          <w:jc w:val="center"/>
        </w:trPr>
        <w:tc>
          <w:tcPr>
            <w:tcW w:w="204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13E88A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P99 计算响应</w:t>
            </w:r>
          </w:p>
        </w:tc>
        <w:tc>
          <w:tcPr>
            <w:tcW w:w="77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529BA0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&lt; 5s</w:t>
            </w:r>
          </w:p>
        </w:tc>
      </w:tr>
      <w:tr w14:paraId="1A166427">
        <w:tblPrEx>
          <w:tblCellMar>
            <w:top w:w="0" w:type="dxa"/>
            <w:left w:w="108" w:type="dxa"/>
            <w:bottom w:w="0" w:type="dxa"/>
            <w:right w:w="108" w:type="dxa"/>
          </w:tblCellMar>
        </w:tblPrEx>
        <w:trPr>
          <w:jc w:val="center"/>
        </w:trPr>
        <w:tc>
          <w:tcPr>
            <w:tcW w:w="20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8316BB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外部接口失败熔断</w:t>
            </w:r>
          </w:p>
        </w:tc>
        <w:tc>
          <w:tcPr>
            <w:tcW w:w="77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78039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 次 / 分钟</w:t>
            </w:r>
          </w:p>
        </w:tc>
      </w:tr>
      <w:tr w14:paraId="2284914F">
        <w:tblPrEx>
          <w:tblCellMar>
            <w:top w:w="0" w:type="dxa"/>
            <w:left w:w="108" w:type="dxa"/>
            <w:bottom w:w="0" w:type="dxa"/>
            <w:right w:w="108" w:type="dxa"/>
          </w:tblCellMar>
        </w:tblPrEx>
        <w:trPr>
          <w:jc w:val="center"/>
        </w:trPr>
        <w:tc>
          <w:tcPr>
            <w:tcW w:w="204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5EF3C1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因子库命中率</w:t>
            </w:r>
          </w:p>
        </w:tc>
        <w:tc>
          <w:tcPr>
            <w:tcW w:w="77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67F75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95%</w:t>
            </w:r>
          </w:p>
        </w:tc>
      </w:tr>
      <w:tr w14:paraId="0AC4D112">
        <w:tblPrEx>
          <w:tblCellMar>
            <w:top w:w="0" w:type="dxa"/>
            <w:left w:w="108" w:type="dxa"/>
            <w:bottom w:w="0" w:type="dxa"/>
            <w:right w:w="108" w:type="dxa"/>
          </w:tblCellMar>
        </w:tblPrEx>
        <w:trPr>
          <w:jc w:val="center"/>
        </w:trPr>
        <w:tc>
          <w:tcPr>
            <w:tcW w:w="20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A98EE2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审计日志零丢失</w:t>
            </w:r>
          </w:p>
        </w:tc>
        <w:tc>
          <w:tcPr>
            <w:tcW w:w="773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3098AB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100%</w:t>
            </w:r>
          </w:p>
        </w:tc>
      </w:tr>
      <w:tr w14:paraId="63154687">
        <w:tblPrEx>
          <w:tblCellMar>
            <w:top w:w="0" w:type="dxa"/>
            <w:left w:w="108" w:type="dxa"/>
            <w:bottom w:w="0" w:type="dxa"/>
            <w:right w:w="108" w:type="dxa"/>
          </w:tblCellMar>
        </w:tblPrEx>
        <w:trPr>
          <w:jc w:val="center"/>
        </w:trPr>
        <w:tc>
          <w:tcPr>
            <w:tcW w:w="204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81ACA0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可观测性埋点</w:t>
            </w:r>
          </w:p>
        </w:tc>
        <w:tc>
          <w:tcPr>
            <w:tcW w:w="77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CA8CBB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OpenTelemetry Span：lca.compute.total / lca.compute.stage.* / lca.audit.hash / lca.cbam.compute</w:t>
            </w:r>
          </w:p>
        </w:tc>
      </w:tr>
      <w:tr w14:paraId="1B1CBA25">
        <w:tblPrEx>
          <w:tblCellMar>
            <w:top w:w="0" w:type="dxa"/>
            <w:left w:w="108" w:type="dxa"/>
            <w:bottom w:w="0" w:type="dxa"/>
            <w:right w:w="108" w:type="dxa"/>
          </w:tblCellMar>
        </w:tblPrEx>
        <w:trPr>
          <w:jc w:val="center"/>
        </w:trPr>
        <w:tc>
          <w:tcPr>
            <w:tcW w:w="204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465F4F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大屏连续运行稳定性</w:t>
            </w:r>
          </w:p>
        </w:tc>
        <w:tc>
          <w:tcPr>
            <w:tcW w:w="773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159D7E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7×24 小时连续运行，30 天内首屏加载时长与帧率无衰减</w:t>
            </w:r>
          </w:p>
        </w:tc>
      </w:tr>
    </w:tbl>
    <w:p w14:paraId="542D136C">
      <w:pPr>
        <w:spacing w:after="60"/>
        <w:rPr>
          <w:rFonts w:hint="eastAsia" w:ascii="宋体" w:hAnsi="宋体" w:eastAsia="宋体" w:cs="宋体"/>
          <w:i w:val="0"/>
          <w:iCs w:val="0"/>
          <w:sz w:val="24"/>
          <w:szCs w:val="24"/>
        </w:rPr>
      </w:pPr>
    </w:p>
    <w:p w14:paraId="574BA7D6">
      <w:pPr>
        <w:rPr>
          <w:rFonts w:hint="eastAsia" w:ascii="宋体" w:hAnsi="宋体" w:eastAsia="宋体" w:cs="宋体"/>
          <w:i w:val="0"/>
          <w:iCs w:val="0"/>
          <w:sz w:val="24"/>
          <w:szCs w:val="24"/>
        </w:rPr>
      </w:pPr>
      <w:r>
        <w:rPr>
          <w:rFonts w:hint="eastAsia" w:ascii="宋体" w:hAnsi="宋体" w:eastAsia="宋体" w:cs="宋体"/>
          <w:i w:val="0"/>
          <w:iCs w:val="0"/>
          <w:sz w:val="24"/>
          <w:szCs w:val="24"/>
        </w:rPr>
        <w:br w:type="page"/>
      </w:r>
    </w:p>
    <w:p w14:paraId="7F9EA9C2">
      <w:pPr>
        <w:pStyle w:val="3"/>
        <w:numPr>
          <w:ilvl w:val="0"/>
          <w:numId w:val="7"/>
        </w:numPr>
        <w:ind w:left="0" w:leftChars="0" w:firstLine="0" w:firstLineChars="0"/>
        <w:rPr>
          <w:rFonts w:eastAsia="黑体"/>
          <w:b w:val="0"/>
          <w:bCs w:val="0"/>
          <w:sz w:val="32"/>
          <w:szCs w:val="44"/>
        </w:rPr>
      </w:pPr>
      <w:bookmarkStart w:id="98" w:name="_Toc4420"/>
      <w:r>
        <w:rPr>
          <w:rFonts w:ascii="Times New Roman" w:hAnsi="Times New Roman" w:eastAsia="黑体" w:cs="Times New Roman"/>
          <w:b w:val="0"/>
          <w:bCs w:val="0"/>
          <w:sz w:val="32"/>
          <w:szCs w:val="44"/>
        </w:rPr>
        <w:t>技术架构与系统选型</w:t>
      </w:r>
      <w:bookmarkEnd w:id="98"/>
    </w:p>
    <w:p w14:paraId="67085398">
      <w:pPr>
        <w:pStyle w:val="19"/>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color w:val="1F2937"/>
          <w:sz w:val="24"/>
          <w:szCs w:val="24"/>
        </w:rPr>
        <w:t>平台正式生产架构已通过架构评审裁决（见本节 ADR 与「技术决策裁决记录与残留待确认项」表）。下表为原型实现基线（《系统开发技术文档》TECHNICAL_DOCUMENTATION.md v1.01）与关键架构决策（ADR）。</w:t>
      </w:r>
    </w:p>
    <w:p w14:paraId="5DEC781D">
      <w:pPr>
        <w:pStyle w:val="4"/>
        <w:numPr>
          <w:ilvl w:val="0"/>
          <w:numId w:val="240"/>
        </w:numPr>
        <w:topLinePunct w:val="0"/>
        <w:ind w:left="0" w:leftChars="0" w:firstLine="0" w:firstLineChars="0"/>
        <w:outlineLvl w:val="0"/>
        <w:rPr>
          <w:rFonts w:hint="eastAsia" w:eastAsia="黑体"/>
          <w:b w:val="0"/>
          <w:bCs w:val="0"/>
          <w:sz w:val="30"/>
          <w:szCs w:val="32"/>
        </w:rPr>
      </w:pPr>
      <w:bookmarkStart w:id="99" w:name="_Toc7602"/>
      <w:r>
        <w:rPr>
          <w:rFonts w:ascii="Times New Roman" w:hAnsi="Times New Roman" w:eastAsia="黑体" w:cs="Times New Roman"/>
          <w:b w:val="0"/>
          <w:bCs w:val="0"/>
          <w:sz w:val="30"/>
          <w:szCs w:val="32"/>
        </w:rPr>
        <w:t>原型实现技术栈</w:t>
      </w:r>
      <w:bookmarkEnd w:id="99"/>
    </w:p>
    <w:tbl>
      <w:tblPr>
        <w:tblStyle w:val="38"/>
        <w:tblW w:w="9784" w:type="dxa"/>
        <w:jc w:val="center"/>
        <w:tblLayout w:type="autofit"/>
        <w:tblCellMar>
          <w:top w:w="0" w:type="dxa"/>
          <w:left w:w="108" w:type="dxa"/>
          <w:bottom w:w="0" w:type="dxa"/>
          <w:right w:w="108" w:type="dxa"/>
        </w:tblCellMar>
      </w:tblPr>
      <w:tblGrid>
        <w:gridCol w:w="2311"/>
        <w:gridCol w:w="4804"/>
        <w:gridCol w:w="2669"/>
      </w:tblGrid>
      <w:tr w14:paraId="75D9DD51">
        <w:tblPrEx>
          <w:tblCellMar>
            <w:top w:w="0" w:type="dxa"/>
            <w:left w:w="108" w:type="dxa"/>
            <w:bottom w:w="0" w:type="dxa"/>
            <w:right w:w="108" w:type="dxa"/>
          </w:tblCellMar>
        </w:tblPrEx>
        <w:trPr>
          <w:tblHeader/>
          <w:jc w:val="center"/>
        </w:trPr>
        <w:tc>
          <w:tcPr>
            <w:tcW w:w="231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6E14F01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分层维度</w:t>
            </w:r>
          </w:p>
        </w:tc>
        <w:tc>
          <w:tcPr>
            <w:tcW w:w="480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0008530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技术选型</w:t>
            </w:r>
          </w:p>
        </w:tc>
        <w:tc>
          <w:tcPr>
            <w:tcW w:w="266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A5FA4A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版本</w:t>
            </w:r>
          </w:p>
        </w:tc>
      </w:tr>
      <w:tr w14:paraId="48F3D9EE">
        <w:tblPrEx>
          <w:tblCellMar>
            <w:top w:w="0" w:type="dxa"/>
            <w:left w:w="108" w:type="dxa"/>
            <w:bottom w:w="0" w:type="dxa"/>
            <w:right w:w="108" w:type="dxa"/>
          </w:tblCellMar>
        </w:tblPrEx>
        <w:trPr>
          <w:jc w:val="center"/>
        </w:trPr>
        <w:tc>
          <w:tcPr>
            <w:tcW w:w="231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46B01E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基础框架</w:t>
            </w:r>
          </w:p>
        </w:tc>
        <w:tc>
          <w:tcPr>
            <w:tcW w:w="480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1F6B9C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Next.js（App Router）</w:t>
            </w:r>
          </w:p>
        </w:tc>
        <w:tc>
          <w:tcPr>
            <w:tcW w:w="266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621E5E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16.3.0</w:t>
            </w:r>
          </w:p>
        </w:tc>
      </w:tr>
      <w:tr w14:paraId="0D444878">
        <w:tblPrEx>
          <w:tblCellMar>
            <w:top w:w="0" w:type="dxa"/>
            <w:left w:w="108" w:type="dxa"/>
            <w:bottom w:w="0" w:type="dxa"/>
            <w:right w:w="108" w:type="dxa"/>
          </w:tblCellMar>
        </w:tblPrEx>
        <w:trPr>
          <w:jc w:val="center"/>
        </w:trPr>
        <w:tc>
          <w:tcPr>
            <w:tcW w:w="231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7F4229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视图引擎</w:t>
            </w:r>
          </w:p>
        </w:tc>
        <w:tc>
          <w:tcPr>
            <w:tcW w:w="480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660087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React</w:t>
            </w:r>
          </w:p>
        </w:tc>
        <w:tc>
          <w:tcPr>
            <w:tcW w:w="26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3593F4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19.0.0</w:t>
            </w:r>
          </w:p>
        </w:tc>
      </w:tr>
      <w:tr w14:paraId="656F4ADD">
        <w:tblPrEx>
          <w:tblCellMar>
            <w:top w:w="0" w:type="dxa"/>
            <w:left w:w="108" w:type="dxa"/>
            <w:bottom w:w="0" w:type="dxa"/>
            <w:right w:w="108" w:type="dxa"/>
          </w:tblCellMar>
        </w:tblPrEx>
        <w:trPr>
          <w:jc w:val="center"/>
        </w:trPr>
        <w:tc>
          <w:tcPr>
            <w:tcW w:w="231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01984A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开发语言</w:t>
            </w:r>
          </w:p>
        </w:tc>
        <w:tc>
          <w:tcPr>
            <w:tcW w:w="480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8E6D14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TypeScript（strict）</w:t>
            </w:r>
          </w:p>
        </w:tc>
        <w:tc>
          <w:tcPr>
            <w:tcW w:w="266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DAB5EB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5.x</w:t>
            </w:r>
          </w:p>
        </w:tc>
      </w:tr>
      <w:tr w14:paraId="6FBDA88F">
        <w:tblPrEx>
          <w:tblCellMar>
            <w:top w:w="0" w:type="dxa"/>
            <w:left w:w="108" w:type="dxa"/>
            <w:bottom w:w="0" w:type="dxa"/>
            <w:right w:w="108" w:type="dxa"/>
          </w:tblCellMar>
        </w:tblPrEx>
        <w:trPr>
          <w:jc w:val="center"/>
        </w:trPr>
        <w:tc>
          <w:tcPr>
            <w:tcW w:w="231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80CB37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样式体系</w:t>
            </w:r>
          </w:p>
        </w:tc>
        <w:tc>
          <w:tcPr>
            <w:tcW w:w="480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BD711D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Tailwind CSS + PostCSS</w:t>
            </w:r>
          </w:p>
        </w:tc>
        <w:tc>
          <w:tcPr>
            <w:tcW w:w="26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C842BA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4.0.0</w:t>
            </w:r>
          </w:p>
        </w:tc>
      </w:tr>
      <w:tr w14:paraId="2C3CF117">
        <w:tblPrEx>
          <w:tblCellMar>
            <w:top w:w="0" w:type="dxa"/>
            <w:left w:w="108" w:type="dxa"/>
            <w:bottom w:w="0" w:type="dxa"/>
            <w:right w:w="108" w:type="dxa"/>
          </w:tblCellMar>
        </w:tblPrEx>
        <w:trPr>
          <w:jc w:val="center"/>
        </w:trPr>
        <w:tc>
          <w:tcPr>
            <w:tcW w:w="231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3B92D6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图标库</w:t>
            </w:r>
          </w:p>
        </w:tc>
        <w:tc>
          <w:tcPr>
            <w:tcW w:w="480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E154FF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Lucide React</w:t>
            </w:r>
          </w:p>
        </w:tc>
        <w:tc>
          <w:tcPr>
            <w:tcW w:w="266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AC3734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1.16.0</w:t>
            </w:r>
          </w:p>
        </w:tc>
      </w:tr>
      <w:tr w14:paraId="67A77374">
        <w:tblPrEx>
          <w:tblCellMar>
            <w:top w:w="0" w:type="dxa"/>
            <w:left w:w="108" w:type="dxa"/>
            <w:bottom w:w="0" w:type="dxa"/>
            <w:right w:w="108" w:type="dxa"/>
          </w:tblCellMar>
        </w:tblPrEx>
        <w:trPr>
          <w:jc w:val="center"/>
        </w:trPr>
        <w:tc>
          <w:tcPr>
            <w:tcW w:w="231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341108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数据可视化</w:t>
            </w:r>
          </w:p>
        </w:tc>
        <w:tc>
          <w:tcPr>
            <w:tcW w:w="480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7246C4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ECharts / Recharts</w:t>
            </w:r>
          </w:p>
        </w:tc>
        <w:tc>
          <w:tcPr>
            <w:tcW w:w="26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7F8DF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6.1.0 / 3.10.1</w:t>
            </w:r>
          </w:p>
        </w:tc>
      </w:tr>
      <w:tr w14:paraId="7DF32087">
        <w:tblPrEx>
          <w:tblCellMar>
            <w:top w:w="0" w:type="dxa"/>
            <w:left w:w="108" w:type="dxa"/>
            <w:bottom w:w="0" w:type="dxa"/>
            <w:right w:w="108" w:type="dxa"/>
          </w:tblCellMar>
        </w:tblPrEx>
        <w:trPr>
          <w:jc w:val="center"/>
        </w:trPr>
        <w:tc>
          <w:tcPr>
            <w:tcW w:w="231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9BC3EE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空间地理渲染</w:t>
            </w:r>
          </w:p>
        </w:tc>
        <w:tc>
          <w:tcPr>
            <w:tcW w:w="480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35D134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React Simple Maps + D3 Geo</w:t>
            </w:r>
          </w:p>
        </w:tc>
        <w:tc>
          <w:tcPr>
            <w:tcW w:w="266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CD06D0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3.0.0 / 3.1.1</w:t>
            </w:r>
          </w:p>
        </w:tc>
      </w:tr>
      <w:tr w14:paraId="6736DC50">
        <w:tblPrEx>
          <w:tblCellMar>
            <w:top w:w="0" w:type="dxa"/>
            <w:left w:w="108" w:type="dxa"/>
            <w:bottom w:w="0" w:type="dxa"/>
            <w:right w:w="108" w:type="dxa"/>
          </w:tblCellMar>
        </w:tblPrEx>
        <w:trPr>
          <w:jc w:val="center"/>
        </w:trPr>
        <w:tc>
          <w:tcPr>
            <w:tcW w:w="231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B1E55C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3D 数字孪生</w:t>
            </w:r>
          </w:p>
        </w:tc>
        <w:tc>
          <w:tcPr>
            <w:tcW w:w="480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F0BE31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Three.js</w:t>
            </w:r>
          </w:p>
        </w:tc>
        <w:tc>
          <w:tcPr>
            <w:tcW w:w="26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171461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180（r180）</w:t>
            </w:r>
          </w:p>
        </w:tc>
      </w:tr>
      <w:tr w14:paraId="7F81B747">
        <w:tblPrEx>
          <w:tblCellMar>
            <w:top w:w="0" w:type="dxa"/>
            <w:left w:w="108" w:type="dxa"/>
            <w:bottom w:w="0" w:type="dxa"/>
            <w:right w:w="108" w:type="dxa"/>
          </w:tblCellMar>
        </w:tblPrEx>
        <w:trPr>
          <w:jc w:val="center"/>
        </w:trPr>
        <w:tc>
          <w:tcPr>
            <w:tcW w:w="231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C559A5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时序数据库</w:t>
            </w:r>
          </w:p>
        </w:tc>
        <w:tc>
          <w:tcPr>
            <w:tcW w:w="480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226FAC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TDengine（边缘侧 SQLite 本地缓存）</w:t>
            </w:r>
          </w:p>
        </w:tc>
        <w:tc>
          <w:tcPr>
            <w:tcW w:w="266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13880F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3.x</w:t>
            </w:r>
          </w:p>
        </w:tc>
      </w:tr>
    </w:tbl>
    <w:p w14:paraId="2AFAAF6E">
      <w:pPr>
        <w:spacing w:after="60"/>
        <w:rPr>
          <w:rFonts w:hint="eastAsia" w:ascii="宋体" w:hAnsi="宋体" w:eastAsia="宋体" w:cs="宋体"/>
          <w:i w:val="0"/>
          <w:iCs w:val="0"/>
          <w:sz w:val="24"/>
          <w:szCs w:val="24"/>
        </w:rPr>
      </w:pPr>
    </w:p>
    <w:p w14:paraId="086F35C0">
      <w:pPr>
        <w:pStyle w:val="4"/>
        <w:numPr>
          <w:ilvl w:val="0"/>
          <w:numId w:val="240"/>
        </w:numPr>
        <w:topLinePunct w:val="0"/>
        <w:ind w:left="0" w:leftChars="0" w:firstLine="0" w:firstLineChars="0"/>
        <w:outlineLvl w:val="0"/>
        <w:rPr>
          <w:rFonts w:hint="eastAsia" w:eastAsia="黑体"/>
          <w:b w:val="0"/>
          <w:bCs w:val="0"/>
          <w:sz w:val="30"/>
          <w:szCs w:val="32"/>
        </w:rPr>
      </w:pPr>
      <w:bookmarkStart w:id="100" w:name="_Toc22068"/>
      <w:r>
        <w:rPr>
          <w:rFonts w:ascii="Times New Roman" w:hAnsi="Times New Roman" w:eastAsia="黑体" w:cs="Times New Roman"/>
          <w:b w:val="0"/>
          <w:bCs w:val="0"/>
          <w:sz w:val="30"/>
          <w:szCs w:val="32"/>
        </w:rPr>
        <w:t>关键架构决策（ADR）</w:t>
      </w:r>
      <w:bookmarkEnd w:id="100"/>
    </w:p>
    <w:tbl>
      <w:tblPr>
        <w:tblStyle w:val="38"/>
        <w:tblW w:w="9784" w:type="dxa"/>
        <w:jc w:val="center"/>
        <w:tblLayout w:type="autofit"/>
        <w:tblCellMar>
          <w:top w:w="0" w:type="dxa"/>
          <w:left w:w="108" w:type="dxa"/>
          <w:bottom w:w="0" w:type="dxa"/>
          <w:right w:w="108" w:type="dxa"/>
        </w:tblCellMar>
      </w:tblPr>
      <w:tblGrid>
        <w:gridCol w:w="1165"/>
        <w:gridCol w:w="4774"/>
        <w:gridCol w:w="3845"/>
      </w:tblGrid>
      <w:tr w14:paraId="71BAB817">
        <w:tblPrEx>
          <w:tblCellMar>
            <w:top w:w="0" w:type="dxa"/>
            <w:left w:w="108" w:type="dxa"/>
            <w:bottom w:w="0" w:type="dxa"/>
            <w:right w:w="108" w:type="dxa"/>
          </w:tblCellMar>
        </w:tblPrEx>
        <w:trPr>
          <w:jc w:val="center"/>
        </w:trPr>
        <w:tc>
          <w:tcPr>
            <w:tcW w:w="116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C2AB84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ADR</w:t>
            </w:r>
          </w:p>
        </w:tc>
        <w:tc>
          <w:tcPr>
            <w:tcW w:w="477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62A265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决策</w:t>
            </w:r>
          </w:p>
        </w:tc>
        <w:tc>
          <w:tcPr>
            <w:tcW w:w="384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F36A9F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理由</w:t>
            </w:r>
          </w:p>
        </w:tc>
      </w:tr>
      <w:tr w14:paraId="2BDF90E2">
        <w:tblPrEx>
          <w:tblCellMar>
            <w:top w:w="0" w:type="dxa"/>
            <w:left w:w="108" w:type="dxa"/>
            <w:bottom w:w="0" w:type="dxa"/>
            <w:right w:w="108" w:type="dxa"/>
          </w:tblCellMar>
        </w:tblPrEx>
        <w:trPr>
          <w:jc w:val="center"/>
        </w:trPr>
        <w:tc>
          <w:tcPr>
            <w:tcW w:w="116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2FF8E7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ADR-CF-001</w:t>
            </w:r>
          </w:p>
        </w:tc>
        <w:tc>
          <w:tcPr>
            <w:tcW w:w="47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7C9FD4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时序数据 TDengine 3.x（边缘侧 SQLite 本地缓存）、关系数据 PostgreSQL 物理隔离</w:t>
            </w:r>
          </w:p>
        </w:tc>
        <w:tc>
          <w:tcPr>
            <w:tcW w:w="38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3650F3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IoT 秒级高频遥测与台账数据异构；时序库选型已由 ADR-SYS-001 最终收敛，本条时序库部分以 ADR-SYS-001 为准</w:t>
            </w:r>
          </w:p>
        </w:tc>
      </w:tr>
      <w:tr w14:paraId="2C9C1EED">
        <w:tblPrEx>
          <w:tblCellMar>
            <w:top w:w="0" w:type="dxa"/>
            <w:left w:w="108" w:type="dxa"/>
            <w:bottom w:w="0" w:type="dxa"/>
            <w:right w:w="108" w:type="dxa"/>
          </w:tblCellMar>
        </w:tblPrEx>
        <w:trPr>
          <w:jc w:val="center"/>
        </w:trPr>
        <w:tc>
          <w:tcPr>
            <w:tcW w:w="116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5061C7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ADR-CF-002</w:t>
            </w:r>
          </w:p>
        </w:tc>
        <w:tc>
          <w:tcPr>
            <w:tcW w:w="477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8B10F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因子库版本化（effective_from / effective_to / version_id）</w:t>
            </w:r>
          </w:p>
        </w:tc>
        <w:tc>
          <w:tcPr>
            <w:tcW w:w="384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AD1270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跨年因子版本对齐与可追溯</w:t>
            </w:r>
          </w:p>
        </w:tc>
      </w:tr>
      <w:tr w14:paraId="65797DFB">
        <w:tblPrEx>
          <w:tblCellMar>
            <w:top w:w="0" w:type="dxa"/>
            <w:left w:w="108" w:type="dxa"/>
            <w:bottom w:w="0" w:type="dxa"/>
            <w:right w:w="108" w:type="dxa"/>
          </w:tblCellMar>
        </w:tblPrEx>
        <w:trPr>
          <w:jc w:val="center"/>
        </w:trPr>
        <w:tc>
          <w:tcPr>
            <w:tcW w:w="116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D100F9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ADR-CF-003</w:t>
            </w:r>
          </w:p>
        </w:tc>
        <w:tc>
          <w:tcPr>
            <w:tcW w:w="47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E8593F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审计哈希链逐节点存证，尾节点校验 prev 引用</w:t>
            </w:r>
          </w:p>
        </w:tc>
        <w:tc>
          <w:tcPr>
            <w:tcW w:w="38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AEAC89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LCA 计算过程防篡改与可审计</w:t>
            </w:r>
          </w:p>
        </w:tc>
      </w:tr>
      <w:tr w14:paraId="0C68B3DD">
        <w:tblPrEx>
          <w:tblCellMar>
            <w:top w:w="0" w:type="dxa"/>
            <w:left w:w="108" w:type="dxa"/>
            <w:bottom w:w="0" w:type="dxa"/>
            <w:right w:w="108" w:type="dxa"/>
          </w:tblCellMar>
        </w:tblPrEx>
        <w:trPr>
          <w:jc w:val="center"/>
        </w:trPr>
        <w:tc>
          <w:tcPr>
            <w:tcW w:w="116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116961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ADR-CF-005</w:t>
            </w:r>
          </w:p>
        </w:tc>
        <w:tc>
          <w:tcPr>
            <w:tcW w:w="477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1EF5C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报告导出强制水印 + 操作员工号 + 时间戳嵌入</w:t>
            </w:r>
          </w:p>
        </w:tc>
        <w:tc>
          <w:tcPr>
            <w:tcW w:w="384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1A10E6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对外交付文件的防伪与追责</w:t>
            </w:r>
          </w:p>
        </w:tc>
      </w:tr>
      <w:tr w14:paraId="324D0B03">
        <w:tblPrEx>
          <w:tblCellMar>
            <w:top w:w="0" w:type="dxa"/>
            <w:left w:w="108" w:type="dxa"/>
            <w:bottom w:w="0" w:type="dxa"/>
            <w:right w:w="108" w:type="dxa"/>
          </w:tblCellMar>
        </w:tblPrEx>
        <w:trPr>
          <w:jc w:val="center"/>
        </w:trPr>
        <w:tc>
          <w:tcPr>
            <w:tcW w:w="116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E8FCAB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ADR-MON-001</w:t>
            </w:r>
          </w:p>
        </w:tc>
        <w:tc>
          <w:tcPr>
            <w:tcW w:w="47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4C5CAE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指标聚合在数据库物化视图层完成，应用层不再二次聚合</w:t>
            </w:r>
          </w:p>
        </w:tc>
        <w:tc>
          <w:tcPr>
            <w:tcW w:w="38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53A9D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保证聚合口径统一、避免应用层口径漂移</w:t>
            </w:r>
          </w:p>
        </w:tc>
      </w:tr>
      <w:tr w14:paraId="7387B38B">
        <w:tblPrEx>
          <w:tblCellMar>
            <w:top w:w="0" w:type="dxa"/>
            <w:left w:w="108" w:type="dxa"/>
            <w:bottom w:w="0" w:type="dxa"/>
            <w:right w:w="108" w:type="dxa"/>
          </w:tblCellMar>
        </w:tblPrEx>
        <w:trPr>
          <w:jc w:val="center"/>
        </w:trPr>
        <w:tc>
          <w:tcPr>
            <w:tcW w:w="116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0ED519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ADR-SYS-001</w:t>
            </w:r>
          </w:p>
        </w:tc>
        <w:tc>
          <w:tcPr>
            <w:tcW w:w="47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98570F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时序数据库最终裁决为 TDengine 3.x（边缘侧 SQLite 本地缓存）</w:t>
            </w:r>
          </w:p>
        </w:tc>
        <w:tc>
          <w:tcPr>
            <w:tcW w:w="38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2992A3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单节点高压缩比（实测 ≥ 10:1）、原生 SQL 语法、超级表天然适配工业测点物联网场景，规避多节点运维成本</w:t>
            </w:r>
          </w:p>
        </w:tc>
      </w:tr>
      <w:tr w14:paraId="7EBDF582">
        <w:tblPrEx>
          <w:tblCellMar>
            <w:top w:w="0" w:type="dxa"/>
            <w:left w:w="108" w:type="dxa"/>
            <w:bottom w:w="0" w:type="dxa"/>
            <w:right w:w="108" w:type="dxa"/>
          </w:tblCellMar>
        </w:tblPrEx>
        <w:trPr>
          <w:jc w:val="center"/>
        </w:trPr>
        <w:tc>
          <w:tcPr>
            <w:tcW w:w="116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EE6A96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ADR-SYS-002</w:t>
            </w:r>
          </w:p>
        </w:tc>
        <w:tc>
          <w:tcPr>
            <w:tcW w:w="47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C3DA49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暗黑 / 浅色双端同构采用 Tailwind CSS class 模式 + CSS 自定义属性（CSS Custom Properties）主题动态注入</w:t>
            </w:r>
          </w:p>
        </w:tc>
        <w:tc>
          <w:tcPr>
            <w:tcW w:w="38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077FA2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一套 DOM 结构承载两套主题变量，保障 TC-02 要求的 76 个路由样式 100% 同构对标</w:t>
            </w:r>
          </w:p>
        </w:tc>
      </w:tr>
      <w:tr w14:paraId="259522E9">
        <w:tblPrEx>
          <w:tblCellMar>
            <w:top w:w="0" w:type="dxa"/>
            <w:left w:w="108" w:type="dxa"/>
            <w:bottom w:w="0" w:type="dxa"/>
            <w:right w:w="108" w:type="dxa"/>
          </w:tblCellMar>
        </w:tblPrEx>
        <w:trPr>
          <w:jc w:val="center"/>
        </w:trPr>
        <w:tc>
          <w:tcPr>
            <w:tcW w:w="116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D045CD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ADR-SYS-003</w:t>
            </w:r>
          </w:p>
        </w:tc>
        <w:tc>
          <w:tcPr>
            <w:tcW w:w="47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97693A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采集频率分层：边端 1s~5s 本地闭环告警，云端 15 分钟等间隔汇聚，仅 32 台特种设备动态高频透传</w:t>
            </w:r>
          </w:p>
        </w:tc>
        <w:tc>
          <w:tcPr>
            <w:tcW w:w="38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DB4976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规避全量秒级上报造成的带宽瓶颈与数仓膨胀</w:t>
            </w:r>
          </w:p>
        </w:tc>
      </w:tr>
      <w:tr w14:paraId="46C9F7C6">
        <w:tblPrEx>
          <w:tblCellMar>
            <w:top w:w="0" w:type="dxa"/>
            <w:left w:w="108" w:type="dxa"/>
            <w:bottom w:w="0" w:type="dxa"/>
            <w:right w:w="108" w:type="dxa"/>
          </w:tblCellMar>
        </w:tblPrEx>
        <w:trPr>
          <w:jc w:val="center"/>
        </w:trPr>
        <w:tc>
          <w:tcPr>
            <w:tcW w:w="116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07576D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ADR-SYS-004</w:t>
            </w:r>
          </w:p>
        </w:tc>
        <w:tc>
          <w:tcPr>
            <w:tcW w:w="477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B89479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CBAM 申报包出境前置信安合规网关 + 严格字段白名单</w:t>
            </w:r>
          </w:p>
        </w:tc>
        <w:tc>
          <w:tcPr>
            <w:tcW w:w="384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F00728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满足数据出境安全评估与商业秘密 L3~L4 剥离要求</w:t>
            </w:r>
          </w:p>
        </w:tc>
      </w:tr>
    </w:tbl>
    <w:p w14:paraId="501B4D4A">
      <w:pPr>
        <w:spacing w:after="60"/>
        <w:rPr>
          <w:rFonts w:hint="eastAsia" w:ascii="宋体" w:hAnsi="宋体" w:eastAsia="宋体" w:cs="宋体"/>
          <w:i w:val="0"/>
          <w:iCs w:val="0"/>
          <w:sz w:val="24"/>
          <w:szCs w:val="24"/>
        </w:rPr>
      </w:pPr>
    </w:p>
    <w:p w14:paraId="3A45378E">
      <w:pPr>
        <w:pStyle w:val="4"/>
        <w:numPr>
          <w:ilvl w:val="0"/>
          <w:numId w:val="240"/>
        </w:numPr>
        <w:topLinePunct w:val="0"/>
        <w:ind w:left="0" w:leftChars="0" w:firstLine="0" w:firstLineChars="0"/>
        <w:outlineLvl w:val="0"/>
        <w:rPr>
          <w:rFonts w:hint="eastAsia" w:eastAsia="黑体"/>
          <w:b w:val="0"/>
          <w:bCs w:val="0"/>
          <w:sz w:val="30"/>
          <w:szCs w:val="32"/>
        </w:rPr>
      </w:pPr>
      <w:bookmarkStart w:id="101" w:name="_Toc27258"/>
      <w:r>
        <w:rPr>
          <w:rFonts w:ascii="Times New Roman" w:hAnsi="Times New Roman" w:eastAsia="黑体" w:cs="Times New Roman"/>
          <w:b w:val="0"/>
          <w:bCs w:val="0"/>
          <w:sz w:val="30"/>
          <w:szCs w:val="32"/>
        </w:rPr>
        <w:t>技术决策裁决记录与残留待确认项</w:t>
      </w:r>
      <w:bookmarkEnd w:id="101"/>
    </w:p>
    <w:tbl>
      <w:tblPr>
        <w:tblStyle w:val="38"/>
        <w:tblW w:w="9784" w:type="dxa"/>
        <w:jc w:val="center"/>
        <w:tblLayout w:type="autofit"/>
        <w:tblCellMar>
          <w:top w:w="0" w:type="dxa"/>
          <w:left w:w="108" w:type="dxa"/>
          <w:bottom w:w="0" w:type="dxa"/>
          <w:right w:w="108" w:type="dxa"/>
        </w:tblCellMar>
      </w:tblPr>
      <w:tblGrid>
        <w:gridCol w:w="3730"/>
        <w:gridCol w:w="4061"/>
        <w:gridCol w:w="1993"/>
      </w:tblGrid>
      <w:tr w14:paraId="7CD5A58F">
        <w:tblPrEx>
          <w:tblCellMar>
            <w:top w:w="0" w:type="dxa"/>
            <w:left w:w="108" w:type="dxa"/>
            <w:bottom w:w="0" w:type="dxa"/>
            <w:right w:w="108" w:type="dxa"/>
          </w:tblCellMar>
        </w:tblPrEx>
        <w:trPr>
          <w:jc w:val="center"/>
        </w:trPr>
        <w:tc>
          <w:tcPr>
            <w:tcW w:w="373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D68113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决策项</w:t>
            </w:r>
          </w:p>
        </w:tc>
        <w:tc>
          <w:tcPr>
            <w:tcW w:w="406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F03FEF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说明</w:t>
            </w:r>
          </w:p>
        </w:tc>
        <w:tc>
          <w:tcPr>
            <w:tcW w:w="199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FE86C9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状态</w:t>
            </w:r>
          </w:p>
        </w:tc>
      </w:tr>
      <w:tr w14:paraId="619D6BAD">
        <w:tblPrEx>
          <w:tblCellMar>
            <w:top w:w="0" w:type="dxa"/>
            <w:left w:w="108" w:type="dxa"/>
            <w:bottom w:w="0" w:type="dxa"/>
            <w:right w:w="108" w:type="dxa"/>
          </w:tblCellMar>
        </w:tblPrEx>
        <w:trPr>
          <w:jc w:val="center"/>
        </w:trPr>
        <w:tc>
          <w:tcPr>
            <w:tcW w:w="373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1CA8B3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时序数据库最终选型</w:t>
            </w:r>
          </w:p>
        </w:tc>
        <w:tc>
          <w:tcPr>
            <w:tcW w:w="406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0D662B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已裁决为 TDengine 3.x（边缘侧 SQLite 本地缓存），见 ADR-SYS-001</w:t>
            </w:r>
          </w:p>
        </w:tc>
        <w:tc>
          <w:tcPr>
            <w:tcW w:w="199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796E07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已裁决（2026-09-16）</w:t>
            </w:r>
          </w:p>
        </w:tc>
      </w:tr>
      <w:tr w14:paraId="5E9DD5A4">
        <w:tblPrEx>
          <w:tblCellMar>
            <w:top w:w="0" w:type="dxa"/>
            <w:left w:w="108" w:type="dxa"/>
            <w:bottom w:w="0" w:type="dxa"/>
            <w:right w:w="108" w:type="dxa"/>
          </w:tblCellMar>
        </w:tblPrEx>
        <w:trPr>
          <w:jc w:val="center"/>
        </w:trPr>
        <w:tc>
          <w:tcPr>
            <w:tcW w:w="373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706381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边缘一体机操作系统与容器运行时</w:t>
            </w:r>
          </w:p>
        </w:tc>
        <w:tc>
          <w:tcPr>
            <w:tcW w:w="406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130339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断点续传与本地闭环控制承载环境</w:t>
            </w:r>
          </w:p>
        </w:tc>
        <w:tc>
          <w:tcPr>
            <w:tcW w:w="199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4BD508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待硬件方案确认</w:t>
            </w:r>
          </w:p>
        </w:tc>
      </w:tr>
      <w:tr w14:paraId="7D23B032">
        <w:tblPrEx>
          <w:tblCellMar>
            <w:top w:w="0" w:type="dxa"/>
            <w:left w:w="108" w:type="dxa"/>
            <w:bottom w:w="0" w:type="dxa"/>
            <w:right w:w="108" w:type="dxa"/>
          </w:tblCellMar>
        </w:tblPrEx>
        <w:trPr>
          <w:jc w:val="center"/>
        </w:trPr>
        <w:tc>
          <w:tcPr>
            <w:tcW w:w="373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BA7DA1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ETS 碳价与 Ecoinvent 接口代理部署位置</w:t>
            </w:r>
          </w:p>
        </w:tc>
        <w:tc>
          <w:tcPr>
            <w:tcW w:w="406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5B6189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部署于境内 DMZ 代理节点，全部出境流量经数据出境合规网关，见第十章第二节</w:t>
            </w:r>
          </w:p>
        </w:tc>
        <w:tc>
          <w:tcPr>
            <w:tcW w:w="199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0427EB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已裁决（2026-09-16）</w:t>
            </w:r>
          </w:p>
        </w:tc>
      </w:tr>
      <w:tr w14:paraId="1AA6E871">
        <w:tblPrEx>
          <w:tblCellMar>
            <w:top w:w="0" w:type="dxa"/>
            <w:left w:w="108" w:type="dxa"/>
            <w:bottom w:w="0" w:type="dxa"/>
            <w:right w:w="108" w:type="dxa"/>
          </w:tblCellMar>
        </w:tblPrEx>
        <w:trPr>
          <w:jc w:val="center"/>
        </w:trPr>
        <w:tc>
          <w:tcPr>
            <w:tcW w:w="373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34B7A3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双端（暗黑 / 浅色）同构实现方式</w:t>
            </w:r>
          </w:p>
        </w:tc>
        <w:tc>
          <w:tcPr>
            <w:tcW w:w="406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62E116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Tailwind CSS class 模式 + CSS 自定义属性主题动态注入，见 ADR-SYS-002</w:t>
            </w:r>
          </w:p>
        </w:tc>
        <w:tc>
          <w:tcPr>
            <w:tcW w:w="199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1BFE4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已裁决（2026-09-16）</w:t>
            </w:r>
          </w:p>
        </w:tc>
      </w:tr>
      <w:tr w14:paraId="74573854">
        <w:tblPrEx>
          <w:tblCellMar>
            <w:top w:w="0" w:type="dxa"/>
            <w:left w:w="108" w:type="dxa"/>
            <w:bottom w:w="0" w:type="dxa"/>
            <w:right w:w="108" w:type="dxa"/>
          </w:tblCellMar>
        </w:tblPrEx>
        <w:trPr>
          <w:jc w:val="center"/>
        </w:trPr>
        <w:tc>
          <w:tcPr>
            <w:tcW w:w="373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409131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云端采集频率分层策略</w:t>
            </w:r>
          </w:p>
        </w:tc>
        <w:tc>
          <w:tcPr>
            <w:tcW w:w="406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BD81A3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边端 1s~5s / 云端 15 min / 32 台特种设备试验期动态高频透传，见 ADR-SYS-003</w:t>
            </w:r>
          </w:p>
        </w:tc>
        <w:tc>
          <w:tcPr>
            <w:tcW w:w="199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63EF30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已裁决（2026-09-16）</w:t>
            </w:r>
          </w:p>
        </w:tc>
      </w:tr>
    </w:tbl>
    <w:p w14:paraId="03AC9A52">
      <w:pPr>
        <w:spacing w:after="60"/>
        <w:rPr>
          <w:rFonts w:hint="eastAsia" w:ascii="宋体" w:hAnsi="宋体" w:eastAsia="宋体" w:cs="宋体"/>
          <w:i w:val="0"/>
          <w:iCs w:val="0"/>
          <w:sz w:val="24"/>
          <w:szCs w:val="24"/>
        </w:rPr>
      </w:pPr>
    </w:p>
    <w:p w14:paraId="2B202E37">
      <w:pPr>
        <w:pStyle w:val="3"/>
        <w:numPr>
          <w:ilvl w:val="0"/>
          <w:numId w:val="7"/>
        </w:numPr>
        <w:ind w:left="0" w:leftChars="0" w:firstLine="0" w:firstLineChars="0"/>
        <w:rPr>
          <w:rFonts w:eastAsia="黑体"/>
          <w:b w:val="0"/>
          <w:bCs w:val="0"/>
          <w:sz w:val="32"/>
          <w:szCs w:val="44"/>
        </w:rPr>
      </w:pPr>
      <w:bookmarkStart w:id="102" w:name="_Toc11956"/>
      <w:r>
        <w:rPr>
          <w:rFonts w:ascii="Times New Roman" w:hAnsi="Times New Roman" w:eastAsia="黑体" w:cs="Times New Roman"/>
          <w:b w:val="0"/>
          <w:bCs w:val="0"/>
          <w:sz w:val="32"/>
          <w:szCs w:val="44"/>
        </w:rPr>
        <w:t>系统级公共模块需求</w:t>
      </w:r>
      <w:bookmarkEnd w:id="102"/>
    </w:p>
    <w:p w14:paraId="740231A3">
      <w:pPr>
        <w:pStyle w:val="4"/>
        <w:numPr>
          <w:ilvl w:val="0"/>
          <w:numId w:val="241"/>
        </w:numPr>
        <w:topLinePunct w:val="0"/>
        <w:ind w:left="0" w:leftChars="0" w:firstLine="0" w:firstLineChars="0"/>
        <w:outlineLvl w:val="0"/>
        <w:rPr>
          <w:rFonts w:hint="eastAsia" w:eastAsia="黑体"/>
          <w:b w:val="0"/>
          <w:bCs w:val="0"/>
          <w:sz w:val="30"/>
          <w:szCs w:val="32"/>
        </w:rPr>
      </w:pPr>
      <w:bookmarkStart w:id="103" w:name="_Toc28561"/>
      <w:r>
        <w:rPr>
          <w:rFonts w:ascii="Times New Roman" w:hAnsi="Times New Roman" w:eastAsia="黑体" w:cs="Times New Roman"/>
          <w:b w:val="0"/>
          <w:bCs w:val="0"/>
          <w:sz w:val="30"/>
          <w:szCs w:val="32"/>
        </w:rPr>
        <w:t>公共模块清单</w:t>
      </w:r>
      <w:bookmarkEnd w:id="103"/>
    </w:p>
    <w:tbl>
      <w:tblPr>
        <w:tblStyle w:val="38"/>
        <w:tblW w:w="9784" w:type="dxa"/>
        <w:jc w:val="center"/>
        <w:tblLayout w:type="autofit"/>
        <w:tblCellMar>
          <w:top w:w="0" w:type="dxa"/>
          <w:left w:w="108" w:type="dxa"/>
          <w:bottom w:w="0" w:type="dxa"/>
          <w:right w:w="108" w:type="dxa"/>
        </w:tblCellMar>
      </w:tblPr>
      <w:tblGrid>
        <w:gridCol w:w="2189"/>
        <w:gridCol w:w="5523"/>
        <w:gridCol w:w="2072"/>
      </w:tblGrid>
      <w:tr w14:paraId="47E526AF">
        <w:tblPrEx>
          <w:tblCellMar>
            <w:top w:w="0" w:type="dxa"/>
            <w:left w:w="108" w:type="dxa"/>
            <w:bottom w:w="0" w:type="dxa"/>
            <w:right w:w="108" w:type="dxa"/>
          </w:tblCellMar>
        </w:tblPrEx>
        <w:trPr>
          <w:tblHeade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79DE52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模块名称</w:t>
            </w:r>
          </w:p>
        </w:tc>
        <w:tc>
          <w:tcPr>
            <w:tcW w:w="552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8423F2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功能概述</w:t>
            </w:r>
          </w:p>
        </w:tc>
        <w:tc>
          <w:tcPr>
            <w:tcW w:w="207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ADFB0E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服务对象</w:t>
            </w:r>
          </w:p>
        </w:tc>
      </w:tr>
      <w:tr w14:paraId="308FEF8B">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362553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组织架构与 RBAC 权限配置</w:t>
            </w:r>
          </w:p>
        </w:tc>
        <w:tc>
          <w:tcPr>
            <w:tcW w:w="55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D01B34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六级组织节点维护、角色与权限矩阵配置、数据范围隔离策略</w:t>
            </w:r>
          </w:p>
        </w:tc>
        <w:tc>
          <w:tcPr>
            <w:tcW w:w="20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158604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全体模块</w:t>
            </w:r>
          </w:p>
        </w:tc>
      </w:tr>
      <w:tr w14:paraId="32843BEC">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DCB9B1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统一工作流引擎</w:t>
            </w:r>
          </w:p>
        </w:tc>
        <w:tc>
          <w:tcPr>
            <w:tcW w:w="55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B50BF0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审批流配置与实例流转（参数变更审批、评估复核、申报双签）</w:t>
            </w:r>
          </w:p>
        </w:tc>
        <w:tc>
          <w:tcPr>
            <w:tcW w:w="20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EDB9F6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第二/三/五章各审批环节</w:t>
            </w:r>
          </w:p>
        </w:tc>
      </w:tr>
      <w:tr w14:paraId="5042CA6D">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B714E8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告警中枢</w:t>
            </w:r>
          </w:p>
        </w:tc>
        <w:tc>
          <w:tcPr>
            <w:tcW w:w="55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2949DC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越限告警、通讯异常、证书到期、因子过期等事件的统一汇聚、分级与派单</w:t>
            </w:r>
          </w:p>
        </w:tc>
        <w:tc>
          <w:tcPr>
            <w:tcW w:w="20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35D1E0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全体模块</w:t>
            </w:r>
          </w:p>
        </w:tc>
      </w:tr>
      <w:tr w14:paraId="3B044902">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614634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消息与待办中心</w:t>
            </w:r>
          </w:p>
        </w:tc>
        <w:tc>
          <w:tcPr>
            <w:tcW w:w="55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9DDBE4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站内消息、待办工单、批示流转</w:t>
            </w:r>
          </w:p>
        </w:tc>
        <w:tc>
          <w:tcPr>
            <w:tcW w:w="20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D508A2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P1~P6 全角色</w:t>
            </w:r>
          </w:p>
        </w:tc>
      </w:tr>
      <w:tr w14:paraId="1A4D2B35">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59EF47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导出中心</w:t>
            </w:r>
          </w:p>
        </w:tc>
        <w:tc>
          <w:tcPr>
            <w:tcW w:w="55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BB90F0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统一报表与报告导出、异步大文件生成、水印与哈希注入</w:t>
            </w:r>
          </w:p>
        </w:tc>
        <w:tc>
          <w:tcPr>
            <w:tcW w:w="20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B93397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报表 / 报告 / 台账</w:t>
            </w:r>
          </w:p>
        </w:tc>
      </w:tr>
      <w:tr w14:paraId="149466D5">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68852B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审计日志中心</w:t>
            </w:r>
          </w:p>
        </w:tc>
        <w:tc>
          <w:tcPr>
            <w:tcW w:w="55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2C5A59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操作留痕、审计哈希链存证、越权事件记录</w:t>
            </w:r>
          </w:p>
        </w:tc>
        <w:tc>
          <w:tcPr>
            <w:tcW w:w="20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48A0AD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全体模块</w:t>
            </w:r>
          </w:p>
        </w:tc>
      </w:tr>
      <w:tr w14:paraId="7F92A5B9">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8B54E4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数据字典与介质配置</w:t>
            </w:r>
          </w:p>
        </w:tc>
        <w:tc>
          <w:tcPr>
            <w:tcW w:w="55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B6CAFE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能源介质字典、单位字典、枚举值字典集中管理</w:t>
            </w:r>
          </w:p>
        </w:tc>
        <w:tc>
          <w:tcPr>
            <w:tcW w:w="20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2DB245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全体模块</w:t>
            </w:r>
          </w:p>
        </w:tc>
      </w:tr>
      <w:tr w14:paraId="292F70F1">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EA5E65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采集通讯与接口配置</w:t>
            </w:r>
          </w:p>
        </w:tc>
        <w:tc>
          <w:tcPr>
            <w:tcW w:w="552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321DB1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采集网关注册、协议参数配置、接口健康监控与熔断阈值</w:t>
            </w:r>
          </w:p>
        </w:tc>
        <w:tc>
          <w:tcPr>
            <w:tcW w:w="20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6EBA25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第二章各监测模块</w:t>
            </w:r>
          </w:p>
        </w:tc>
      </w:tr>
      <w:tr w14:paraId="6CBDE88C">
        <w:tblPrEx>
          <w:tblCellMar>
            <w:top w:w="0" w:type="dxa"/>
            <w:left w:w="108" w:type="dxa"/>
            <w:bottom w:w="0" w:type="dxa"/>
            <w:right w:w="108" w:type="dxa"/>
          </w:tblCellMar>
        </w:tblPrEx>
        <w:trPr>
          <w:jc w:val="center"/>
        </w:trPr>
        <w:tc>
          <w:tcPr>
            <w:tcW w:w="218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585606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AI 智能专家工作台</w:t>
            </w:r>
          </w:p>
        </w:tc>
        <w:tc>
          <w:tcPr>
            <w:tcW w:w="552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B49A55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能耗异常智能诊断、减碳路径推荐、问答式数据检索</w:t>
            </w:r>
          </w:p>
        </w:tc>
        <w:tc>
          <w:tcPr>
            <w:tcW w:w="20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AE5F65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P1 / P2 / P4</w:t>
            </w:r>
          </w:p>
        </w:tc>
      </w:tr>
    </w:tbl>
    <w:p w14:paraId="3AB1E8BD">
      <w:pPr>
        <w:spacing w:after="60"/>
        <w:rPr>
          <w:rFonts w:hint="eastAsia" w:ascii="宋体" w:hAnsi="宋体" w:eastAsia="宋体" w:cs="宋体"/>
          <w:i w:val="0"/>
          <w:iCs w:val="0"/>
          <w:sz w:val="24"/>
          <w:szCs w:val="24"/>
        </w:rPr>
      </w:pPr>
    </w:p>
    <w:p w14:paraId="42B91BC2">
      <w:pPr>
        <w:pStyle w:val="4"/>
        <w:numPr>
          <w:ilvl w:val="0"/>
          <w:numId w:val="241"/>
        </w:numPr>
        <w:topLinePunct w:val="0"/>
        <w:ind w:left="0" w:leftChars="0" w:firstLine="0" w:firstLineChars="0"/>
        <w:outlineLvl w:val="0"/>
        <w:rPr>
          <w:rFonts w:hint="eastAsia" w:eastAsia="黑体"/>
          <w:b w:val="0"/>
          <w:bCs w:val="0"/>
          <w:sz w:val="30"/>
          <w:szCs w:val="32"/>
        </w:rPr>
      </w:pPr>
      <w:bookmarkStart w:id="104" w:name="_Toc4683"/>
      <w:r>
        <w:rPr>
          <w:rFonts w:ascii="Times New Roman" w:hAnsi="Times New Roman" w:eastAsia="黑体" w:cs="Times New Roman"/>
          <w:b w:val="0"/>
          <w:bCs w:val="0"/>
          <w:sz w:val="30"/>
          <w:szCs w:val="32"/>
        </w:rPr>
        <w:t>告警中枢分级与响应契约</w:t>
      </w:r>
      <w:bookmarkEnd w:id="104"/>
    </w:p>
    <w:tbl>
      <w:tblPr>
        <w:tblStyle w:val="38"/>
        <w:tblW w:w="9784" w:type="dxa"/>
        <w:jc w:val="center"/>
        <w:tblLayout w:type="autofit"/>
        <w:tblCellMar>
          <w:top w:w="0" w:type="dxa"/>
          <w:left w:w="108" w:type="dxa"/>
          <w:bottom w:w="0" w:type="dxa"/>
          <w:right w:w="108" w:type="dxa"/>
        </w:tblCellMar>
      </w:tblPr>
      <w:tblGrid>
        <w:gridCol w:w="1500"/>
        <w:gridCol w:w="4371"/>
        <w:gridCol w:w="2017"/>
        <w:gridCol w:w="1896"/>
      </w:tblGrid>
      <w:tr w14:paraId="5DB88500">
        <w:tblPrEx>
          <w:tblCellMar>
            <w:top w:w="0" w:type="dxa"/>
            <w:left w:w="108" w:type="dxa"/>
            <w:bottom w:w="0" w:type="dxa"/>
            <w:right w:w="108" w:type="dxa"/>
          </w:tblCellMar>
        </w:tblPrEx>
        <w:trPr>
          <w:jc w:val="center"/>
        </w:trPr>
        <w:tc>
          <w:tcPr>
            <w:tcW w:w="150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37CA62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告警等级</w:t>
            </w:r>
          </w:p>
        </w:tc>
        <w:tc>
          <w:tcPr>
            <w:tcW w:w="437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1E238C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触发条件</w:t>
            </w:r>
          </w:p>
        </w:tc>
        <w:tc>
          <w:tcPr>
            <w:tcW w:w="201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9E0BD9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通知方式</w:t>
            </w:r>
          </w:p>
        </w:tc>
        <w:tc>
          <w:tcPr>
            <w:tcW w:w="189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121DE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响应时限</w:t>
            </w:r>
          </w:p>
        </w:tc>
      </w:tr>
      <w:tr w14:paraId="35C67A9D">
        <w:tblPrEx>
          <w:tblCellMar>
            <w:top w:w="0" w:type="dxa"/>
            <w:left w:w="108" w:type="dxa"/>
            <w:bottom w:w="0" w:type="dxa"/>
            <w:right w:w="108" w:type="dxa"/>
          </w:tblCellMar>
        </w:tblPrEx>
        <w:trPr>
          <w:jc w:val="center"/>
        </w:trPr>
        <w:tc>
          <w:tcPr>
            <w:tcW w:w="150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952492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P0 系统级</w:t>
            </w:r>
          </w:p>
        </w:tc>
        <w:tc>
          <w:tcPr>
            <w:tcW w:w="437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35D6D2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主库连接中断、核心服务不可用</w:t>
            </w:r>
          </w:p>
        </w:tc>
        <w:tc>
          <w:tcPr>
            <w:tcW w:w="20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8D4867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电话 + 短信 + 站内</w:t>
            </w:r>
          </w:p>
        </w:tc>
        <w:tc>
          <w:tcPr>
            <w:tcW w:w="189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FD2BA9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15 分钟内响应</w:t>
            </w:r>
          </w:p>
        </w:tc>
      </w:tr>
      <w:tr w14:paraId="0267AA27">
        <w:tblPrEx>
          <w:tblCellMar>
            <w:top w:w="0" w:type="dxa"/>
            <w:left w:w="108" w:type="dxa"/>
            <w:bottom w:w="0" w:type="dxa"/>
            <w:right w:w="108" w:type="dxa"/>
          </w:tblCellMar>
        </w:tblPrEx>
        <w:trPr>
          <w:jc w:val="center"/>
        </w:trPr>
        <w:tc>
          <w:tcPr>
            <w:tcW w:w="150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32B8AB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P1 业务级</w:t>
            </w:r>
          </w:p>
        </w:tc>
        <w:tc>
          <w:tcPr>
            <w:tcW w:w="437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36D364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采集超时、越权访问、哈希校验失败、认证超时</w:t>
            </w:r>
          </w:p>
        </w:tc>
        <w:tc>
          <w:tcPr>
            <w:tcW w:w="20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58BC9F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短信 + 站内</w:t>
            </w:r>
          </w:p>
        </w:tc>
        <w:tc>
          <w:tcPr>
            <w:tcW w:w="189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8F00BB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 小时内响应</w:t>
            </w:r>
          </w:p>
        </w:tc>
      </w:tr>
      <w:tr w14:paraId="2972178D">
        <w:tblPrEx>
          <w:tblCellMar>
            <w:top w:w="0" w:type="dxa"/>
            <w:left w:w="108" w:type="dxa"/>
            <w:bottom w:w="0" w:type="dxa"/>
            <w:right w:w="108" w:type="dxa"/>
          </w:tblCellMar>
        </w:tblPrEx>
        <w:trPr>
          <w:jc w:val="center"/>
        </w:trPr>
        <w:tc>
          <w:tcPr>
            <w:tcW w:w="150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45039C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P2 提示级</w:t>
            </w:r>
          </w:p>
        </w:tc>
        <w:tc>
          <w:tcPr>
            <w:tcW w:w="437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C31270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数值非法、因子过期、碳价滞后、锁账冲突</w:t>
            </w:r>
          </w:p>
        </w:tc>
        <w:tc>
          <w:tcPr>
            <w:tcW w:w="201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FE0D31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站内消息</w:t>
            </w:r>
          </w:p>
        </w:tc>
        <w:tc>
          <w:tcPr>
            <w:tcW w:w="189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B20BCD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当日处理</w:t>
            </w:r>
          </w:p>
        </w:tc>
      </w:tr>
      <w:tr w14:paraId="125BADB8">
        <w:tblPrEx>
          <w:tblCellMar>
            <w:top w:w="0" w:type="dxa"/>
            <w:left w:w="108" w:type="dxa"/>
            <w:bottom w:w="0" w:type="dxa"/>
            <w:right w:w="108" w:type="dxa"/>
          </w:tblCellMar>
        </w:tblPrEx>
        <w:trPr>
          <w:jc w:val="center"/>
        </w:trPr>
        <w:tc>
          <w:tcPr>
            <w:tcW w:w="150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377DD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P3 信息级</w:t>
            </w:r>
          </w:p>
        </w:tc>
        <w:tc>
          <w:tcPr>
            <w:tcW w:w="437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AD44FE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除零软降级、白名单判空、数据延迟</w:t>
            </w:r>
          </w:p>
        </w:tc>
        <w:tc>
          <w:tcPr>
            <w:tcW w:w="201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3E562A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界面内表达，不推送</w:t>
            </w:r>
          </w:p>
        </w:tc>
        <w:tc>
          <w:tcPr>
            <w:tcW w:w="189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F06EDB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无需响应</w:t>
            </w:r>
          </w:p>
        </w:tc>
      </w:tr>
    </w:tbl>
    <w:p w14:paraId="63507791">
      <w:pPr>
        <w:spacing w:after="60"/>
        <w:rPr>
          <w:rFonts w:hint="eastAsia" w:ascii="宋体" w:hAnsi="宋体" w:eastAsia="宋体" w:cs="宋体"/>
          <w:i w:val="0"/>
          <w:iCs w:val="0"/>
          <w:sz w:val="24"/>
          <w:szCs w:val="24"/>
        </w:rPr>
      </w:pPr>
    </w:p>
    <w:p w14:paraId="2EE34191">
      <w:pPr>
        <w:rPr>
          <w:rFonts w:hint="eastAsia" w:ascii="宋体" w:hAnsi="宋体" w:eastAsia="宋体" w:cs="宋体"/>
          <w:i w:val="0"/>
          <w:iCs w:val="0"/>
          <w:sz w:val="24"/>
          <w:szCs w:val="24"/>
        </w:rPr>
      </w:pPr>
      <w:r>
        <w:rPr>
          <w:rFonts w:hint="eastAsia" w:ascii="宋体" w:hAnsi="宋体" w:eastAsia="宋体" w:cs="宋体"/>
          <w:i w:val="0"/>
          <w:iCs w:val="0"/>
          <w:sz w:val="24"/>
          <w:szCs w:val="24"/>
        </w:rPr>
        <w:br w:type="page"/>
      </w:r>
    </w:p>
    <w:p w14:paraId="305D2415">
      <w:pPr>
        <w:pStyle w:val="3"/>
        <w:numPr>
          <w:ilvl w:val="0"/>
          <w:numId w:val="7"/>
        </w:numPr>
        <w:ind w:left="0" w:leftChars="0" w:firstLine="0" w:firstLineChars="0"/>
        <w:rPr>
          <w:rFonts w:eastAsia="黑体"/>
          <w:b w:val="0"/>
          <w:bCs w:val="0"/>
          <w:sz w:val="32"/>
          <w:szCs w:val="44"/>
        </w:rPr>
      </w:pPr>
      <w:bookmarkStart w:id="105" w:name="_Toc4190"/>
      <w:r>
        <w:rPr>
          <w:rFonts w:ascii="Times New Roman" w:hAnsi="Times New Roman" w:eastAsia="黑体" w:cs="Times New Roman"/>
          <w:b w:val="0"/>
          <w:bCs w:val="0"/>
          <w:sz w:val="32"/>
          <w:szCs w:val="44"/>
        </w:rPr>
        <w:t>安全与合规需求</w:t>
      </w:r>
      <w:bookmarkEnd w:id="105"/>
    </w:p>
    <w:p w14:paraId="20DEEF53">
      <w:pPr>
        <w:pStyle w:val="4"/>
        <w:numPr>
          <w:ilvl w:val="0"/>
          <w:numId w:val="242"/>
        </w:numPr>
        <w:topLinePunct w:val="0"/>
        <w:ind w:left="0" w:leftChars="0" w:firstLine="0" w:firstLineChars="0"/>
        <w:outlineLvl w:val="0"/>
        <w:rPr>
          <w:rFonts w:hint="eastAsia" w:eastAsia="黑体"/>
          <w:b w:val="0"/>
          <w:bCs w:val="0"/>
          <w:sz w:val="30"/>
          <w:szCs w:val="32"/>
        </w:rPr>
      </w:pPr>
      <w:bookmarkStart w:id="106" w:name="_Toc24788"/>
      <w:r>
        <w:rPr>
          <w:rFonts w:ascii="Times New Roman" w:hAnsi="Times New Roman" w:eastAsia="黑体" w:cs="Times New Roman"/>
          <w:b w:val="0"/>
          <w:bCs w:val="0"/>
          <w:sz w:val="30"/>
          <w:szCs w:val="32"/>
        </w:rPr>
        <w:t>网络安全防护体系</w:t>
      </w:r>
      <w:bookmarkEnd w:id="106"/>
    </w:p>
    <w:tbl>
      <w:tblPr>
        <w:tblStyle w:val="38"/>
        <w:tblW w:w="9784" w:type="dxa"/>
        <w:jc w:val="center"/>
        <w:tblLayout w:type="autofit"/>
        <w:tblCellMar>
          <w:top w:w="0" w:type="dxa"/>
          <w:left w:w="108" w:type="dxa"/>
          <w:bottom w:w="0" w:type="dxa"/>
          <w:right w:w="108" w:type="dxa"/>
        </w:tblCellMar>
      </w:tblPr>
      <w:tblGrid>
        <w:gridCol w:w="1793"/>
        <w:gridCol w:w="7991"/>
      </w:tblGrid>
      <w:tr w14:paraId="45E4DBCD">
        <w:tblPrEx>
          <w:tblCellMar>
            <w:top w:w="0" w:type="dxa"/>
            <w:left w:w="108" w:type="dxa"/>
            <w:bottom w:w="0" w:type="dxa"/>
            <w:right w:w="108" w:type="dxa"/>
          </w:tblCellMar>
        </w:tblPrEx>
        <w:trPr>
          <w:tblHeader/>
          <w:jc w:val="center"/>
        </w:trPr>
        <w:tc>
          <w:tcPr>
            <w:tcW w:w="1793"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43E204F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防护项</w:t>
            </w:r>
          </w:p>
        </w:tc>
        <w:tc>
          <w:tcPr>
            <w:tcW w:w="7991"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0FEF810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要求</w:t>
            </w:r>
          </w:p>
        </w:tc>
      </w:tr>
      <w:tr w14:paraId="0A02C151">
        <w:tblPrEx>
          <w:tblCellMar>
            <w:top w:w="0" w:type="dxa"/>
            <w:left w:w="108" w:type="dxa"/>
            <w:bottom w:w="0" w:type="dxa"/>
            <w:right w:w="108" w:type="dxa"/>
          </w:tblCellMar>
        </w:tblPrEx>
        <w:trPr>
          <w:jc w:val="center"/>
        </w:trPr>
        <w:tc>
          <w:tcPr>
            <w:tcW w:w="179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8F5865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传输安全</w:t>
            </w:r>
          </w:p>
        </w:tc>
        <w:tc>
          <w:tcPr>
            <w:tcW w:w="799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689E31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全站强制 HTTPS / TLS 1.2+，内部服务间 mTLS</w:t>
            </w:r>
          </w:p>
        </w:tc>
      </w:tr>
      <w:tr w14:paraId="3A5865EA">
        <w:tblPrEx>
          <w:tblCellMar>
            <w:top w:w="0" w:type="dxa"/>
            <w:left w:w="108" w:type="dxa"/>
            <w:bottom w:w="0" w:type="dxa"/>
            <w:right w:w="108" w:type="dxa"/>
          </w:tblCellMar>
        </w:tblPrEx>
        <w:trPr>
          <w:jc w:val="center"/>
        </w:trPr>
        <w:tc>
          <w:tcPr>
            <w:tcW w:w="179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79000C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身份认证</w:t>
            </w:r>
          </w:p>
        </w:tc>
        <w:tc>
          <w:tcPr>
            <w:tcW w:w="799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0B9BDD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JWT + 刷新令牌滚动机制；越权操作强制二次鉴权</w:t>
            </w:r>
          </w:p>
        </w:tc>
      </w:tr>
      <w:tr w14:paraId="2B2E52F7">
        <w:tblPrEx>
          <w:tblCellMar>
            <w:top w:w="0" w:type="dxa"/>
            <w:left w:w="108" w:type="dxa"/>
            <w:bottom w:w="0" w:type="dxa"/>
            <w:right w:w="108" w:type="dxa"/>
          </w:tblCellMar>
        </w:tblPrEx>
        <w:trPr>
          <w:jc w:val="center"/>
        </w:trPr>
        <w:tc>
          <w:tcPr>
            <w:tcW w:w="179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88DF1C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报文完整性</w:t>
            </w:r>
          </w:p>
        </w:tc>
        <w:tc>
          <w:tcPr>
            <w:tcW w:w="799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25C894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关键写接口强制 HMAC-SHA256 签名，防重放攻击</w:t>
            </w:r>
          </w:p>
        </w:tc>
      </w:tr>
      <w:tr w14:paraId="11C925E9">
        <w:tblPrEx>
          <w:tblCellMar>
            <w:top w:w="0" w:type="dxa"/>
            <w:left w:w="108" w:type="dxa"/>
            <w:bottom w:w="0" w:type="dxa"/>
            <w:right w:w="108" w:type="dxa"/>
          </w:tblCellMar>
        </w:tblPrEx>
        <w:trPr>
          <w:jc w:val="center"/>
        </w:trPr>
        <w:tc>
          <w:tcPr>
            <w:tcW w:w="179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693732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存储加密</w:t>
            </w:r>
          </w:p>
        </w:tc>
        <w:tc>
          <w:tcPr>
            <w:tcW w:w="799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F38419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L3 及以上数据落盘 AES-256 加密</w:t>
            </w:r>
          </w:p>
        </w:tc>
      </w:tr>
      <w:tr w14:paraId="34954444">
        <w:tblPrEx>
          <w:tblCellMar>
            <w:top w:w="0" w:type="dxa"/>
            <w:left w:w="108" w:type="dxa"/>
            <w:bottom w:w="0" w:type="dxa"/>
            <w:right w:w="108" w:type="dxa"/>
          </w:tblCellMar>
        </w:tblPrEx>
        <w:trPr>
          <w:jc w:val="center"/>
        </w:trPr>
        <w:tc>
          <w:tcPr>
            <w:tcW w:w="1793"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CD4AE4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防截屏</w:t>
            </w:r>
          </w:p>
        </w:tc>
        <w:tc>
          <w:tcPr>
            <w:tcW w:w="799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3A54E3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L4 级数据展示强制全屏动态水印</w:t>
            </w:r>
          </w:p>
        </w:tc>
      </w:tr>
      <w:tr w14:paraId="375E4443">
        <w:tblPrEx>
          <w:tblCellMar>
            <w:top w:w="0" w:type="dxa"/>
            <w:left w:w="108" w:type="dxa"/>
            <w:bottom w:w="0" w:type="dxa"/>
            <w:right w:w="108" w:type="dxa"/>
          </w:tblCellMar>
        </w:tblPrEx>
        <w:trPr>
          <w:jc w:val="center"/>
        </w:trPr>
        <w:tc>
          <w:tcPr>
            <w:tcW w:w="179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1B5103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接口防护</w:t>
            </w:r>
          </w:p>
        </w:tc>
        <w:tc>
          <w:tcPr>
            <w:tcW w:w="7991"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DC720D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限流、熔断（5 次/分钟）、参数校验与 SQL 注入防护</w:t>
            </w:r>
          </w:p>
        </w:tc>
      </w:tr>
    </w:tbl>
    <w:p w14:paraId="0A008F55">
      <w:pPr>
        <w:pStyle w:val="4"/>
        <w:numPr>
          <w:ilvl w:val="0"/>
          <w:numId w:val="242"/>
        </w:numPr>
        <w:topLinePunct w:val="0"/>
        <w:ind w:left="0" w:leftChars="0" w:firstLine="0" w:firstLineChars="0"/>
        <w:outlineLvl w:val="0"/>
        <w:rPr>
          <w:rFonts w:hint="eastAsia" w:eastAsia="黑体"/>
          <w:b w:val="0"/>
          <w:bCs w:val="0"/>
          <w:sz w:val="30"/>
          <w:szCs w:val="32"/>
        </w:rPr>
      </w:pPr>
      <w:bookmarkStart w:id="107" w:name="_Toc22294"/>
      <w:r>
        <w:rPr>
          <w:rFonts w:ascii="Times New Roman" w:hAnsi="Times New Roman" w:eastAsia="黑体" w:cs="Times New Roman"/>
          <w:b w:val="0"/>
          <w:bCs w:val="0"/>
          <w:sz w:val="30"/>
          <w:szCs w:val="32"/>
        </w:rPr>
        <w:t>数据出境与合规</w:t>
      </w:r>
      <w:bookmarkEnd w:id="107"/>
    </w:p>
    <w:p w14:paraId="0D91A461">
      <w:pPr>
        <w:pStyle w:val="19"/>
        <w:widowControl/>
        <w:numPr>
          <w:ilvl w:val="0"/>
          <w:numId w:val="243"/>
        </w:numPr>
        <w:ind w:left="0" w:leftChars="0" w:firstLine="440" w:firstLineChars="0"/>
        <w:rPr>
          <w:rFonts w:eastAsia="宋体"/>
          <w:b/>
          <w:i w:val="0"/>
          <w:color w:val="0284C7"/>
          <w:sz w:val="24"/>
          <w:szCs w:val="24"/>
        </w:rPr>
      </w:pPr>
      <w:r>
        <w:rPr>
          <w:rFonts w:ascii="Times New Roman" w:hAnsi="Times New Roman" w:eastAsia="宋体" w:cs="Times New Roman"/>
          <w:i w:val="0"/>
          <w:color w:val="1F2937"/>
          <w:sz w:val="24"/>
          <w:szCs w:val="24"/>
        </w:rPr>
        <w:t>CBAM 申报数据与 Ecoinvent 因子数据的跨境传输路径与审批已明确：全部出境流量须经「信安合规前置网关」，并执行严格字段白名单机制，详见本章「CBAM 数据出境安全合规前置方案」。</w:t>
      </w:r>
    </w:p>
    <w:p w14:paraId="4ED167B2">
      <w:pPr>
        <w:pStyle w:val="19"/>
        <w:widowControl/>
        <w:numPr>
          <w:ilvl w:val="0"/>
          <w:numId w:val="243"/>
        </w:numPr>
        <w:ind w:left="0" w:leftChars="0" w:firstLine="440" w:firstLineChars="0"/>
        <w:rPr>
          <w:rFonts w:eastAsia="宋体"/>
          <w:b/>
          <w:i w:val="0"/>
          <w:color w:val="0284C7"/>
          <w:sz w:val="24"/>
          <w:szCs w:val="24"/>
        </w:rPr>
      </w:pPr>
      <w:r>
        <w:rPr>
          <w:rFonts w:ascii="Times New Roman" w:hAnsi="Times New Roman" w:eastAsia="宋体" w:cs="Times New Roman"/>
          <w:i w:val="0"/>
          <w:color w:val="1F2937"/>
          <w:sz w:val="24"/>
          <w:szCs w:val="24"/>
        </w:rPr>
        <w:t>欧盟客户与审查专员的数据访问须遵循 GDPR 最小必要原则，仅开放脱敏后的碳足迹结果数据；个人信息一律本地剥离，不得随申报包出境。</w:t>
      </w:r>
    </w:p>
    <w:p w14:paraId="5603EC0C">
      <w:pPr>
        <w:pStyle w:val="19"/>
        <w:widowControl/>
        <w:numPr>
          <w:ilvl w:val="0"/>
          <w:numId w:val="243"/>
        </w:numPr>
        <w:ind w:left="0" w:leftChars="0" w:firstLine="440" w:firstLineChars="0"/>
        <w:rPr>
          <w:rFonts w:eastAsia="宋体"/>
          <w:b/>
          <w:i w:val="0"/>
          <w:color w:val="0284C7"/>
          <w:sz w:val="24"/>
          <w:szCs w:val="24"/>
        </w:rPr>
      </w:pPr>
      <w:r>
        <w:rPr>
          <w:rFonts w:ascii="Times New Roman" w:hAnsi="Times New Roman" w:eastAsia="宋体" w:cs="Times New Roman"/>
          <w:i w:val="0"/>
          <w:color w:val="1F2937"/>
          <w:sz w:val="24"/>
          <w:szCs w:val="24"/>
        </w:rPr>
        <w:t>外部审计沙箱（P6）与生产数据物理隔离，仅可访问指定报告与凭证，且禁止全量导出。</w:t>
      </w:r>
    </w:p>
    <w:p w14:paraId="7EF1A914">
      <w:pPr>
        <w:pStyle w:val="5"/>
        <w:numPr>
          <w:ilvl w:val="0"/>
          <w:numId w:val="238"/>
        </w:numPr>
        <w:ind w:left="0" w:leftChars="0" w:firstLine="0" w:firstLineChars="0"/>
        <w:outlineLvl w:val="1"/>
        <w:rPr>
          <w:rFonts w:ascii="Times New Roman" w:hAnsi="Times New Roman" w:eastAsia="黑体" w:cs="Times New Roman"/>
          <w:b w:val="0"/>
          <w:bCs w:val="0"/>
          <w:sz w:val="30"/>
          <w:szCs w:val="24"/>
        </w:rPr>
      </w:pPr>
      <w:bookmarkStart w:id="108" w:name="_Toc9806"/>
      <w:r>
        <w:rPr>
          <w:rFonts w:ascii="Times New Roman" w:hAnsi="Times New Roman" w:eastAsia="黑体" w:cs="Times New Roman"/>
          <w:b w:val="0"/>
          <w:bCs w:val="0"/>
          <w:sz w:val="30"/>
          <w:szCs w:val="24"/>
        </w:rPr>
        <w:t>CBAM 数据出境安全合规前置方案</w:t>
      </w:r>
      <w:bookmarkEnd w:id="108"/>
    </w:p>
    <w:p w14:paraId="1D67E731">
      <w:pPr>
        <w:pStyle w:val="19"/>
        <w:widowControl/>
        <w:ind w:left="0" w:leftChars="0" w:firstLine="439" w:firstLineChars="183"/>
        <w:rPr>
          <w:rFonts w:ascii="Times New Roman" w:hAnsi="Times New Roman" w:eastAsia="宋体" w:cs="Times New Roman"/>
          <w:b w:val="0"/>
          <w:bCs/>
          <w:i w:val="0"/>
          <w:color w:val="auto"/>
          <w:sz w:val="24"/>
          <w:szCs w:val="24"/>
        </w:rPr>
      </w:pPr>
      <w:r>
        <w:rPr>
          <w:rFonts w:ascii="Times New Roman" w:hAnsi="Times New Roman" w:eastAsia="宋体" w:cs="Times New Roman"/>
          <w:b w:val="0"/>
          <w:bCs/>
          <w:i w:val="0"/>
          <w:color w:val="auto"/>
          <w:sz w:val="24"/>
          <w:szCs w:val="24"/>
        </w:rPr>
        <w:t>前置合规网关：系统在生成欧盟官方 CBAM Communication Template XML 申报包出境前，强制经过「信安合规前置过滤审查」；未通过审查的申报包不得出网关，网关留存请求方、报文哈希、审查结论与放行时间。</w:t>
      </w:r>
    </w:p>
    <w:p w14:paraId="16AB840E">
      <w:pPr>
        <w:pStyle w:val="19"/>
        <w:widowControl/>
        <w:ind w:left="0" w:leftChars="0" w:firstLine="439" w:firstLineChars="183"/>
        <w:rPr>
          <w:rFonts w:ascii="Times New Roman" w:hAnsi="Times New Roman" w:eastAsia="宋体" w:cs="Times New Roman"/>
          <w:b w:val="0"/>
          <w:bCs/>
          <w:i w:val="0"/>
          <w:color w:val="auto"/>
          <w:sz w:val="24"/>
          <w:szCs w:val="24"/>
        </w:rPr>
      </w:pPr>
      <w:r>
        <w:rPr>
          <w:rFonts w:ascii="Times New Roman" w:hAnsi="Times New Roman" w:eastAsia="宋体" w:cs="Times New Roman"/>
          <w:b w:val="0"/>
          <w:bCs/>
          <w:i w:val="0"/>
          <w:color w:val="auto"/>
          <w:sz w:val="24"/>
          <w:szCs w:val="24"/>
        </w:rPr>
        <w:t>严格字段白名单机制：对变压器工艺配方、原辅料采购单价、车间工人个人信息等高密级商业秘密（L3~L4）执行本地强制剥离与脱敏，仅允许出口申报必需的税号、重量、直接排放强度与前驱物隐含间接排放强度输出。</w:t>
      </w:r>
    </w:p>
    <w:p w14:paraId="47B5259B">
      <w:pPr>
        <w:pStyle w:val="19"/>
        <w:widowControl/>
        <w:ind w:left="0" w:leftChars="0" w:firstLine="439" w:firstLineChars="183"/>
        <w:rPr>
          <w:rFonts w:ascii="Times New Roman" w:hAnsi="Times New Roman" w:eastAsia="宋体" w:cs="Times New Roman"/>
          <w:b w:val="0"/>
          <w:bCs/>
          <w:i w:val="0"/>
          <w:color w:val="auto"/>
          <w:sz w:val="24"/>
          <w:szCs w:val="24"/>
        </w:rPr>
      </w:pPr>
      <w:r>
        <w:rPr>
          <w:rFonts w:ascii="Times New Roman" w:hAnsi="Times New Roman" w:eastAsia="宋体" w:cs="Times New Roman"/>
          <w:b w:val="0"/>
          <w:bCs/>
          <w:i w:val="0"/>
          <w:color w:val="auto"/>
          <w:sz w:val="24"/>
          <w:szCs w:val="24"/>
        </w:rPr>
        <w:t>最小必要复核与授权：出境字段清单按季度复核，新增出境字段须经信息安全合规组与法务双签后方可加入白名单；临时专项出境须逐次申请并留存审批单号。</w:t>
      </w:r>
    </w:p>
    <w:tbl>
      <w:tblPr>
        <w:tblStyle w:val="38"/>
        <w:tblW w:w="9784" w:type="dxa"/>
        <w:jc w:val="center"/>
        <w:tblLayout w:type="autofit"/>
        <w:tblCellMar>
          <w:top w:w="0" w:type="dxa"/>
          <w:left w:w="108" w:type="dxa"/>
          <w:bottom w:w="0" w:type="dxa"/>
          <w:right w:w="108" w:type="dxa"/>
        </w:tblCellMar>
      </w:tblPr>
      <w:tblGrid>
        <w:gridCol w:w="2083"/>
        <w:gridCol w:w="4094"/>
        <w:gridCol w:w="1737"/>
        <w:gridCol w:w="1870"/>
      </w:tblGrid>
      <w:tr w14:paraId="0A19D58C">
        <w:tblPrEx>
          <w:tblCellMar>
            <w:top w:w="0" w:type="dxa"/>
            <w:left w:w="108" w:type="dxa"/>
            <w:bottom w:w="0" w:type="dxa"/>
            <w:right w:w="108" w:type="dxa"/>
          </w:tblCellMar>
        </w:tblPrEx>
        <w:trPr>
          <w:jc w:val="center"/>
        </w:trPr>
        <w:tc>
          <w:tcPr>
            <w:tcW w:w="208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01F4CB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字段类别</w:t>
            </w:r>
          </w:p>
        </w:tc>
        <w:tc>
          <w:tcPr>
            <w:tcW w:w="409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A87D4C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允许出境字段</w:t>
            </w:r>
          </w:p>
        </w:tc>
        <w:tc>
          <w:tcPr>
            <w:tcW w:w="173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A1F691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本地强制剥离 / 脱敏字段</w:t>
            </w:r>
          </w:p>
        </w:tc>
        <w:tc>
          <w:tcPr>
            <w:tcW w:w="187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0DB87A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合规依据</w:t>
            </w:r>
          </w:p>
        </w:tc>
      </w:tr>
      <w:tr w14:paraId="6FF1B605">
        <w:tblPrEx>
          <w:tblCellMar>
            <w:top w:w="0" w:type="dxa"/>
            <w:left w:w="108" w:type="dxa"/>
            <w:bottom w:w="0" w:type="dxa"/>
            <w:right w:w="108" w:type="dxa"/>
          </w:tblCellMar>
        </w:tblPrEx>
        <w:trPr>
          <w:jc w:val="center"/>
        </w:trPr>
        <w:tc>
          <w:tcPr>
            <w:tcW w:w="20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DB0207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申报主体信息</w:t>
            </w:r>
          </w:p>
        </w:tc>
        <w:tc>
          <w:tcPr>
            <w:tcW w:w="409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2A45E9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生产商注册名、CBAM 注册号、报关税号（CN Code）、生产国别</w:t>
            </w:r>
          </w:p>
        </w:tc>
        <w:tc>
          <w:tcPr>
            <w:tcW w:w="17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08D7C0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统一社会信用代码明细、银行账户信息</w:t>
            </w:r>
          </w:p>
        </w:tc>
        <w:tc>
          <w:tcPr>
            <w:tcW w:w="187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1DAAF5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欧盟 2023/956 号条例申报字段要求</w:t>
            </w:r>
          </w:p>
        </w:tc>
      </w:tr>
      <w:tr w14:paraId="105A5D23">
        <w:tblPrEx>
          <w:tblCellMar>
            <w:top w:w="0" w:type="dxa"/>
            <w:left w:w="108" w:type="dxa"/>
            <w:bottom w:w="0" w:type="dxa"/>
            <w:right w:w="108" w:type="dxa"/>
          </w:tblCellMar>
        </w:tblPrEx>
        <w:trPr>
          <w:jc w:val="center"/>
        </w:trPr>
        <w:tc>
          <w:tcPr>
            <w:tcW w:w="20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31CD07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产品与产量</w:t>
            </w:r>
          </w:p>
        </w:tc>
        <w:tc>
          <w:tcPr>
            <w:tcW w:w="409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685132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产品名称、规格型号、净质量（t）、生产周期</w:t>
            </w:r>
          </w:p>
        </w:tc>
        <w:tc>
          <w:tcPr>
            <w:tcW w:w="17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A2F4A5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变压器工艺配方、设计图纸编号、核心工艺技术参数</w:t>
            </w:r>
          </w:p>
        </w:tc>
        <w:tc>
          <w:tcPr>
            <w:tcW w:w="187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097D9F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数据出境安全评估 + 商业秘密管控</w:t>
            </w:r>
          </w:p>
        </w:tc>
      </w:tr>
      <w:tr w14:paraId="11BBD301">
        <w:tblPrEx>
          <w:tblCellMar>
            <w:top w:w="0" w:type="dxa"/>
            <w:left w:w="108" w:type="dxa"/>
            <w:bottom w:w="0" w:type="dxa"/>
            <w:right w:w="108" w:type="dxa"/>
          </w:tblCellMar>
        </w:tblPrEx>
        <w:trPr>
          <w:jc w:val="center"/>
        </w:trPr>
        <w:tc>
          <w:tcPr>
            <w:tcW w:w="20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2C5234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排放数据</w:t>
            </w:r>
          </w:p>
        </w:tc>
        <w:tc>
          <w:tcPr>
            <w:tcW w:w="409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DDFFFD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直接排放强度、前驱物隐含间接排放强度、间接排放量</w:t>
            </w:r>
          </w:p>
        </w:tc>
        <w:tc>
          <w:tcPr>
            <w:tcW w:w="17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4C2715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车间级分工序能耗明细、关键设备台账</w:t>
            </w:r>
          </w:p>
        </w:tc>
        <w:tc>
          <w:tcPr>
            <w:tcW w:w="187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FA2BB0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欧盟 CBAM 实施条例计算方法</w:t>
            </w:r>
          </w:p>
        </w:tc>
      </w:tr>
      <w:tr w14:paraId="65F4D3D8">
        <w:tblPrEx>
          <w:tblCellMar>
            <w:top w:w="0" w:type="dxa"/>
            <w:left w:w="108" w:type="dxa"/>
            <w:bottom w:w="0" w:type="dxa"/>
            <w:right w:w="108" w:type="dxa"/>
          </w:tblCellMar>
        </w:tblPrEx>
        <w:trPr>
          <w:jc w:val="center"/>
        </w:trPr>
        <w:tc>
          <w:tcPr>
            <w:tcW w:w="20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D1D2EB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成本与价格</w:t>
            </w:r>
          </w:p>
        </w:tc>
        <w:tc>
          <w:tcPr>
            <w:tcW w:w="409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F9B7EB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—（一律不出境）</w:t>
            </w:r>
          </w:p>
        </w:tc>
        <w:tc>
          <w:tcPr>
            <w:tcW w:w="17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86A400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原辅料采购单价、供应商名称与账期、成本构成明细</w:t>
            </w:r>
          </w:p>
        </w:tc>
        <w:tc>
          <w:tcPr>
            <w:tcW w:w="187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41622B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商业秘密 L3~L4 强制剥离</w:t>
            </w:r>
          </w:p>
        </w:tc>
      </w:tr>
      <w:tr w14:paraId="4B4D2C53">
        <w:tblPrEx>
          <w:tblCellMar>
            <w:top w:w="0" w:type="dxa"/>
            <w:left w:w="108" w:type="dxa"/>
            <w:bottom w:w="0" w:type="dxa"/>
            <w:right w:w="108" w:type="dxa"/>
          </w:tblCellMar>
        </w:tblPrEx>
        <w:trPr>
          <w:jc w:val="center"/>
        </w:trPr>
        <w:tc>
          <w:tcPr>
            <w:tcW w:w="20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D9EEE3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人员信息</w:t>
            </w:r>
          </w:p>
        </w:tc>
        <w:tc>
          <w:tcPr>
            <w:tcW w:w="409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B66774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—（一律不出境）</w:t>
            </w:r>
          </w:p>
        </w:tc>
        <w:tc>
          <w:tcPr>
            <w:tcW w:w="17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F77F6E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车间工人姓名、工号、身份证件信息、薪酬数据</w:t>
            </w:r>
          </w:p>
        </w:tc>
        <w:tc>
          <w:tcPr>
            <w:tcW w:w="187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8D2140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个人信息保护法 + GDPR</w:t>
            </w:r>
          </w:p>
        </w:tc>
      </w:tr>
      <w:tr w14:paraId="6C35AE40">
        <w:tblPrEx>
          <w:tblCellMar>
            <w:top w:w="0" w:type="dxa"/>
            <w:left w:w="108" w:type="dxa"/>
            <w:bottom w:w="0" w:type="dxa"/>
            <w:right w:w="108" w:type="dxa"/>
          </w:tblCellMar>
        </w:tblPrEx>
        <w:trPr>
          <w:jc w:val="center"/>
        </w:trPr>
        <w:tc>
          <w:tcPr>
            <w:tcW w:w="20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06483F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因子数据</w:t>
            </w:r>
          </w:p>
        </w:tc>
        <w:tc>
          <w:tcPr>
            <w:tcW w:w="409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0228E1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公开标准因子结果值（Ecoinvent 结果值）</w:t>
            </w:r>
          </w:p>
        </w:tc>
        <w:tc>
          <w:tcPr>
            <w:tcW w:w="17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BEC359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Ecoinvent License 账号凭据、原始数据集文件</w:t>
            </w:r>
          </w:p>
        </w:tc>
        <w:tc>
          <w:tcPr>
            <w:tcW w:w="187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1CC1B6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License 协议 + 数据出境合规组审批</w:t>
            </w:r>
          </w:p>
        </w:tc>
      </w:tr>
      <w:tr w14:paraId="5A4586A8">
        <w:tblPrEx>
          <w:tblCellMar>
            <w:top w:w="0" w:type="dxa"/>
            <w:left w:w="108" w:type="dxa"/>
            <w:bottom w:w="0" w:type="dxa"/>
            <w:right w:w="108" w:type="dxa"/>
          </w:tblCellMar>
        </w:tblPrEx>
        <w:trPr>
          <w:jc w:val="center"/>
        </w:trPr>
        <w:tc>
          <w:tcPr>
            <w:tcW w:w="208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AEC2C0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报文本身</w:t>
            </w:r>
          </w:p>
        </w:tc>
        <w:tc>
          <w:tcPr>
            <w:tcW w:w="409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6F11C8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CBAM Communication Template XML 申报包报文体与哈希</w:t>
            </w:r>
          </w:p>
        </w:tc>
        <w:tc>
          <w:tcPr>
            <w:tcW w:w="173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DA4FBC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申报包内嵌的原始凭证附件与系统截图</w:t>
            </w:r>
          </w:p>
        </w:tc>
        <w:tc>
          <w:tcPr>
            <w:tcW w:w="187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9C645C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信安合规前置网关放行规则</w:t>
            </w:r>
          </w:p>
        </w:tc>
      </w:tr>
    </w:tbl>
    <w:p w14:paraId="1F99D46C">
      <w:pPr>
        <w:pStyle w:val="19"/>
        <w:widowControl/>
        <w:ind w:left="0" w:leftChars="0" w:firstLine="439" w:firstLineChars="183"/>
        <w:rPr>
          <w:rFonts w:ascii="Times New Roman" w:hAnsi="Times New Roman" w:eastAsia="宋体" w:cs="Times New Roman"/>
          <w:b w:val="0"/>
          <w:bCs/>
          <w:i w:val="0"/>
          <w:color w:val="auto"/>
          <w:sz w:val="24"/>
          <w:szCs w:val="24"/>
        </w:rPr>
      </w:pPr>
      <w:r>
        <w:rPr>
          <w:rFonts w:ascii="Times New Roman" w:hAnsi="Times New Roman" w:eastAsia="宋体" w:cs="Times New Roman"/>
          <w:b w:val="0"/>
          <w:bCs/>
          <w:i w:val="0"/>
          <w:color w:val="auto"/>
          <w:sz w:val="24"/>
          <w:szCs w:val="24"/>
        </w:rPr>
        <w:t>白名单外零放行：白名单外的任何字段一律默认拒绝出境，网关返回拦截原因并生成审计事件，不提供人工强制放行开关。</w:t>
      </w:r>
    </w:p>
    <w:p w14:paraId="066829F5">
      <w:pPr>
        <w:pStyle w:val="4"/>
        <w:numPr>
          <w:ilvl w:val="0"/>
          <w:numId w:val="242"/>
        </w:numPr>
        <w:topLinePunct w:val="0"/>
        <w:ind w:left="0" w:leftChars="0" w:firstLine="0" w:firstLineChars="0"/>
        <w:outlineLvl w:val="0"/>
        <w:rPr>
          <w:rFonts w:hint="eastAsia" w:eastAsia="黑体"/>
          <w:b w:val="0"/>
          <w:bCs w:val="0"/>
          <w:sz w:val="30"/>
          <w:szCs w:val="32"/>
        </w:rPr>
      </w:pPr>
      <w:bookmarkStart w:id="109" w:name="_Toc10200"/>
      <w:r>
        <w:rPr>
          <w:rFonts w:ascii="Times New Roman" w:hAnsi="Times New Roman" w:eastAsia="黑体" w:cs="Times New Roman"/>
          <w:b w:val="0"/>
          <w:bCs w:val="0"/>
          <w:sz w:val="30"/>
          <w:szCs w:val="32"/>
        </w:rPr>
        <w:t>安全合规遗留待确认项清单</w:t>
      </w:r>
      <w:bookmarkEnd w:id="109"/>
    </w:p>
    <w:tbl>
      <w:tblPr>
        <w:tblStyle w:val="38"/>
        <w:tblW w:w="9784" w:type="dxa"/>
        <w:jc w:val="center"/>
        <w:tblLayout w:type="autofit"/>
        <w:tblCellMar>
          <w:top w:w="0" w:type="dxa"/>
          <w:left w:w="108" w:type="dxa"/>
          <w:bottom w:w="0" w:type="dxa"/>
          <w:right w:w="108" w:type="dxa"/>
        </w:tblCellMar>
      </w:tblPr>
      <w:tblGrid>
        <w:gridCol w:w="3449"/>
        <w:gridCol w:w="2130"/>
        <w:gridCol w:w="4205"/>
      </w:tblGrid>
      <w:tr w14:paraId="0F8536A6">
        <w:tblPrEx>
          <w:tblCellMar>
            <w:top w:w="0" w:type="dxa"/>
            <w:left w:w="108" w:type="dxa"/>
            <w:bottom w:w="0" w:type="dxa"/>
            <w:right w:w="108" w:type="dxa"/>
          </w:tblCellMar>
        </w:tblPrEx>
        <w:trPr>
          <w:tblHeader/>
          <w:jc w:val="center"/>
        </w:trPr>
        <w:tc>
          <w:tcPr>
            <w:tcW w:w="344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40990D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事项</w:t>
            </w:r>
          </w:p>
        </w:tc>
        <w:tc>
          <w:tcPr>
            <w:tcW w:w="2130"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8877A6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责任方</w:t>
            </w:r>
          </w:p>
        </w:tc>
        <w:tc>
          <w:tcPr>
            <w:tcW w:w="4205"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0B011E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状态</w:t>
            </w:r>
          </w:p>
        </w:tc>
      </w:tr>
      <w:tr w14:paraId="42D2281A">
        <w:tblPrEx>
          <w:tblCellMar>
            <w:top w:w="0" w:type="dxa"/>
            <w:left w:w="108" w:type="dxa"/>
            <w:bottom w:w="0" w:type="dxa"/>
            <w:right w:w="108" w:type="dxa"/>
          </w:tblCellMar>
        </w:tblPrEx>
        <w:trPr>
          <w:jc w:val="center"/>
        </w:trPr>
        <w:tc>
          <w:tcPr>
            <w:tcW w:w="344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01D8B1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等保测评等级目标</w:t>
            </w:r>
          </w:p>
        </w:tc>
        <w:tc>
          <w:tcPr>
            <w:tcW w:w="213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87C101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信息安全合规组</w:t>
            </w:r>
          </w:p>
        </w:tc>
        <w:tc>
          <w:tcPr>
            <w:tcW w:w="420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4A120E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待确认</w:t>
            </w:r>
          </w:p>
        </w:tc>
      </w:tr>
      <w:tr w14:paraId="68F83CCA">
        <w:tblPrEx>
          <w:tblCellMar>
            <w:top w:w="0" w:type="dxa"/>
            <w:left w:w="108" w:type="dxa"/>
            <w:bottom w:w="0" w:type="dxa"/>
            <w:right w:w="108" w:type="dxa"/>
          </w:tblCellMar>
        </w:tblPrEx>
        <w:trPr>
          <w:jc w:val="center"/>
        </w:trPr>
        <w:tc>
          <w:tcPr>
            <w:tcW w:w="344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0C2B9A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国密算法适配范围</w:t>
            </w:r>
          </w:p>
        </w:tc>
        <w:tc>
          <w:tcPr>
            <w:tcW w:w="213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E93D91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信息安全合规组</w:t>
            </w:r>
          </w:p>
        </w:tc>
        <w:tc>
          <w:tcPr>
            <w:tcW w:w="4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CBE28B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待确认</w:t>
            </w:r>
          </w:p>
        </w:tc>
      </w:tr>
      <w:tr w14:paraId="0D925076">
        <w:tblPrEx>
          <w:tblCellMar>
            <w:top w:w="0" w:type="dxa"/>
            <w:left w:w="108" w:type="dxa"/>
            <w:bottom w:w="0" w:type="dxa"/>
            <w:right w:w="108" w:type="dxa"/>
          </w:tblCellMar>
        </w:tblPrEx>
        <w:trPr>
          <w:jc w:val="center"/>
        </w:trPr>
        <w:tc>
          <w:tcPr>
            <w:tcW w:w="344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709176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CBAM 数据出境审批路径</w:t>
            </w:r>
          </w:p>
        </w:tc>
        <w:tc>
          <w:tcPr>
            <w:tcW w:w="213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78A844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信息安全合规组</w:t>
            </w:r>
          </w:p>
        </w:tc>
        <w:tc>
          <w:tcPr>
            <w:tcW w:w="4205"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A0D6E6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已明确（信安合规前置网关 + 严格字段白名单，见第十章第二节）</w:t>
            </w:r>
          </w:p>
        </w:tc>
      </w:tr>
      <w:tr w14:paraId="16355E72">
        <w:tblPrEx>
          <w:tblCellMar>
            <w:top w:w="0" w:type="dxa"/>
            <w:left w:w="108" w:type="dxa"/>
            <w:bottom w:w="0" w:type="dxa"/>
            <w:right w:w="108" w:type="dxa"/>
          </w:tblCellMar>
        </w:tblPrEx>
        <w:trPr>
          <w:jc w:val="center"/>
        </w:trPr>
        <w:tc>
          <w:tcPr>
            <w:tcW w:w="344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CF700D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GDPR 数据主体权利响应流程</w:t>
            </w:r>
          </w:p>
        </w:tc>
        <w:tc>
          <w:tcPr>
            <w:tcW w:w="2130"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6CF9C1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法务</w:t>
            </w:r>
          </w:p>
        </w:tc>
        <w:tc>
          <w:tcPr>
            <w:tcW w:w="420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D8FB13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已明确（GDPR 最小必要 + 个人信息本地剥离，见第十章第二节）</w:t>
            </w:r>
          </w:p>
        </w:tc>
      </w:tr>
    </w:tbl>
    <w:p w14:paraId="5F2589ED">
      <w:pPr>
        <w:spacing w:after="60"/>
        <w:rPr>
          <w:rFonts w:hint="eastAsia" w:ascii="宋体" w:hAnsi="宋体" w:eastAsia="宋体" w:cs="宋体"/>
          <w:i w:val="0"/>
          <w:iCs w:val="0"/>
          <w:sz w:val="24"/>
          <w:szCs w:val="24"/>
        </w:rPr>
      </w:pPr>
    </w:p>
    <w:p w14:paraId="6C06710C">
      <w:pPr>
        <w:pStyle w:val="3"/>
        <w:numPr>
          <w:ilvl w:val="0"/>
          <w:numId w:val="7"/>
        </w:numPr>
        <w:ind w:left="0" w:leftChars="0" w:firstLine="0" w:firstLineChars="0"/>
        <w:rPr>
          <w:rFonts w:eastAsia="黑体"/>
          <w:b w:val="0"/>
          <w:bCs w:val="0"/>
          <w:sz w:val="32"/>
          <w:szCs w:val="44"/>
        </w:rPr>
      </w:pPr>
      <w:bookmarkStart w:id="110" w:name="_Toc1560"/>
      <w:r>
        <w:rPr>
          <w:rFonts w:ascii="Times New Roman" w:hAnsi="Times New Roman" w:eastAsia="黑体" w:cs="Times New Roman"/>
          <w:b w:val="0"/>
          <w:bCs w:val="0"/>
          <w:sz w:val="32"/>
          <w:szCs w:val="44"/>
        </w:rPr>
        <w:t>外部系统集成与数据采集点表</w:t>
      </w:r>
      <w:bookmarkEnd w:id="110"/>
    </w:p>
    <w:p w14:paraId="34955927">
      <w:pPr>
        <w:pStyle w:val="4"/>
        <w:numPr>
          <w:ilvl w:val="0"/>
          <w:numId w:val="244"/>
        </w:numPr>
        <w:topLinePunct w:val="0"/>
        <w:ind w:left="0" w:leftChars="0" w:firstLine="0" w:firstLineChars="0"/>
        <w:outlineLvl w:val="0"/>
        <w:rPr>
          <w:rFonts w:hint="eastAsia" w:eastAsia="黑体"/>
          <w:b w:val="0"/>
          <w:bCs w:val="0"/>
          <w:sz w:val="30"/>
          <w:szCs w:val="32"/>
        </w:rPr>
      </w:pPr>
      <w:bookmarkStart w:id="111" w:name="_Toc29044"/>
      <w:r>
        <w:rPr>
          <w:rFonts w:ascii="Times New Roman" w:hAnsi="Times New Roman" w:eastAsia="黑体" w:cs="Times New Roman"/>
          <w:b w:val="0"/>
          <w:bCs w:val="0"/>
          <w:sz w:val="30"/>
          <w:szCs w:val="32"/>
        </w:rPr>
        <w:t>集成接口</w:t>
      </w:r>
      <w:bookmarkEnd w:id="111"/>
    </w:p>
    <w:tbl>
      <w:tblPr>
        <w:tblStyle w:val="38"/>
        <w:tblW w:w="9454" w:type="dxa"/>
        <w:jc w:val="center"/>
        <w:tblLayout w:type="autofit"/>
        <w:tblCellMar>
          <w:top w:w="0" w:type="dxa"/>
          <w:left w:w="108" w:type="dxa"/>
          <w:bottom w:w="0" w:type="dxa"/>
          <w:right w:w="108" w:type="dxa"/>
        </w:tblCellMar>
      </w:tblPr>
      <w:tblGrid>
        <w:gridCol w:w="1513"/>
        <w:gridCol w:w="1364"/>
        <w:gridCol w:w="1307"/>
        <w:gridCol w:w="2006"/>
        <w:gridCol w:w="3264"/>
      </w:tblGrid>
      <w:tr w14:paraId="7035A91E">
        <w:tblPrEx>
          <w:tblCellMar>
            <w:top w:w="0" w:type="dxa"/>
            <w:left w:w="108" w:type="dxa"/>
            <w:bottom w:w="0" w:type="dxa"/>
            <w:right w:w="108" w:type="dxa"/>
          </w:tblCellMar>
        </w:tblPrEx>
        <w:trPr>
          <w:tblHeade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C2451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系统名称</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0D7252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集成内容</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665A9D5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协议/方式</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1F919C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同步频率</w:t>
            </w:r>
          </w:p>
        </w:tc>
        <w:tc>
          <w:tcPr>
            <w:tcW w:w="326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E6F004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异常降级策略</w:t>
            </w:r>
          </w:p>
        </w:tc>
      </w:tr>
      <w:tr w14:paraId="4CBC56A0">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2B010B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IoT 采集网关</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305D5E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电表、流量计、变送器遥测</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28BED8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Modbus-TCP / MQTT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24DAD0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15 分钟（云端汇聚）/ 1s~5s（特种设备透传）</w:t>
            </w:r>
          </w:p>
        </w:tc>
        <w:tc>
          <w:tcPr>
            <w:tcW w:w="32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ABFBB5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缓存快照 + 数据延迟标签</w:t>
            </w:r>
          </w:p>
        </w:tc>
      </w:tr>
      <w:tr w14:paraId="3E08FB20">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2B1EC9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SAP / 用友 ERP</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E9AB58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BOM 清单、产值、财务电费</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404446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OpenAPI 3.0</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B31170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定时同步</w:t>
            </w:r>
          </w:p>
        </w:tc>
        <w:tc>
          <w:tcPr>
            <w:tcW w:w="32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AF6CE9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E_EXT_ERP_BOM_TIMEOUT 降级本地缓存</w:t>
            </w:r>
          </w:p>
        </w:tc>
      </w:tr>
      <w:tr w14:paraId="1BBCD02D">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B07168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MES 制造执行系统</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A9BBC6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报工产量、工时、工序四元组</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75AE42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OpenAPI 3.0</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2FD62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定时同步</w:t>
            </w:r>
          </w:p>
        </w:tc>
        <w:tc>
          <w:tcPr>
            <w:tcW w:w="32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0AACDD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人工上传兜底（INV-FALLBACK）</w:t>
            </w:r>
          </w:p>
        </w:tc>
      </w:tr>
      <w:tr w14:paraId="1BB9DFE4">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A694F8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欧洲能源交易所 EEX</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B17697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ETS 碳配额结算均价</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B9A55E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REST API</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5EF7E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小时级（建议）</w:t>
            </w:r>
          </w:p>
        </w:tc>
        <w:tc>
          <w:tcPr>
            <w:tcW w:w="32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3D303E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E_EXT_ETS_PRICE_STALE 标注时间戳</w:t>
            </w:r>
          </w:p>
        </w:tc>
      </w:tr>
      <w:tr w14:paraId="65E84F03">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E3199C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Ecoinvent 因子库</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E97253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跨境物料碳因子</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01883A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License API</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E376AF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按需检索</w:t>
            </w:r>
          </w:p>
        </w:tc>
        <w:tc>
          <w:tcPr>
            <w:tcW w:w="32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A8AB73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E_EXT_ECOINVENT_LICENSE 降级 CLCD</w:t>
            </w:r>
          </w:p>
        </w:tc>
      </w:tr>
      <w:tr w14:paraId="26CAF6E7">
        <w:tblPrEx>
          <w:tblCellMar>
            <w:top w:w="0" w:type="dxa"/>
            <w:left w:w="108" w:type="dxa"/>
            <w:bottom w:w="0" w:type="dxa"/>
            <w:right w:w="108" w:type="dxa"/>
          </w:tblCellMar>
        </w:tblPrEx>
        <w:trPr>
          <w:jc w:val="center"/>
        </w:trPr>
        <w:tc>
          <w:tcPr>
            <w:tcW w:w="1513"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E7B4C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国家绿证平台</w:t>
            </w:r>
          </w:p>
        </w:tc>
        <w:tc>
          <w:tcPr>
            <w:tcW w:w="13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970DB8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绿证核销凭证</w:t>
            </w:r>
          </w:p>
        </w:tc>
        <w:tc>
          <w:tcPr>
            <w:tcW w:w="130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BF9211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文件导入</w:t>
            </w:r>
          </w:p>
        </w:tc>
        <w:tc>
          <w:tcPr>
            <w:tcW w:w="200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0484CD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月度</w:t>
            </w:r>
          </w:p>
        </w:tc>
        <w:tc>
          <w:tcPr>
            <w:tcW w:w="326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CE889C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手工上传佐证</w:t>
            </w:r>
          </w:p>
        </w:tc>
      </w:tr>
    </w:tbl>
    <w:p w14:paraId="58F68849">
      <w:pPr>
        <w:pStyle w:val="4"/>
        <w:numPr>
          <w:ilvl w:val="0"/>
          <w:numId w:val="244"/>
        </w:numPr>
        <w:topLinePunct w:val="0"/>
        <w:ind w:left="0" w:leftChars="0" w:firstLine="0" w:firstLineChars="0"/>
        <w:outlineLvl w:val="0"/>
        <w:rPr>
          <w:rFonts w:hint="eastAsia" w:eastAsia="黑体"/>
          <w:b w:val="0"/>
          <w:bCs w:val="0"/>
          <w:sz w:val="30"/>
          <w:szCs w:val="32"/>
        </w:rPr>
      </w:pPr>
      <w:bookmarkStart w:id="112" w:name="_Toc20731"/>
      <w:r>
        <w:rPr>
          <w:rFonts w:ascii="Times New Roman" w:hAnsi="Times New Roman" w:eastAsia="黑体" w:cs="Times New Roman"/>
          <w:b w:val="0"/>
          <w:bCs w:val="0"/>
          <w:sz w:val="30"/>
          <w:szCs w:val="32"/>
        </w:rPr>
        <w:t>采集点表（核心点位）</w:t>
      </w:r>
      <w:bookmarkEnd w:id="112"/>
    </w:p>
    <w:tbl>
      <w:tblPr>
        <w:tblStyle w:val="38"/>
        <w:tblW w:w="9450" w:type="dxa"/>
        <w:jc w:val="center"/>
        <w:tblLayout w:type="autofit"/>
        <w:tblCellMar>
          <w:top w:w="0" w:type="dxa"/>
          <w:left w:w="108" w:type="dxa"/>
          <w:bottom w:w="0" w:type="dxa"/>
          <w:right w:w="108" w:type="dxa"/>
        </w:tblCellMar>
      </w:tblPr>
      <w:tblGrid>
        <w:gridCol w:w="630"/>
        <w:gridCol w:w="851"/>
        <w:gridCol w:w="2071"/>
        <w:gridCol w:w="1121"/>
        <w:gridCol w:w="1121"/>
        <w:gridCol w:w="3656"/>
      </w:tblGrid>
      <w:tr w14:paraId="175C2F8A">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4794D90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1BAB875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介质</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11198D1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点位名称</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73F3793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数据类型</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1687124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工程单位</w:t>
            </w:r>
          </w:p>
        </w:tc>
        <w:tc>
          <w:tcPr>
            <w:tcW w:w="365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6D48AFF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采集频率（边端/云端）</w:t>
            </w:r>
          </w:p>
        </w:tc>
      </w:tr>
      <w:tr w14:paraId="1040FF85">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AFF060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6CBA6A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5E0DD7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三相电压</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AD5D16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61C2E2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V</w:t>
            </w:r>
          </w:p>
        </w:tc>
        <w:tc>
          <w:tcPr>
            <w:tcW w:w="36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E3980A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1s~5s（边端）/ 15 min（云端）</w:t>
            </w:r>
          </w:p>
        </w:tc>
      </w:tr>
      <w:tr w14:paraId="7ECE8AE2">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A0A3EB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A4ECE3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E8B39D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三相电流</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073A30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5B854A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A</w:t>
            </w:r>
          </w:p>
        </w:tc>
        <w:tc>
          <w:tcPr>
            <w:tcW w:w="36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B0EAAE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1s~5s（边端）/ 15 min（云端）</w:t>
            </w:r>
          </w:p>
        </w:tc>
      </w:tr>
      <w:tr w14:paraId="4D29F6A8">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D894E4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B59503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4A2F06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总有功功率</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F146F3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E0ABE2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w:t>
            </w:r>
          </w:p>
        </w:tc>
        <w:tc>
          <w:tcPr>
            <w:tcW w:w="36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083895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1s~5s（边端）/ 15 min（云端）</w:t>
            </w:r>
          </w:p>
        </w:tc>
      </w:tr>
      <w:tr w14:paraId="6A5B6CD3">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280DF3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F6F594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2C22FF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功率因数</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9A950E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EEFE75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cosφ</w:t>
            </w:r>
          </w:p>
        </w:tc>
        <w:tc>
          <w:tcPr>
            <w:tcW w:w="36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8F65B3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1s~5s（边端）/ 15 min（云端）</w:t>
            </w:r>
          </w:p>
        </w:tc>
      </w:tr>
      <w:tr w14:paraId="4940F517">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32E28E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2489CF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D8A9DF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正向有功电能</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38CE64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0A39D6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w:t>
            </w:r>
          </w:p>
        </w:tc>
        <w:tc>
          <w:tcPr>
            <w:tcW w:w="36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771742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15 min（云端汇聚）</w:t>
            </w:r>
          </w:p>
        </w:tc>
      </w:tr>
      <w:tr w14:paraId="3C229675">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77375D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332909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B280FE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反向有功电能</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32885A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389044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kWh</w:t>
            </w:r>
          </w:p>
        </w:tc>
        <w:tc>
          <w:tcPr>
            <w:tcW w:w="36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17297F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15 min（云端汇聚）</w:t>
            </w:r>
          </w:p>
        </w:tc>
      </w:tr>
      <w:tr w14:paraId="33114549">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8363B2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008B92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74AA02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正向无功电能</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3BE095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7E4D0F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kvarh</w:t>
            </w:r>
          </w:p>
        </w:tc>
        <w:tc>
          <w:tcPr>
            <w:tcW w:w="36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6B5FFC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15 min（云端汇聚）</w:t>
            </w:r>
          </w:p>
        </w:tc>
      </w:tr>
      <w:tr w14:paraId="13919CE4">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D1C4A8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D6A9EB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电</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539733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反向无功电能</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5EF489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DD52F8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kvarh</w:t>
            </w:r>
          </w:p>
        </w:tc>
        <w:tc>
          <w:tcPr>
            <w:tcW w:w="36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716A77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15 min（云端汇聚）</w:t>
            </w:r>
          </w:p>
        </w:tc>
      </w:tr>
      <w:tr w14:paraId="172E6F5B">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5E0884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38450D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水</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87DB2F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水压</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5193E6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3F9F25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MPa</w:t>
            </w:r>
          </w:p>
        </w:tc>
        <w:tc>
          <w:tcPr>
            <w:tcW w:w="36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1D6A92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1s~5s（边端）/ 15 min（云端）</w:t>
            </w:r>
          </w:p>
        </w:tc>
      </w:tr>
      <w:tr w14:paraId="4FB788D0">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A6E41D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3637D6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水</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6EFDE6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累计流量</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94D1DC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289264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m³</w:t>
            </w:r>
          </w:p>
        </w:tc>
        <w:tc>
          <w:tcPr>
            <w:tcW w:w="36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48CFF9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15 min（云端汇聚）</w:t>
            </w:r>
          </w:p>
        </w:tc>
      </w:tr>
      <w:tr w14:paraId="08A82928">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4CAB9D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F80814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水</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6B66D1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瞬时流量</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0E769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BF8D81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m³/h</w:t>
            </w:r>
          </w:p>
        </w:tc>
        <w:tc>
          <w:tcPr>
            <w:tcW w:w="36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DD228F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1s~5s（边端）/ 15 min（云端）</w:t>
            </w:r>
          </w:p>
        </w:tc>
      </w:tr>
      <w:tr w14:paraId="563C654C">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833EB8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12</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5C7603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天然气</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2781CB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累计流量</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4A53D1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73AEB0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m³</w:t>
            </w:r>
          </w:p>
        </w:tc>
        <w:tc>
          <w:tcPr>
            <w:tcW w:w="36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081079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15 min（云端汇聚）</w:t>
            </w:r>
          </w:p>
        </w:tc>
      </w:tr>
      <w:tr w14:paraId="229B7295">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B99003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13</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049260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蒸汽</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9631F08">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瞬时蒸汽流量</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DEC7A4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3395EA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t/h</w:t>
            </w:r>
          </w:p>
        </w:tc>
        <w:tc>
          <w:tcPr>
            <w:tcW w:w="36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743592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1s~5s（边端）/ 15 min（云端）</w:t>
            </w:r>
          </w:p>
        </w:tc>
      </w:tr>
      <w:tr w14:paraId="7446EF66">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C51A5F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14</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5C1915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蒸汽</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B6C13DA">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供汽管道工作压力</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8289C7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01730D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MPa</w:t>
            </w:r>
          </w:p>
        </w:tc>
        <w:tc>
          <w:tcPr>
            <w:tcW w:w="365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6DD6A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1s~5s（边端）/ 15 min（云端）</w:t>
            </w:r>
          </w:p>
        </w:tc>
      </w:tr>
      <w:tr w14:paraId="2D009624">
        <w:tblPrEx>
          <w:tblCellMar>
            <w:top w:w="0" w:type="dxa"/>
            <w:left w:w="108" w:type="dxa"/>
            <w:bottom w:w="0" w:type="dxa"/>
            <w:right w:w="108" w:type="dxa"/>
          </w:tblCellMar>
        </w:tblPrEx>
        <w:trPr>
          <w:jc w:val="center"/>
        </w:trPr>
        <w:tc>
          <w:tcPr>
            <w:tcW w:w="63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69F044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15</w:t>
            </w:r>
          </w:p>
        </w:tc>
        <w:tc>
          <w:tcPr>
            <w:tcW w:w="85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ECB272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蒸汽</w:t>
            </w:r>
          </w:p>
        </w:tc>
        <w:tc>
          <w:tcPr>
            <w:tcW w:w="207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CA2628B">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供汽温度</w:t>
            </w:r>
          </w:p>
        </w:tc>
        <w:tc>
          <w:tcPr>
            <w:tcW w:w="11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879C3C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Decimal</w:t>
            </w:r>
          </w:p>
        </w:tc>
        <w:tc>
          <w:tcPr>
            <w:tcW w:w="1121"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ABF82F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w:t>
            </w:r>
          </w:p>
        </w:tc>
        <w:tc>
          <w:tcPr>
            <w:tcW w:w="365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D901B8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1s~5s（边端）/ 15 min（云端）</w:t>
            </w:r>
          </w:p>
        </w:tc>
      </w:tr>
    </w:tbl>
    <w:p w14:paraId="0505B9F6">
      <w:pPr>
        <w:pStyle w:val="19"/>
        <w:widowControl/>
        <w:ind w:left="0" w:leftChars="0" w:firstLine="439" w:firstLineChars="183"/>
        <w:rPr>
          <w:rFonts w:ascii="Times New Roman" w:hAnsi="Times New Roman" w:eastAsia="宋体" w:cs="Times New Roman"/>
          <w:b w:val="0"/>
          <w:bCs/>
          <w:i w:val="0"/>
          <w:color w:val="auto"/>
          <w:sz w:val="24"/>
          <w:szCs w:val="24"/>
        </w:rPr>
      </w:pPr>
      <w:r>
        <w:rPr>
          <w:rFonts w:ascii="Times New Roman" w:hAnsi="Times New Roman" w:eastAsia="宋体" w:cs="Times New Roman"/>
          <w:b w:val="0"/>
          <w:bCs/>
          <w:i w:val="0"/>
          <w:color w:val="auto"/>
          <w:sz w:val="24"/>
          <w:szCs w:val="24"/>
        </w:rPr>
        <w:t>采集频率说明：边端 1s~5s 高频采集仅用于本地滑动窗口越限判定与断网缓存，不上云全量透传；云端常规汇聚频率统一为 15 分钟等间隔打点，全集团 15 大园区表计不再全量秒级上报，以规避带宽瓶颈与数仓膨胀。32 台特种工艺设备试验期可动态开启 1s~5s 高频透传（见第二章「用能在线监测」）。</w:t>
      </w:r>
    </w:p>
    <w:p w14:paraId="18DCFF7C">
      <w:pPr>
        <w:pStyle w:val="4"/>
        <w:numPr>
          <w:ilvl w:val="0"/>
          <w:numId w:val="244"/>
        </w:numPr>
        <w:topLinePunct w:val="0"/>
        <w:ind w:left="0" w:leftChars="0" w:firstLine="0" w:firstLineChars="0"/>
        <w:outlineLvl w:val="0"/>
        <w:rPr>
          <w:rFonts w:hint="eastAsia" w:eastAsia="黑体"/>
          <w:b w:val="0"/>
          <w:bCs w:val="0"/>
          <w:sz w:val="30"/>
          <w:szCs w:val="32"/>
        </w:rPr>
      </w:pPr>
      <w:bookmarkStart w:id="113" w:name="_Toc29125"/>
      <w:r>
        <w:rPr>
          <w:rFonts w:ascii="Times New Roman" w:hAnsi="Times New Roman" w:eastAsia="黑体" w:cs="Times New Roman"/>
          <w:b w:val="0"/>
          <w:bCs w:val="0"/>
          <w:sz w:val="30"/>
          <w:szCs w:val="32"/>
        </w:rPr>
        <w:t>外部数据源与授权</w:t>
      </w:r>
      <w:bookmarkEnd w:id="113"/>
    </w:p>
    <w:tbl>
      <w:tblPr>
        <w:tblStyle w:val="38"/>
        <w:tblW w:w="9744" w:type="dxa"/>
        <w:jc w:val="center"/>
        <w:tblLayout w:type="autofit"/>
        <w:tblCellMar>
          <w:top w:w="0" w:type="dxa"/>
          <w:left w:w="108" w:type="dxa"/>
          <w:bottom w:w="0" w:type="dxa"/>
          <w:right w:w="108" w:type="dxa"/>
        </w:tblCellMar>
      </w:tblPr>
      <w:tblGrid>
        <w:gridCol w:w="3216"/>
        <w:gridCol w:w="1776"/>
        <w:gridCol w:w="1536"/>
        <w:gridCol w:w="3216"/>
      </w:tblGrid>
      <w:tr w14:paraId="16B270B2">
        <w:tblPrEx>
          <w:tblCellMar>
            <w:top w:w="0" w:type="dxa"/>
            <w:left w:w="108" w:type="dxa"/>
            <w:bottom w:w="0" w:type="dxa"/>
            <w:right w:w="108" w:type="dxa"/>
          </w:tblCellMar>
        </w:tblPrEx>
        <w:trPr>
          <w:tblHeader/>
          <w:jc w:val="center"/>
        </w:trPr>
        <w:tc>
          <w:tcPr>
            <w:tcW w:w="321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9FA64B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数据源</w:t>
            </w:r>
          </w:p>
        </w:tc>
        <w:tc>
          <w:tcPr>
            <w:tcW w:w="177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CF4E44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授权方式</w:t>
            </w:r>
          </w:p>
        </w:tc>
        <w:tc>
          <w:tcPr>
            <w:tcW w:w="153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E5BECB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授权状态</w:t>
            </w:r>
          </w:p>
        </w:tc>
        <w:tc>
          <w:tcPr>
            <w:tcW w:w="321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F31E0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备注</w:t>
            </w:r>
          </w:p>
        </w:tc>
      </w:tr>
      <w:tr w14:paraId="6B00D314">
        <w:tblPrEx>
          <w:tblCellMar>
            <w:top w:w="0" w:type="dxa"/>
            <w:left w:w="108" w:type="dxa"/>
            <w:bottom w:w="0" w:type="dxa"/>
            <w:right w:w="108" w:type="dxa"/>
          </w:tblCellMar>
        </w:tblPrEx>
        <w:trPr>
          <w:jc w:val="center"/>
        </w:trPr>
        <w:tc>
          <w:tcPr>
            <w:tcW w:w="32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725AED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国家自然资源部标准地图服务</w:t>
            </w:r>
          </w:p>
        </w:tc>
        <w:tc>
          <w:tcPr>
            <w:tcW w:w="17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BDE175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公开</w:t>
            </w:r>
          </w:p>
        </w:tc>
        <w:tc>
          <w:tcPr>
            <w:tcW w:w="15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EB07B3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已具备</w:t>
            </w:r>
          </w:p>
        </w:tc>
        <w:tc>
          <w:tcPr>
            <w:tcW w:w="32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03D1CB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大屏底图，审图号须常驻展示</w:t>
            </w:r>
          </w:p>
        </w:tc>
      </w:tr>
      <w:tr w14:paraId="76F2FFD7">
        <w:tblPrEx>
          <w:tblCellMar>
            <w:top w:w="0" w:type="dxa"/>
            <w:left w:w="108" w:type="dxa"/>
            <w:bottom w:w="0" w:type="dxa"/>
            <w:right w:w="108" w:type="dxa"/>
          </w:tblCellMar>
        </w:tblPrEx>
        <w:trPr>
          <w:jc w:val="center"/>
        </w:trPr>
        <w:tc>
          <w:tcPr>
            <w:tcW w:w="32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2D4023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Ecoinvent v3.8</w:t>
            </w:r>
          </w:p>
        </w:tc>
        <w:tc>
          <w:tcPr>
            <w:tcW w:w="177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129376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商业 License</w:t>
            </w:r>
          </w:p>
        </w:tc>
        <w:tc>
          <w:tcPr>
            <w:tcW w:w="15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44B9FD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【待确认】</w:t>
            </w:r>
          </w:p>
        </w:tc>
        <w:tc>
          <w:tcPr>
            <w:tcW w:w="32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A59C91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过期自动降级 CLCD</w:t>
            </w:r>
          </w:p>
        </w:tc>
      </w:tr>
      <w:tr w14:paraId="4ADE44B5">
        <w:tblPrEx>
          <w:tblCellMar>
            <w:top w:w="0" w:type="dxa"/>
            <w:left w:w="108" w:type="dxa"/>
            <w:bottom w:w="0" w:type="dxa"/>
            <w:right w:w="108" w:type="dxa"/>
          </w:tblCellMar>
        </w:tblPrEx>
        <w:trPr>
          <w:jc w:val="center"/>
        </w:trPr>
        <w:tc>
          <w:tcPr>
            <w:tcW w:w="32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CAC98D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CLCD 中国生命周期数据库</w:t>
            </w:r>
          </w:p>
        </w:tc>
        <w:tc>
          <w:tcPr>
            <w:tcW w:w="177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E80010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商业授权</w:t>
            </w:r>
          </w:p>
        </w:tc>
        <w:tc>
          <w:tcPr>
            <w:tcW w:w="15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24DF11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【待确认】</w:t>
            </w:r>
          </w:p>
        </w:tc>
        <w:tc>
          <w:tcPr>
            <w:tcW w:w="321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BF1514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本土近似因子来源</w:t>
            </w:r>
          </w:p>
        </w:tc>
      </w:tr>
      <w:tr w14:paraId="745E9AF2">
        <w:tblPrEx>
          <w:tblCellMar>
            <w:top w:w="0" w:type="dxa"/>
            <w:left w:w="108" w:type="dxa"/>
            <w:bottom w:w="0" w:type="dxa"/>
            <w:right w:w="108" w:type="dxa"/>
          </w:tblCellMar>
        </w:tblPrEx>
        <w:trPr>
          <w:jc w:val="center"/>
        </w:trPr>
        <w:tc>
          <w:tcPr>
            <w:tcW w:w="32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467F0A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欧洲能源交易所 EEX</w:t>
            </w:r>
          </w:p>
        </w:tc>
        <w:tc>
          <w:tcPr>
            <w:tcW w:w="177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7752DF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公开数据接口</w:t>
            </w:r>
          </w:p>
        </w:tc>
        <w:tc>
          <w:tcPr>
            <w:tcW w:w="15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C25B33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【待确认】</w:t>
            </w:r>
          </w:p>
        </w:tc>
        <w:tc>
          <w:tcPr>
            <w:tcW w:w="321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CC8B93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ETS 碳价来源</w:t>
            </w:r>
          </w:p>
        </w:tc>
      </w:tr>
    </w:tbl>
    <w:p w14:paraId="6ECCB9A2">
      <w:pPr>
        <w:spacing w:after="60"/>
        <w:rPr>
          <w:rFonts w:hint="eastAsia" w:ascii="宋体" w:hAnsi="宋体" w:eastAsia="宋体" w:cs="宋体"/>
          <w:i w:val="0"/>
          <w:iCs w:val="0"/>
          <w:sz w:val="24"/>
          <w:szCs w:val="24"/>
        </w:rPr>
      </w:pPr>
    </w:p>
    <w:p w14:paraId="6E9EB342">
      <w:pPr>
        <w:rPr>
          <w:rFonts w:hint="eastAsia" w:ascii="宋体" w:hAnsi="宋体" w:eastAsia="宋体" w:cs="宋体"/>
          <w:i w:val="0"/>
          <w:iCs w:val="0"/>
          <w:sz w:val="24"/>
          <w:szCs w:val="24"/>
        </w:rPr>
      </w:pPr>
      <w:r>
        <w:rPr>
          <w:rFonts w:hint="eastAsia" w:ascii="宋体" w:hAnsi="宋体" w:eastAsia="宋体" w:cs="宋体"/>
          <w:i w:val="0"/>
          <w:iCs w:val="0"/>
          <w:sz w:val="24"/>
          <w:szCs w:val="24"/>
        </w:rPr>
        <w:br w:type="page"/>
      </w:r>
    </w:p>
    <w:p w14:paraId="20641015">
      <w:pPr>
        <w:pStyle w:val="3"/>
        <w:numPr>
          <w:ilvl w:val="0"/>
          <w:numId w:val="7"/>
        </w:numPr>
        <w:ind w:left="0" w:leftChars="0" w:firstLine="0" w:firstLineChars="0"/>
        <w:rPr>
          <w:rFonts w:eastAsia="黑体"/>
          <w:b w:val="0"/>
          <w:bCs w:val="0"/>
          <w:sz w:val="32"/>
          <w:szCs w:val="44"/>
        </w:rPr>
      </w:pPr>
      <w:bookmarkStart w:id="114" w:name="_Toc9404"/>
      <w:r>
        <w:rPr>
          <w:rFonts w:ascii="Times New Roman" w:hAnsi="Times New Roman" w:eastAsia="黑体" w:cs="Times New Roman"/>
          <w:b w:val="0"/>
          <w:bCs w:val="0"/>
          <w:sz w:val="32"/>
          <w:szCs w:val="44"/>
        </w:rPr>
        <w:t>测试与验收基线</w:t>
      </w:r>
      <w:bookmarkEnd w:id="114"/>
    </w:p>
    <w:p w14:paraId="015379B9">
      <w:pPr>
        <w:pStyle w:val="4"/>
        <w:numPr>
          <w:ilvl w:val="0"/>
          <w:numId w:val="245"/>
        </w:numPr>
        <w:topLinePunct w:val="0"/>
        <w:ind w:left="0" w:leftChars="0" w:firstLine="0" w:firstLineChars="0"/>
        <w:outlineLvl w:val="0"/>
        <w:rPr>
          <w:rFonts w:hint="eastAsia" w:eastAsia="黑体"/>
          <w:b w:val="0"/>
          <w:bCs w:val="0"/>
          <w:sz w:val="30"/>
          <w:szCs w:val="32"/>
        </w:rPr>
      </w:pPr>
      <w:bookmarkStart w:id="115" w:name="_Toc4485"/>
      <w:r>
        <w:rPr>
          <w:rFonts w:ascii="Times New Roman" w:hAnsi="Times New Roman" w:eastAsia="黑体" w:cs="Times New Roman"/>
          <w:b w:val="0"/>
          <w:bCs w:val="0"/>
          <w:sz w:val="30"/>
          <w:szCs w:val="32"/>
        </w:rPr>
        <w:t>验收准则</w:t>
      </w:r>
      <w:bookmarkEnd w:id="115"/>
    </w:p>
    <w:p w14:paraId="77BD826C">
      <w:pPr>
        <w:pStyle w:val="19"/>
        <w:widowControl/>
        <w:rPr>
          <w:rFonts w:ascii="Times New Roman" w:hAnsi="Times New Roman" w:eastAsia="宋体" w:cs="Times New Roman"/>
          <w:b w:val="0"/>
          <w:bCs w:val="0"/>
          <w:i w:val="0"/>
          <w:sz w:val="24"/>
          <w:szCs w:val="24"/>
        </w:rPr>
      </w:pPr>
      <w:r>
        <w:rPr>
          <w:rFonts w:ascii="Times New Roman" w:hAnsi="Times New Roman" w:eastAsia="宋体" w:cs="Times New Roman"/>
          <w:b w:val="0"/>
          <w:bCs w:val="0"/>
          <w:i w:val="0"/>
          <w:color w:val="1F2937"/>
          <w:sz w:val="24"/>
          <w:szCs w:val="24"/>
        </w:rPr>
        <w:t>全平台所有功能模块的验收均须满足以下基础准则：</w:t>
      </w:r>
    </w:p>
    <w:p w14:paraId="6500A6A8">
      <w:pPr>
        <w:pStyle w:val="19"/>
        <w:widowControl/>
        <w:numPr>
          <w:ilvl w:val="0"/>
          <w:numId w:val="246"/>
        </w:numPr>
        <w:ind w:left="0" w:leftChars="0" w:firstLine="482" w:firstLineChars="0"/>
        <w:rPr>
          <w:rFonts w:eastAsia="宋体"/>
          <w:b/>
          <w:i w:val="0"/>
          <w:color w:val="1E3A8A"/>
          <w:sz w:val="24"/>
          <w:szCs w:val="24"/>
        </w:rPr>
      </w:pPr>
      <w:r>
        <w:rPr>
          <w:rFonts w:ascii="Times New Roman" w:hAnsi="Times New Roman" w:eastAsia="宋体" w:cs="Times New Roman"/>
          <w:b/>
          <w:i w:val="0"/>
          <w:color w:val="1E3A8A"/>
          <w:sz w:val="24"/>
          <w:szCs w:val="24"/>
        </w:rPr>
        <w:t>结构完整性</w:t>
      </w:r>
      <w:r>
        <w:rPr>
          <w:rFonts w:ascii="Times New Roman" w:hAnsi="Times New Roman" w:eastAsia="宋体" w:cs="Times New Roman"/>
          <w:i w:val="0"/>
          <w:color w:val="1F2937"/>
          <w:sz w:val="24"/>
          <w:szCs w:val="24"/>
        </w:rPr>
        <w:t>：每个模块文档均含八段结构，缺任一段视为未完成。</w:t>
      </w:r>
    </w:p>
    <w:p w14:paraId="4C584E69">
      <w:pPr>
        <w:pStyle w:val="19"/>
        <w:widowControl/>
        <w:numPr>
          <w:ilvl w:val="0"/>
          <w:numId w:val="246"/>
        </w:numPr>
        <w:ind w:left="0" w:leftChars="0" w:firstLine="482" w:firstLineChars="0"/>
        <w:rPr>
          <w:rFonts w:eastAsia="宋体"/>
          <w:b/>
          <w:i w:val="0"/>
          <w:color w:val="1E3A8A"/>
          <w:sz w:val="24"/>
          <w:szCs w:val="24"/>
        </w:rPr>
      </w:pPr>
      <w:r>
        <w:rPr>
          <w:rFonts w:ascii="Times New Roman" w:hAnsi="Times New Roman" w:eastAsia="宋体" w:cs="Times New Roman"/>
          <w:b/>
          <w:i w:val="0"/>
          <w:color w:val="1E3A8A"/>
          <w:sz w:val="24"/>
          <w:szCs w:val="24"/>
        </w:rPr>
        <w:t>字段级可测</w:t>
      </w:r>
      <w:r>
        <w:rPr>
          <w:rFonts w:ascii="Times New Roman" w:hAnsi="Times New Roman" w:eastAsia="宋体" w:cs="Times New Roman"/>
          <w:i w:val="0"/>
          <w:color w:val="1F2937"/>
          <w:sz w:val="24"/>
          <w:szCs w:val="24"/>
        </w:rPr>
        <w:t>：字段字典中每一字段均有明确的校验与约束规则，无规则者不得进入测试。</w:t>
      </w:r>
    </w:p>
    <w:p w14:paraId="120F460A">
      <w:pPr>
        <w:pStyle w:val="19"/>
        <w:widowControl/>
        <w:numPr>
          <w:ilvl w:val="0"/>
          <w:numId w:val="246"/>
        </w:numPr>
        <w:ind w:left="0" w:leftChars="0" w:firstLine="482" w:firstLineChars="0"/>
        <w:rPr>
          <w:rFonts w:eastAsia="宋体"/>
          <w:b/>
          <w:i w:val="0"/>
          <w:color w:val="1E3A8A"/>
          <w:sz w:val="24"/>
          <w:szCs w:val="24"/>
        </w:rPr>
      </w:pPr>
      <w:r>
        <w:rPr>
          <w:rFonts w:ascii="Times New Roman" w:hAnsi="Times New Roman" w:eastAsia="宋体" w:cs="Times New Roman"/>
          <w:b/>
          <w:i w:val="0"/>
          <w:color w:val="1E3A8A"/>
          <w:sz w:val="24"/>
          <w:szCs w:val="24"/>
        </w:rPr>
        <w:t>公式一致性</w:t>
      </w:r>
      <w:r>
        <w:rPr>
          <w:rFonts w:ascii="Times New Roman" w:hAnsi="Times New Roman" w:eastAsia="宋体" w:cs="Times New Roman"/>
          <w:i w:val="0"/>
          <w:color w:val="1F2937"/>
          <w:sz w:val="24"/>
          <w:szCs w:val="24"/>
        </w:rPr>
        <w:t>：文档所载公式与实现代码一致，抽样比对差异为 0。</w:t>
      </w:r>
    </w:p>
    <w:p w14:paraId="101A86B5">
      <w:pPr>
        <w:pStyle w:val="19"/>
        <w:widowControl/>
        <w:numPr>
          <w:ilvl w:val="0"/>
          <w:numId w:val="246"/>
        </w:numPr>
        <w:ind w:left="0" w:leftChars="0" w:firstLine="482" w:firstLineChars="0"/>
        <w:rPr>
          <w:rFonts w:eastAsia="宋体"/>
          <w:b/>
          <w:i w:val="0"/>
          <w:color w:val="1E3A8A"/>
          <w:sz w:val="24"/>
          <w:szCs w:val="24"/>
        </w:rPr>
      </w:pPr>
      <w:r>
        <w:rPr>
          <w:rFonts w:ascii="Times New Roman" w:hAnsi="Times New Roman" w:eastAsia="宋体" w:cs="Times New Roman"/>
          <w:b/>
          <w:i w:val="0"/>
          <w:color w:val="1E3A8A"/>
          <w:sz w:val="24"/>
          <w:szCs w:val="24"/>
        </w:rPr>
        <w:t>异常可复现</w:t>
      </w:r>
      <w:r>
        <w:rPr>
          <w:rFonts w:ascii="Times New Roman" w:hAnsi="Times New Roman" w:eastAsia="宋体" w:cs="Times New Roman"/>
          <w:i w:val="0"/>
          <w:color w:val="1F2937"/>
          <w:sz w:val="24"/>
          <w:szCs w:val="24"/>
        </w:rPr>
        <w:t>：文档所载每个错误码均可通过对应操作稳定复现。</w:t>
      </w:r>
    </w:p>
    <w:p w14:paraId="428DB858">
      <w:pPr>
        <w:pStyle w:val="19"/>
        <w:widowControl/>
        <w:numPr>
          <w:ilvl w:val="0"/>
          <w:numId w:val="246"/>
        </w:numPr>
        <w:ind w:left="0" w:leftChars="0" w:firstLine="482" w:firstLineChars="0"/>
        <w:rPr>
          <w:rFonts w:eastAsia="宋体"/>
          <w:b/>
          <w:i w:val="0"/>
          <w:color w:val="1E3A8A"/>
          <w:sz w:val="24"/>
          <w:szCs w:val="24"/>
        </w:rPr>
      </w:pPr>
      <w:r>
        <w:rPr>
          <w:rFonts w:ascii="Times New Roman" w:hAnsi="Times New Roman" w:eastAsia="宋体" w:cs="Times New Roman"/>
          <w:b/>
          <w:i w:val="0"/>
          <w:color w:val="1E3A8A"/>
          <w:sz w:val="24"/>
          <w:szCs w:val="24"/>
        </w:rPr>
        <w:t>客观中立性</w:t>
      </w:r>
      <w:r>
        <w:rPr>
          <w:rFonts w:ascii="Times New Roman" w:hAnsi="Times New Roman" w:eastAsia="宋体" w:cs="Times New Roman"/>
          <w:i w:val="0"/>
          <w:color w:val="1F2937"/>
          <w:sz w:val="24"/>
          <w:szCs w:val="24"/>
        </w:rPr>
        <w:t>：全系统文字零主观定性词汇。</w:t>
      </w:r>
    </w:p>
    <w:p w14:paraId="2087EA42">
      <w:pPr>
        <w:pStyle w:val="19"/>
        <w:widowControl/>
        <w:numPr>
          <w:ilvl w:val="0"/>
          <w:numId w:val="246"/>
        </w:numPr>
        <w:ind w:left="0" w:leftChars="0" w:firstLine="482" w:firstLineChars="0"/>
        <w:rPr>
          <w:rFonts w:eastAsia="宋体"/>
          <w:b/>
          <w:i w:val="0"/>
          <w:color w:val="1E3A8A"/>
          <w:sz w:val="24"/>
          <w:szCs w:val="24"/>
        </w:rPr>
      </w:pPr>
      <w:r>
        <w:rPr>
          <w:rFonts w:ascii="Times New Roman" w:hAnsi="Times New Roman" w:eastAsia="宋体" w:cs="Times New Roman"/>
          <w:b/>
          <w:i w:val="0"/>
          <w:color w:val="1E3A8A"/>
          <w:sz w:val="24"/>
          <w:szCs w:val="24"/>
        </w:rPr>
        <w:t>除零零异常</w:t>
      </w:r>
      <w:r>
        <w:rPr>
          <w:rFonts w:ascii="Times New Roman" w:hAnsi="Times New Roman" w:eastAsia="宋体" w:cs="Times New Roman"/>
          <w:i w:val="0"/>
          <w:color w:val="1F2937"/>
          <w:sz w:val="24"/>
          <w:szCs w:val="24"/>
        </w:rPr>
        <w:t xml:space="preserve">：任何分母为 0 场景均输出 </w:t>
      </w:r>
      <w:r>
        <w:rPr>
          <w:rFonts w:ascii="Times New Roman" w:hAnsi="Times New Roman" w:eastAsia="宋体" w:cs="Times New Roman"/>
          <w:b w:val="0"/>
          <w:i w:val="0"/>
          <w:color w:val="0284C7"/>
          <w:sz w:val="24"/>
          <w:szCs w:val="24"/>
        </w:rPr>
        <w:t xml:space="preserve"> -- </w:t>
      </w:r>
      <w:r>
        <w:rPr>
          <w:rFonts w:ascii="Times New Roman" w:hAnsi="Times New Roman" w:eastAsia="宋体" w:cs="Times New Roman"/>
          <w:i w:val="0"/>
          <w:color w:val="1F2937"/>
          <w:sz w:val="24"/>
          <w:szCs w:val="24"/>
        </w:rPr>
        <w:t>，无 NaN / Infinity / 白屏。</w:t>
      </w:r>
    </w:p>
    <w:p w14:paraId="0062C049">
      <w:pPr>
        <w:pStyle w:val="4"/>
        <w:numPr>
          <w:ilvl w:val="0"/>
          <w:numId w:val="245"/>
        </w:numPr>
        <w:topLinePunct w:val="0"/>
        <w:ind w:left="0" w:leftChars="0" w:firstLine="0" w:firstLineChars="0"/>
        <w:outlineLvl w:val="0"/>
        <w:rPr>
          <w:rFonts w:hint="eastAsia" w:eastAsia="黑体"/>
          <w:b w:val="0"/>
          <w:bCs w:val="0"/>
          <w:sz w:val="30"/>
          <w:szCs w:val="32"/>
        </w:rPr>
      </w:pPr>
      <w:bookmarkStart w:id="116" w:name="_Toc10509"/>
      <w:r>
        <w:rPr>
          <w:rFonts w:ascii="Times New Roman" w:hAnsi="Times New Roman" w:eastAsia="黑体" w:cs="Times New Roman"/>
          <w:b w:val="0"/>
          <w:bCs w:val="0"/>
          <w:sz w:val="30"/>
          <w:szCs w:val="32"/>
        </w:rPr>
        <w:t>破坏性测试矩阵（EQP / BVA）</w:t>
      </w:r>
      <w:bookmarkEnd w:id="116"/>
    </w:p>
    <w:tbl>
      <w:tblPr>
        <w:tblStyle w:val="38"/>
        <w:tblW w:w="9454" w:type="dxa"/>
        <w:jc w:val="center"/>
        <w:tblLayout w:type="autofit"/>
        <w:tblCellMar>
          <w:top w:w="0" w:type="dxa"/>
          <w:left w:w="108" w:type="dxa"/>
          <w:bottom w:w="0" w:type="dxa"/>
          <w:right w:w="108" w:type="dxa"/>
        </w:tblCellMar>
      </w:tblPr>
      <w:tblGrid>
        <w:gridCol w:w="1882"/>
        <w:gridCol w:w="2564"/>
        <w:gridCol w:w="2472"/>
        <w:gridCol w:w="2536"/>
      </w:tblGrid>
      <w:tr w14:paraId="34FC6349">
        <w:tblPrEx>
          <w:tblCellMar>
            <w:top w:w="0" w:type="dxa"/>
            <w:left w:w="108" w:type="dxa"/>
            <w:bottom w:w="0" w:type="dxa"/>
            <w:right w:w="108" w:type="dxa"/>
          </w:tblCellMar>
        </w:tblPrEx>
        <w:trPr>
          <w:tblHeade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CC90E6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测试类别</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755AF10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测试方法</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43DB04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覆盖范围</w:t>
            </w:r>
          </w:p>
        </w:tc>
        <w:tc>
          <w:tcPr>
            <w:tcW w:w="253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115C5A3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通过标准</w:t>
            </w:r>
          </w:p>
        </w:tc>
      </w:tr>
      <w:tr w14:paraId="04D32AE0">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3C3311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等价类划分（EQP）</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D30C8D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按有效/无效等价类构造用例</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AEC897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全部数值型输入字段</w:t>
            </w:r>
          </w:p>
        </w:tc>
        <w:tc>
          <w:tcPr>
            <w:tcW w:w="25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2A6360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无效等价类 100% 被拦截</w:t>
            </w:r>
          </w:p>
        </w:tc>
      </w:tr>
      <w:tr w14:paraId="4D228467">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73365B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边界值分析（BVA）</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6B1640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取边界值、边界±1、极值</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9A0834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产量、产值、单价、系数</w:t>
            </w:r>
          </w:p>
        </w:tc>
        <w:tc>
          <w:tcPr>
            <w:tcW w:w="25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596100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边界行为与文档一致</w:t>
            </w:r>
          </w:p>
        </w:tc>
      </w:tr>
      <w:tr w14:paraId="4F8AD486">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6E1D9DB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极限除零测试</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9BBA73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分母直接置 0</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205A31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全部单耗、占比、强度指标</w:t>
            </w:r>
          </w:p>
        </w:tc>
        <w:tc>
          <w:tcPr>
            <w:tcW w:w="25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7EA505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统一显示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，无异常抛出</w:t>
            </w:r>
          </w:p>
        </w:tc>
      </w:tr>
      <w:tr w14:paraId="443B7098">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609117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并发防刷测试</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4A90CA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100ms 内连续提交</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DFE6DB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全部写操作接口</w:t>
            </w:r>
          </w:p>
        </w:tc>
        <w:tc>
          <w:tcPr>
            <w:tcW w:w="25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920B86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仅首笔入库</w:t>
            </w:r>
          </w:p>
        </w:tc>
      </w:tr>
      <w:tr w14:paraId="01A89A3B">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BBB021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越权穿透测试</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DAB939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低权限角色访问高密级数据</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DD1775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L2~L4 全量字段</w:t>
            </w:r>
          </w:p>
        </w:tc>
        <w:tc>
          <w:tcPr>
            <w:tcW w:w="25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42D2BF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100% 拦截并留痕</w:t>
            </w:r>
          </w:p>
        </w:tc>
      </w:tr>
      <w:tr w14:paraId="00B693B0">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A9E5FA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断网容灾测试</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B3DAB9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混沌工程注入网络故障</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D7F4CE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采集链路与边缘一体机</w:t>
            </w:r>
          </w:p>
        </w:tc>
        <w:tc>
          <w:tcPr>
            <w:tcW w:w="25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F75DB2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优雅降级 + 恢复后自动补传</w:t>
            </w:r>
          </w:p>
        </w:tc>
      </w:tr>
      <w:tr w14:paraId="7B9229E7">
        <w:tblPrEx>
          <w:tblCellMar>
            <w:top w:w="0" w:type="dxa"/>
            <w:left w:w="108" w:type="dxa"/>
            <w:bottom w:w="0" w:type="dxa"/>
            <w:right w:w="108" w:type="dxa"/>
          </w:tblCellMar>
        </w:tblPrEx>
        <w:trPr>
          <w:jc w:val="center"/>
        </w:trPr>
        <w:tc>
          <w:tcPr>
            <w:tcW w:w="188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FF512A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篡改校验测试</w:t>
            </w:r>
          </w:p>
        </w:tc>
        <w:tc>
          <w:tcPr>
            <w:tcW w:w="256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3019C5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篡改报告内容后校验哈希</w:t>
            </w:r>
          </w:p>
        </w:tc>
        <w:tc>
          <w:tcPr>
            <w:tcW w:w="24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871136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LCA 报告、CBAM 申报包</w:t>
            </w:r>
          </w:p>
        </w:tc>
        <w:tc>
          <w:tcPr>
            <w:tcW w:w="253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EDD4F4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校验失败并锁定单据</w:t>
            </w:r>
          </w:p>
        </w:tc>
      </w:tr>
    </w:tbl>
    <w:p w14:paraId="3AB5F67C">
      <w:pPr>
        <w:pStyle w:val="4"/>
        <w:numPr>
          <w:ilvl w:val="0"/>
          <w:numId w:val="245"/>
        </w:numPr>
        <w:topLinePunct w:val="0"/>
        <w:ind w:left="0" w:leftChars="0" w:firstLine="0" w:firstLineChars="0"/>
        <w:outlineLvl w:val="0"/>
        <w:rPr>
          <w:rFonts w:hint="eastAsia" w:eastAsia="黑体"/>
          <w:b w:val="0"/>
          <w:bCs w:val="0"/>
          <w:sz w:val="30"/>
          <w:szCs w:val="32"/>
        </w:rPr>
      </w:pPr>
      <w:bookmarkStart w:id="117" w:name="_Toc15357"/>
      <w:r>
        <w:rPr>
          <w:rFonts w:ascii="Times New Roman" w:hAnsi="Times New Roman" w:eastAsia="黑体" w:cs="Times New Roman"/>
          <w:b w:val="0"/>
          <w:bCs w:val="0"/>
          <w:sz w:val="30"/>
          <w:szCs w:val="32"/>
        </w:rPr>
        <w:t>全系统验收基线</w:t>
      </w:r>
      <w:bookmarkEnd w:id="117"/>
    </w:p>
    <w:tbl>
      <w:tblPr>
        <w:tblStyle w:val="38"/>
        <w:tblW w:w="9784" w:type="dxa"/>
        <w:jc w:val="center"/>
        <w:tblLayout w:type="autofit"/>
        <w:tblCellMar>
          <w:top w:w="0" w:type="dxa"/>
          <w:left w:w="108" w:type="dxa"/>
          <w:bottom w:w="0" w:type="dxa"/>
          <w:right w:w="108" w:type="dxa"/>
        </w:tblCellMar>
      </w:tblPr>
      <w:tblGrid>
        <w:gridCol w:w="1930"/>
        <w:gridCol w:w="5407"/>
        <w:gridCol w:w="2447"/>
      </w:tblGrid>
      <w:tr w14:paraId="3F8698C0">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0ECF966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基线项</w:t>
            </w:r>
          </w:p>
        </w:tc>
        <w:tc>
          <w:tcPr>
            <w:tcW w:w="540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43E3444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基线要求</w:t>
            </w:r>
          </w:p>
        </w:tc>
        <w:tc>
          <w:tcPr>
            <w:tcW w:w="2447"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23F6781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验证方式</w:t>
            </w:r>
          </w:p>
        </w:tc>
      </w:tr>
      <w:tr w14:paraId="0DB81EBE">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980FAF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模块完整率</w:t>
            </w:r>
          </w:p>
        </w:tc>
        <w:tc>
          <w:tcPr>
            <w:tcW w:w="540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755A85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第二章 22 个 + 第三章 13 个模块 100% 覆盖</w:t>
            </w:r>
          </w:p>
        </w:tc>
        <w:tc>
          <w:tcPr>
            <w:tcW w:w="244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72EA11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模块清单比对</w:t>
            </w:r>
          </w:p>
        </w:tc>
      </w:tr>
      <w:tr w14:paraId="1AB805C5">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FEAF66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八段完整率</w:t>
            </w:r>
          </w:p>
        </w:tc>
        <w:tc>
          <w:tcPr>
            <w:tcW w:w="540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06575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100% 模块含八段结构</w:t>
            </w:r>
          </w:p>
        </w:tc>
        <w:tc>
          <w:tcPr>
            <w:tcW w:w="244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BC983E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自动化结构扫描</w:t>
            </w:r>
          </w:p>
        </w:tc>
      </w:tr>
      <w:tr w14:paraId="5AECC138">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AA3131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Gherkin 覆盖率</w:t>
            </w:r>
          </w:p>
        </w:tc>
        <w:tc>
          <w:tcPr>
            <w:tcW w:w="540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CCA0D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每个模块 ≥ 3 条可自动化验收场景</w:t>
            </w:r>
          </w:p>
        </w:tc>
        <w:tc>
          <w:tcPr>
            <w:tcW w:w="244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C4ACD7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用例库统计</w:t>
            </w:r>
          </w:p>
        </w:tc>
      </w:tr>
      <w:tr w14:paraId="42BEAE68">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81003F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错误码覆盖</w:t>
            </w:r>
          </w:p>
        </w:tc>
        <w:tc>
          <w:tcPr>
            <w:tcW w:w="540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E63736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24 项标准错误码全部有对应验收用例</w:t>
            </w:r>
          </w:p>
        </w:tc>
        <w:tc>
          <w:tcPr>
            <w:tcW w:w="244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6E4EAA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用例库比对</w:t>
            </w:r>
          </w:p>
        </w:tc>
      </w:tr>
      <w:tr w14:paraId="29C6FC87">
        <w:tblPrEx>
          <w:tblCellMar>
            <w:top w:w="0" w:type="dxa"/>
            <w:left w:w="108" w:type="dxa"/>
            <w:bottom w:w="0" w:type="dxa"/>
            <w:right w:w="108" w:type="dxa"/>
          </w:tblCellMar>
        </w:tblPrEx>
        <w:trPr>
          <w:jc w:val="center"/>
        </w:trPr>
        <w:tc>
          <w:tcPr>
            <w:tcW w:w="1930"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8A3C9B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双端同构率</w:t>
            </w:r>
          </w:p>
        </w:tc>
        <w:tc>
          <w:tcPr>
            <w:tcW w:w="540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E151E0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暗黑端与浅色端功能与样式 100% 一致</w:t>
            </w:r>
          </w:p>
        </w:tc>
        <w:tc>
          <w:tcPr>
            <w:tcW w:w="2447"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33F28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自动化对标 76 路由</w:t>
            </w:r>
          </w:p>
        </w:tc>
      </w:tr>
    </w:tbl>
    <w:p w14:paraId="52B10DB0">
      <w:pPr>
        <w:pStyle w:val="37"/>
        <w:widowControl/>
        <w:outlineLvl w:val="0"/>
        <w:rPr>
          <w:rFonts w:ascii="Times New Roman" w:hAnsi="Times New Roman" w:eastAsia="黑体" w:cs="Times New Roman"/>
          <w:b w:val="0"/>
          <w:bCs w:val="0"/>
          <w:sz w:val="36"/>
          <w:szCs w:val="24"/>
        </w:rPr>
      </w:pPr>
      <w:bookmarkStart w:id="118" w:name="_Toc23816"/>
      <w:r>
        <w:rPr>
          <w:rFonts w:ascii="Times New Roman" w:hAnsi="Times New Roman" w:eastAsia="黑体" w:cs="Times New Roman"/>
          <w:b w:val="0"/>
          <w:bCs w:val="0"/>
          <w:sz w:val="36"/>
          <w:szCs w:val="24"/>
        </w:rPr>
        <w:t>附录 A：现行国标 / 行标 / 欧标 法规映射表</w:t>
      </w:r>
      <w:bookmarkEnd w:id="118"/>
    </w:p>
    <w:tbl>
      <w:tblPr>
        <w:tblStyle w:val="38"/>
        <w:tblW w:w="9454" w:type="dxa"/>
        <w:jc w:val="center"/>
        <w:tblLayout w:type="autofit"/>
        <w:tblCellMar>
          <w:top w:w="0" w:type="dxa"/>
          <w:left w:w="108" w:type="dxa"/>
          <w:bottom w:w="0" w:type="dxa"/>
          <w:right w:w="108" w:type="dxa"/>
        </w:tblCellMar>
      </w:tblPr>
      <w:tblGrid>
        <w:gridCol w:w="2044"/>
        <w:gridCol w:w="3919"/>
        <w:gridCol w:w="1685"/>
        <w:gridCol w:w="1806"/>
      </w:tblGrid>
      <w:tr w14:paraId="49B771B6">
        <w:tblPrEx>
          <w:tblCellMar>
            <w:top w:w="0" w:type="dxa"/>
            <w:left w:w="108" w:type="dxa"/>
            <w:bottom w:w="0" w:type="dxa"/>
            <w:right w:w="108" w:type="dxa"/>
          </w:tblCellMar>
        </w:tblPrEx>
        <w:trPr>
          <w:tblHeade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676A3E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标准编号</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5776C4E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标准名称</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46F7112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适用范围</w:t>
            </w:r>
          </w:p>
        </w:tc>
        <w:tc>
          <w:tcPr>
            <w:tcW w:w="1806"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056823D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引用章节</w:t>
            </w:r>
          </w:p>
        </w:tc>
      </w:tr>
      <w:tr w14:paraId="1A79BBBE">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32A1FC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GB/T 2589-2020</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294BB7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综合能耗计算通则</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E866C5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折标准煤当量/等价系数</w:t>
            </w:r>
          </w:p>
        </w:tc>
        <w:tc>
          <w:tcPr>
            <w:tcW w:w="18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79965E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第二章二/三/五、第三章六</w:t>
            </w:r>
          </w:p>
        </w:tc>
      </w:tr>
      <w:tr w14:paraId="40B03840">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7FCE3A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GB 17167</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25A299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用能单位能源计量器具配备和管理通则</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CB5E2B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计量器具配备与分级</w:t>
            </w:r>
          </w:p>
        </w:tc>
        <w:tc>
          <w:tcPr>
            <w:tcW w:w="180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B60E38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第二章二、第十章二</w:t>
            </w:r>
          </w:p>
        </w:tc>
      </w:tr>
      <w:tr w14:paraId="1D94FB7A">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C615E1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GB/T 23331 / ISO 50001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6FDD54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能源管理体系要求</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BCDC47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能效自评估与体系认证</w:t>
            </w:r>
          </w:p>
        </w:tc>
        <w:tc>
          <w:tcPr>
            <w:tcW w:w="18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D96DA8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第二章三、四</w:t>
            </w:r>
          </w:p>
        </w:tc>
      </w:tr>
      <w:tr w14:paraId="4E54DEEA">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19A1CB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ISO 14067:2018</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58EB33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温室气体—产品碳足迹—量化要求和指南</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412772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产品碳足迹核算与报告</w:t>
            </w:r>
          </w:p>
        </w:tc>
        <w:tc>
          <w:tcPr>
            <w:tcW w:w="180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8DED84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第三章三</w:t>
            </w:r>
          </w:p>
        </w:tc>
      </w:tr>
      <w:tr w14:paraId="1AEB4382">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07B1D2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ISO 14064-1</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C62E86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温室气体—第 1 部分：组织层次温室气体排放和清除的量化与报告</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2356C7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组织碳盘查</w:t>
            </w:r>
          </w:p>
        </w:tc>
        <w:tc>
          <w:tcPr>
            <w:tcW w:w="18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B6F7BC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第二章四、第三章三</w:t>
            </w:r>
          </w:p>
        </w:tc>
      </w:tr>
      <w:tr w14:paraId="02A58E12">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82DA5B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GHG Protocol</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0A1800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温室气体核算体系</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7A0760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Scope 1/2/3 划分</w:t>
            </w:r>
          </w:p>
        </w:tc>
        <w:tc>
          <w:tcPr>
            <w:tcW w:w="180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19687B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第二章二、三</w:t>
            </w:r>
          </w:p>
        </w:tc>
      </w:tr>
      <w:tr w14:paraId="51D29843">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345DCE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EU 2023/956</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AC749B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欧盟碳边境调节机制条例</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A49C6C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CBAM 申报与关税测算</w:t>
            </w:r>
          </w:p>
        </w:tc>
        <w:tc>
          <w:tcPr>
            <w:tcW w:w="1806"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B65819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第三章四</w:t>
            </w:r>
          </w:p>
        </w:tc>
      </w:tr>
      <w:tr w14:paraId="267AC463">
        <w:tblPrEx>
          <w:tblCellMar>
            <w:top w:w="0" w:type="dxa"/>
            <w:left w:w="108" w:type="dxa"/>
            <w:bottom w:w="0" w:type="dxa"/>
            <w:right w:w="108" w:type="dxa"/>
          </w:tblCellMar>
        </w:tblPrEx>
        <w:trPr>
          <w:jc w:val="center"/>
        </w:trPr>
        <w:tc>
          <w:tcPr>
            <w:tcW w:w="204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DC3C12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IPMVP</w:t>
            </w:r>
          </w:p>
        </w:tc>
        <w:tc>
          <w:tcPr>
            <w:tcW w:w="391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6195875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国际节能量测量与验证规程</w:t>
            </w:r>
          </w:p>
        </w:tc>
        <w:tc>
          <w:tcPr>
            <w:tcW w:w="1685"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9CB472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节能技改节能量核算</w:t>
            </w:r>
          </w:p>
        </w:tc>
        <w:tc>
          <w:tcPr>
            <w:tcW w:w="180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12671E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第二章四</w:t>
            </w:r>
          </w:p>
        </w:tc>
      </w:tr>
    </w:tbl>
    <w:p w14:paraId="26C6D606">
      <w:pPr>
        <w:pStyle w:val="37"/>
        <w:widowControl/>
        <w:rPr>
          <w:rFonts w:ascii="Times New Roman" w:hAnsi="Times New Roman" w:eastAsia="黑体" w:cs="Times New Roman"/>
          <w:b w:val="0"/>
          <w:bCs w:val="0"/>
          <w:sz w:val="36"/>
          <w:szCs w:val="24"/>
        </w:rPr>
      </w:pPr>
    </w:p>
    <w:p w14:paraId="2B0D1813">
      <w:pPr>
        <w:pStyle w:val="37"/>
        <w:widowControl/>
        <w:outlineLvl w:val="0"/>
        <w:rPr>
          <w:rFonts w:ascii="Times New Roman" w:hAnsi="Times New Roman" w:eastAsia="黑体" w:cs="Times New Roman"/>
          <w:b w:val="0"/>
          <w:bCs w:val="0"/>
          <w:sz w:val="36"/>
          <w:szCs w:val="24"/>
        </w:rPr>
      </w:pPr>
      <w:bookmarkStart w:id="119" w:name="_Toc30980"/>
      <w:r>
        <w:rPr>
          <w:rFonts w:ascii="Times New Roman" w:hAnsi="Times New Roman" w:eastAsia="黑体" w:cs="Times New Roman"/>
          <w:b w:val="0"/>
          <w:bCs w:val="0"/>
          <w:sz w:val="36"/>
          <w:szCs w:val="24"/>
        </w:rPr>
        <w:t>附录 B：反模式与反例对照治理清单</w:t>
      </w:r>
      <w:bookmarkEnd w:id="119"/>
    </w:p>
    <w:tbl>
      <w:tblPr>
        <w:tblStyle w:val="38"/>
        <w:tblW w:w="9784" w:type="dxa"/>
        <w:jc w:val="center"/>
        <w:tblLayout w:type="autofit"/>
        <w:tblCellMar>
          <w:top w:w="0" w:type="dxa"/>
          <w:left w:w="108" w:type="dxa"/>
          <w:bottom w:w="0" w:type="dxa"/>
          <w:right w:w="108" w:type="dxa"/>
        </w:tblCellMar>
      </w:tblPr>
      <w:tblGrid>
        <w:gridCol w:w="921"/>
        <w:gridCol w:w="4549"/>
        <w:gridCol w:w="4314"/>
      </w:tblGrid>
      <w:tr w14:paraId="08C0CBE8">
        <w:tblPrEx>
          <w:tblCellMar>
            <w:top w:w="0" w:type="dxa"/>
            <w:left w:w="108" w:type="dxa"/>
            <w:bottom w:w="0" w:type="dxa"/>
            <w:right w:w="108" w:type="dxa"/>
          </w:tblCellMar>
        </w:tblPrEx>
        <w:trPr>
          <w:jc w:val="center"/>
        </w:trPr>
        <w:tc>
          <w:tcPr>
            <w:tcW w:w="92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718733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序号</w:t>
            </w:r>
          </w:p>
        </w:tc>
        <w:tc>
          <w:tcPr>
            <w:tcW w:w="4549"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3444E2E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严禁反模式</w:t>
            </w:r>
          </w:p>
        </w:tc>
        <w:tc>
          <w:tcPr>
            <w:tcW w:w="4314"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vAlign w:val="center"/>
          </w:tcPr>
          <w:p w14:paraId="2DDD29E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正向标准做法</w:t>
            </w:r>
          </w:p>
        </w:tc>
      </w:tr>
      <w:tr w14:paraId="03F0CBC7">
        <w:tblPrEx>
          <w:tblCellMar>
            <w:top w:w="0" w:type="dxa"/>
            <w:left w:w="108" w:type="dxa"/>
            <w:bottom w:w="0" w:type="dxa"/>
            <w:right w:w="108" w:type="dxa"/>
          </w:tblCellMar>
        </w:tblPrEx>
        <w:trPr>
          <w:jc w:val="center"/>
        </w:trPr>
        <w:tc>
          <w:tcPr>
            <w:tcW w:w="9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662B03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w:t>
            </w:r>
          </w:p>
        </w:tc>
        <w:tc>
          <w:tcPr>
            <w:tcW w:w="454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4F44DC7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跨产业单耗混编同一统计列</w:t>
            </w:r>
          </w:p>
        </w:tc>
        <w:tc>
          <w:tcPr>
            <w:tcW w:w="431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1AFFC5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变压器与线缆单耗按量纲分列，独立区块呈现</w:t>
            </w:r>
          </w:p>
        </w:tc>
      </w:tr>
      <w:tr w14:paraId="6C31CFED">
        <w:tblPrEx>
          <w:tblCellMar>
            <w:top w:w="0" w:type="dxa"/>
            <w:left w:w="108" w:type="dxa"/>
            <w:bottom w:w="0" w:type="dxa"/>
            <w:right w:w="108" w:type="dxa"/>
          </w:tblCellMar>
        </w:tblPrEx>
        <w:trPr>
          <w:jc w:val="center"/>
        </w:trPr>
        <w:tc>
          <w:tcPr>
            <w:tcW w:w="92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02C916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2</w:t>
            </w:r>
          </w:p>
        </w:tc>
        <w:tc>
          <w:tcPr>
            <w:tcW w:w="454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C10187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各下级占比直接求算术平均</w:t>
            </w:r>
          </w:p>
        </w:tc>
        <w:tc>
          <w:tcPr>
            <w:tcW w:w="431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E62900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汇总分子分母后重新计算占比</w:t>
            </w:r>
          </w:p>
        </w:tc>
      </w:tr>
      <w:tr w14:paraId="6BC91041">
        <w:tblPrEx>
          <w:tblCellMar>
            <w:top w:w="0" w:type="dxa"/>
            <w:left w:w="108" w:type="dxa"/>
            <w:bottom w:w="0" w:type="dxa"/>
            <w:right w:w="108" w:type="dxa"/>
          </w:tblCellMar>
        </w:tblPrEx>
        <w:trPr>
          <w:jc w:val="center"/>
        </w:trPr>
        <w:tc>
          <w:tcPr>
            <w:tcW w:w="9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AACA21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3</w:t>
            </w:r>
          </w:p>
        </w:tc>
        <w:tc>
          <w:tcPr>
            <w:tcW w:w="454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5B5204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分母为 0 时显示 NaN / Infinity / 白屏</w:t>
            </w:r>
          </w:p>
        </w:tc>
        <w:tc>
          <w:tcPr>
            <w:tcW w:w="431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779C3C1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 xml:space="preserve">统一安全兜底显示 </w:t>
            </w:r>
            <w:r>
              <w:rPr>
                <w:rFonts w:hint="eastAsia" w:ascii="宋体" w:hAnsi="宋体" w:eastAsia="宋体" w:cs="宋体"/>
                <w:b w:val="0"/>
                <w:i w:val="0"/>
                <w:iCs w:val="0"/>
                <w:color w:val="0284C7"/>
                <w:sz w:val="24"/>
                <w:szCs w:val="24"/>
              </w:rPr>
              <w:t xml:space="preserve"> -- </w:t>
            </w:r>
            <w:r>
              <w:rPr>
                <w:rFonts w:hint="eastAsia" w:ascii="宋体" w:hAnsi="宋体" w:eastAsia="宋体" w:cs="宋体"/>
                <w:i w:val="0"/>
                <w:iCs w:val="0"/>
                <w:color w:val="1F2937"/>
                <w:sz w:val="24"/>
                <w:szCs w:val="24"/>
              </w:rPr>
              <w:t xml:space="preserve"> 并悬停友好说明</w:t>
            </w:r>
          </w:p>
        </w:tc>
      </w:tr>
      <w:tr w14:paraId="21A0CED9">
        <w:tblPrEx>
          <w:tblCellMar>
            <w:top w:w="0" w:type="dxa"/>
            <w:left w:w="108" w:type="dxa"/>
            <w:bottom w:w="0" w:type="dxa"/>
            <w:right w:w="108" w:type="dxa"/>
          </w:tblCellMar>
        </w:tblPrEx>
        <w:trPr>
          <w:jc w:val="center"/>
        </w:trPr>
        <w:tc>
          <w:tcPr>
            <w:tcW w:w="92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413788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4</w:t>
            </w:r>
          </w:p>
        </w:tc>
        <w:tc>
          <w:tcPr>
            <w:tcW w:w="454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2D18A90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无工序单位显示空白占位卡片或说教文案</w:t>
            </w:r>
          </w:p>
        </w:tc>
        <w:tc>
          <w:tcPr>
            <w:tcW w:w="431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0690E08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整行单行输出"暂无相关工序！"</w:t>
            </w:r>
          </w:p>
        </w:tc>
      </w:tr>
      <w:tr w14:paraId="5407D18A">
        <w:tblPrEx>
          <w:tblCellMar>
            <w:top w:w="0" w:type="dxa"/>
            <w:left w:w="108" w:type="dxa"/>
            <w:bottom w:w="0" w:type="dxa"/>
            <w:right w:w="108" w:type="dxa"/>
          </w:tblCellMar>
        </w:tblPrEx>
        <w:trPr>
          <w:jc w:val="center"/>
        </w:trPr>
        <w:tc>
          <w:tcPr>
            <w:tcW w:w="9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AD293A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5</w:t>
            </w:r>
          </w:p>
        </w:tc>
        <w:tc>
          <w:tcPr>
            <w:tcW w:w="454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3180E7C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使用"表现优异/落后单位/运行欠佳"等定性评语</w:t>
            </w:r>
          </w:p>
        </w:tc>
        <w:tc>
          <w:tcPr>
            <w:tcW w:w="431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082B4C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以客观数值与时序环比自解释</w:t>
            </w:r>
          </w:p>
        </w:tc>
      </w:tr>
      <w:tr w14:paraId="6B2425BE">
        <w:tblPrEx>
          <w:tblCellMar>
            <w:top w:w="0" w:type="dxa"/>
            <w:left w:w="108" w:type="dxa"/>
            <w:bottom w:w="0" w:type="dxa"/>
            <w:right w:w="108" w:type="dxa"/>
          </w:tblCellMar>
        </w:tblPrEx>
        <w:trPr>
          <w:jc w:val="center"/>
        </w:trPr>
        <w:tc>
          <w:tcPr>
            <w:tcW w:w="92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51090A0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6</w:t>
            </w:r>
          </w:p>
        </w:tc>
        <w:tc>
          <w:tcPr>
            <w:tcW w:w="454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3D4798B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卡片右上角添加"已联动过滤"等过程标签</w:t>
            </w:r>
          </w:p>
        </w:tc>
        <w:tc>
          <w:tcPr>
            <w:tcW w:w="431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AF0A5A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以边框高亮承载激活态</w:t>
            </w:r>
          </w:p>
        </w:tc>
      </w:tr>
      <w:tr w14:paraId="3929AC81">
        <w:tblPrEx>
          <w:tblCellMar>
            <w:top w:w="0" w:type="dxa"/>
            <w:left w:w="108" w:type="dxa"/>
            <w:bottom w:w="0" w:type="dxa"/>
            <w:right w:w="108" w:type="dxa"/>
          </w:tblCellMar>
        </w:tblPrEx>
        <w:trPr>
          <w:jc w:val="center"/>
        </w:trPr>
        <w:tc>
          <w:tcPr>
            <w:tcW w:w="9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7FCE8D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7</w:t>
            </w:r>
          </w:p>
        </w:tc>
        <w:tc>
          <w:tcPr>
            <w:tcW w:w="454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1F6AC13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用插值填补缺失月份趋势</w:t>
            </w:r>
          </w:p>
        </w:tc>
        <w:tc>
          <w:tcPr>
            <w:tcW w:w="431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5D28093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保持真实断层，不插值</w:t>
            </w:r>
          </w:p>
        </w:tc>
      </w:tr>
      <w:tr w14:paraId="1C81F635">
        <w:tblPrEx>
          <w:tblCellMar>
            <w:top w:w="0" w:type="dxa"/>
            <w:left w:w="108" w:type="dxa"/>
            <w:bottom w:w="0" w:type="dxa"/>
            <w:right w:w="108" w:type="dxa"/>
          </w:tblCellMar>
        </w:tblPrEx>
        <w:trPr>
          <w:jc w:val="center"/>
        </w:trPr>
        <w:tc>
          <w:tcPr>
            <w:tcW w:w="92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1F673C0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8</w:t>
            </w:r>
          </w:p>
        </w:tc>
        <w:tc>
          <w:tcPr>
            <w:tcW w:w="454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4B8C330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用当前版本参数倒推历史核算</w:t>
            </w:r>
          </w:p>
        </w:tc>
        <w:tc>
          <w:tcPr>
            <w:tcW w:w="431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E58C03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按业务发生时间匹配当时生效版本</w:t>
            </w:r>
          </w:p>
        </w:tc>
      </w:tr>
      <w:tr w14:paraId="14A91211">
        <w:tblPrEx>
          <w:tblCellMar>
            <w:top w:w="0" w:type="dxa"/>
            <w:left w:w="108" w:type="dxa"/>
            <w:bottom w:w="0" w:type="dxa"/>
            <w:right w:w="108" w:type="dxa"/>
          </w:tblCellMar>
        </w:tblPrEx>
        <w:trPr>
          <w:jc w:val="center"/>
        </w:trPr>
        <w:tc>
          <w:tcPr>
            <w:tcW w:w="92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0221AEE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9</w:t>
            </w:r>
          </w:p>
        </w:tc>
        <w:tc>
          <w:tcPr>
            <w:tcW w:w="4549"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17AD2A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折标口径在同页面混用</w:t>
            </w:r>
          </w:p>
        </w:tc>
        <w:tc>
          <w:tcPr>
            <w:tcW w:w="4314"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vAlign w:val="center"/>
          </w:tcPr>
          <w:p w14:paraId="261DA94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全页统一口径并显式标注</w:t>
            </w:r>
          </w:p>
        </w:tc>
      </w:tr>
      <w:tr w14:paraId="53BE67B4">
        <w:tblPrEx>
          <w:tblCellMar>
            <w:top w:w="0" w:type="dxa"/>
            <w:left w:w="108" w:type="dxa"/>
            <w:bottom w:w="0" w:type="dxa"/>
            <w:right w:w="108" w:type="dxa"/>
          </w:tblCellMar>
        </w:tblPrEx>
        <w:trPr>
          <w:jc w:val="center"/>
        </w:trPr>
        <w:tc>
          <w:tcPr>
            <w:tcW w:w="92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2C5E80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10</w:t>
            </w:r>
          </w:p>
        </w:tc>
        <w:tc>
          <w:tcPr>
            <w:tcW w:w="454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9D2C4B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认证报告导出无水印</w:t>
            </w:r>
          </w:p>
        </w:tc>
        <w:tc>
          <w:tcPr>
            <w:tcW w:w="431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vAlign w:val="center"/>
          </w:tcPr>
          <w:p w14:paraId="7496450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强制注入工号、时间戳与哈希</w:t>
            </w:r>
          </w:p>
        </w:tc>
      </w:tr>
    </w:tbl>
    <w:p w14:paraId="4864ABD6">
      <w:pPr>
        <w:pStyle w:val="37"/>
        <w:widowControl/>
        <w:outlineLvl w:val="0"/>
        <w:rPr>
          <w:rFonts w:hint="eastAsia" w:ascii="宋体" w:hAnsi="宋体" w:eastAsia="宋体" w:cs="宋体"/>
          <w:i w:val="0"/>
          <w:iCs w:val="0"/>
          <w:sz w:val="24"/>
          <w:szCs w:val="24"/>
        </w:rPr>
      </w:pPr>
      <w:bookmarkStart w:id="120" w:name="_Toc16807"/>
      <w:r>
        <w:rPr>
          <w:rFonts w:ascii="Times New Roman" w:hAnsi="Times New Roman" w:eastAsia="黑体" w:cs="Times New Roman"/>
          <w:b w:val="0"/>
          <w:bCs w:val="0"/>
          <w:sz w:val="36"/>
          <w:szCs w:val="24"/>
        </w:rPr>
        <w:t>附录 C：企业组织结构树</w:t>
      </w:r>
      <w:bookmarkEnd w:id="120"/>
    </w:p>
    <w:tbl>
      <w:tblPr>
        <w:tblStyle w:val="38"/>
        <w:tblW w:w="953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Layout w:type="autofit"/>
        <w:tblCellMar>
          <w:top w:w="0" w:type="dxa"/>
          <w:left w:w="0" w:type="dxa"/>
          <w:bottom w:w="0" w:type="dxa"/>
          <w:right w:w="0" w:type="dxa"/>
        </w:tblCellMar>
      </w:tblPr>
      <w:tblGrid>
        <w:gridCol w:w="1152"/>
        <w:gridCol w:w="1706"/>
        <w:gridCol w:w="1680"/>
        <w:gridCol w:w="3358"/>
        <w:gridCol w:w="1634"/>
      </w:tblGrid>
      <w:tr w14:paraId="46999D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1152" w:type="dxa"/>
            <w:tcBorders>
              <w:top w:val="nil"/>
              <w:left w:val="nil"/>
              <w:bottom w:val="nil"/>
              <w:right w:val="nil"/>
              <w:tl2br w:val="nil"/>
            </w:tcBorders>
            <w:shd w:val="clear" w:color="auto" w:fill="1E3A8A"/>
            <w:noWrap w:val="0"/>
            <w:tcMar>
              <w:top w:w="-1" w:type="dxa"/>
              <w:left w:w="-1" w:type="dxa"/>
              <w:bottom w:w="-1" w:type="dxa"/>
              <w:right w:w="-1" w:type="dxa"/>
            </w:tcMar>
            <w:vAlign w:val="center"/>
          </w:tcPr>
          <w:p w14:paraId="3CC13185">
            <w:pPr>
              <w:spacing w:before="0" w:after="0" w:line="240" w:lineRule="auto"/>
              <w:ind w:left="0" w:leftChars="0" w:right="0" w:rightChars="0" w:firstLine="0" w:firstLineChars="0"/>
              <w:jc w:val="center"/>
              <w:rPr>
                <w:rFonts w:hint="eastAsia" w:ascii="宋体" w:hAnsi="宋体" w:eastAsia="宋体" w:cs="宋体"/>
                <w:b/>
                <w:i w:val="0"/>
                <w:iCs w:val="0"/>
                <w:color w:val="FFFFFF"/>
                <w:sz w:val="24"/>
                <w:szCs w:val="24"/>
              </w:rPr>
            </w:pPr>
            <w:r>
              <w:rPr>
                <w:rFonts w:hint="eastAsia" w:ascii="宋体" w:hAnsi="宋体" w:eastAsia="宋体" w:cs="宋体"/>
                <w:b/>
                <w:i w:val="0"/>
                <w:iCs w:val="0"/>
                <w:color w:val="FFFFFF"/>
                <w:sz w:val="24"/>
                <w:szCs w:val="24"/>
                <w:lang w:val="en-US" w:eastAsia="zh-CN"/>
              </w:rPr>
              <w:t>经营单位</w:t>
            </w:r>
          </w:p>
        </w:tc>
        <w:tc>
          <w:tcPr>
            <w:tcW w:w="1706" w:type="dxa"/>
            <w:tcBorders>
              <w:top w:val="nil"/>
              <w:left w:val="nil"/>
              <w:bottom w:val="nil"/>
              <w:right w:val="nil"/>
            </w:tcBorders>
            <w:shd w:val="clear" w:color="auto" w:fill="1E3A8A"/>
            <w:noWrap w:val="0"/>
            <w:tcMar>
              <w:top w:w="-1" w:type="dxa"/>
              <w:left w:w="-1" w:type="dxa"/>
              <w:bottom w:w="-1" w:type="dxa"/>
              <w:right w:w="-1" w:type="dxa"/>
            </w:tcMar>
            <w:vAlign w:val="center"/>
          </w:tcPr>
          <w:p w14:paraId="5BE0912B">
            <w:pPr>
              <w:spacing w:before="0" w:after="0" w:line="240" w:lineRule="auto"/>
              <w:ind w:left="0" w:leftChars="0" w:right="0" w:rightChars="0" w:firstLine="0" w:firstLineChars="0"/>
              <w:jc w:val="center"/>
              <w:rPr>
                <w:rFonts w:hint="eastAsia" w:ascii="宋体" w:hAnsi="宋体" w:eastAsia="宋体" w:cs="宋体"/>
                <w:b/>
                <w:i w:val="0"/>
                <w:iCs w:val="0"/>
                <w:color w:val="FFFFFF"/>
                <w:sz w:val="24"/>
                <w:szCs w:val="24"/>
              </w:rPr>
            </w:pPr>
            <w:r>
              <w:rPr>
                <w:rFonts w:hint="eastAsia" w:ascii="宋体" w:hAnsi="宋体" w:eastAsia="宋体" w:cs="宋体"/>
                <w:b/>
                <w:i w:val="0"/>
                <w:iCs w:val="0"/>
                <w:color w:val="FFFFFF"/>
                <w:sz w:val="24"/>
                <w:szCs w:val="24"/>
                <w:lang w:val="en-US" w:eastAsia="zh-CN"/>
              </w:rPr>
              <w:t>原表二级单位</w:t>
            </w:r>
          </w:p>
        </w:tc>
        <w:tc>
          <w:tcPr>
            <w:tcW w:w="0" w:type="auto"/>
            <w:tcBorders>
              <w:top w:val="nil"/>
              <w:left w:val="nil"/>
              <w:bottom w:val="nil"/>
              <w:right w:val="nil"/>
            </w:tcBorders>
            <w:shd w:val="clear" w:color="auto" w:fill="1E3A8A"/>
            <w:noWrap w:val="0"/>
            <w:tcMar>
              <w:top w:w="-1" w:type="dxa"/>
              <w:left w:w="-1" w:type="dxa"/>
              <w:bottom w:w="-1" w:type="dxa"/>
              <w:right w:w="-1" w:type="dxa"/>
            </w:tcMar>
            <w:vAlign w:val="center"/>
          </w:tcPr>
          <w:p w14:paraId="0B995F58">
            <w:pPr>
              <w:spacing w:before="0" w:after="0" w:line="240" w:lineRule="auto"/>
              <w:ind w:left="0" w:leftChars="0" w:right="0" w:rightChars="0" w:firstLine="0" w:firstLineChars="0"/>
              <w:jc w:val="center"/>
              <w:rPr>
                <w:rFonts w:hint="eastAsia" w:ascii="宋体" w:hAnsi="宋体" w:eastAsia="宋体" w:cs="宋体"/>
                <w:b/>
                <w:i w:val="0"/>
                <w:iCs w:val="0"/>
                <w:color w:val="FFFFFF"/>
                <w:sz w:val="24"/>
                <w:szCs w:val="24"/>
              </w:rPr>
            </w:pPr>
            <w:r>
              <w:rPr>
                <w:rFonts w:hint="eastAsia" w:ascii="宋体" w:hAnsi="宋体" w:eastAsia="宋体" w:cs="宋体"/>
                <w:b/>
                <w:i w:val="0"/>
                <w:iCs w:val="0"/>
                <w:color w:val="FFFFFF"/>
                <w:sz w:val="24"/>
                <w:szCs w:val="24"/>
                <w:lang w:val="en-US" w:eastAsia="zh-CN"/>
              </w:rPr>
              <w:t>原表主要产品</w:t>
            </w:r>
          </w:p>
        </w:tc>
        <w:tc>
          <w:tcPr>
            <w:tcW w:w="3358" w:type="dxa"/>
            <w:tcBorders>
              <w:top w:val="nil"/>
              <w:left w:val="nil"/>
              <w:bottom w:val="nil"/>
              <w:right w:val="nil"/>
            </w:tcBorders>
            <w:shd w:val="clear" w:color="auto" w:fill="1E3A8A"/>
            <w:noWrap w:val="0"/>
            <w:tcMar>
              <w:top w:w="-1" w:type="dxa"/>
              <w:left w:w="-1" w:type="dxa"/>
              <w:bottom w:w="-1" w:type="dxa"/>
              <w:right w:w="-1" w:type="dxa"/>
            </w:tcMar>
            <w:vAlign w:val="center"/>
          </w:tcPr>
          <w:p w14:paraId="20CC4179">
            <w:pPr>
              <w:spacing w:before="0" w:after="0" w:line="240" w:lineRule="auto"/>
              <w:ind w:left="0" w:leftChars="0" w:right="0" w:rightChars="0" w:firstLine="0" w:firstLineChars="0"/>
              <w:jc w:val="center"/>
              <w:rPr>
                <w:rFonts w:hint="eastAsia" w:ascii="宋体" w:hAnsi="宋体" w:eastAsia="宋体" w:cs="宋体"/>
                <w:b/>
                <w:i w:val="0"/>
                <w:iCs w:val="0"/>
                <w:color w:val="FFFFFF"/>
                <w:sz w:val="24"/>
                <w:szCs w:val="24"/>
              </w:rPr>
            </w:pPr>
            <w:r>
              <w:rPr>
                <w:rFonts w:hint="eastAsia" w:ascii="宋体" w:hAnsi="宋体" w:eastAsia="宋体" w:cs="宋体"/>
                <w:b/>
                <w:i w:val="0"/>
                <w:iCs w:val="0"/>
                <w:color w:val="FFFFFF"/>
                <w:sz w:val="24"/>
                <w:szCs w:val="24"/>
                <w:lang w:val="en-US" w:eastAsia="zh-CN"/>
              </w:rPr>
              <w:t>原表关键工序</w:t>
            </w:r>
          </w:p>
        </w:tc>
        <w:tc>
          <w:tcPr>
            <w:tcW w:w="1634" w:type="dxa"/>
            <w:tcBorders>
              <w:top w:val="nil"/>
              <w:left w:val="nil"/>
              <w:bottom w:val="nil"/>
              <w:right w:val="nil"/>
            </w:tcBorders>
            <w:shd w:val="clear" w:color="auto" w:fill="1E3A8A"/>
            <w:noWrap w:val="0"/>
            <w:tcMar>
              <w:top w:w="-1" w:type="dxa"/>
              <w:left w:w="-1" w:type="dxa"/>
              <w:bottom w:w="-1" w:type="dxa"/>
              <w:right w:w="-1" w:type="dxa"/>
            </w:tcMar>
            <w:vAlign w:val="center"/>
          </w:tcPr>
          <w:p w14:paraId="57CD1618">
            <w:pPr>
              <w:spacing w:before="0" w:after="0" w:line="240" w:lineRule="auto"/>
              <w:ind w:left="0" w:leftChars="0" w:right="0" w:rightChars="0" w:firstLine="0" w:firstLineChars="0"/>
              <w:jc w:val="center"/>
              <w:rPr>
                <w:rFonts w:hint="eastAsia" w:ascii="宋体" w:hAnsi="宋体" w:eastAsia="宋体" w:cs="宋体"/>
                <w:b/>
                <w:i w:val="0"/>
                <w:iCs w:val="0"/>
                <w:color w:val="FFFFFF"/>
                <w:sz w:val="24"/>
                <w:szCs w:val="24"/>
              </w:rPr>
            </w:pPr>
            <w:r>
              <w:rPr>
                <w:rFonts w:hint="eastAsia" w:ascii="宋体" w:hAnsi="宋体" w:eastAsia="宋体" w:cs="宋体"/>
                <w:b/>
                <w:i w:val="0"/>
                <w:iCs w:val="0"/>
                <w:color w:val="FFFFFF"/>
                <w:sz w:val="24"/>
                <w:szCs w:val="24"/>
                <w:lang w:val="en-US" w:eastAsia="zh-CN"/>
              </w:rPr>
              <w:t>主要消耗能源</w:t>
            </w:r>
          </w:p>
        </w:tc>
      </w:tr>
      <w:tr w14:paraId="1D4F24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1152" w:type="dxa"/>
            <w:vMerge w:val="restart"/>
            <w:tcBorders>
              <w:top w:val="nil"/>
              <w:left w:val="nil"/>
              <w:bottom w:val="nil"/>
              <w:right w:val="nil"/>
            </w:tcBorders>
            <w:shd w:val="clear" w:color="auto" w:fill="FFFFFF"/>
            <w:noWrap w:val="0"/>
            <w:tcMar>
              <w:top w:w="-1" w:type="dxa"/>
              <w:left w:w="-1" w:type="dxa"/>
              <w:bottom w:w="-1" w:type="dxa"/>
              <w:right w:w="-1" w:type="dxa"/>
            </w:tcMar>
            <w:vAlign w:val="center"/>
          </w:tcPr>
          <w:p w14:paraId="4596E1CA">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沈变公司</w:t>
            </w:r>
          </w:p>
        </w:tc>
        <w:tc>
          <w:tcPr>
            <w:tcW w:w="1706" w:type="dxa"/>
            <w:tcBorders>
              <w:top w:val="nil"/>
              <w:left w:val="nil"/>
              <w:bottom w:val="nil"/>
              <w:right w:val="nil"/>
            </w:tcBorders>
            <w:shd w:val="clear" w:color="auto" w:fill="FFFFFF"/>
            <w:noWrap w:val="0"/>
            <w:tcMar>
              <w:top w:w="-1" w:type="dxa"/>
              <w:left w:w="-1" w:type="dxa"/>
              <w:bottom w:w="-1" w:type="dxa"/>
              <w:right w:w="-1" w:type="dxa"/>
            </w:tcMar>
            <w:vAlign w:val="center"/>
          </w:tcPr>
          <w:p w14:paraId="7838A283">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沈变本部</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01BED07D">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变压器-高压</w:t>
            </w:r>
          </w:p>
        </w:tc>
        <w:tc>
          <w:tcPr>
            <w:tcW w:w="3358" w:type="dxa"/>
            <w:tcBorders>
              <w:top w:val="nil"/>
              <w:left w:val="nil"/>
              <w:bottom w:val="nil"/>
              <w:right w:val="nil"/>
            </w:tcBorders>
            <w:shd w:val="clear" w:color="auto" w:fill="FFFFFF"/>
            <w:noWrap w:val="0"/>
            <w:tcMar>
              <w:top w:w="-1" w:type="dxa"/>
              <w:left w:w="-1" w:type="dxa"/>
              <w:bottom w:w="-1" w:type="dxa"/>
              <w:right w:w="-1" w:type="dxa"/>
            </w:tcMar>
            <w:vAlign w:val="center"/>
          </w:tcPr>
          <w:p w14:paraId="6F14B750">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①高压-干燥 ②试验</w:t>
            </w:r>
          </w:p>
        </w:tc>
        <w:tc>
          <w:tcPr>
            <w:tcW w:w="1634" w:type="dxa"/>
            <w:tcBorders>
              <w:top w:val="nil"/>
              <w:left w:val="nil"/>
              <w:bottom w:val="nil"/>
              <w:right w:val="nil"/>
            </w:tcBorders>
            <w:shd w:val="clear" w:color="auto" w:fill="FFFFFF"/>
            <w:noWrap w:val="0"/>
            <w:tcMar>
              <w:top w:w="-1" w:type="dxa"/>
              <w:left w:w="-1" w:type="dxa"/>
              <w:bottom w:w="-1" w:type="dxa"/>
              <w:right w:w="-1" w:type="dxa"/>
            </w:tcMar>
            <w:vAlign w:val="center"/>
          </w:tcPr>
          <w:p w14:paraId="1336E3DA">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电力、蒸汽</w:t>
            </w:r>
          </w:p>
        </w:tc>
      </w:tr>
      <w:tr w14:paraId="03EA2B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1152" w:type="dxa"/>
            <w:vMerge w:val="continue"/>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22B1A655">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06"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5941C711">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和新套管公司</w:t>
            </w:r>
          </w:p>
        </w:tc>
        <w:tc>
          <w:tcPr>
            <w:tcW w:w="0" w:type="auto"/>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7D9F38A1">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套管</w:t>
            </w:r>
          </w:p>
        </w:tc>
        <w:tc>
          <w:tcPr>
            <w:tcW w:w="3358"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448505BF">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①套管-干燥</w:t>
            </w:r>
          </w:p>
        </w:tc>
        <w:tc>
          <w:tcPr>
            <w:tcW w:w="1634"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70810627">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电力</w:t>
            </w:r>
          </w:p>
        </w:tc>
      </w:tr>
      <w:tr w14:paraId="4BA71F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1152" w:type="dxa"/>
            <w:vMerge w:val="continue"/>
            <w:tcBorders>
              <w:top w:val="nil"/>
              <w:left w:val="nil"/>
              <w:bottom w:val="nil"/>
              <w:right w:val="nil"/>
            </w:tcBorders>
            <w:shd w:val="clear" w:color="auto" w:fill="FFFFFF"/>
            <w:noWrap w:val="0"/>
            <w:tcMar>
              <w:top w:w="-1" w:type="dxa"/>
              <w:left w:w="-1" w:type="dxa"/>
              <w:bottom w:w="-1" w:type="dxa"/>
              <w:right w:w="-1" w:type="dxa"/>
            </w:tcMar>
            <w:vAlign w:val="center"/>
          </w:tcPr>
          <w:p w14:paraId="788172BD">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06" w:type="dxa"/>
            <w:tcBorders>
              <w:top w:val="nil"/>
              <w:left w:val="nil"/>
              <w:bottom w:val="nil"/>
              <w:right w:val="nil"/>
            </w:tcBorders>
            <w:shd w:val="clear" w:color="auto" w:fill="FFFFFF"/>
            <w:noWrap w:val="0"/>
            <w:tcMar>
              <w:top w:w="-1" w:type="dxa"/>
              <w:left w:w="-1" w:type="dxa"/>
              <w:bottom w:w="-1" w:type="dxa"/>
              <w:right w:w="-1" w:type="dxa"/>
            </w:tcMar>
            <w:vAlign w:val="center"/>
          </w:tcPr>
          <w:p w14:paraId="070B3649">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康嘉互感器</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274340A6">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互感器</w:t>
            </w:r>
          </w:p>
        </w:tc>
        <w:tc>
          <w:tcPr>
            <w:tcW w:w="3358" w:type="dxa"/>
            <w:tcBorders>
              <w:top w:val="nil"/>
              <w:left w:val="nil"/>
              <w:bottom w:val="nil"/>
              <w:right w:val="nil"/>
            </w:tcBorders>
            <w:shd w:val="clear" w:color="auto" w:fill="FFFFFF"/>
            <w:noWrap w:val="0"/>
            <w:tcMar>
              <w:top w:w="-1" w:type="dxa"/>
              <w:left w:w="-1" w:type="dxa"/>
              <w:bottom w:w="-1" w:type="dxa"/>
              <w:right w:w="-1" w:type="dxa"/>
            </w:tcMar>
            <w:vAlign w:val="center"/>
          </w:tcPr>
          <w:p w14:paraId="64EC94F3">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①互感器-干燥 ②试验</w:t>
            </w:r>
          </w:p>
        </w:tc>
        <w:tc>
          <w:tcPr>
            <w:tcW w:w="1634" w:type="dxa"/>
            <w:tcBorders>
              <w:top w:val="nil"/>
              <w:left w:val="nil"/>
              <w:bottom w:val="nil"/>
              <w:right w:val="nil"/>
            </w:tcBorders>
            <w:shd w:val="clear" w:color="auto" w:fill="FFFFFF"/>
            <w:noWrap w:val="0"/>
            <w:tcMar>
              <w:top w:w="-1" w:type="dxa"/>
              <w:left w:w="-1" w:type="dxa"/>
              <w:bottom w:w="-1" w:type="dxa"/>
              <w:right w:w="-1" w:type="dxa"/>
            </w:tcMar>
            <w:vAlign w:val="center"/>
          </w:tcPr>
          <w:p w14:paraId="07099F19">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电力、蒸汽</w:t>
            </w:r>
          </w:p>
        </w:tc>
      </w:tr>
      <w:tr w14:paraId="685F7A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1152" w:type="dxa"/>
            <w:vMerge w:val="continue"/>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10537A95">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06"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0F875239">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智慧能源</w:t>
            </w:r>
          </w:p>
        </w:tc>
        <w:tc>
          <w:tcPr>
            <w:tcW w:w="0" w:type="auto"/>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6AEF4E4A">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3358"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74F68990">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634"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20064B87">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r>
      <w:tr w14:paraId="71918A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1152" w:type="dxa"/>
            <w:vMerge w:val="continue"/>
            <w:tcBorders>
              <w:top w:val="nil"/>
              <w:left w:val="nil"/>
              <w:bottom w:val="nil"/>
              <w:right w:val="nil"/>
            </w:tcBorders>
            <w:shd w:val="clear" w:color="auto" w:fill="FFFFFF"/>
            <w:noWrap w:val="0"/>
            <w:tcMar>
              <w:top w:w="-1" w:type="dxa"/>
              <w:left w:w="-1" w:type="dxa"/>
              <w:bottom w:w="-1" w:type="dxa"/>
              <w:right w:w="-1" w:type="dxa"/>
            </w:tcMar>
            <w:vAlign w:val="center"/>
          </w:tcPr>
          <w:p w14:paraId="0AE187AF">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06" w:type="dxa"/>
            <w:tcBorders>
              <w:top w:val="nil"/>
              <w:left w:val="nil"/>
              <w:bottom w:val="nil"/>
              <w:right w:val="nil"/>
            </w:tcBorders>
            <w:shd w:val="clear" w:color="auto" w:fill="FFFFFF"/>
            <w:noWrap w:val="0"/>
            <w:tcMar>
              <w:top w:w="-1" w:type="dxa"/>
              <w:left w:w="-1" w:type="dxa"/>
              <w:bottom w:w="-1" w:type="dxa"/>
              <w:right w:w="-1" w:type="dxa"/>
            </w:tcMar>
            <w:vAlign w:val="center"/>
          </w:tcPr>
          <w:p w14:paraId="2780EA1C">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印能公司</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0696D517">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3358" w:type="dxa"/>
            <w:tcBorders>
              <w:top w:val="nil"/>
              <w:left w:val="nil"/>
              <w:bottom w:val="nil"/>
              <w:right w:val="nil"/>
            </w:tcBorders>
            <w:shd w:val="clear" w:color="auto" w:fill="FFFFFF"/>
            <w:noWrap w:val="0"/>
            <w:tcMar>
              <w:top w:w="-1" w:type="dxa"/>
              <w:left w:w="-1" w:type="dxa"/>
              <w:bottom w:w="-1" w:type="dxa"/>
              <w:right w:w="-1" w:type="dxa"/>
            </w:tcMar>
            <w:vAlign w:val="center"/>
          </w:tcPr>
          <w:p w14:paraId="6C616ED6">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634" w:type="dxa"/>
            <w:tcBorders>
              <w:top w:val="nil"/>
              <w:left w:val="nil"/>
              <w:bottom w:val="nil"/>
              <w:right w:val="nil"/>
            </w:tcBorders>
            <w:shd w:val="clear" w:color="auto" w:fill="FFFFFF"/>
            <w:noWrap w:val="0"/>
            <w:tcMar>
              <w:top w:w="-1" w:type="dxa"/>
              <w:left w:w="-1" w:type="dxa"/>
              <w:bottom w:w="-1" w:type="dxa"/>
              <w:right w:w="-1" w:type="dxa"/>
            </w:tcMar>
            <w:vAlign w:val="center"/>
          </w:tcPr>
          <w:p w14:paraId="11D26AB7">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r>
      <w:tr w14:paraId="1A6218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1152" w:type="dxa"/>
            <w:vMerge w:val="continue"/>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0F798DDC">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06"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43AD1B13">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露娜公司</w:t>
            </w:r>
          </w:p>
        </w:tc>
        <w:tc>
          <w:tcPr>
            <w:tcW w:w="0" w:type="auto"/>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6D390A2C">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3358"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08D8DECF">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634"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51F7DAA9">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r>
      <w:tr w14:paraId="63FFC8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1152" w:type="dxa"/>
            <w:vMerge w:val="restart"/>
            <w:tcBorders>
              <w:top w:val="nil"/>
              <w:left w:val="nil"/>
              <w:bottom w:val="nil"/>
              <w:right w:val="nil"/>
            </w:tcBorders>
            <w:shd w:val="clear" w:color="auto" w:fill="FFFFFF"/>
            <w:noWrap w:val="0"/>
            <w:tcMar>
              <w:top w:w="-1" w:type="dxa"/>
              <w:left w:w="-1" w:type="dxa"/>
              <w:bottom w:w="-1" w:type="dxa"/>
              <w:right w:w="-1" w:type="dxa"/>
            </w:tcMar>
            <w:vAlign w:val="center"/>
          </w:tcPr>
          <w:p w14:paraId="242F0994">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衡变公司</w:t>
            </w:r>
          </w:p>
        </w:tc>
        <w:tc>
          <w:tcPr>
            <w:tcW w:w="1706" w:type="dxa"/>
            <w:tcBorders>
              <w:top w:val="nil"/>
              <w:left w:val="nil"/>
              <w:bottom w:val="nil"/>
              <w:right w:val="nil"/>
            </w:tcBorders>
            <w:shd w:val="clear" w:color="auto" w:fill="FFFFFF"/>
            <w:noWrap w:val="0"/>
            <w:tcMar>
              <w:top w:w="-1" w:type="dxa"/>
              <w:left w:w="-1" w:type="dxa"/>
              <w:bottom w:w="-1" w:type="dxa"/>
              <w:right w:w="-1" w:type="dxa"/>
            </w:tcMar>
            <w:vAlign w:val="center"/>
          </w:tcPr>
          <w:p w14:paraId="60C2C539">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衡变本部</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7BAAD16F">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变压器-高压</w:t>
            </w:r>
          </w:p>
        </w:tc>
        <w:tc>
          <w:tcPr>
            <w:tcW w:w="3358" w:type="dxa"/>
            <w:tcBorders>
              <w:top w:val="nil"/>
              <w:left w:val="nil"/>
              <w:bottom w:val="nil"/>
              <w:right w:val="nil"/>
            </w:tcBorders>
            <w:shd w:val="clear" w:color="auto" w:fill="FFFFFF"/>
            <w:noWrap w:val="0"/>
            <w:tcMar>
              <w:top w:w="-1" w:type="dxa"/>
              <w:left w:w="-1" w:type="dxa"/>
              <w:bottom w:w="-1" w:type="dxa"/>
              <w:right w:w="-1" w:type="dxa"/>
            </w:tcMar>
            <w:vAlign w:val="center"/>
          </w:tcPr>
          <w:p w14:paraId="11D91174">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①高压-干燥 ②试验</w:t>
            </w:r>
          </w:p>
        </w:tc>
        <w:tc>
          <w:tcPr>
            <w:tcW w:w="1634" w:type="dxa"/>
            <w:tcBorders>
              <w:top w:val="nil"/>
              <w:left w:val="nil"/>
              <w:bottom w:val="nil"/>
              <w:right w:val="nil"/>
            </w:tcBorders>
            <w:shd w:val="clear" w:color="auto" w:fill="FFFFFF"/>
            <w:noWrap w:val="0"/>
            <w:tcMar>
              <w:top w:w="-1" w:type="dxa"/>
              <w:left w:w="-1" w:type="dxa"/>
              <w:bottom w:w="-1" w:type="dxa"/>
              <w:right w:w="-1" w:type="dxa"/>
            </w:tcMar>
            <w:vAlign w:val="center"/>
          </w:tcPr>
          <w:p w14:paraId="004C7609">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电力、蒸汽</w:t>
            </w:r>
          </w:p>
        </w:tc>
      </w:tr>
      <w:tr w14:paraId="5948E4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1152" w:type="dxa"/>
            <w:vMerge w:val="continue"/>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1BE7E40A">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06"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7F8E70C6">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湖南电气</w:t>
            </w:r>
          </w:p>
        </w:tc>
        <w:tc>
          <w:tcPr>
            <w:tcW w:w="0" w:type="auto"/>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7F6915B8">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变压器-高压</w:t>
            </w:r>
          </w:p>
        </w:tc>
        <w:tc>
          <w:tcPr>
            <w:tcW w:w="3358"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12FB0B36">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①高压-干燥 ②试验</w:t>
            </w:r>
          </w:p>
        </w:tc>
        <w:tc>
          <w:tcPr>
            <w:tcW w:w="1634"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51F09A6C">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电力、蒸汽</w:t>
            </w:r>
          </w:p>
        </w:tc>
      </w:tr>
      <w:tr w14:paraId="5B3012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1152" w:type="dxa"/>
            <w:vMerge w:val="continue"/>
            <w:tcBorders>
              <w:top w:val="nil"/>
              <w:left w:val="nil"/>
              <w:bottom w:val="nil"/>
              <w:right w:val="nil"/>
            </w:tcBorders>
            <w:shd w:val="clear" w:color="auto" w:fill="FFFFFF"/>
            <w:noWrap w:val="0"/>
            <w:tcMar>
              <w:top w:w="-1" w:type="dxa"/>
              <w:left w:w="-1" w:type="dxa"/>
              <w:bottom w:w="-1" w:type="dxa"/>
              <w:right w:w="-1" w:type="dxa"/>
            </w:tcMar>
            <w:vAlign w:val="center"/>
          </w:tcPr>
          <w:p w14:paraId="789C9172">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06" w:type="dxa"/>
            <w:tcBorders>
              <w:top w:val="nil"/>
              <w:left w:val="nil"/>
              <w:bottom w:val="nil"/>
              <w:right w:val="nil"/>
            </w:tcBorders>
            <w:shd w:val="clear" w:color="auto" w:fill="FFFFFF"/>
            <w:noWrap w:val="0"/>
            <w:tcMar>
              <w:top w:w="-1" w:type="dxa"/>
              <w:left w:w="-1" w:type="dxa"/>
              <w:bottom w:w="-1" w:type="dxa"/>
              <w:right w:w="-1" w:type="dxa"/>
            </w:tcMar>
            <w:vAlign w:val="center"/>
          </w:tcPr>
          <w:p w14:paraId="4438236F">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特能建</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142B8D5A">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变压器-高压</w:t>
            </w:r>
          </w:p>
        </w:tc>
        <w:tc>
          <w:tcPr>
            <w:tcW w:w="3358" w:type="dxa"/>
            <w:tcBorders>
              <w:top w:val="nil"/>
              <w:left w:val="nil"/>
              <w:bottom w:val="nil"/>
              <w:right w:val="nil"/>
            </w:tcBorders>
            <w:shd w:val="clear" w:color="auto" w:fill="FFFFFF"/>
            <w:noWrap w:val="0"/>
            <w:tcMar>
              <w:top w:w="-1" w:type="dxa"/>
              <w:left w:w="-1" w:type="dxa"/>
              <w:bottom w:w="-1" w:type="dxa"/>
              <w:right w:w="-1" w:type="dxa"/>
            </w:tcMar>
            <w:vAlign w:val="center"/>
          </w:tcPr>
          <w:p w14:paraId="7F4EA667">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①高压-干燥 ②试验</w:t>
            </w:r>
          </w:p>
        </w:tc>
        <w:tc>
          <w:tcPr>
            <w:tcW w:w="1634" w:type="dxa"/>
            <w:tcBorders>
              <w:top w:val="nil"/>
              <w:left w:val="nil"/>
              <w:bottom w:val="nil"/>
              <w:right w:val="nil"/>
            </w:tcBorders>
            <w:shd w:val="clear" w:color="auto" w:fill="FFFFFF"/>
            <w:noWrap w:val="0"/>
            <w:tcMar>
              <w:top w:w="-1" w:type="dxa"/>
              <w:left w:w="-1" w:type="dxa"/>
              <w:bottom w:w="-1" w:type="dxa"/>
              <w:right w:w="-1" w:type="dxa"/>
            </w:tcMar>
            <w:vAlign w:val="center"/>
          </w:tcPr>
          <w:p w14:paraId="4569A762">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电力、蒸汽</w:t>
            </w:r>
          </w:p>
        </w:tc>
      </w:tr>
      <w:tr w14:paraId="470034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1152" w:type="dxa"/>
            <w:vMerge w:val="continue"/>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5DCD4F79">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06"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223E03C8">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云集电气</w:t>
            </w:r>
          </w:p>
        </w:tc>
        <w:tc>
          <w:tcPr>
            <w:tcW w:w="0" w:type="auto"/>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749098A9">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中低压开关柜</w:t>
            </w:r>
          </w:p>
        </w:tc>
        <w:tc>
          <w:tcPr>
            <w:tcW w:w="3358"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6A035DFB">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①钣金加工 ②钣金喷涂</w:t>
            </w:r>
          </w:p>
        </w:tc>
        <w:tc>
          <w:tcPr>
            <w:tcW w:w="1634"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7F36E9DA">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电力</w:t>
            </w:r>
          </w:p>
        </w:tc>
      </w:tr>
      <w:tr w14:paraId="616CA7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1152" w:type="dxa"/>
            <w:vMerge w:val="continue"/>
            <w:tcBorders>
              <w:top w:val="nil"/>
              <w:left w:val="nil"/>
              <w:bottom w:val="nil"/>
              <w:right w:val="nil"/>
            </w:tcBorders>
            <w:shd w:val="clear" w:color="auto" w:fill="FFFFFF"/>
            <w:noWrap w:val="0"/>
            <w:tcMar>
              <w:top w:w="-1" w:type="dxa"/>
              <w:left w:w="-1" w:type="dxa"/>
              <w:bottom w:w="-1" w:type="dxa"/>
              <w:right w:w="-1" w:type="dxa"/>
            </w:tcMar>
            <w:vAlign w:val="center"/>
          </w:tcPr>
          <w:p w14:paraId="3BFDA989">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06" w:type="dxa"/>
            <w:tcBorders>
              <w:top w:val="nil"/>
              <w:left w:val="nil"/>
              <w:bottom w:val="nil"/>
              <w:right w:val="nil"/>
            </w:tcBorders>
            <w:shd w:val="clear" w:color="auto" w:fill="FFFFFF"/>
            <w:noWrap w:val="0"/>
            <w:tcMar>
              <w:top w:w="-1" w:type="dxa"/>
              <w:left w:w="-1" w:type="dxa"/>
              <w:bottom w:w="-1" w:type="dxa"/>
              <w:right w:w="-1" w:type="dxa"/>
            </w:tcMar>
            <w:vAlign w:val="center"/>
          </w:tcPr>
          <w:p w14:paraId="483F31F5">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新疆自控</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19D1025C">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中低压开关柜</w:t>
            </w:r>
          </w:p>
        </w:tc>
        <w:tc>
          <w:tcPr>
            <w:tcW w:w="3358" w:type="dxa"/>
            <w:tcBorders>
              <w:top w:val="nil"/>
              <w:left w:val="nil"/>
              <w:bottom w:val="nil"/>
              <w:right w:val="nil"/>
            </w:tcBorders>
            <w:shd w:val="clear" w:color="auto" w:fill="FFFFFF"/>
            <w:noWrap w:val="0"/>
            <w:tcMar>
              <w:top w:w="-1" w:type="dxa"/>
              <w:left w:w="-1" w:type="dxa"/>
              <w:bottom w:w="-1" w:type="dxa"/>
              <w:right w:w="-1" w:type="dxa"/>
            </w:tcMar>
            <w:vAlign w:val="center"/>
          </w:tcPr>
          <w:p w14:paraId="09722174">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①钣金加工 ②钣金喷涂</w:t>
            </w:r>
          </w:p>
        </w:tc>
        <w:tc>
          <w:tcPr>
            <w:tcW w:w="1634" w:type="dxa"/>
            <w:tcBorders>
              <w:top w:val="nil"/>
              <w:left w:val="nil"/>
              <w:bottom w:val="nil"/>
              <w:right w:val="nil"/>
            </w:tcBorders>
            <w:shd w:val="clear" w:color="auto" w:fill="FFFFFF"/>
            <w:noWrap w:val="0"/>
            <w:tcMar>
              <w:top w:w="-1" w:type="dxa"/>
              <w:left w:w="-1" w:type="dxa"/>
              <w:bottom w:w="-1" w:type="dxa"/>
              <w:right w:w="-1" w:type="dxa"/>
            </w:tcMar>
            <w:vAlign w:val="center"/>
          </w:tcPr>
          <w:p w14:paraId="71559304">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电力</w:t>
            </w:r>
          </w:p>
        </w:tc>
      </w:tr>
      <w:tr w14:paraId="487463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1152" w:type="dxa"/>
            <w:vMerge w:val="continue"/>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7E9BB44E">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06"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1C9207ED">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云集高压开关</w:t>
            </w:r>
          </w:p>
        </w:tc>
        <w:tc>
          <w:tcPr>
            <w:tcW w:w="0" w:type="auto"/>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5262206A">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GIS</w:t>
            </w:r>
          </w:p>
        </w:tc>
        <w:tc>
          <w:tcPr>
            <w:tcW w:w="3358"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219BB8C9">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①抽真空 ②干燥 ③耐压 ④恒温</w:t>
            </w:r>
          </w:p>
        </w:tc>
        <w:tc>
          <w:tcPr>
            <w:tcW w:w="1634"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159308E7">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电力</w:t>
            </w:r>
          </w:p>
        </w:tc>
      </w:tr>
      <w:tr w14:paraId="4813AA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1152" w:type="dxa"/>
            <w:vMerge w:val="continue"/>
            <w:tcBorders>
              <w:top w:val="nil"/>
              <w:left w:val="nil"/>
              <w:bottom w:val="nil"/>
              <w:right w:val="nil"/>
            </w:tcBorders>
            <w:shd w:val="clear" w:color="auto" w:fill="FFFFFF"/>
            <w:noWrap w:val="0"/>
            <w:tcMar>
              <w:top w:w="-1" w:type="dxa"/>
              <w:left w:w="-1" w:type="dxa"/>
              <w:bottom w:w="-1" w:type="dxa"/>
              <w:right w:w="-1" w:type="dxa"/>
            </w:tcMar>
            <w:vAlign w:val="center"/>
          </w:tcPr>
          <w:p w14:paraId="7475448F">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06" w:type="dxa"/>
            <w:tcBorders>
              <w:top w:val="nil"/>
              <w:left w:val="nil"/>
              <w:bottom w:val="nil"/>
              <w:right w:val="nil"/>
            </w:tcBorders>
            <w:shd w:val="clear" w:color="auto" w:fill="FFFFFF"/>
            <w:noWrap w:val="0"/>
            <w:tcMar>
              <w:top w:w="-1" w:type="dxa"/>
              <w:left w:w="-1" w:type="dxa"/>
              <w:bottom w:w="-1" w:type="dxa"/>
              <w:right w:w="-1" w:type="dxa"/>
            </w:tcMar>
            <w:vAlign w:val="center"/>
          </w:tcPr>
          <w:p w14:paraId="4107AA7A">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合容电气股份</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3C9C0962">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干式电抗器</w:t>
            </w:r>
          </w:p>
        </w:tc>
        <w:tc>
          <w:tcPr>
            <w:tcW w:w="3358" w:type="dxa"/>
            <w:tcBorders>
              <w:top w:val="nil"/>
              <w:left w:val="nil"/>
              <w:bottom w:val="nil"/>
              <w:right w:val="nil"/>
            </w:tcBorders>
            <w:shd w:val="clear" w:color="auto" w:fill="FFFFFF"/>
            <w:noWrap w:val="0"/>
            <w:tcMar>
              <w:top w:w="-1" w:type="dxa"/>
              <w:left w:w="-1" w:type="dxa"/>
              <w:bottom w:w="-1" w:type="dxa"/>
              <w:right w:w="-1" w:type="dxa"/>
            </w:tcMar>
            <w:vAlign w:val="center"/>
          </w:tcPr>
          <w:p w14:paraId="0798EB72">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①固化 ②试验</w:t>
            </w:r>
          </w:p>
        </w:tc>
        <w:tc>
          <w:tcPr>
            <w:tcW w:w="1634" w:type="dxa"/>
            <w:tcBorders>
              <w:top w:val="nil"/>
              <w:left w:val="nil"/>
              <w:bottom w:val="nil"/>
              <w:right w:val="nil"/>
            </w:tcBorders>
            <w:shd w:val="clear" w:color="auto" w:fill="FFFFFF"/>
            <w:noWrap w:val="0"/>
            <w:tcMar>
              <w:top w:w="-1" w:type="dxa"/>
              <w:left w:w="-1" w:type="dxa"/>
              <w:bottom w:w="-1" w:type="dxa"/>
              <w:right w:w="-1" w:type="dxa"/>
            </w:tcMar>
            <w:vAlign w:val="center"/>
          </w:tcPr>
          <w:p w14:paraId="69CDA507">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电力</w:t>
            </w:r>
          </w:p>
        </w:tc>
      </w:tr>
      <w:tr w14:paraId="0D518D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1152" w:type="dxa"/>
            <w:vMerge w:val="continue"/>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30CE661C">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06"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4A1ADD4A">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合容电力设备</w:t>
            </w:r>
          </w:p>
        </w:tc>
        <w:tc>
          <w:tcPr>
            <w:tcW w:w="0" w:type="auto"/>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58BE0215">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电容器</w:t>
            </w:r>
          </w:p>
        </w:tc>
        <w:tc>
          <w:tcPr>
            <w:tcW w:w="3358"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59C8DBDA">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①卷绕 ②浸渍 ③喷漆 ④试验</w:t>
            </w:r>
          </w:p>
        </w:tc>
        <w:tc>
          <w:tcPr>
            <w:tcW w:w="1634"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2761B867">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电力</w:t>
            </w:r>
          </w:p>
        </w:tc>
      </w:tr>
      <w:tr w14:paraId="5AB5DB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1152" w:type="dxa"/>
            <w:vMerge w:val="continue"/>
            <w:tcBorders>
              <w:top w:val="nil"/>
              <w:left w:val="nil"/>
              <w:bottom w:val="nil"/>
              <w:right w:val="nil"/>
            </w:tcBorders>
            <w:shd w:val="clear" w:color="auto" w:fill="FFFFFF"/>
            <w:noWrap w:val="0"/>
            <w:tcMar>
              <w:top w:w="-1" w:type="dxa"/>
              <w:left w:w="-1" w:type="dxa"/>
              <w:bottom w:w="-1" w:type="dxa"/>
              <w:right w:w="-1" w:type="dxa"/>
            </w:tcMar>
            <w:vAlign w:val="center"/>
          </w:tcPr>
          <w:p w14:paraId="4B572E94">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06" w:type="dxa"/>
            <w:tcBorders>
              <w:top w:val="nil"/>
              <w:left w:val="nil"/>
              <w:bottom w:val="nil"/>
              <w:right w:val="nil"/>
            </w:tcBorders>
            <w:shd w:val="clear" w:color="auto" w:fill="FFFFFF"/>
            <w:noWrap w:val="0"/>
            <w:tcMar>
              <w:top w:w="-1" w:type="dxa"/>
              <w:left w:w="-1" w:type="dxa"/>
              <w:bottom w:w="-1" w:type="dxa"/>
              <w:right w:w="-1" w:type="dxa"/>
            </w:tcMar>
            <w:vAlign w:val="center"/>
          </w:tcPr>
          <w:p w14:paraId="20475F37">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赛杰爱迪</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21A88637">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GIL</w:t>
            </w:r>
          </w:p>
        </w:tc>
        <w:tc>
          <w:tcPr>
            <w:tcW w:w="3358" w:type="dxa"/>
            <w:tcBorders>
              <w:top w:val="nil"/>
              <w:left w:val="nil"/>
              <w:bottom w:val="nil"/>
              <w:right w:val="nil"/>
            </w:tcBorders>
            <w:shd w:val="clear" w:color="auto" w:fill="FFFFFF"/>
            <w:noWrap w:val="0"/>
            <w:tcMar>
              <w:top w:w="-1" w:type="dxa"/>
              <w:left w:w="-1" w:type="dxa"/>
              <w:bottom w:w="-1" w:type="dxa"/>
              <w:right w:w="-1" w:type="dxa"/>
            </w:tcMar>
            <w:vAlign w:val="center"/>
          </w:tcPr>
          <w:p w14:paraId="61CDDCB3">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①螺旋焊管 ②绝缘子 ③测试</w:t>
            </w:r>
          </w:p>
        </w:tc>
        <w:tc>
          <w:tcPr>
            <w:tcW w:w="1634" w:type="dxa"/>
            <w:tcBorders>
              <w:top w:val="nil"/>
              <w:left w:val="nil"/>
              <w:bottom w:val="nil"/>
              <w:right w:val="nil"/>
            </w:tcBorders>
            <w:shd w:val="clear" w:color="auto" w:fill="FFFFFF"/>
            <w:noWrap w:val="0"/>
            <w:tcMar>
              <w:top w:w="-1" w:type="dxa"/>
              <w:left w:w="-1" w:type="dxa"/>
              <w:bottom w:w="-1" w:type="dxa"/>
              <w:right w:w="-1" w:type="dxa"/>
            </w:tcMar>
            <w:vAlign w:val="center"/>
          </w:tcPr>
          <w:p w14:paraId="24A386F3">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电力</w:t>
            </w:r>
          </w:p>
        </w:tc>
      </w:tr>
      <w:tr w14:paraId="358149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1152" w:type="dxa"/>
            <w:vMerge w:val="continue"/>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01A21B83">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06"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3F814D91">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南京电研</w:t>
            </w:r>
          </w:p>
        </w:tc>
        <w:tc>
          <w:tcPr>
            <w:tcW w:w="0" w:type="auto"/>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792302C6">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3358"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0A81820F">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634"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0911B8D4">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r>
      <w:tr w14:paraId="2A2D44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1152" w:type="dxa"/>
            <w:vMerge w:val="continue"/>
            <w:tcBorders>
              <w:top w:val="nil"/>
              <w:left w:val="nil"/>
              <w:bottom w:val="nil"/>
              <w:right w:val="nil"/>
            </w:tcBorders>
            <w:shd w:val="clear" w:color="auto" w:fill="FFFFFF"/>
            <w:noWrap w:val="0"/>
            <w:tcMar>
              <w:top w:w="-1" w:type="dxa"/>
              <w:left w:w="-1" w:type="dxa"/>
              <w:bottom w:w="-1" w:type="dxa"/>
              <w:right w:w="-1" w:type="dxa"/>
            </w:tcMar>
            <w:vAlign w:val="center"/>
          </w:tcPr>
          <w:p w14:paraId="452AA12B">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06" w:type="dxa"/>
            <w:tcBorders>
              <w:top w:val="nil"/>
              <w:left w:val="nil"/>
              <w:bottom w:val="nil"/>
              <w:right w:val="nil"/>
            </w:tcBorders>
            <w:shd w:val="clear" w:color="auto" w:fill="FFFFFF"/>
            <w:noWrap w:val="0"/>
            <w:tcMar>
              <w:top w:w="-1" w:type="dxa"/>
              <w:left w:w="-1" w:type="dxa"/>
              <w:bottom w:w="-1" w:type="dxa"/>
              <w:right w:w="-1" w:type="dxa"/>
            </w:tcMar>
            <w:vAlign w:val="center"/>
          </w:tcPr>
          <w:p w14:paraId="02CE5C5E">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上开</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42BAA0AC">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3358" w:type="dxa"/>
            <w:tcBorders>
              <w:top w:val="nil"/>
              <w:left w:val="nil"/>
              <w:bottom w:val="nil"/>
              <w:right w:val="nil"/>
            </w:tcBorders>
            <w:shd w:val="clear" w:color="auto" w:fill="FFFFFF"/>
            <w:noWrap w:val="0"/>
            <w:tcMar>
              <w:top w:w="-1" w:type="dxa"/>
              <w:left w:w="-1" w:type="dxa"/>
              <w:bottom w:w="-1" w:type="dxa"/>
              <w:right w:w="-1" w:type="dxa"/>
            </w:tcMar>
            <w:vAlign w:val="center"/>
          </w:tcPr>
          <w:p w14:paraId="5FC575FC">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634" w:type="dxa"/>
            <w:tcBorders>
              <w:top w:val="nil"/>
              <w:left w:val="nil"/>
              <w:bottom w:val="nil"/>
              <w:right w:val="nil"/>
            </w:tcBorders>
            <w:shd w:val="clear" w:color="auto" w:fill="FFFFFF"/>
            <w:noWrap w:val="0"/>
            <w:tcMar>
              <w:top w:w="-1" w:type="dxa"/>
              <w:left w:w="-1" w:type="dxa"/>
              <w:bottom w:w="-1" w:type="dxa"/>
              <w:right w:w="-1" w:type="dxa"/>
            </w:tcMar>
            <w:vAlign w:val="center"/>
          </w:tcPr>
          <w:p w14:paraId="7E7EDAD9">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r>
      <w:tr w14:paraId="5B6154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1152" w:type="dxa"/>
            <w:vMerge w:val="continue"/>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7865A506">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06"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6786F722">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柯贝尔</w:t>
            </w:r>
          </w:p>
        </w:tc>
        <w:tc>
          <w:tcPr>
            <w:tcW w:w="0" w:type="auto"/>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76ABC23E">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3358"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43244CD4">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634"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605939B1">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r>
      <w:tr w14:paraId="27E793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1152" w:type="dxa"/>
            <w:vMerge w:val="restart"/>
            <w:tcBorders>
              <w:top w:val="nil"/>
              <w:left w:val="nil"/>
              <w:bottom w:val="nil"/>
              <w:right w:val="nil"/>
            </w:tcBorders>
            <w:shd w:val="clear" w:color="auto" w:fill="FFFFFF"/>
            <w:noWrap w:val="0"/>
            <w:tcMar>
              <w:top w:w="-1" w:type="dxa"/>
              <w:left w:w="-1" w:type="dxa"/>
              <w:bottom w:w="-1" w:type="dxa"/>
              <w:right w:w="-1" w:type="dxa"/>
            </w:tcMar>
            <w:vAlign w:val="center"/>
          </w:tcPr>
          <w:p w14:paraId="489F5A22">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新变厂</w:t>
            </w:r>
          </w:p>
        </w:tc>
        <w:tc>
          <w:tcPr>
            <w:tcW w:w="1706" w:type="dxa"/>
            <w:tcBorders>
              <w:top w:val="nil"/>
              <w:left w:val="nil"/>
              <w:bottom w:val="nil"/>
              <w:right w:val="nil"/>
            </w:tcBorders>
            <w:shd w:val="clear" w:color="auto" w:fill="FFFFFF"/>
            <w:noWrap w:val="0"/>
            <w:tcMar>
              <w:top w:w="-1" w:type="dxa"/>
              <w:left w:w="-1" w:type="dxa"/>
              <w:bottom w:w="-1" w:type="dxa"/>
              <w:right w:w="-1" w:type="dxa"/>
            </w:tcMar>
            <w:vAlign w:val="center"/>
          </w:tcPr>
          <w:p w14:paraId="1143DE34">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超高压公司</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0B6CF466">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变压器-高压</w:t>
            </w:r>
          </w:p>
        </w:tc>
        <w:tc>
          <w:tcPr>
            <w:tcW w:w="3358" w:type="dxa"/>
            <w:tcBorders>
              <w:top w:val="nil"/>
              <w:left w:val="nil"/>
              <w:bottom w:val="nil"/>
              <w:right w:val="nil"/>
            </w:tcBorders>
            <w:shd w:val="clear" w:color="auto" w:fill="FFFFFF"/>
            <w:noWrap w:val="0"/>
            <w:tcMar>
              <w:top w:w="-1" w:type="dxa"/>
              <w:left w:w="-1" w:type="dxa"/>
              <w:bottom w:w="-1" w:type="dxa"/>
              <w:right w:w="-1" w:type="dxa"/>
            </w:tcMar>
            <w:vAlign w:val="center"/>
          </w:tcPr>
          <w:p w14:paraId="5E57367F">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①高压-干燥 ②试验</w:t>
            </w:r>
          </w:p>
        </w:tc>
        <w:tc>
          <w:tcPr>
            <w:tcW w:w="1634" w:type="dxa"/>
            <w:tcBorders>
              <w:top w:val="nil"/>
              <w:left w:val="nil"/>
              <w:bottom w:val="nil"/>
              <w:right w:val="nil"/>
            </w:tcBorders>
            <w:shd w:val="clear" w:color="auto" w:fill="FFFFFF"/>
            <w:noWrap w:val="0"/>
            <w:tcMar>
              <w:top w:w="-1" w:type="dxa"/>
              <w:left w:w="-1" w:type="dxa"/>
              <w:bottom w:w="-1" w:type="dxa"/>
              <w:right w:w="-1" w:type="dxa"/>
            </w:tcMar>
            <w:vAlign w:val="center"/>
          </w:tcPr>
          <w:p w14:paraId="4D938C56">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电力、蒸汽</w:t>
            </w:r>
          </w:p>
        </w:tc>
      </w:tr>
      <w:tr w14:paraId="10F222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1152" w:type="dxa"/>
            <w:vMerge w:val="continue"/>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30A54EB0">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06"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382BA84E">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天变公司</w:t>
            </w:r>
          </w:p>
        </w:tc>
        <w:tc>
          <w:tcPr>
            <w:tcW w:w="0" w:type="auto"/>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62F6B5EA">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变压器-干变</w:t>
            </w:r>
          </w:p>
        </w:tc>
        <w:tc>
          <w:tcPr>
            <w:tcW w:w="3358"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60247D32">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①固化 ②试验</w:t>
            </w:r>
          </w:p>
        </w:tc>
        <w:tc>
          <w:tcPr>
            <w:tcW w:w="1634"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59206392">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电力、蒸汽</w:t>
            </w:r>
          </w:p>
        </w:tc>
      </w:tr>
      <w:tr w14:paraId="3BB84F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1152" w:type="dxa"/>
            <w:vMerge w:val="continue"/>
            <w:tcBorders>
              <w:top w:val="nil"/>
              <w:left w:val="nil"/>
              <w:bottom w:val="nil"/>
              <w:right w:val="nil"/>
            </w:tcBorders>
            <w:shd w:val="clear" w:color="auto" w:fill="FFFFFF"/>
            <w:noWrap w:val="0"/>
            <w:tcMar>
              <w:top w:w="-1" w:type="dxa"/>
              <w:left w:w="-1" w:type="dxa"/>
              <w:bottom w:w="-1" w:type="dxa"/>
              <w:right w:w="-1" w:type="dxa"/>
            </w:tcMar>
            <w:vAlign w:val="center"/>
          </w:tcPr>
          <w:p w14:paraId="1EE7F5E0">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06" w:type="dxa"/>
            <w:tcBorders>
              <w:top w:val="nil"/>
              <w:left w:val="nil"/>
              <w:bottom w:val="nil"/>
              <w:right w:val="nil"/>
            </w:tcBorders>
            <w:shd w:val="clear" w:color="auto" w:fill="FFFFFF"/>
            <w:noWrap w:val="0"/>
            <w:tcMar>
              <w:top w:w="-1" w:type="dxa"/>
              <w:left w:w="-1" w:type="dxa"/>
              <w:bottom w:w="-1" w:type="dxa"/>
              <w:right w:w="-1" w:type="dxa"/>
            </w:tcMar>
            <w:vAlign w:val="center"/>
          </w:tcPr>
          <w:p w14:paraId="139D5307">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智能电气公司</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6BFC048F">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变压器-干变</w:t>
            </w:r>
          </w:p>
        </w:tc>
        <w:tc>
          <w:tcPr>
            <w:tcW w:w="3358" w:type="dxa"/>
            <w:tcBorders>
              <w:top w:val="nil"/>
              <w:left w:val="nil"/>
              <w:bottom w:val="nil"/>
              <w:right w:val="nil"/>
            </w:tcBorders>
            <w:shd w:val="clear" w:color="auto" w:fill="FFFFFF"/>
            <w:noWrap w:val="0"/>
            <w:tcMar>
              <w:top w:w="-1" w:type="dxa"/>
              <w:left w:w="-1" w:type="dxa"/>
              <w:bottom w:w="-1" w:type="dxa"/>
              <w:right w:w="-1" w:type="dxa"/>
            </w:tcMar>
            <w:vAlign w:val="center"/>
          </w:tcPr>
          <w:p w14:paraId="5A0416C5">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①固化 ②试验</w:t>
            </w:r>
          </w:p>
        </w:tc>
        <w:tc>
          <w:tcPr>
            <w:tcW w:w="1634" w:type="dxa"/>
            <w:tcBorders>
              <w:top w:val="nil"/>
              <w:left w:val="nil"/>
              <w:bottom w:val="nil"/>
              <w:right w:val="nil"/>
            </w:tcBorders>
            <w:shd w:val="clear" w:color="auto" w:fill="FFFFFF"/>
            <w:noWrap w:val="0"/>
            <w:tcMar>
              <w:top w:w="-1" w:type="dxa"/>
              <w:left w:w="-1" w:type="dxa"/>
              <w:bottom w:w="-1" w:type="dxa"/>
              <w:right w:w="-1" w:type="dxa"/>
            </w:tcMar>
            <w:vAlign w:val="center"/>
          </w:tcPr>
          <w:p w14:paraId="1E9707E5">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电力、蒸汽</w:t>
            </w:r>
          </w:p>
        </w:tc>
      </w:tr>
      <w:tr w14:paraId="68DFBC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1152" w:type="dxa"/>
            <w:vMerge w:val="continue"/>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3C3BCA28">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06"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4008E626">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京津冀公司</w:t>
            </w:r>
          </w:p>
        </w:tc>
        <w:tc>
          <w:tcPr>
            <w:tcW w:w="0" w:type="auto"/>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6CBC8162">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变压器-油变</w:t>
            </w:r>
          </w:p>
        </w:tc>
        <w:tc>
          <w:tcPr>
            <w:tcW w:w="3358"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02FE0C33">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①干燥 ②试验</w:t>
            </w:r>
          </w:p>
        </w:tc>
        <w:tc>
          <w:tcPr>
            <w:tcW w:w="1634"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3DB33D95">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电力、蒸汽</w:t>
            </w:r>
          </w:p>
        </w:tc>
      </w:tr>
      <w:tr w14:paraId="1FFEA4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1152" w:type="dxa"/>
            <w:vMerge w:val="continue"/>
            <w:tcBorders>
              <w:top w:val="nil"/>
              <w:left w:val="nil"/>
              <w:bottom w:val="nil"/>
              <w:right w:val="nil"/>
            </w:tcBorders>
            <w:shd w:val="clear" w:color="auto" w:fill="FFFFFF"/>
            <w:noWrap w:val="0"/>
            <w:tcMar>
              <w:top w:w="-1" w:type="dxa"/>
              <w:left w:w="-1" w:type="dxa"/>
              <w:bottom w:w="-1" w:type="dxa"/>
              <w:right w:w="-1" w:type="dxa"/>
            </w:tcMar>
            <w:vAlign w:val="center"/>
          </w:tcPr>
          <w:p w14:paraId="6452342C">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06" w:type="dxa"/>
            <w:tcBorders>
              <w:top w:val="nil"/>
              <w:left w:val="nil"/>
              <w:bottom w:val="nil"/>
              <w:right w:val="nil"/>
            </w:tcBorders>
            <w:shd w:val="clear" w:color="auto" w:fill="FFFFFF"/>
            <w:noWrap w:val="0"/>
            <w:tcMar>
              <w:top w:w="-1" w:type="dxa"/>
              <w:left w:w="-1" w:type="dxa"/>
              <w:bottom w:w="-1" w:type="dxa"/>
              <w:right w:w="-1" w:type="dxa"/>
            </w:tcMar>
            <w:vAlign w:val="center"/>
          </w:tcPr>
          <w:p w14:paraId="0FAA1433">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珠峰硅钢</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73FA2BA0">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变压器-铁芯</w:t>
            </w:r>
          </w:p>
        </w:tc>
        <w:tc>
          <w:tcPr>
            <w:tcW w:w="3358" w:type="dxa"/>
            <w:tcBorders>
              <w:top w:val="nil"/>
              <w:left w:val="nil"/>
              <w:bottom w:val="nil"/>
              <w:right w:val="nil"/>
            </w:tcBorders>
            <w:shd w:val="clear" w:color="auto" w:fill="FFFFFF"/>
            <w:noWrap w:val="0"/>
            <w:tcMar>
              <w:top w:w="-1" w:type="dxa"/>
              <w:left w:w="-1" w:type="dxa"/>
              <w:bottom w:w="-1" w:type="dxa"/>
              <w:right w:w="-1" w:type="dxa"/>
            </w:tcMar>
            <w:vAlign w:val="center"/>
          </w:tcPr>
          <w:p w14:paraId="0EF3AE77">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①退火 ②纵剪 ③叠装 ④大叠装</w:t>
            </w:r>
          </w:p>
        </w:tc>
        <w:tc>
          <w:tcPr>
            <w:tcW w:w="1634" w:type="dxa"/>
            <w:tcBorders>
              <w:top w:val="nil"/>
              <w:left w:val="nil"/>
              <w:bottom w:val="nil"/>
              <w:right w:val="nil"/>
            </w:tcBorders>
            <w:shd w:val="clear" w:color="auto" w:fill="FFFFFF"/>
            <w:noWrap w:val="0"/>
            <w:tcMar>
              <w:top w:w="-1" w:type="dxa"/>
              <w:left w:w="-1" w:type="dxa"/>
              <w:bottom w:w="-1" w:type="dxa"/>
              <w:right w:w="-1" w:type="dxa"/>
            </w:tcMar>
            <w:vAlign w:val="center"/>
          </w:tcPr>
          <w:p w14:paraId="3767E292">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电力</w:t>
            </w:r>
          </w:p>
        </w:tc>
      </w:tr>
      <w:tr w14:paraId="2966A7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1152" w:type="dxa"/>
            <w:vMerge w:val="continue"/>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226323A2">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06"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7DAC26B6">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智慧能源</w:t>
            </w:r>
          </w:p>
        </w:tc>
        <w:tc>
          <w:tcPr>
            <w:tcW w:w="0" w:type="auto"/>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2F0B61A5">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3358"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4FE55AB1">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634"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18DB402A">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r>
      <w:tr w14:paraId="1931D7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1152" w:type="dxa"/>
            <w:vMerge w:val="continue"/>
            <w:tcBorders>
              <w:top w:val="nil"/>
              <w:left w:val="nil"/>
              <w:bottom w:val="nil"/>
              <w:right w:val="nil"/>
            </w:tcBorders>
            <w:shd w:val="clear" w:color="auto" w:fill="FFFFFF"/>
            <w:noWrap w:val="0"/>
            <w:tcMar>
              <w:top w:w="-1" w:type="dxa"/>
              <w:left w:w="-1" w:type="dxa"/>
              <w:bottom w:w="-1" w:type="dxa"/>
              <w:right w:w="-1" w:type="dxa"/>
            </w:tcMar>
            <w:vAlign w:val="center"/>
          </w:tcPr>
          <w:p w14:paraId="418CB05E">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06" w:type="dxa"/>
            <w:tcBorders>
              <w:top w:val="nil"/>
              <w:left w:val="nil"/>
              <w:bottom w:val="nil"/>
              <w:right w:val="nil"/>
            </w:tcBorders>
            <w:shd w:val="clear" w:color="auto" w:fill="FFFFFF"/>
            <w:noWrap w:val="0"/>
            <w:tcMar>
              <w:top w:w="-1" w:type="dxa"/>
              <w:left w:w="-1" w:type="dxa"/>
              <w:bottom w:w="-1" w:type="dxa"/>
              <w:right w:w="-1" w:type="dxa"/>
            </w:tcMar>
            <w:vAlign w:val="center"/>
          </w:tcPr>
          <w:p w14:paraId="4D41603B">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银利电气</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6FE312AF">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3358" w:type="dxa"/>
            <w:tcBorders>
              <w:top w:val="nil"/>
              <w:left w:val="nil"/>
              <w:bottom w:val="nil"/>
              <w:right w:val="nil"/>
            </w:tcBorders>
            <w:shd w:val="clear" w:color="auto" w:fill="FFFFFF"/>
            <w:noWrap w:val="0"/>
            <w:tcMar>
              <w:top w:w="-1" w:type="dxa"/>
              <w:left w:w="-1" w:type="dxa"/>
              <w:bottom w:w="-1" w:type="dxa"/>
              <w:right w:w="-1" w:type="dxa"/>
            </w:tcMar>
            <w:vAlign w:val="center"/>
          </w:tcPr>
          <w:p w14:paraId="695BD259">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634" w:type="dxa"/>
            <w:tcBorders>
              <w:top w:val="nil"/>
              <w:left w:val="nil"/>
              <w:bottom w:val="nil"/>
              <w:right w:val="nil"/>
            </w:tcBorders>
            <w:shd w:val="clear" w:color="auto" w:fill="FFFFFF"/>
            <w:noWrap w:val="0"/>
            <w:tcMar>
              <w:top w:w="-1" w:type="dxa"/>
              <w:left w:w="-1" w:type="dxa"/>
              <w:bottom w:w="-1" w:type="dxa"/>
              <w:right w:w="-1" w:type="dxa"/>
            </w:tcMar>
            <w:vAlign w:val="center"/>
          </w:tcPr>
          <w:p w14:paraId="3E0B2FAE">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r>
      <w:tr w14:paraId="4361EC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1152" w:type="dxa"/>
            <w:vMerge w:val="restart"/>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562430F8">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鲁缆公司</w:t>
            </w:r>
          </w:p>
        </w:tc>
        <w:tc>
          <w:tcPr>
            <w:tcW w:w="1706"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10911B70">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鲁缆本部</w:t>
            </w:r>
          </w:p>
        </w:tc>
        <w:tc>
          <w:tcPr>
            <w:tcW w:w="0" w:type="auto"/>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3072EDCF">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线缆-高/中低压</w:t>
            </w:r>
          </w:p>
        </w:tc>
        <w:tc>
          <w:tcPr>
            <w:tcW w:w="3358"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264EE2F6">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①拉丝 ②交联(中低) ③交联(高压)</w:t>
            </w:r>
          </w:p>
        </w:tc>
        <w:tc>
          <w:tcPr>
            <w:tcW w:w="1634"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1A641F92">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电力</w:t>
            </w:r>
          </w:p>
        </w:tc>
      </w:tr>
      <w:tr w14:paraId="4E28B4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1152" w:type="dxa"/>
            <w:vMerge w:val="continue"/>
            <w:tcBorders>
              <w:top w:val="nil"/>
              <w:left w:val="nil"/>
              <w:bottom w:val="nil"/>
              <w:right w:val="nil"/>
            </w:tcBorders>
            <w:shd w:val="clear" w:color="auto" w:fill="FFFFFF"/>
            <w:noWrap w:val="0"/>
            <w:tcMar>
              <w:top w:w="-1" w:type="dxa"/>
              <w:left w:w="-1" w:type="dxa"/>
              <w:bottom w:w="-1" w:type="dxa"/>
              <w:right w:w="-1" w:type="dxa"/>
            </w:tcMar>
            <w:vAlign w:val="center"/>
          </w:tcPr>
          <w:p w14:paraId="1FC41C23">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06" w:type="dxa"/>
            <w:tcBorders>
              <w:top w:val="nil"/>
              <w:left w:val="nil"/>
              <w:bottom w:val="nil"/>
              <w:right w:val="nil"/>
            </w:tcBorders>
            <w:shd w:val="clear" w:color="auto" w:fill="FFFFFF"/>
            <w:noWrap w:val="0"/>
            <w:tcMar>
              <w:top w:w="-1" w:type="dxa"/>
              <w:left w:w="-1" w:type="dxa"/>
              <w:bottom w:w="-1" w:type="dxa"/>
              <w:right w:w="-1" w:type="dxa"/>
            </w:tcMar>
            <w:vAlign w:val="center"/>
          </w:tcPr>
          <w:p w14:paraId="347A0EA2">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智缆公司</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5446393F">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3358" w:type="dxa"/>
            <w:tcBorders>
              <w:top w:val="nil"/>
              <w:left w:val="nil"/>
              <w:bottom w:val="nil"/>
              <w:right w:val="nil"/>
            </w:tcBorders>
            <w:shd w:val="clear" w:color="auto" w:fill="FFFFFF"/>
            <w:noWrap w:val="0"/>
            <w:tcMar>
              <w:top w:w="-1" w:type="dxa"/>
              <w:left w:w="-1" w:type="dxa"/>
              <w:bottom w:w="-1" w:type="dxa"/>
              <w:right w:w="-1" w:type="dxa"/>
            </w:tcMar>
            <w:vAlign w:val="center"/>
          </w:tcPr>
          <w:p w14:paraId="4313DAE4">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634" w:type="dxa"/>
            <w:tcBorders>
              <w:top w:val="nil"/>
              <w:left w:val="nil"/>
              <w:bottom w:val="nil"/>
              <w:right w:val="nil"/>
            </w:tcBorders>
            <w:shd w:val="clear" w:color="auto" w:fill="FFFFFF"/>
            <w:noWrap w:val="0"/>
            <w:tcMar>
              <w:top w:w="-1" w:type="dxa"/>
              <w:left w:w="-1" w:type="dxa"/>
              <w:bottom w:w="-1" w:type="dxa"/>
              <w:right w:w="-1" w:type="dxa"/>
            </w:tcMar>
            <w:vAlign w:val="center"/>
          </w:tcPr>
          <w:p w14:paraId="30327B33">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r>
      <w:tr w14:paraId="0B59FC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1152" w:type="dxa"/>
            <w:vMerge w:val="continue"/>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7FE3DE0D">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06"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0D42EF48">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昭和公司</w:t>
            </w:r>
          </w:p>
        </w:tc>
        <w:tc>
          <w:tcPr>
            <w:tcW w:w="0" w:type="auto"/>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0319638B">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3358"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040F2842">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634"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37021074">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r>
      <w:tr w14:paraId="33BF8A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1152" w:type="dxa"/>
            <w:vMerge w:val="continue"/>
            <w:tcBorders>
              <w:top w:val="nil"/>
              <w:left w:val="nil"/>
              <w:bottom w:val="nil"/>
              <w:right w:val="nil"/>
            </w:tcBorders>
            <w:shd w:val="clear" w:color="auto" w:fill="FFFFFF"/>
            <w:noWrap w:val="0"/>
            <w:tcMar>
              <w:top w:w="-1" w:type="dxa"/>
              <w:left w:w="-1" w:type="dxa"/>
              <w:bottom w:w="-1" w:type="dxa"/>
              <w:right w:w="-1" w:type="dxa"/>
            </w:tcMar>
            <w:vAlign w:val="center"/>
          </w:tcPr>
          <w:p w14:paraId="43D49970">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06" w:type="dxa"/>
            <w:tcBorders>
              <w:top w:val="nil"/>
              <w:left w:val="nil"/>
              <w:bottom w:val="nil"/>
              <w:right w:val="nil"/>
            </w:tcBorders>
            <w:shd w:val="clear" w:color="auto" w:fill="FFFFFF"/>
            <w:noWrap w:val="0"/>
            <w:tcMar>
              <w:top w:w="-1" w:type="dxa"/>
              <w:left w:w="-1" w:type="dxa"/>
              <w:bottom w:w="-1" w:type="dxa"/>
              <w:right w:w="-1" w:type="dxa"/>
            </w:tcMar>
            <w:vAlign w:val="center"/>
          </w:tcPr>
          <w:p w14:paraId="64AE1FAF">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曙光公司</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022F79CC">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线缆-特种电缆</w:t>
            </w:r>
          </w:p>
        </w:tc>
        <w:tc>
          <w:tcPr>
            <w:tcW w:w="3358" w:type="dxa"/>
            <w:tcBorders>
              <w:top w:val="nil"/>
              <w:left w:val="nil"/>
              <w:bottom w:val="nil"/>
              <w:right w:val="nil"/>
            </w:tcBorders>
            <w:shd w:val="clear" w:color="auto" w:fill="FFFFFF"/>
            <w:noWrap w:val="0"/>
            <w:tcMar>
              <w:top w:w="-1" w:type="dxa"/>
              <w:left w:w="-1" w:type="dxa"/>
              <w:bottom w:w="-1" w:type="dxa"/>
              <w:right w:w="-1" w:type="dxa"/>
            </w:tcMar>
            <w:vAlign w:val="center"/>
          </w:tcPr>
          <w:p w14:paraId="4E956CF0">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(原表工序待定)</w:t>
            </w:r>
          </w:p>
        </w:tc>
        <w:tc>
          <w:tcPr>
            <w:tcW w:w="1634" w:type="dxa"/>
            <w:tcBorders>
              <w:top w:val="nil"/>
              <w:left w:val="nil"/>
              <w:bottom w:val="nil"/>
              <w:right w:val="nil"/>
            </w:tcBorders>
            <w:shd w:val="clear" w:color="auto" w:fill="FFFFFF"/>
            <w:noWrap w:val="0"/>
            <w:tcMar>
              <w:top w:w="-1" w:type="dxa"/>
              <w:left w:w="-1" w:type="dxa"/>
              <w:bottom w:w="-1" w:type="dxa"/>
              <w:right w:w="-1" w:type="dxa"/>
            </w:tcMar>
            <w:vAlign w:val="center"/>
          </w:tcPr>
          <w:p w14:paraId="4648D547">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r>
      <w:tr w14:paraId="705782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1152" w:type="dxa"/>
            <w:vMerge w:val="restart"/>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4075A877">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新缆厂</w:t>
            </w:r>
          </w:p>
        </w:tc>
        <w:tc>
          <w:tcPr>
            <w:tcW w:w="1706"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3854D364">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新疆电缆有限公司</w:t>
            </w:r>
          </w:p>
        </w:tc>
        <w:tc>
          <w:tcPr>
            <w:tcW w:w="0" w:type="auto"/>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4CE74FAE">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线缆-中低压</w:t>
            </w:r>
          </w:p>
        </w:tc>
        <w:tc>
          <w:tcPr>
            <w:tcW w:w="3358"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1A1B0538">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①拉丝 ②交联（干法）</w:t>
            </w:r>
          </w:p>
        </w:tc>
        <w:tc>
          <w:tcPr>
            <w:tcW w:w="1634" w:type="dxa"/>
            <w:tcBorders>
              <w:top w:val="nil"/>
              <w:left w:val="nil"/>
              <w:bottom w:val="nil"/>
              <w:right w:val="nil"/>
            </w:tcBorders>
            <w:shd w:val="clear" w:color="auto" w:fill="EDF1F9" w:themeFill="accent1" w:themeFillTint="19"/>
            <w:noWrap w:val="0"/>
            <w:tcMar>
              <w:top w:w="-1" w:type="dxa"/>
              <w:left w:w="-1" w:type="dxa"/>
              <w:bottom w:w="-1" w:type="dxa"/>
              <w:right w:w="-1" w:type="dxa"/>
            </w:tcMar>
            <w:vAlign w:val="center"/>
          </w:tcPr>
          <w:p w14:paraId="6C300F5A">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电力、氮气</w:t>
            </w:r>
          </w:p>
        </w:tc>
      </w:tr>
      <w:tr w14:paraId="25F2D0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1152" w:type="dxa"/>
            <w:vMerge w:val="continue"/>
            <w:tcBorders>
              <w:top w:val="nil"/>
              <w:left w:val="nil"/>
              <w:bottom w:val="nil"/>
              <w:right w:val="nil"/>
            </w:tcBorders>
            <w:shd w:val="clear" w:color="auto" w:fill="FFFFFF"/>
            <w:noWrap w:val="0"/>
            <w:tcMar>
              <w:top w:w="-1" w:type="dxa"/>
              <w:left w:w="-1" w:type="dxa"/>
              <w:bottom w:w="-1" w:type="dxa"/>
              <w:right w:w="-1" w:type="dxa"/>
            </w:tcMar>
            <w:vAlign w:val="center"/>
          </w:tcPr>
          <w:p w14:paraId="563A9701">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p>
        </w:tc>
        <w:tc>
          <w:tcPr>
            <w:tcW w:w="1706" w:type="dxa"/>
            <w:tcBorders>
              <w:top w:val="nil"/>
              <w:left w:val="nil"/>
              <w:bottom w:val="nil"/>
              <w:right w:val="nil"/>
            </w:tcBorders>
            <w:shd w:val="clear" w:color="auto" w:fill="FFFFFF"/>
            <w:noWrap w:val="0"/>
            <w:tcMar>
              <w:top w:w="-1" w:type="dxa"/>
              <w:left w:w="-1" w:type="dxa"/>
              <w:bottom w:w="-1" w:type="dxa"/>
              <w:right w:w="-1" w:type="dxa"/>
            </w:tcMar>
            <w:vAlign w:val="center"/>
          </w:tcPr>
          <w:p w14:paraId="0AB95663">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新疆线缆厂</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w14:paraId="164959BF">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线缆-中低压</w:t>
            </w:r>
          </w:p>
        </w:tc>
        <w:tc>
          <w:tcPr>
            <w:tcW w:w="3358" w:type="dxa"/>
            <w:tcBorders>
              <w:top w:val="nil"/>
              <w:left w:val="nil"/>
              <w:bottom w:val="nil"/>
              <w:right w:val="nil"/>
            </w:tcBorders>
            <w:shd w:val="clear" w:color="auto" w:fill="FFFFFF"/>
            <w:noWrap w:val="0"/>
            <w:tcMar>
              <w:top w:w="-1" w:type="dxa"/>
              <w:left w:w="-1" w:type="dxa"/>
              <w:bottom w:w="-1" w:type="dxa"/>
              <w:right w:w="-1" w:type="dxa"/>
            </w:tcMar>
            <w:vAlign w:val="center"/>
          </w:tcPr>
          <w:p w14:paraId="6C6C0B9F">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①拉丝 ②交联（干法）</w:t>
            </w:r>
          </w:p>
        </w:tc>
        <w:tc>
          <w:tcPr>
            <w:tcW w:w="1634" w:type="dxa"/>
            <w:tcBorders>
              <w:top w:val="nil"/>
              <w:left w:val="nil"/>
              <w:bottom w:val="nil"/>
              <w:right w:val="nil"/>
            </w:tcBorders>
            <w:shd w:val="clear" w:color="auto" w:fill="FFFFFF"/>
            <w:noWrap w:val="0"/>
            <w:tcMar>
              <w:top w:w="-1" w:type="dxa"/>
              <w:left w:w="-1" w:type="dxa"/>
              <w:bottom w:w="-1" w:type="dxa"/>
              <w:right w:w="-1" w:type="dxa"/>
            </w:tcMar>
            <w:vAlign w:val="center"/>
          </w:tcPr>
          <w:p w14:paraId="310E9EE0">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电力、氮气</w:t>
            </w:r>
          </w:p>
        </w:tc>
      </w:tr>
      <w:tr w14:paraId="527542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1152" w:type="dxa"/>
            <w:tcBorders>
              <w:top w:val="nil"/>
              <w:left w:val="nil"/>
              <w:bottom w:val="single" w:color="4874CB" w:themeColor="accent1" w:sz="6" w:space="0"/>
              <w:right w:val="nil"/>
            </w:tcBorders>
            <w:shd w:val="clear" w:color="auto" w:fill="EDF1F9" w:themeFill="accent1" w:themeFillTint="19"/>
            <w:noWrap w:val="0"/>
            <w:tcMar>
              <w:top w:w="-1" w:type="dxa"/>
              <w:left w:w="-1" w:type="dxa"/>
              <w:bottom w:w="-1" w:type="dxa"/>
              <w:right w:w="-1" w:type="dxa"/>
            </w:tcMar>
            <w:vAlign w:val="center"/>
          </w:tcPr>
          <w:p w14:paraId="75F5654E">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德缆公司</w:t>
            </w:r>
          </w:p>
        </w:tc>
        <w:tc>
          <w:tcPr>
            <w:tcW w:w="1706" w:type="dxa"/>
            <w:tcBorders>
              <w:top w:val="nil"/>
              <w:left w:val="nil"/>
              <w:bottom w:val="single" w:color="4874CB" w:themeColor="accent1" w:sz="6" w:space="0"/>
              <w:right w:val="nil"/>
            </w:tcBorders>
            <w:shd w:val="clear" w:color="auto" w:fill="EDF1F9" w:themeFill="accent1" w:themeFillTint="19"/>
            <w:noWrap w:val="0"/>
            <w:tcMar>
              <w:top w:w="-1" w:type="dxa"/>
              <w:left w:w="-1" w:type="dxa"/>
              <w:bottom w:w="-1" w:type="dxa"/>
              <w:right w:w="-1" w:type="dxa"/>
            </w:tcMar>
            <w:vAlign w:val="center"/>
          </w:tcPr>
          <w:p w14:paraId="3C83290E">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德缆股份有限公司</w:t>
            </w:r>
          </w:p>
        </w:tc>
        <w:tc>
          <w:tcPr>
            <w:tcW w:w="1680" w:type="dxa"/>
            <w:tcBorders>
              <w:top w:val="nil"/>
              <w:left w:val="nil"/>
              <w:bottom w:val="single" w:color="4874CB" w:themeColor="accent1" w:sz="6" w:space="0"/>
              <w:right w:val="nil"/>
            </w:tcBorders>
            <w:shd w:val="clear" w:color="auto" w:fill="EDF1F9" w:themeFill="accent1" w:themeFillTint="19"/>
            <w:noWrap w:val="0"/>
            <w:tcMar>
              <w:top w:w="-1" w:type="dxa"/>
              <w:left w:w="-1" w:type="dxa"/>
              <w:bottom w:w="-1" w:type="dxa"/>
              <w:right w:w="-1" w:type="dxa"/>
            </w:tcMar>
            <w:vAlign w:val="center"/>
          </w:tcPr>
          <w:p w14:paraId="68D79223">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线缆-中低压</w:t>
            </w:r>
          </w:p>
        </w:tc>
        <w:tc>
          <w:tcPr>
            <w:tcW w:w="3358" w:type="dxa"/>
            <w:tcBorders>
              <w:top w:val="nil"/>
              <w:left w:val="nil"/>
              <w:bottom w:val="single" w:color="4874CB" w:themeColor="accent1" w:sz="6" w:space="0"/>
              <w:right w:val="nil"/>
            </w:tcBorders>
            <w:shd w:val="clear" w:color="auto" w:fill="EDF1F9" w:themeFill="accent1" w:themeFillTint="19"/>
            <w:noWrap w:val="0"/>
            <w:tcMar>
              <w:top w:w="-1" w:type="dxa"/>
              <w:left w:w="-1" w:type="dxa"/>
              <w:bottom w:w="-1" w:type="dxa"/>
              <w:right w:w="-1" w:type="dxa"/>
            </w:tcMar>
            <w:vAlign w:val="center"/>
          </w:tcPr>
          <w:p w14:paraId="3557F7FA">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①拉丝 ②交联（干法）</w:t>
            </w:r>
          </w:p>
        </w:tc>
        <w:tc>
          <w:tcPr>
            <w:tcW w:w="1634" w:type="dxa"/>
            <w:tcBorders>
              <w:top w:val="nil"/>
              <w:left w:val="nil"/>
              <w:bottom w:val="single" w:color="4874CB" w:themeColor="accent1" w:sz="6" w:space="0"/>
              <w:right w:val="nil"/>
            </w:tcBorders>
            <w:shd w:val="clear" w:color="auto" w:fill="EDF1F9" w:themeFill="accent1" w:themeFillTint="19"/>
            <w:noWrap w:val="0"/>
            <w:tcMar>
              <w:top w:w="-1" w:type="dxa"/>
              <w:left w:w="-1" w:type="dxa"/>
              <w:bottom w:w="-1" w:type="dxa"/>
              <w:right w:w="-1" w:type="dxa"/>
            </w:tcMar>
            <w:vAlign w:val="center"/>
          </w:tcPr>
          <w:p w14:paraId="186908D4">
            <w:pPr>
              <w:spacing w:before="0" w:after="0" w:line="240" w:lineRule="auto"/>
              <w:ind w:left="0" w:leftChars="0" w:right="0" w:rightChars="0" w:firstLine="0" w:firstLineChars="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sz w:val="24"/>
                <w:szCs w:val="24"/>
                <w:lang w:val="en-US" w:eastAsia="zh-CN"/>
              </w:rPr>
              <w:t>电力、氮气</w:t>
            </w:r>
          </w:p>
        </w:tc>
      </w:tr>
    </w:tbl>
    <w:p w14:paraId="4DC45A5B">
      <w:pPr>
        <w:spacing w:after="60"/>
        <w:rPr>
          <w:rFonts w:hint="eastAsia" w:ascii="宋体" w:hAnsi="宋体" w:eastAsia="宋体" w:cs="宋体"/>
          <w:i w:val="0"/>
          <w:iCs w:val="0"/>
          <w:sz w:val="24"/>
          <w:szCs w:val="24"/>
        </w:rPr>
      </w:pPr>
    </w:p>
    <w:p w14:paraId="4EACE71A">
      <w:pPr>
        <w:pStyle w:val="37"/>
        <w:widowControl/>
        <w:outlineLvl w:val="0"/>
        <w:rPr>
          <w:rFonts w:hint="eastAsia" w:ascii="宋体" w:hAnsi="宋体" w:eastAsia="宋体" w:cs="宋体"/>
          <w:i w:val="0"/>
          <w:iCs w:val="0"/>
          <w:sz w:val="24"/>
          <w:szCs w:val="24"/>
        </w:rPr>
      </w:pPr>
      <w:bookmarkStart w:id="121" w:name="_Toc1064"/>
      <w:r>
        <w:rPr>
          <w:rFonts w:ascii="Times New Roman" w:hAnsi="Times New Roman" w:eastAsia="黑体" w:cs="Times New Roman"/>
          <w:b w:val="0"/>
          <w:bCs w:val="0"/>
          <w:sz w:val="36"/>
          <w:szCs w:val="24"/>
        </w:rPr>
        <w:t>附录 D：园区组织结构树</w:t>
      </w:r>
      <w:bookmarkEnd w:id="121"/>
    </w:p>
    <w:tbl>
      <w:tblPr>
        <w:tblStyle w:val="38"/>
        <w:tblW w:w="978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Layout w:type="autofit"/>
        <w:tblCellMar>
          <w:top w:w="0" w:type="dxa"/>
          <w:left w:w="0" w:type="dxa"/>
          <w:bottom w:w="0" w:type="dxa"/>
          <w:right w:w="0" w:type="dxa"/>
        </w:tblCellMar>
      </w:tblPr>
      <w:tblGrid>
        <w:gridCol w:w="646"/>
        <w:gridCol w:w="3111"/>
        <w:gridCol w:w="3426"/>
        <w:gridCol w:w="2601"/>
      </w:tblGrid>
      <w:tr w14:paraId="71C6CC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647" w:type="dxa"/>
            <w:tcBorders>
              <w:tl2br w:val="nil"/>
              <w:tr2bl w:val="nil"/>
            </w:tcBorders>
            <w:shd w:val="clear" w:color="auto" w:fill="1E3A8A"/>
            <w:noWrap w:val="0"/>
            <w:tcMar>
              <w:top w:w="-1" w:type="dxa"/>
              <w:left w:w="-1" w:type="dxa"/>
              <w:bottom w:w="-1" w:type="dxa"/>
              <w:right w:w="-1" w:type="dxa"/>
            </w:tcMar>
            <w:vAlign w:val="center"/>
          </w:tcPr>
          <w:p w14:paraId="27ADE6BF">
            <w:pPr>
              <w:snapToGrid w:val="0"/>
              <w:spacing w:line="240" w:lineRule="auto"/>
              <w:ind w:left="0" w:leftChars="0" w:right="0" w:rightChars="0" w:firstLine="0" w:firstLineChars="0"/>
              <w:jc w:val="center"/>
              <w:rPr>
                <w:rFonts w:hint="eastAsia" w:ascii="宋体" w:hAnsi="宋体" w:eastAsia="宋体" w:cs="宋体"/>
                <w:b/>
                <w:bCs/>
                <w:i w:val="0"/>
                <w:iCs w:val="0"/>
                <w:color w:val="FFFFFF"/>
                <w:sz w:val="24"/>
                <w:szCs w:val="24"/>
                <w:lang w:val="en-US" w:eastAsia="zh-CN"/>
              </w:rPr>
            </w:pPr>
            <w:r>
              <w:rPr>
                <w:rFonts w:hint="eastAsia" w:ascii="宋体" w:hAnsi="宋体" w:eastAsia="宋体" w:cs="宋体"/>
                <w:b/>
                <w:bCs/>
                <w:i w:val="0"/>
                <w:iCs w:val="0"/>
                <w:color w:val="FFFFFF"/>
                <w:sz w:val="24"/>
                <w:szCs w:val="24"/>
                <w:lang w:val="en-US" w:eastAsia="zh-CN"/>
              </w:rPr>
              <w:t>序号</w:t>
            </w:r>
          </w:p>
        </w:tc>
        <w:tc>
          <w:tcPr>
            <w:tcW w:w="3111" w:type="dxa"/>
            <w:tcBorders>
              <w:tl2br w:val="nil"/>
              <w:tr2bl w:val="nil"/>
            </w:tcBorders>
            <w:shd w:val="clear" w:color="auto" w:fill="1E3A8A"/>
            <w:noWrap w:val="0"/>
            <w:tcMar>
              <w:top w:w="-1" w:type="dxa"/>
              <w:left w:w="-1" w:type="dxa"/>
              <w:bottom w:w="-1" w:type="dxa"/>
              <w:right w:w="-1" w:type="dxa"/>
            </w:tcMar>
            <w:vAlign w:val="center"/>
          </w:tcPr>
          <w:p w14:paraId="2ECED488">
            <w:pPr>
              <w:snapToGrid w:val="0"/>
              <w:spacing w:line="240" w:lineRule="auto"/>
              <w:ind w:left="0" w:leftChars="0" w:right="0" w:rightChars="0" w:firstLine="0" w:firstLineChars="0"/>
              <w:jc w:val="center"/>
              <w:rPr>
                <w:rFonts w:hint="eastAsia" w:ascii="宋体" w:hAnsi="宋体" w:eastAsia="宋体" w:cs="宋体"/>
                <w:b/>
                <w:bCs/>
                <w:i w:val="0"/>
                <w:iCs w:val="0"/>
                <w:color w:val="FFFFFF"/>
                <w:sz w:val="24"/>
                <w:szCs w:val="24"/>
                <w:lang w:val="en-US" w:eastAsia="zh-CN"/>
              </w:rPr>
            </w:pPr>
            <w:r>
              <w:rPr>
                <w:rFonts w:hint="eastAsia" w:ascii="宋体" w:hAnsi="宋体" w:eastAsia="宋体" w:cs="宋体"/>
                <w:b/>
                <w:bCs/>
                <w:i w:val="0"/>
                <w:iCs w:val="0"/>
                <w:color w:val="FFFFFF"/>
                <w:sz w:val="24"/>
                <w:szCs w:val="24"/>
                <w:lang w:val="en-US" w:eastAsia="zh-CN"/>
              </w:rPr>
              <w:t>零碳产业园区全称</w:t>
            </w:r>
          </w:p>
        </w:tc>
        <w:tc>
          <w:tcPr>
            <w:tcW w:w="3426" w:type="dxa"/>
            <w:tcBorders>
              <w:tl2br w:val="nil"/>
              <w:tr2bl w:val="nil"/>
            </w:tcBorders>
            <w:shd w:val="clear" w:color="auto" w:fill="1E3A8A"/>
            <w:noWrap w:val="0"/>
            <w:tcMar>
              <w:top w:w="-1" w:type="dxa"/>
              <w:left w:w="-1" w:type="dxa"/>
              <w:bottom w:w="-1" w:type="dxa"/>
              <w:right w:w="-1" w:type="dxa"/>
            </w:tcMar>
            <w:vAlign w:val="center"/>
          </w:tcPr>
          <w:p w14:paraId="56F8D533">
            <w:pPr>
              <w:snapToGrid w:val="0"/>
              <w:spacing w:line="240" w:lineRule="auto"/>
              <w:ind w:left="0" w:leftChars="0" w:right="0" w:rightChars="0" w:firstLine="0" w:firstLineChars="0"/>
              <w:jc w:val="center"/>
              <w:rPr>
                <w:rFonts w:hint="eastAsia" w:ascii="宋体" w:hAnsi="宋体" w:eastAsia="宋体" w:cs="宋体"/>
                <w:b/>
                <w:i w:val="0"/>
                <w:iCs w:val="0"/>
                <w:color w:val="FFFFFF"/>
                <w:sz w:val="24"/>
                <w:szCs w:val="24"/>
                <w:lang w:val="en-US" w:eastAsia="zh-CN"/>
              </w:rPr>
            </w:pPr>
            <w:r>
              <w:rPr>
                <w:rFonts w:hint="eastAsia" w:ascii="宋体" w:hAnsi="宋体" w:eastAsia="宋体" w:cs="宋体"/>
                <w:b/>
                <w:i w:val="0"/>
                <w:iCs w:val="0"/>
                <w:color w:val="FFFFFF"/>
                <w:sz w:val="24"/>
                <w:szCs w:val="24"/>
                <w:lang w:val="en-US" w:eastAsia="zh-CN"/>
              </w:rPr>
              <w:t>纳管直属二级工厂/车间</w:t>
            </w:r>
          </w:p>
        </w:tc>
        <w:tc>
          <w:tcPr>
            <w:tcW w:w="2601" w:type="dxa"/>
            <w:tcBorders>
              <w:tl2br w:val="nil"/>
              <w:tr2bl w:val="nil"/>
            </w:tcBorders>
            <w:shd w:val="clear" w:color="auto" w:fill="1E3A8A"/>
            <w:noWrap w:val="0"/>
            <w:tcMar>
              <w:top w:w="-1" w:type="dxa"/>
              <w:left w:w="-1" w:type="dxa"/>
              <w:bottom w:w="-1" w:type="dxa"/>
              <w:right w:w="-1" w:type="dxa"/>
            </w:tcMar>
            <w:vAlign w:val="center"/>
          </w:tcPr>
          <w:p w14:paraId="7B5E5B3D">
            <w:pPr>
              <w:snapToGrid w:val="0"/>
              <w:spacing w:line="240" w:lineRule="auto"/>
              <w:ind w:left="0" w:leftChars="0" w:right="0" w:rightChars="0" w:firstLine="0" w:firstLineChars="0"/>
              <w:jc w:val="center"/>
              <w:rPr>
                <w:rFonts w:hint="eastAsia" w:ascii="宋体" w:hAnsi="宋体" w:eastAsia="宋体" w:cs="宋体"/>
                <w:b/>
                <w:i w:val="0"/>
                <w:iCs w:val="0"/>
                <w:color w:val="FFFFFF"/>
                <w:sz w:val="24"/>
                <w:szCs w:val="24"/>
                <w:lang w:val="en-US" w:eastAsia="zh-CN"/>
              </w:rPr>
            </w:pPr>
            <w:r>
              <w:rPr>
                <w:rFonts w:hint="eastAsia" w:ascii="宋体" w:hAnsi="宋体" w:eastAsia="宋体" w:cs="宋体"/>
                <w:b/>
                <w:i w:val="0"/>
                <w:iCs w:val="0"/>
                <w:color w:val="FFFFFF"/>
                <w:sz w:val="24"/>
                <w:szCs w:val="24"/>
                <w:lang w:val="en-US" w:eastAsia="zh-CN"/>
              </w:rPr>
              <w:t>三级细分</w:t>
            </w:r>
          </w:p>
        </w:tc>
      </w:tr>
      <w:tr w14:paraId="042F2A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647" w:type="dxa"/>
            <w:tcBorders>
              <w:tl2br w:val="nil"/>
              <w:tr2bl w:val="nil"/>
            </w:tcBorders>
            <w:shd w:val="clear" w:color="auto" w:fill="FFFFFF"/>
            <w:noWrap w:val="0"/>
            <w:tcMar>
              <w:top w:w="-1" w:type="dxa"/>
              <w:left w:w="-1" w:type="dxa"/>
              <w:bottom w:w="-1" w:type="dxa"/>
              <w:right w:w="-1" w:type="dxa"/>
            </w:tcMar>
            <w:vAlign w:val="center"/>
          </w:tcPr>
          <w:p w14:paraId="02F8E3DE">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1</w:t>
            </w:r>
          </w:p>
        </w:tc>
        <w:tc>
          <w:tcPr>
            <w:tcW w:w="3111" w:type="dxa"/>
            <w:tcBorders>
              <w:tl2br w:val="nil"/>
              <w:tr2bl w:val="nil"/>
            </w:tcBorders>
            <w:shd w:val="clear" w:color="auto" w:fill="FFFFFF"/>
            <w:noWrap w:val="0"/>
            <w:tcMar>
              <w:top w:w="-1" w:type="dxa"/>
              <w:left w:w="-1" w:type="dxa"/>
              <w:bottom w:w="-1" w:type="dxa"/>
              <w:right w:w="-1" w:type="dxa"/>
            </w:tcMar>
            <w:vAlign w:val="center"/>
          </w:tcPr>
          <w:p w14:paraId="2CD881F8">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特变电工东北输变电产业园</w:t>
            </w:r>
          </w:p>
        </w:tc>
        <w:tc>
          <w:tcPr>
            <w:tcW w:w="3426" w:type="dxa"/>
            <w:tcBorders>
              <w:tl2br w:val="nil"/>
              <w:tr2bl w:val="nil"/>
            </w:tcBorders>
            <w:shd w:val="clear" w:color="auto" w:fill="FFFFFF"/>
            <w:noWrap w:val="0"/>
            <w:tcMar>
              <w:top w:w="-1" w:type="dxa"/>
              <w:left w:w="-1" w:type="dxa"/>
              <w:bottom w:w="-1" w:type="dxa"/>
              <w:right w:w="-1" w:type="dxa"/>
            </w:tcMar>
            <w:vAlign w:val="center"/>
          </w:tcPr>
          <w:p w14:paraId="1797B7E7">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r>
              <w:rPr>
                <w:rFonts w:hint="eastAsia" w:ascii="宋体" w:hAnsi="宋体" w:eastAsia="宋体" w:cs="宋体"/>
                <w:b w:val="0"/>
                <w:i w:val="0"/>
                <w:iCs w:val="0"/>
                <w:caps w:val="0"/>
                <w:color w:val="000000"/>
                <w:spacing w:val="0"/>
                <w:kern w:val="0"/>
                <w:sz w:val="24"/>
                <w:szCs w:val="24"/>
                <w:lang w:val="en-US" w:eastAsia="zh-CN" w:bidi="ar"/>
              </w:rPr>
              <w:t>① 沈变本部</w:t>
            </w:r>
            <w:r>
              <w:rPr>
                <w:rFonts w:hint="eastAsia" w:ascii="宋体" w:hAnsi="宋体" w:eastAsia="宋体" w:cs="宋体"/>
                <w:b w:val="0"/>
                <w:i w:val="0"/>
                <w:iCs w:val="0"/>
                <w:caps w:val="0"/>
                <w:color w:val="000000"/>
                <w:spacing w:val="0"/>
                <w:kern w:val="0"/>
                <w:sz w:val="24"/>
                <w:szCs w:val="24"/>
                <w:lang w:val="en-US" w:eastAsia="zh-CN" w:bidi="ar"/>
              </w:rPr>
              <w:br w:type="textWrapping"/>
            </w:r>
            <w:r>
              <w:rPr>
                <w:rFonts w:hint="eastAsia" w:ascii="宋体" w:hAnsi="宋体" w:eastAsia="宋体" w:cs="宋体"/>
                <w:b w:val="0"/>
                <w:i w:val="0"/>
                <w:iCs w:val="0"/>
                <w:caps w:val="0"/>
                <w:color w:val="000000"/>
                <w:spacing w:val="0"/>
                <w:kern w:val="0"/>
                <w:sz w:val="24"/>
                <w:szCs w:val="24"/>
                <w:lang w:val="en-US" w:eastAsia="zh-CN" w:bidi="ar"/>
              </w:rPr>
              <w:t>② 智慧能源 (沈变)</w:t>
            </w:r>
            <w:r>
              <w:rPr>
                <w:rFonts w:hint="eastAsia" w:ascii="宋体" w:hAnsi="宋体" w:eastAsia="宋体" w:cs="宋体"/>
                <w:b w:val="0"/>
                <w:i w:val="0"/>
                <w:iCs w:val="0"/>
                <w:caps w:val="0"/>
                <w:color w:val="000000"/>
                <w:spacing w:val="0"/>
                <w:kern w:val="0"/>
                <w:sz w:val="24"/>
                <w:szCs w:val="24"/>
                <w:lang w:val="en-US" w:eastAsia="zh-CN" w:bidi="ar"/>
              </w:rPr>
              <w:br w:type="textWrapping"/>
            </w:r>
            <w:r>
              <w:rPr>
                <w:rFonts w:hint="eastAsia" w:ascii="宋体" w:hAnsi="宋体" w:eastAsia="宋体" w:cs="宋体"/>
                <w:b w:val="0"/>
                <w:i w:val="0"/>
                <w:iCs w:val="0"/>
                <w:caps w:val="0"/>
                <w:color w:val="000000"/>
                <w:spacing w:val="0"/>
                <w:kern w:val="0"/>
                <w:sz w:val="24"/>
                <w:szCs w:val="24"/>
                <w:lang w:val="en-US" w:eastAsia="zh-CN" w:bidi="ar"/>
              </w:rPr>
              <w:t>③ 和新套管公司</w:t>
            </w:r>
            <w:r>
              <w:rPr>
                <w:rFonts w:hint="eastAsia" w:ascii="宋体" w:hAnsi="宋体" w:eastAsia="宋体" w:cs="宋体"/>
                <w:b w:val="0"/>
                <w:i w:val="0"/>
                <w:iCs w:val="0"/>
                <w:caps w:val="0"/>
                <w:color w:val="000000"/>
                <w:spacing w:val="0"/>
                <w:kern w:val="0"/>
                <w:sz w:val="24"/>
                <w:szCs w:val="24"/>
                <w:lang w:val="en-US" w:eastAsia="zh-CN" w:bidi="ar"/>
              </w:rPr>
              <w:br w:type="textWrapping"/>
            </w:r>
            <w:r>
              <w:rPr>
                <w:rFonts w:hint="eastAsia" w:ascii="宋体" w:hAnsi="宋体" w:eastAsia="宋体" w:cs="宋体"/>
                <w:b w:val="0"/>
                <w:i w:val="0"/>
                <w:iCs w:val="0"/>
                <w:caps w:val="0"/>
                <w:color w:val="000000"/>
                <w:spacing w:val="0"/>
                <w:kern w:val="0"/>
                <w:sz w:val="24"/>
                <w:szCs w:val="24"/>
                <w:lang w:val="en-US" w:eastAsia="zh-CN" w:bidi="ar"/>
              </w:rPr>
              <w:t>④ 康嘉互感器</w:t>
            </w:r>
            <w:r>
              <w:rPr>
                <w:rFonts w:hint="eastAsia" w:ascii="宋体" w:hAnsi="宋体" w:eastAsia="宋体" w:cs="宋体"/>
                <w:b w:val="0"/>
                <w:i w:val="0"/>
                <w:iCs w:val="0"/>
                <w:caps w:val="0"/>
                <w:color w:val="000000"/>
                <w:spacing w:val="0"/>
                <w:kern w:val="0"/>
                <w:sz w:val="24"/>
                <w:szCs w:val="24"/>
                <w:lang w:val="en-US" w:eastAsia="zh-CN" w:bidi="ar"/>
              </w:rPr>
              <w:br w:type="textWrapping"/>
            </w:r>
            <w:r>
              <w:rPr>
                <w:rFonts w:hint="eastAsia" w:ascii="宋体" w:hAnsi="宋体" w:eastAsia="宋体" w:cs="宋体"/>
                <w:b w:val="0"/>
                <w:i w:val="0"/>
                <w:iCs w:val="0"/>
                <w:caps w:val="0"/>
                <w:color w:val="000000"/>
                <w:spacing w:val="0"/>
                <w:kern w:val="0"/>
                <w:sz w:val="24"/>
                <w:szCs w:val="24"/>
                <w:lang w:val="en-US" w:eastAsia="zh-CN" w:bidi="ar"/>
              </w:rPr>
              <w:t>⑤ 印能公司</w:t>
            </w:r>
          </w:p>
        </w:tc>
        <w:tc>
          <w:tcPr>
            <w:tcW w:w="2601" w:type="dxa"/>
            <w:tcBorders>
              <w:tl2br w:val="nil"/>
              <w:tr2bl w:val="nil"/>
            </w:tcBorders>
            <w:shd w:val="clear" w:color="auto" w:fill="FFFFFF"/>
            <w:noWrap w:val="0"/>
            <w:tcMar>
              <w:top w:w="-1" w:type="dxa"/>
              <w:left w:w="-1" w:type="dxa"/>
              <w:bottom w:w="-1" w:type="dxa"/>
              <w:right w:w="-1" w:type="dxa"/>
            </w:tcMar>
            <w:vAlign w:val="center"/>
          </w:tcPr>
          <w:p w14:paraId="440DA60B">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p>
        </w:tc>
      </w:tr>
      <w:tr w14:paraId="177495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647" w:type="dxa"/>
            <w:tcBorders>
              <w:tl2br w:val="nil"/>
              <w:tr2bl w:val="nil"/>
            </w:tcBorders>
            <w:shd w:val="clear" w:color="auto" w:fill="EDF1F9" w:themeFill="accent1" w:themeFillTint="19"/>
            <w:noWrap w:val="0"/>
            <w:tcMar>
              <w:top w:w="-1" w:type="dxa"/>
              <w:left w:w="-1" w:type="dxa"/>
              <w:bottom w:w="-1" w:type="dxa"/>
              <w:right w:w="-1" w:type="dxa"/>
            </w:tcMar>
            <w:vAlign w:val="center"/>
          </w:tcPr>
          <w:p w14:paraId="5D9970D6">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2</w:t>
            </w:r>
          </w:p>
        </w:tc>
        <w:tc>
          <w:tcPr>
            <w:tcW w:w="3111" w:type="dxa"/>
            <w:tcBorders>
              <w:tl2br w:val="nil"/>
              <w:tr2bl w:val="nil"/>
            </w:tcBorders>
            <w:shd w:val="clear" w:color="auto" w:fill="EDF1F9" w:themeFill="accent1" w:themeFillTint="19"/>
            <w:noWrap w:val="0"/>
            <w:tcMar>
              <w:top w:w="-1" w:type="dxa"/>
              <w:left w:w="-1" w:type="dxa"/>
              <w:bottom w:w="-1" w:type="dxa"/>
              <w:right w:w="-1" w:type="dxa"/>
            </w:tcMar>
            <w:vAlign w:val="center"/>
          </w:tcPr>
          <w:p w14:paraId="0FA39EB3">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特变电工南方输变电产业园</w:t>
            </w:r>
          </w:p>
        </w:tc>
        <w:tc>
          <w:tcPr>
            <w:tcW w:w="3426" w:type="dxa"/>
            <w:tcBorders>
              <w:tl2br w:val="nil"/>
              <w:tr2bl w:val="nil"/>
            </w:tcBorders>
            <w:shd w:val="clear" w:color="auto" w:fill="EDF1F9" w:themeFill="accent1" w:themeFillTint="19"/>
            <w:noWrap w:val="0"/>
            <w:tcMar>
              <w:top w:w="-1" w:type="dxa"/>
              <w:left w:w="-1" w:type="dxa"/>
              <w:bottom w:w="-1" w:type="dxa"/>
              <w:right w:w="-1" w:type="dxa"/>
            </w:tcMar>
            <w:vAlign w:val="center"/>
          </w:tcPr>
          <w:p w14:paraId="376675A8">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r>
              <w:rPr>
                <w:rFonts w:hint="eastAsia" w:ascii="宋体" w:hAnsi="宋体" w:eastAsia="宋体" w:cs="宋体"/>
                <w:b w:val="0"/>
                <w:i w:val="0"/>
                <w:iCs w:val="0"/>
                <w:caps w:val="0"/>
                <w:color w:val="000000"/>
                <w:spacing w:val="0"/>
                <w:kern w:val="0"/>
                <w:sz w:val="24"/>
                <w:szCs w:val="24"/>
                <w:lang w:val="en-US" w:eastAsia="zh-CN" w:bidi="ar"/>
              </w:rPr>
              <w:t>① 衡变本部</w:t>
            </w:r>
          </w:p>
        </w:tc>
        <w:tc>
          <w:tcPr>
            <w:tcW w:w="2601" w:type="dxa"/>
            <w:tcBorders>
              <w:tl2br w:val="nil"/>
              <w:tr2bl w:val="nil"/>
            </w:tcBorders>
            <w:shd w:val="clear" w:color="auto" w:fill="EDF1F9" w:themeFill="accent1" w:themeFillTint="19"/>
            <w:noWrap w:val="0"/>
            <w:tcMar>
              <w:top w:w="-1" w:type="dxa"/>
              <w:left w:w="-1" w:type="dxa"/>
              <w:bottom w:w="-1" w:type="dxa"/>
              <w:right w:w="-1" w:type="dxa"/>
            </w:tcMar>
            <w:vAlign w:val="center"/>
          </w:tcPr>
          <w:p w14:paraId="3C868737">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p>
        </w:tc>
      </w:tr>
      <w:tr w14:paraId="4FC786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647" w:type="dxa"/>
            <w:tcBorders>
              <w:tl2br w:val="nil"/>
              <w:tr2bl w:val="nil"/>
            </w:tcBorders>
            <w:shd w:val="clear" w:color="auto" w:fill="FFFFFF"/>
            <w:noWrap w:val="0"/>
            <w:tcMar>
              <w:top w:w="-1" w:type="dxa"/>
              <w:left w:w="-1" w:type="dxa"/>
              <w:bottom w:w="-1" w:type="dxa"/>
              <w:right w:w="-1" w:type="dxa"/>
            </w:tcMar>
            <w:vAlign w:val="center"/>
          </w:tcPr>
          <w:p w14:paraId="36F8B0EA">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3</w:t>
            </w:r>
          </w:p>
        </w:tc>
        <w:tc>
          <w:tcPr>
            <w:tcW w:w="3111" w:type="dxa"/>
            <w:tcBorders>
              <w:tl2br w:val="nil"/>
              <w:tr2bl w:val="nil"/>
            </w:tcBorders>
            <w:shd w:val="clear" w:color="auto" w:fill="FFFFFF"/>
            <w:noWrap w:val="0"/>
            <w:tcMar>
              <w:top w:w="-1" w:type="dxa"/>
              <w:left w:w="-1" w:type="dxa"/>
              <w:bottom w:w="-1" w:type="dxa"/>
              <w:right w:w="-1" w:type="dxa"/>
            </w:tcMar>
            <w:vAlign w:val="center"/>
          </w:tcPr>
          <w:p w14:paraId="587BEDEB">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特变电工二次产业园区</w:t>
            </w:r>
          </w:p>
        </w:tc>
        <w:tc>
          <w:tcPr>
            <w:tcW w:w="3426" w:type="dxa"/>
            <w:tcBorders>
              <w:tl2br w:val="nil"/>
              <w:tr2bl w:val="nil"/>
            </w:tcBorders>
            <w:shd w:val="clear" w:color="auto" w:fill="FFFFFF"/>
            <w:noWrap w:val="0"/>
            <w:tcMar>
              <w:top w:w="-1" w:type="dxa"/>
              <w:left w:w="-1" w:type="dxa"/>
              <w:bottom w:w="-1" w:type="dxa"/>
              <w:right w:w="-1" w:type="dxa"/>
            </w:tcMar>
            <w:vAlign w:val="center"/>
          </w:tcPr>
          <w:p w14:paraId="4DD51296">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r>
              <w:rPr>
                <w:rFonts w:hint="eastAsia" w:ascii="宋体" w:hAnsi="宋体" w:eastAsia="宋体" w:cs="宋体"/>
                <w:b w:val="0"/>
                <w:i w:val="0"/>
                <w:iCs w:val="0"/>
                <w:caps w:val="0"/>
                <w:color w:val="000000"/>
                <w:spacing w:val="0"/>
                <w:kern w:val="0"/>
                <w:sz w:val="24"/>
                <w:szCs w:val="24"/>
                <w:lang w:val="en-US" w:eastAsia="zh-CN" w:bidi="ar"/>
              </w:rPr>
              <w:t>① 南京电研</w:t>
            </w:r>
          </w:p>
        </w:tc>
        <w:tc>
          <w:tcPr>
            <w:tcW w:w="2601" w:type="dxa"/>
            <w:tcBorders>
              <w:tl2br w:val="nil"/>
              <w:tr2bl w:val="nil"/>
            </w:tcBorders>
            <w:shd w:val="clear" w:color="auto" w:fill="FFFFFF"/>
            <w:noWrap w:val="0"/>
            <w:tcMar>
              <w:top w:w="-1" w:type="dxa"/>
              <w:left w:w="-1" w:type="dxa"/>
              <w:bottom w:w="-1" w:type="dxa"/>
              <w:right w:w="-1" w:type="dxa"/>
            </w:tcMar>
            <w:vAlign w:val="center"/>
          </w:tcPr>
          <w:p w14:paraId="490C1089">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p>
        </w:tc>
      </w:tr>
      <w:tr w14:paraId="606466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647" w:type="dxa"/>
            <w:tcBorders>
              <w:tl2br w:val="nil"/>
              <w:tr2bl w:val="nil"/>
            </w:tcBorders>
            <w:shd w:val="clear" w:color="auto" w:fill="EDF1F9" w:themeFill="accent1" w:themeFillTint="19"/>
            <w:noWrap w:val="0"/>
            <w:tcMar>
              <w:top w:w="-1" w:type="dxa"/>
              <w:left w:w="-1" w:type="dxa"/>
              <w:bottom w:w="-1" w:type="dxa"/>
              <w:right w:w="-1" w:type="dxa"/>
            </w:tcMar>
            <w:vAlign w:val="center"/>
          </w:tcPr>
          <w:p w14:paraId="7CFF9898">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4</w:t>
            </w:r>
          </w:p>
        </w:tc>
        <w:tc>
          <w:tcPr>
            <w:tcW w:w="3111" w:type="dxa"/>
            <w:tcBorders>
              <w:tl2br w:val="nil"/>
              <w:tr2bl w:val="nil"/>
            </w:tcBorders>
            <w:shd w:val="clear" w:color="auto" w:fill="EDF1F9" w:themeFill="accent1" w:themeFillTint="19"/>
            <w:noWrap w:val="0"/>
            <w:tcMar>
              <w:top w:w="-1" w:type="dxa"/>
              <w:left w:w="-1" w:type="dxa"/>
              <w:bottom w:w="-1" w:type="dxa"/>
              <w:right w:w="-1" w:type="dxa"/>
            </w:tcMar>
            <w:vAlign w:val="center"/>
          </w:tcPr>
          <w:p w14:paraId="5057BFE1">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特变电工云集5G科技产业园</w:t>
            </w:r>
          </w:p>
        </w:tc>
        <w:tc>
          <w:tcPr>
            <w:tcW w:w="3426" w:type="dxa"/>
            <w:tcBorders>
              <w:tl2br w:val="nil"/>
              <w:tr2bl w:val="nil"/>
            </w:tcBorders>
            <w:shd w:val="clear" w:color="auto" w:fill="EDF1F9" w:themeFill="accent1" w:themeFillTint="19"/>
            <w:noWrap w:val="0"/>
            <w:tcMar>
              <w:top w:w="-1" w:type="dxa"/>
              <w:left w:w="-1" w:type="dxa"/>
              <w:bottom w:w="-1" w:type="dxa"/>
              <w:right w:w="-1" w:type="dxa"/>
            </w:tcMar>
            <w:vAlign w:val="center"/>
          </w:tcPr>
          <w:p w14:paraId="36287A12">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r>
              <w:rPr>
                <w:rFonts w:hint="eastAsia" w:ascii="宋体" w:hAnsi="宋体" w:eastAsia="宋体" w:cs="宋体"/>
                <w:b w:val="0"/>
                <w:i w:val="0"/>
                <w:iCs w:val="0"/>
                <w:caps w:val="0"/>
                <w:color w:val="000000"/>
                <w:spacing w:val="0"/>
                <w:kern w:val="0"/>
                <w:sz w:val="24"/>
                <w:szCs w:val="24"/>
                <w:lang w:val="en-US" w:eastAsia="zh-CN" w:bidi="ar"/>
              </w:rPr>
              <w:t>① 云集电气</w:t>
            </w:r>
            <w:r>
              <w:rPr>
                <w:rFonts w:hint="eastAsia" w:ascii="宋体" w:hAnsi="宋体" w:eastAsia="宋体" w:cs="宋体"/>
                <w:b w:val="0"/>
                <w:i w:val="0"/>
                <w:iCs w:val="0"/>
                <w:caps w:val="0"/>
                <w:color w:val="000000"/>
                <w:spacing w:val="0"/>
                <w:kern w:val="0"/>
                <w:sz w:val="24"/>
                <w:szCs w:val="24"/>
                <w:lang w:val="en-US" w:eastAsia="zh-CN" w:bidi="ar"/>
              </w:rPr>
              <w:br w:type="textWrapping"/>
            </w:r>
            <w:r>
              <w:rPr>
                <w:rFonts w:hint="eastAsia" w:ascii="宋体" w:hAnsi="宋体" w:eastAsia="宋体" w:cs="宋体"/>
                <w:b w:val="0"/>
                <w:i w:val="0"/>
                <w:iCs w:val="0"/>
                <w:caps w:val="0"/>
                <w:color w:val="000000"/>
                <w:spacing w:val="0"/>
                <w:kern w:val="0"/>
                <w:sz w:val="24"/>
                <w:szCs w:val="24"/>
                <w:lang w:val="en-US" w:eastAsia="zh-CN" w:bidi="ar"/>
              </w:rPr>
              <w:t>② 湖南电气</w:t>
            </w:r>
            <w:r>
              <w:rPr>
                <w:rFonts w:hint="eastAsia" w:ascii="宋体" w:hAnsi="宋体" w:eastAsia="宋体" w:cs="宋体"/>
                <w:b w:val="0"/>
                <w:i w:val="0"/>
                <w:iCs w:val="0"/>
                <w:caps w:val="0"/>
                <w:color w:val="000000"/>
                <w:spacing w:val="0"/>
                <w:kern w:val="0"/>
                <w:sz w:val="24"/>
                <w:szCs w:val="24"/>
                <w:lang w:val="en-US" w:eastAsia="zh-CN" w:bidi="ar"/>
              </w:rPr>
              <w:br w:type="textWrapping"/>
            </w:r>
            <w:r>
              <w:rPr>
                <w:rFonts w:hint="eastAsia" w:ascii="宋体" w:hAnsi="宋体" w:eastAsia="宋体" w:cs="宋体"/>
                <w:b w:val="0"/>
                <w:i w:val="0"/>
                <w:iCs w:val="0"/>
                <w:caps w:val="0"/>
                <w:color w:val="000000"/>
                <w:spacing w:val="0"/>
                <w:kern w:val="0"/>
                <w:sz w:val="24"/>
                <w:szCs w:val="24"/>
                <w:lang w:val="en-US" w:eastAsia="zh-CN" w:bidi="ar"/>
              </w:rPr>
              <w:t>③ 云集高压开关 (GIS)</w:t>
            </w:r>
          </w:p>
        </w:tc>
        <w:tc>
          <w:tcPr>
            <w:tcW w:w="2601" w:type="dxa"/>
            <w:tcBorders>
              <w:tl2br w:val="nil"/>
              <w:tr2bl w:val="nil"/>
            </w:tcBorders>
            <w:shd w:val="clear" w:color="auto" w:fill="EDF1F9" w:themeFill="accent1" w:themeFillTint="19"/>
            <w:noWrap w:val="0"/>
            <w:tcMar>
              <w:top w:w="-1" w:type="dxa"/>
              <w:left w:w="-1" w:type="dxa"/>
              <w:bottom w:w="-1" w:type="dxa"/>
              <w:right w:w="-1" w:type="dxa"/>
            </w:tcMar>
            <w:vAlign w:val="center"/>
          </w:tcPr>
          <w:p w14:paraId="40D43585">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p>
        </w:tc>
      </w:tr>
      <w:tr w14:paraId="6FD47A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647" w:type="dxa"/>
            <w:tcBorders>
              <w:tl2br w:val="nil"/>
              <w:tr2bl w:val="nil"/>
            </w:tcBorders>
            <w:shd w:val="clear" w:color="auto" w:fill="FFFFFF"/>
            <w:noWrap w:val="0"/>
            <w:tcMar>
              <w:top w:w="-1" w:type="dxa"/>
              <w:left w:w="-1" w:type="dxa"/>
              <w:bottom w:w="-1" w:type="dxa"/>
              <w:right w:w="-1" w:type="dxa"/>
            </w:tcMar>
            <w:vAlign w:val="center"/>
          </w:tcPr>
          <w:p w14:paraId="55DD4476">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5</w:t>
            </w:r>
          </w:p>
        </w:tc>
        <w:tc>
          <w:tcPr>
            <w:tcW w:w="3111" w:type="dxa"/>
            <w:tcBorders>
              <w:tl2br w:val="nil"/>
              <w:tr2bl w:val="nil"/>
            </w:tcBorders>
            <w:shd w:val="clear" w:color="auto" w:fill="FFFFFF"/>
            <w:noWrap w:val="0"/>
            <w:tcMar>
              <w:top w:w="-1" w:type="dxa"/>
              <w:left w:w="-1" w:type="dxa"/>
              <w:bottom w:w="-1" w:type="dxa"/>
              <w:right w:w="-1" w:type="dxa"/>
            </w:tcMar>
            <w:vAlign w:val="center"/>
          </w:tcPr>
          <w:p w14:paraId="2D31132C">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特变电工智能电气产业园</w:t>
            </w:r>
          </w:p>
        </w:tc>
        <w:tc>
          <w:tcPr>
            <w:tcW w:w="3426" w:type="dxa"/>
            <w:tcBorders>
              <w:tl2br w:val="nil"/>
              <w:tr2bl w:val="nil"/>
            </w:tcBorders>
            <w:shd w:val="clear" w:color="auto" w:fill="FFFFFF"/>
            <w:noWrap w:val="0"/>
            <w:tcMar>
              <w:top w:w="-1" w:type="dxa"/>
              <w:left w:w="-1" w:type="dxa"/>
              <w:bottom w:w="-1" w:type="dxa"/>
              <w:right w:w="-1" w:type="dxa"/>
            </w:tcMar>
            <w:vAlign w:val="center"/>
          </w:tcPr>
          <w:p w14:paraId="0BE00689">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r>
              <w:rPr>
                <w:rFonts w:hint="eastAsia" w:ascii="宋体" w:hAnsi="宋体" w:eastAsia="宋体" w:cs="宋体"/>
                <w:b w:val="0"/>
                <w:i w:val="0"/>
                <w:iCs w:val="0"/>
                <w:caps w:val="0"/>
                <w:color w:val="000000"/>
                <w:spacing w:val="0"/>
                <w:kern w:val="0"/>
                <w:sz w:val="24"/>
                <w:szCs w:val="24"/>
                <w:lang w:val="en-US" w:eastAsia="zh-CN" w:bidi="ar"/>
              </w:rPr>
              <w:t>① 智能电气公司</w:t>
            </w:r>
            <w:r>
              <w:rPr>
                <w:rFonts w:hint="eastAsia" w:ascii="宋体" w:hAnsi="宋体" w:eastAsia="宋体" w:cs="宋体"/>
                <w:b w:val="0"/>
                <w:i w:val="0"/>
                <w:iCs w:val="0"/>
                <w:caps w:val="0"/>
                <w:color w:val="000000"/>
                <w:spacing w:val="0"/>
                <w:kern w:val="0"/>
                <w:sz w:val="24"/>
                <w:szCs w:val="24"/>
                <w:lang w:val="en-US" w:eastAsia="zh-CN" w:bidi="ar"/>
              </w:rPr>
              <w:br w:type="textWrapping"/>
            </w:r>
            <w:r>
              <w:rPr>
                <w:rFonts w:hint="eastAsia" w:ascii="宋体" w:hAnsi="宋体" w:eastAsia="宋体" w:cs="宋体"/>
                <w:b w:val="0"/>
                <w:i w:val="0"/>
                <w:iCs w:val="0"/>
                <w:caps w:val="0"/>
                <w:color w:val="000000"/>
                <w:spacing w:val="0"/>
                <w:kern w:val="0"/>
                <w:sz w:val="24"/>
                <w:szCs w:val="24"/>
                <w:lang w:val="en-US" w:eastAsia="zh-CN" w:bidi="ar"/>
              </w:rPr>
              <w:t>② 新疆自控</w:t>
            </w:r>
          </w:p>
        </w:tc>
        <w:tc>
          <w:tcPr>
            <w:tcW w:w="2601" w:type="dxa"/>
            <w:tcBorders>
              <w:tl2br w:val="nil"/>
              <w:tr2bl w:val="nil"/>
            </w:tcBorders>
            <w:shd w:val="clear" w:color="auto" w:fill="FFFFFF"/>
            <w:noWrap w:val="0"/>
            <w:tcMar>
              <w:top w:w="-1" w:type="dxa"/>
              <w:left w:w="-1" w:type="dxa"/>
              <w:bottom w:w="-1" w:type="dxa"/>
              <w:right w:w="-1" w:type="dxa"/>
            </w:tcMar>
            <w:vAlign w:val="center"/>
          </w:tcPr>
          <w:p w14:paraId="6ECDD724">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p>
        </w:tc>
      </w:tr>
      <w:tr w14:paraId="5866F5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647" w:type="dxa"/>
            <w:tcBorders>
              <w:tl2br w:val="nil"/>
              <w:tr2bl w:val="nil"/>
            </w:tcBorders>
            <w:shd w:val="clear" w:color="auto" w:fill="EDF1F9" w:themeFill="accent1" w:themeFillTint="19"/>
            <w:noWrap w:val="0"/>
            <w:tcMar>
              <w:top w:w="-1" w:type="dxa"/>
              <w:left w:w="-1" w:type="dxa"/>
              <w:bottom w:w="-1" w:type="dxa"/>
              <w:right w:w="-1" w:type="dxa"/>
            </w:tcMar>
            <w:vAlign w:val="center"/>
          </w:tcPr>
          <w:p w14:paraId="0CA3808F">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6</w:t>
            </w:r>
          </w:p>
        </w:tc>
        <w:tc>
          <w:tcPr>
            <w:tcW w:w="3111" w:type="dxa"/>
            <w:tcBorders>
              <w:tl2br w:val="nil"/>
              <w:tr2bl w:val="nil"/>
            </w:tcBorders>
            <w:shd w:val="clear" w:color="auto" w:fill="EDF1F9" w:themeFill="accent1" w:themeFillTint="19"/>
            <w:noWrap w:val="0"/>
            <w:tcMar>
              <w:top w:w="-1" w:type="dxa"/>
              <w:left w:w="-1" w:type="dxa"/>
              <w:bottom w:w="-1" w:type="dxa"/>
              <w:right w:w="-1" w:type="dxa"/>
            </w:tcMar>
            <w:vAlign w:val="center"/>
          </w:tcPr>
          <w:p w14:paraId="4F2DAD0B">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特变电工湖南能源建设园区</w:t>
            </w:r>
          </w:p>
        </w:tc>
        <w:tc>
          <w:tcPr>
            <w:tcW w:w="3426" w:type="dxa"/>
            <w:tcBorders>
              <w:tl2br w:val="nil"/>
              <w:tr2bl w:val="nil"/>
            </w:tcBorders>
            <w:shd w:val="clear" w:color="auto" w:fill="EDF1F9" w:themeFill="accent1" w:themeFillTint="19"/>
            <w:noWrap w:val="0"/>
            <w:tcMar>
              <w:top w:w="-1" w:type="dxa"/>
              <w:left w:w="-1" w:type="dxa"/>
              <w:bottom w:w="-1" w:type="dxa"/>
              <w:right w:w="-1" w:type="dxa"/>
            </w:tcMar>
            <w:vAlign w:val="center"/>
          </w:tcPr>
          <w:p w14:paraId="4BA20631">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r>
              <w:rPr>
                <w:rFonts w:hint="eastAsia" w:ascii="宋体" w:hAnsi="宋体" w:eastAsia="宋体" w:cs="宋体"/>
                <w:b w:val="0"/>
                <w:i w:val="0"/>
                <w:iCs w:val="0"/>
                <w:caps w:val="0"/>
                <w:color w:val="000000"/>
                <w:spacing w:val="0"/>
                <w:kern w:val="0"/>
                <w:sz w:val="24"/>
                <w:szCs w:val="24"/>
                <w:lang w:val="en-US" w:eastAsia="zh-CN" w:bidi="ar"/>
              </w:rPr>
              <w:t>① 特能建</w:t>
            </w:r>
          </w:p>
        </w:tc>
        <w:tc>
          <w:tcPr>
            <w:tcW w:w="2601" w:type="dxa"/>
            <w:tcBorders>
              <w:tl2br w:val="nil"/>
              <w:tr2bl w:val="nil"/>
            </w:tcBorders>
            <w:shd w:val="clear" w:color="auto" w:fill="EDF1F9" w:themeFill="accent1" w:themeFillTint="19"/>
            <w:noWrap w:val="0"/>
            <w:tcMar>
              <w:top w:w="-1" w:type="dxa"/>
              <w:left w:w="-1" w:type="dxa"/>
              <w:bottom w:w="-1" w:type="dxa"/>
              <w:right w:w="-1" w:type="dxa"/>
            </w:tcMar>
            <w:vAlign w:val="center"/>
          </w:tcPr>
          <w:p w14:paraId="4DB8EBA2">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p>
        </w:tc>
      </w:tr>
      <w:tr w14:paraId="0ECB2A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647" w:type="dxa"/>
            <w:tcBorders>
              <w:tl2br w:val="nil"/>
              <w:tr2bl w:val="nil"/>
            </w:tcBorders>
            <w:shd w:val="clear" w:color="auto" w:fill="FFFFFF"/>
            <w:noWrap w:val="0"/>
            <w:tcMar>
              <w:top w:w="-1" w:type="dxa"/>
              <w:left w:w="-1" w:type="dxa"/>
              <w:bottom w:w="-1" w:type="dxa"/>
              <w:right w:w="-1" w:type="dxa"/>
            </w:tcMar>
            <w:vAlign w:val="center"/>
          </w:tcPr>
          <w:p w14:paraId="08993827">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7</w:t>
            </w:r>
          </w:p>
        </w:tc>
        <w:tc>
          <w:tcPr>
            <w:tcW w:w="3111" w:type="dxa"/>
            <w:tcBorders>
              <w:tl2br w:val="nil"/>
              <w:tr2bl w:val="nil"/>
            </w:tcBorders>
            <w:shd w:val="clear" w:color="auto" w:fill="FFFFFF"/>
            <w:noWrap w:val="0"/>
            <w:tcMar>
              <w:top w:w="-1" w:type="dxa"/>
              <w:left w:w="-1" w:type="dxa"/>
              <w:bottom w:w="-1" w:type="dxa"/>
              <w:right w:w="-1" w:type="dxa"/>
            </w:tcMar>
            <w:vAlign w:val="center"/>
          </w:tcPr>
          <w:p w14:paraId="486FF328">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特变电工西安智能装备产业园</w:t>
            </w:r>
          </w:p>
        </w:tc>
        <w:tc>
          <w:tcPr>
            <w:tcW w:w="3426" w:type="dxa"/>
            <w:tcBorders>
              <w:tl2br w:val="nil"/>
              <w:tr2bl w:val="nil"/>
            </w:tcBorders>
            <w:shd w:val="clear" w:color="auto" w:fill="FFFFFF"/>
            <w:noWrap w:val="0"/>
            <w:tcMar>
              <w:top w:w="-1" w:type="dxa"/>
              <w:left w:w="-1" w:type="dxa"/>
              <w:bottom w:w="-1" w:type="dxa"/>
              <w:right w:w="-1" w:type="dxa"/>
            </w:tcMar>
            <w:vAlign w:val="center"/>
          </w:tcPr>
          <w:p w14:paraId="1EE4B684">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r>
              <w:rPr>
                <w:rFonts w:hint="eastAsia" w:ascii="宋体" w:hAnsi="宋体" w:eastAsia="宋体" w:cs="宋体"/>
                <w:b w:val="0"/>
                <w:i w:val="0"/>
                <w:iCs w:val="0"/>
                <w:caps w:val="0"/>
                <w:color w:val="000000"/>
                <w:spacing w:val="0"/>
                <w:kern w:val="0"/>
                <w:sz w:val="24"/>
                <w:szCs w:val="24"/>
                <w:lang w:val="en-US" w:eastAsia="zh-CN" w:bidi="ar"/>
              </w:rPr>
              <w:t>① 合容电气</w:t>
            </w:r>
          </w:p>
        </w:tc>
        <w:tc>
          <w:tcPr>
            <w:tcW w:w="2601" w:type="dxa"/>
            <w:tcBorders>
              <w:tl2br w:val="nil"/>
              <w:tr2bl w:val="nil"/>
            </w:tcBorders>
            <w:shd w:val="clear" w:color="auto" w:fill="FFFFFF"/>
            <w:noWrap w:val="0"/>
            <w:tcMar>
              <w:top w:w="-1" w:type="dxa"/>
              <w:left w:w="-1" w:type="dxa"/>
              <w:bottom w:w="-1" w:type="dxa"/>
              <w:right w:w="-1" w:type="dxa"/>
            </w:tcMar>
            <w:vAlign w:val="center"/>
          </w:tcPr>
          <w:p w14:paraId="530EEA9D">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r>
              <w:rPr>
                <w:rFonts w:hint="eastAsia" w:ascii="宋体" w:hAnsi="宋体" w:eastAsia="宋体" w:cs="宋体"/>
                <w:b w:val="0"/>
                <w:i w:val="0"/>
                <w:iCs w:val="0"/>
                <w:caps w:val="0"/>
                <w:color w:val="000000"/>
                <w:spacing w:val="0"/>
                <w:kern w:val="0"/>
                <w:sz w:val="24"/>
                <w:szCs w:val="24"/>
                <w:lang w:val="en-US" w:eastAsia="zh-CN" w:bidi="ar"/>
              </w:rPr>
              <w:t>1. 合容电气股份</w:t>
            </w:r>
            <w:r>
              <w:rPr>
                <w:rFonts w:hint="eastAsia" w:ascii="宋体" w:hAnsi="宋体" w:eastAsia="宋体" w:cs="宋体"/>
                <w:b w:val="0"/>
                <w:i w:val="0"/>
                <w:iCs w:val="0"/>
                <w:caps w:val="0"/>
                <w:color w:val="000000"/>
                <w:spacing w:val="0"/>
                <w:kern w:val="0"/>
                <w:sz w:val="24"/>
                <w:szCs w:val="24"/>
                <w:lang w:val="en-US" w:eastAsia="zh-CN" w:bidi="ar"/>
              </w:rPr>
              <w:br w:type="textWrapping"/>
            </w:r>
            <w:r>
              <w:rPr>
                <w:rFonts w:hint="eastAsia" w:ascii="宋体" w:hAnsi="宋体" w:eastAsia="宋体" w:cs="宋体"/>
                <w:b w:val="0"/>
                <w:i w:val="0"/>
                <w:iCs w:val="0"/>
                <w:caps w:val="0"/>
                <w:color w:val="000000"/>
                <w:spacing w:val="0"/>
                <w:kern w:val="0"/>
                <w:sz w:val="24"/>
                <w:szCs w:val="24"/>
                <w:lang w:val="en-US" w:eastAsia="zh-CN" w:bidi="ar"/>
              </w:rPr>
              <w:t>2. 合容开关</w:t>
            </w:r>
            <w:r>
              <w:rPr>
                <w:rFonts w:hint="eastAsia" w:ascii="宋体" w:hAnsi="宋体" w:eastAsia="宋体" w:cs="宋体"/>
                <w:b w:val="0"/>
                <w:i w:val="0"/>
                <w:iCs w:val="0"/>
                <w:caps w:val="0"/>
                <w:color w:val="000000"/>
                <w:spacing w:val="0"/>
                <w:kern w:val="0"/>
                <w:sz w:val="24"/>
                <w:szCs w:val="24"/>
                <w:lang w:val="en-US" w:eastAsia="zh-CN" w:bidi="ar"/>
              </w:rPr>
              <w:br w:type="textWrapping"/>
            </w:r>
            <w:r>
              <w:rPr>
                <w:rFonts w:hint="eastAsia" w:ascii="宋体" w:hAnsi="宋体" w:eastAsia="宋体" w:cs="宋体"/>
                <w:b w:val="0"/>
                <w:i w:val="0"/>
                <w:iCs w:val="0"/>
                <w:caps w:val="0"/>
                <w:color w:val="000000"/>
                <w:spacing w:val="0"/>
                <w:kern w:val="0"/>
                <w:sz w:val="24"/>
                <w:szCs w:val="24"/>
                <w:lang w:val="en-US" w:eastAsia="zh-CN" w:bidi="ar"/>
              </w:rPr>
              <w:t>3. 合容电力设备</w:t>
            </w:r>
          </w:p>
        </w:tc>
      </w:tr>
      <w:tr w14:paraId="660B6E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647" w:type="dxa"/>
            <w:tcBorders>
              <w:tl2br w:val="nil"/>
              <w:tr2bl w:val="nil"/>
            </w:tcBorders>
            <w:shd w:val="clear" w:color="auto" w:fill="EDF1F9" w:themeFill="accent1" w:themeFillTint="19"/>
            <w:noWrap w:val="0"/>
            <w:tcMar>
              <w:top w:w="-1" w:type="dxa"/>
              <w:left w:w="-1" w:type="dxa"/>
              <w:bottom w:w="-1" w:type="dxa"/>
              <w:right w:w="-1" w:type="dxa"/>
            </w:tcMar>
            <w:vAlign w:val="center"/>
          </w:tcPr>
          <w:p w14:paraId="6B94EC41">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8</w:t>
            </w:r>
          </w:p>
        </w:tc>
        <w:tc>
          <w:tcPr>
            <w:tcW w:w="3111" w:type="dxa"/>
            <w:tcBorders>
              <w:tl2br w:val="nil"/>
              <w:tr2bl w:val="nil"/>
            </w:tcBorders>
            <w:shd w:val="clear" w:color="auto" w:fill="EDF1F9" w:themeFill="accent1" w:themeFillTint="19"/>
            <w:noWrap w:val="0"/>
            <w:tcMar>
              <w:top w:w="-1" w:type="dxa"/>
              <w:left w:w="-1" w:type="dxa"/>
              <w:bottom w:w="-1" w:type="dxa"/>
              <w:right w:w="-1" w:type="dxa"/>
            </w:tcMar>
            <w:vAlign w:val="center"/>
          </w:tcPr>
          <w:p w14:paraId="47739021">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特变电工GIL产业园</w:t>
            </w:r>
          </w:p>
        </w:tc>
        <w:tc>
          <w:tcPr>
            <w:tcW w:w="3426" w:type="dxa"/>
            <w:tcBorders>
              <w:tl2br w:val="nil"/>
              <w:tr2bl w:val="nil"/>
            </w:tcBorders>
            <w:shd w:val="clear" w:color="auto" w:fill="EDF1F9" w:themeFill="accent1" w:themeFillTint="19"/>
            <w:noWrap w:val="0"/>
            <w:tcMar>
              <w:top w:w="-1" w:type="dxa"/>
              <w:left w:w="-1" w:type="dxa"/>
              <w:bottom w:w="-1" w:type="dxa"/>
              <w:right w:w="-1" w:type="dxa"/>
            </w:tcMar>
            <w:vAlign w:val="center"/>
          </w:tcPr>
          <w:p w14:paraId="12544559">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r>
              <w:rPr>
                <w:rFonts w:hint="eastAsia" w:ascii="宋体" w:hAnsi="宋体" w:eastAsia="宋体" w:cs="宋体"/>
                <w:b w:val="0"/>
                <w:i w:val="0"/>
                <w:iCs w:val="0"/>
                <w:caps w:val="0"/>
                <w:color w:val="000000"/>
                <w:spacing w:val="0"/>
                <w:kern w:val="0"/>
                <w:sz w:val="24"/>
                <w:szCs w:val="24"/>
                <w:lang w:val="en-US" w:eastAsia="zh-CN" w:bidi="ar"/>
              </w:rPr>
              <w:t>① 赛杰爱迪</w:t>
            </w:r>
          </w:p>
        </w:tc>
        <w:tc>
          <w:tcPr>
            <w:tcW w:w="2601" w:type="dxa"/>
            <w:tcBorders>
              <w:tl2br w:val="nil"/>
              <w:tr2bl w:val="nil"/>
            </w:tcBorders>
            <w:shd w:val="clear" w:color="auto" w:fill="EDF1F9" w:themeFill="accent1" w:themeFillTint="19"/>
            <w:noWrap w:val="0"/>
            <w:tcMar>
              <w:top w:w="-1" w:type="dxa"/>
              <w:left w:w="-1" w:type="dxa"/>
              <w:bottom w:w="-1" w:type="dxa"/>
              <w:right w:w="-1" w:type="dxa"/>
            </w:tcMar>
            <w:vAlign w:val="center"/>
          </w:tcPr>
          <w:p w14:paraId="60F6A793">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p>
        </w:tc>
      </w:tr>
      <w:tr w14:paraId="48CA19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647" w:type="dxa"/>
            <w:tcBorders>
              <w:tl2br w:val="nil"/>
              <w:tr2bl w:val="nil"/>
            </w:tcBorders>
            <w:shd w:val="clear" w:color="auto" w:fill="FFFFFF"/>
            <w:noWrap w:val="0"/>
            <w:tcMar>
              <w:top w:w="-1" w:type="dxa"/>
              <w:left w:w="-1" w:type="dxa"/>
              <w:bottom w:w="-1" w:type="dxa"/>
              <w:right w:w="-1" w:type="dxa"/>
            </w:tcMar>
            <w:vAlign w:val="center"/>
          </w:tcPr>
          <w:p w14:paraId="785F7C9D">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9</w:t>
            </w:r>
          </w:p>
        </w:tc>
        <w:tc>
          <w:tcPr>
            <w:tcW w:w="3111" w:type="dxa"/>
            <w:tcBorders>
              <w:tl2br w:val="nil"/>
              <w:tr2bl w:val="nil"/>
            </w:tcBorders>
            <w:shd w:val="clear" w:color="auto" w:fill="FFFFFF"/>
            <w:noWrap w:val="0"/>
            <w:tcMar>
              <w:top w:w="-1" w:type="dxa"/>
              <w:left w:w="-1" w:type="dxa"/>
              <w:bottom w:w="-1" w:type="dxa"/>
              <w:right w:w="-1" w:type="dxa"/>
            </w:tcMar>
            <w:vAlign w:val="center"/>
          </w:tcPr>
          <w:p w14:paraId="567D4409">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特变电工输变电产业园 (新疆)</w:t>
            </w:r>
          </w:p>
        </w:tc>
        <w:tc>
          <w:tcPr>
            <w:tcW w:w="3426" w:type="dxa"/>
            <w:tcBorders>
              <w:tl2br w:val="nil"/>
              <w:tr2bl w:val="nil"/>
            </w:tcBorders>
            <w:shd w:val="clear" w:color="auto" w:fill="FFFFFF"/>
            <w:noWrap w:val="0"/>
            <w:tcMar>
              <w:top w:w="-1" w:type="dxa"/>
              <w:left w:w="-1" w:type="dxa"/>
              <w:bottom w:w="-1" w:type="dxa"/>
              <w:right w:w="-1" w:type="dxa"/>
            </w:tcMar>
            <w:vAlign w:val="center"/>
          </w:tcPr>
          <w:p w14:paraId="3E2E2E68">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r>
              <w:rPr>
                <w:rFonts w:hint="eastAsia" w:ascii="宋体" w:hAnsi="宋体" w:eastAsia="宋体" w:cs="宋体"/>
                <w:b w:val="0"/>
                <w:i w:val="0"/>
                <w:iCs w:val="0"/>
                <w:caps w:val="0"/>
                <w:color w:val="000000"/>
                <w:spacing w:val="0"/>
                <w:kern w:val="0"/>
                <w:sz w:val="24"/>
                <w:szCs w:val="24"/>
                <w:lang w:val="en-US" w:eastAsia="zh-CN" w:bidi="ar"/>
              </w:rPr>
              <w:t>① 超高压公司</w:t>
            </w:r>
            <w:r>
              <w:rPr>
                <w:rFonts w:hint="eastAsia" w:ascii="宋体" w:hAnsi="宋体" w:eastAsia="宋体" w:cs="宋体"/>
                <w:b w:val="0"/>
                <w:i w:val="0"/>
                <w:iCs w:val="0"/>
                <w:caps w:val="0"/>
                <w:color w:val="000000"/>
                <w:spacing w:val="0"/>
                <w:kern w:val="0"/>
                <w:sz w:val="24"/>
                <w:szCs w:val="24"/>
                <w:lang w:val="en-US" w:eastAsia="zh-CN" w:bidi="ar"/>
              </w:rPr>
              <w:br w:type="textWrapping"/>
            </w:r>
            <w:r>
              <w:rPr>
                <w:rFonts w:hint="eastAsia" w:ascii="宋体" w:hAnsi="宋体" w:eastAsia="宋体" w:cs="宋体"/>
                <w:b w:val="0"/>
                <w:i w:val="0"/>
                <w:iCs w:val="0"/>
                <w:caps w:val="0"/>
                <w:color w:val="000000"/>
                <w:spacing w:val="0"/>
                <w:kern w:val="0"/>
                <w:sz w:val="24"/>
                <w:szCs w:val="24"/>
                <w:lang w:val="en-US" w:eastAsia="zh-CN" w:bidi="ar"/>
              </w:rPr>
              <w:t>② 特变电工新疆线缆厂</w:t>
            </w:r>
          </w:p>
        </w:tc>
        <w:tc>
          <w:tcPr>
            <w:tcW w:w="2601" w:type="dxa"/>
            <w:tcBorders>
              <w:tl2br w:val="nil"/>
              <w:tr2bl w:val="nil"/>
            </w:tcBorders>
            <w:shd w:val="clear" w:color="auto" w:fill="FFFFFF"/>
            <w:noWrap w:val="0"/>
            <w:tcMar>
              <w:top w:w="-1" w:type="dxa"/>
              <w:left w:w="-1" w:type="dxa"/>
              <w:bottom w:w="-1" w:type="dxa"/>
              <w:right w:w="-1" w:type="dxa"/>
            </w:tcMar>
            <w:vAlign w:val="center"/>
          </w:tcPr>
          <w:p w14:paraId="655DAD63">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p>
        </w:tc>
      </w:tr>
      <w:tr w14:paraId="7540DB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9F9F9"/>
          <w:tblCellMar>
            <w:top w:w="0" w:type="dxa"/>
            <w:left w:w="0" w:type="dxa"/>
            <w:bottom w:w="0" w:type="dxa"/>
            <w:right w:w="0" w:type="dxa"/>
          </w:tblCellMar>
        </w:tblPrEx>
        <w:trPr>
          <w:trHeight w:val="567" w:hRule="atLeast"/>
          <w:jc w:val="center"/>
        </w:trPr>
        <w:tc>
          <w:tcPr>
            <w:tcW w:w="647" w:type="dxa"/>
            <w:tcBorders>
              <w:tl2br w:val="nil"/>
              <w:tr2bl w:val="nil"/>
            </w:tcBorders>
            <w:shd w:val="clear" w:color="auto" w:fill="EDF1F9" w:themeFill="accent1" w:themeFillTint="19"/>
            <w:noWrap w:val="0"/>
            <w:tcMar>
              <w:top w:w="-1" w:type="dxa"/>
              <w:left w:w="-1" w:type="dxa"/>
              <w:bottom w:w="-1" w:type="dxa"/>
              <w:right w:w="-1" w:type="dxa"/>
            </w:tcMar>
            <w:vAlign w:val="center"/>
          </w:tcPr>
          <w:p w14:paraId="683CF0C1">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10</w:t>
            </w:r>
          </w:p>
        </w:tc>
        <w:tc>
          <w:tcPr>
            <w:tcW w:w="3111" w:type="dxa"/>
            <w:tcBorders>
              <w:tl2br w:val="nil"/>
              <w:tr2bl w:val="nil"/>
            </w:tcBorders>
            <w:shd w:val="clear" w:color="auto" w:fill="EDF1F9" w:themeFill="accent1" w:themeFillTint="19"/>
            <w:noWrap w:val="0"/>
            <w:tcMar>
              <w:top w:w="-1" w:type="dxa"/>
              <w:left w:w="-1" w:type="dxa"/>
              <w:bottom w:w="-1" w:type="dxa"/>
              <w:right w:w="-1" w:type="dxa"/>
            </w:tcMar>
            <w:vAlign w:val="center"/>
          </w:tcPr>
          <w:p w14:paraId="2857234E">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特变电工天变产业园</w:t>
            </w:r>
          </w:p>
        </w:tc>
        <w:tc>
          <w:tcPr>
            <w:tcW w:w="3426" w:type="dxa"/>
            <w:tcBorders>
              <w:tl2br w:val="nil"/>
              <w:tr2bl w:val="nil"/>
            </w:tcBorders>
            <w:shd w:val="clear" w:color="auto" w:fill="EDF1F9" w:themeFill="accent1" w:themeFillTint="19"/>
            <w:noWrap w:val="0"/>
            <w:tcMar>
              <w:top w:w="-1" w:type="dxa"/>
              <w:left w:w="-1" w:type="dxa"/>
              <w:bottom w:w="-1" w:type="dxa"/>
              <w:right w:w="-1" w:type="dxa"/>
            </w:tcMar>
            <w:vAlign w:val="center"/>
          </w:tcPr>
          <w:p w14:paraId="3F88D45A">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r>
              <w:rPr>
                <w:rFonts w:hint="eastAsia" w:ascii="宋体" w:hAnsi="宋体" w:eastAsia="宋体" w:cs="宋体"/>
                <w:b w:val="0"/>
                <w:i w:val="0"/>
                <w:iCs w:val="0"/>
                <w:caps w:val="0"/>
                <w:color w:val="000000"/>
                <w:spacing w:val="0"/>
                <w:kern w:val="0"/>
                <w:sz w:val="24"/>
                <w:szCs w:val="24"/>
                <w:lang w:val="en-US" w:eastAsia="zh-CN" w:bidi="ar"/>
              </w:rPr>
              <w:t>① 天变公司</w:t>
            </w:r>
          </w:p>
        </w:tc>
        <w:tc>
          <w:tcPr>
            <w:tcW w:w="2601" w:type="dxa"/>
            <w:tcBorders>
              <w:tl2br w:val="nil"/>
              <w:tr2bl w:val="nil"/>
            </w:tcBorders>
            <w:shd w:val="clear" w:color="auto" w:fill="EDF1F9" w:themeFill="accent1" w:themeFillTint="19"/>
            <w:noWrap w:val="0"/>
            <w:tcMar>
              <w:top w:w="-1" w:type="dxa"/>
              <w:left w:w="-1" w:type="dxa"/>
              <w:bottom w:w="-1" w:type="dxa"/>
              <w:right w:w="-1" w:type="dxa"/>
            </w:tcMar>
            <w:vAlign w:val="center"/>
          </w:tcPr>
          <w:p w14:paraId="608866C0">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r>
              <w:rPr>
                <w:rFonts w:hint="eastAsia" w:ascii="宋体" w:hAnsi="宋体" w:eastAsia="宋体" w:cs="宋体"/>
                <w:b w:val="0"/>
                <w:i w:val="0"/>
                <w:iCs w:val="0"/>
                <w:caps w:val="0"/>
                <w:color w:val="000000"/>
                <w:spacing w:val="0"/>
                <w:kern w:val="0"/>
                <w:sz w:val="24"/>
                <w:szCs w:val="24"/>
                <w:lang w:val="en-US" w:eastAsia="zh-CN" w:bidi="ar"/>
              </w:rPr>
              <w:t>1. 天变天津基地</w:t>
            </w:r>
            <w:r>
              <w:rPr>
                <w:rFonts w:hint="eastAsia" w:ascii="宋体" w:hAnsi="宋体" w:eastAsia="宋体" w:cs="宋体"/>
                <w:b w:val="0"/>
                <w:i w:val="0"/>
                <w:iCs w:val="0"/>
                <w:caps w:val="0"/>
                <w:color w:val="000000"/>
                <w:spacing w:val="0"/>
                <w:kern w:val="0"/>
                <w:sz w:val="24"/>
                <w:szCs w:val="24"/>
                <w:lang w:val="en-US" w:eastAsia="zh-CN" w:bidi="ar"/>
              </w:rPr>
              <w:br w:type="textWrapping"/>
            </w:r>
            <w:r>
              <w:rPr>
                <w:rFonts w:hint="eastAsia" w:ascii="宋体" w:hAnsi="宋体" w:eastAsia="宋体" w:cs="宋体"/>
                <w:b w:val="0"/>
                <w:i w:val="0"/>
                <w:iCs w:val="0"/>
                <w:caps w:val="0"/>
                <w:color w:val="000000"/>
                <w:spacing w:val="0"/>
                <w:kern w:val="0"/>
                <w:sz w:val="24"/>
                <w:szCs w:val="24"/>
                <w:lang w:val="en-US" w:eastAsia="zh-CN" w:bidi="ar"/>
              </w:rPr>
              <w:t>2. 天变智慧能源</w:t>
            </w:r>
            <w:r>
              <w:rPr>
                <w:rFonts w:hint="eastAsia" w:ascii="宋体" w:hAnsi="宋体" w:eastAsia="宋体" w:cs="宋体"/>
                <w:b w:val="0"/>
                <w:i w:val="0"/>
                <w:iCs w:val="0"/>
                <w:caps w:val="0"/>
                <w:color w:val="000000"/>
                <w:spacing w:val="0"/>
                <w:kern w:val="0"/>
                <w:sz w:val="24"/>
                <w:szCs w:val="24"/>
                <w:lang w:val="en-US" w:eastAsia="zh-CN" w:bidi="ar"/>
              </w:rPr>
              <w:br w:type="textWrapping"/>
            </w:r>
            <w:r>
              <w:rPr>
                <w:rFonts w:hint="eastAsia" w:ascii="宋体" w:hAnsi="宋体" w:eastAsia="宋体" w:cs="宋体"/>
                <w:b w:val="0"/>
                <w:i w:val="0"/>
                <w:iCs w:val="0"/>
                <w:caps w:val="0"/>
                <w:color w:val="000000"/>
                <w:spacing w:val="0"/>
                <w:kern w:val="0"/>
                <w:sz w:val="24"/>
                <w:szCs w:val="24"/>
                <w:lang w:val="en-US" w:eastAsia="zh-CN" w:bidi="ar"/>
              </w:rPr>
              <w:t>3. 天变智能科技</w:t>
            </w:r>
            <w:r>
              <w:rPr>
                <w:rFonts w:hint="eastAsia" w:ascii="宋体" w:hAnsi="宋体" w:eastAsia="宋体" w:cs="宋体"/>
                <w:b w:val="0"/>
                <w:i w:val="0"/>
                <w:iCs w:val="0"/>
                <w:caps w:val="0"/>
                <w:color w:val="000000"/>
                <w:spacing w:val="0"/>
                <w:kern w:val="0"/>
                <w:sz w:val="24"/>
                <w:szCs w:val="24"/>
                <w:lang w:val="en-US" w:eastAsia="zh-CN" w:bidi="ar"/>
              </w:rPr>
              <w:br w:type="textWrapping"/>
            </w:r>
            <w:r>
              <w:rPr>
                <w:rFonts w:hint="eastAsia" w:ascii="宋体" w:hAnsi="宋体" w:eastAsia="宋体" w:cs="宋体"/>
                <w:b w:val="0"/>
                <w:i w:val="0"/>
                <w:iCs w:val="0"/>
                <w:caps w:val="0"/>
                <w:color w:val="000000"/>
                <w:spacing w:val="0"/>
                <w:kern w:val="0"/>
                <w:sz w:val="24"/>
                <w:szCs w:val="24"/>
                <w:lang w:val="en-US" w:eastAsia="zh-CN" w:bidi="ar"/>
              </w:rPr>
              <w:t>4. 天变衡阳基地</w:t>
            </w:r>
            <w:r>
              <w:rPr>
                <w:rFonts w:hint="eastAsia" w:ascii="宋体" w:hAnsi="宋体" w:eastAsia="宋体" w:cs="宋体"/>
                <w:b w:val="0"/>
                <w:i w:val="0"/>
                <w:iCs w:val="0"/>
                <w:caps w:val="0"/>
                <w:color w:val="000000"/>
                <w:spacing w:val="0"/>
                <w:kern w:val="0"/>
                <w:sz w:val="24"/>
                <w:szCs w:val="24"/>
                <w:lang w:val="en-US" w:eastAsia="zh-CN" w:bidi="ar"/>
              </w:rPr>
              <w:br w:type="textWrapping"/>
            </w:r>
            <w:r>
              <w:rPr>
                <w:rFonts w:hint="eastAsia" w:ascii="宋体" w:hAnsi="宋体" w:eastAsia="宋体" w:cs="宋体"/>
                <w:b w:val="0"/>
                <w:i w:val="0"/>
                <w:iCs w:val="0"/>
                <w:caps w:val="0"/>
                <w:color w:val="000000"/>
                <w:spacing w:val="0"/>
                <w:kern w:val="0"/>
                <w:sz w:val="24"/>
                <w:szCs w:val="24"/>
                <w:lang w:val="en-US" w:eastAsia="zh-CN" w:bidi="ar"/>
              </w:rPr>
              <w:t>5. 天变沈阳基地</w:t>
            </w:r>
          </w:p>
        </w:tc>
      </w:tr>
      <w:tr w14:paraId="06731D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647" w:type="dxa"/>
            <w:tcBorders>
              <w:tl2br w:val="nil"/>
              <w:tr2bl w:val="nil"/>
            </w:tcBorders>
            <w:shd w:val="clear" w:color="auto" w:fill="FFFFFF"/>
            <w:noWrap w:val="0"/>
            <w:tcMar>
              <w:top w:w="-1" w:type="dxa"/>
              <w:left w:w="-1" w:type="dxa"/>
              <w:bottom w:w="-1" w:type="dxa"/>
              <w:right w:w="-1" w:type="dxa"/>
            </w:tcMar>
            <w:vAlign w:val="center"/>
          </w:tcPr>
          <w:p w14:paraId="1BE0279A">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11</w:t>
            </w:r>
          </w:p>
        </w:tc>
        <w:tc>
          <w:tcPr>
            <w:tcW w:w="3111" w:type="dxa"/>
            <w:tcBorders>
              <w:tl2br w:val="nil"/>
              <w:tr2bl w:val="nil"/>
            </w:tcBorders>
            <w:shd w:val="clear" w:color="auto" w:fill="FFFFFF"/>
            <w:noWrap w:val="0"/>
            <w:tcMar>
              <w:top w:w="-1" w:type="dxa"/>
              <w:left w:w="-1" w:type="dxa"/>
              <w:bottom w:w="-1" w:type="dxa"/>
              <w:right w:w="-1" w:type="dxa"/>
            </w:tcMar>
            <w:vAlign w:val="center"/>
          </w:tcPr>
          <w:p w14:paraId="7E802BE1">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特变电工京津冀智能科技产业园</w:t>
            </w:r>
          </w:p>
        </w:tc>
        <w:tc>
          <w:tcPr>
            <w:tcW w:w="3426" w:type="dxa"/>
            <w:tcBorders>
              <w:tl2br w:val="nil"/>
              <w:tr2bl w:val="nil"/>
            </w:tcBorders>
            <w:shd w:val="clear" w:color="auto" w:fill="FFFFFF"/>
            <w:noWrap w:val="0"/>
            <w:tcMar>
              <w:top w:w="-1" w:type="dxa"/>
              <w:left w:w="-1" w:type="dxa"/>
              <w:bottom w:w="-1" w:type="dxa"/>
              <w:right w:w="-1" w:type="dxa"/>
            </w:tcMar>
            <w:vAlign w:val="center"/>
          </w:tcPr>
          <w:p w14:paraId="1D09C2E6">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r>
              <w:rPr>
                <w:rFonts w:hint="eastAsia" w:ascii="宋体" w:hAnsi="宋体" w:eastAsia="宋体" w:cs="宋体"/>
                <w:b w:val="0"/>
                <w:i w:val="0"/>
                <w:iCs w:val="0"/>
                <w:caps w:val="0"/>
                <w:color w:val="000000"/>
                <w:spacing w:val="0"/>
                <w:kern w:val="0"/>
                <w:sz w:val="24"/>
                <w:szCs w:val="24"/>
                <w:lang w:val="en-US" w:eastAsia="zh-CN" w:bidi="ar"/>
              </w:rPr>
              <w:t>① 京津冀公司</w:t>
            </w:r>
            <w:r>
              <w:rPr>
                <w:rFonts w:hint="eastAsia" w:ascii="宋体" w:hAnsi="宋体" w:eastAsia="宋体" w:cs="宋体"/>
                <w:b w:val="0"/>
                <w:i w:val="0"/>
                <w:iCs w:val="0"/>
                <w:caps w:val="0"/>
                <w:color w:val="000000"/>
                <w:spacing w:val="0"/>
                <w:kern w:val="0"/>
                <w:sz w:val="24"/>
                <w:szCs w:val="24"/>
                <w:lang w:val="en-US" w:eastAsia="zh-CN" w:bidi="ar"/>
              </w:rPr>
              <w:br w:type="textWrapping"/>
            </w:r>
            <w:r>
              <w:rPr>
                <w:rFonts w:hint="eastAsia" w:ascii="宋体" w:hAnsi="宋体" w:eastAsia="宋体" w:cs="宋体"/>
                <w:b w:val="0"/>
                <w:i w:val="0"/>
                <w:iCs w:val="0"/>
                <w:caps w:val="0"/>
                <w:color w:val="000000"/>
                <w:spacing w:val="0"/>
                <w:kern w:val="0"/>
                <w:sz w:val="24"/>
                <w:szCs w:val="24"/>
                <w:lang w:val="en-US" w:eastAsia="zh-CN" w:bidi="ar"/>
              </w:rPr>
              <w:t>② 珠峰硅钢</w:t>
            </w:r>
            <w:r>
              <w:rPr>
                <w:rFonts w:hint="eastAsia" w:ascii="宋体" w:hAnsi="宋体" w:eastAsia="宋体" w:cs="宋体"/>
                <w:b w:val="0"/>
                <w:i w:val="0"/>
                <w:iCs w:val="0"/>
                <w:caps w:val="0"/>
                <w:color w:val="000000"/>
                <w:spacing w:val="0"/>
                <w:kern w:val="0"/>
                <w:sz w:val="24"/>
                <w:szCs w:val="24"/>
                <w:lang w:val="en-US" w:eastAsia="zh-CN" w:bidi="ar"/>
              </w:rPr>
              <w:br w:type="textWrapping"/>
            </w:r>
            <w:r>
              <w:rPr>
                <w:rFonts w:hint="eastAsia" w:ascii="宋体" w:hAnsi="宋体" w:eastAsia="宋体" w:cs="宋体"/>
                <w:b w:val="0"/>
                <w:i w:val="0"/>
                <w:iCs w:val="0"/>
                <w:caps w:val="0"/>
                <w:color w:val="000000"/>
                <w:spacing w:val="0"/>
                <w:kern w:val="0"/>
                <w:sz w:val="24"/>
                <w:szCs w:val="24"/>
                <w:lang w:val="en-US" w:eastAsia="zh-CN" w:bidi="ar"/>
              </w:rPr>
              <w:t>③ 智慧能源 (新变)</w:t>
            </w:r>
            <w:r>
              <w:rPr>
                <w:rFonts w:hint="eastAsia" w:ascii="宋体" w:hAnsi="宋体" w:eastAsia="宋体" w:cs="宋体"/>
                <w:b w:val="0"/>
                <w:i w:val="0"/>
                <w:iCs w:val="0"/>
                <w:caps w:val="0"/>
                <w:color w:val="000000"/>
                <w:spacing w:val="0"/>
                <w:kern w:val="0"/>
                <w:sz w:val="24"/>
                <w:szCs w:val="24"/>
                <w:lang w:val="en-US" w:eastAsia="zh-CN" w:bidi="ar"/>
              </w:rPr>
              <w:br w:type="textWrapping"/>
            </w:r>
            <w:r>
              <w:rPr>
                <w:rFonts w:hint="eastAsia" w:ascii="宋体" w:hAnsi="宋体" w:eastAsia="宋体" w:cs="宋体"/>
                <w:b w:val="0"/>
                <w:i w:val="0"/>
                <w:iCs w:val="0"/>
                <w:caps w:val="0"/>
                <w:color w:val="000000"/>
                <w:spacing w:val="0"/>
                <w:kern w:val="0"/>
                <w:sz w:val="24"/>
                <w:szCs w:val="24"/>
                <w:lang w:val="en-US" w:eastAsia="zh-CN" w:bidi="ar"/>
              </w:rPr>
              <w:t>④ 银利电气</w:t>
            </w:r>
          </w:p>
        </w:tc>
        <w:tc>
          <w:tcPr>
            <w:tcW w:w="2601" w:type="dxa"/>
            <w:tcBorders>
              <w:tl2br w:val="nil"/>
              <w:tr2bl w:val="nil"/>
            </w:tcBorders>
            <w:shd w:val="clear" w:color="auto" w:fill="FFFFFF"/>
            <w:noWrap w:val="0"/>
            <w:tcMar>
              <w:top w:w="-1" w:type="dxa"/>
              <w:left w:w="-1" w:type="dxa"/>
              <w:bottom w:w="-1" w:type="dxa"/>
              <w:right w:w="-1" w:type="dxa"/>
            </w:tcMar>
            <w:vAlign w:val="center"/>
          </w:tcPr>
          <w:p w14:paraId="71311500">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p>
        </w:tc>
      </w:tr>
      <w:tr w14:paraId="65CD3B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647" w:type="dxa"/>
            <w:tcBorders>
              <w:tl2br w:val="nil"/>
              <w:tr2bl w:val="nil"/>
            </w:tcBorders>
            <w:shd w:val="clear" w:color="auto" w:fill="EDF1F9" w:themeFill="accent1" w:themeFillTint="19"/>
            <w:noWrap w:val="0"/>
            <w:tcMar>
              <w:top w:w="-1" w:type="dxa"/>
              <w:left w:w="-1" w:type="dxa"/>
              <w:bottom w:w="-1" w:type="dxa"/>
              <w:right w:w="-1" w:type="dxa"/>
            </w:tcMar>
            <w:vAlign w:val="center"/>
          </w:tcPr>
          <w:p w14:paraId="64B05A39">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12</w:t>
            </w:r>
          </w:p>
        </w:tc>
        <w:tc>
          <w:tcPr>
            <w:tcW w:w="3111" w:type="dxa"/>
            <w:tcBorders>
              <w:tl2br w:val="nil"/>
              <w:tr2bl w:val="nil"/>
            </w:tcBorders>
            <w:shd w:val="clear" w:color="auto" w:fill="EDF1F9" w:themeFill="accent1" w:themeFillTint="19"/>
            <w:noWrap w:val="0"/>
            <w:tcMar>
              <w:top w:w="-1" w:type="dxa"/>
              <w:left w:w="-1" w:type="dxa"/>
              <w:bottom w:w="-1" w:type="dxa"/>
              <w:right w:w="-1" w:type="dxa"/>
            </w:tcMar>
            <w:vAlign w:val="center"/>
          </w:tcPr>
          <w:p w14:paraId="407E6AA2">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特变电工华东输变电科技产业园</w:t>
            </w:r>
          </w:p>
        </w:tc>
        <w:tc>
          <w:tcPr>
            <w:tcW w:w="3426" w:type="dxa"/>
            <w:tcBorders>
              <w:tl2br w:val="nil"/>
              <w:tr2bl w:val="nil"/>
            </w:tcBorders>
            <w:shd w:val="clear" w:color="auto" w:fill="EDF1F9" w:themeFill="accent1" w:themeFillTint="19"/>
            <w:noWrap w:val="0"/>
            <w:tcMar>
              <w:top w:w="-1" w:type="dxa"/>
              <w:left w:w="-1" w:type="dxa"/>
              <w:bottom w:w="-1" w:type="dxa"/>
              <w:right w:w="-1" w:type="dxa"/>
            </w:tcMar>
            <w:vAlign w:val="center"/>
          </w:tcPr>
          <w:p w14:paraId="62B2B102">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r>
              <w:rPr>
                <w:rFonts w:hint="eastAsia" w:ascii="宋体" w:hAnsi="宋体" w:eastAsia="宋体" w:cs="宋体"/>
                <w:b w:val="0"/>
                <w:i w:val="0"/>
                <w:iCs w:val="0"/>
                <w:caps w:val="0"/>
                <w:color w:val="000000"/>
                <w:spacing w:val="0"/>
                <w:kern w:val="0"/>
                <w:sz w:val="24"/>
                <w:szCs w:val="24"/>
                <w:lang w:val="en-US" w:eastAsia="zh-CN" w:bidi="ar"/>
              </w:rPr>
              <w:t>① 鲁缆本部</w:t>
            </w:r>
            <w:r>
              <w:rPr>
                <w:rFonts w:hint="eastAsia" w:ascii="宋体" w:hAnsi="宋体" w:eastAsia="宋体" w:cs="宋体"/>
                <w:b w:val="0"/>
                <w:i w:val="0"/>
                <w:iCs w:val="0"/>
                <w:caps w:val="0"/>
                <w:color w:val="000000"/>
                <w:spacing w:val="0"/>
                <w:kern w:val="0"/>
                <w:sz w:val="24"/>
                <w:szCs w:val="24"/>
                <w:lang w:val="en-US" w:eastAsia="zh-CN" w:bidi="ar"/>
              </w:rPr>
              <w:br w:type="textWrapping"/>
            </w:r>
            <w:r>
              <w:rPr>
                <w:rFonts w:hint="eastAsia" w:ascii="宋体" w:hAnsi="宋体" w:eastAsia="宋体" w:cs="宋体"/>
                <w:b w:val="0"/>
                <w:i w:val="0"/>
                <w:iCs w:val="0"/>
                <w:caps w:val="0"/>
                <w:color w:val="000000"/>
                <w:spacing w:val="0"/>
                <w:kern w:val="0"/>
                <w:sz w:val="24"/>
                <w:szCs w:val="24"/>
                <w:lang w:val="en-US" w:eastAsia="zh-CN" w:bidi="ar"/>
              </w:rPr>
              <w:t>② 智缆公司</w:t>
            </w:r>
            <w:r>
              <w:rPr>
                <w:rFonts w:hint="eastAsia" w:ascii="宋体" w:hAnsi="宋体" w:eastAsia="宋体" w:cs="宋体"/>
                <w:b w:val="0"/>
                <w:i w:val="0"/>
                <w:iCs w:val="0"/>
                <w:caps w:val="0"/>
                <w:color w:val="000000"/>
                <w:spacing w:val="0"/>
                <w:kern w:val="0"/>
                <w:sz w:val="24"/>
                <w:szCs w:val="24"/>
                <w:lang w:val="en-US" w:eastAsia="zh-CN" w:bidi="ar"/>
              </w:rPr>
              <w:br w:type="textWrapping"/>
            </w:r>
            <w:r>
              <w:rPr>
                <w:rFonts w:hint="eastAsia" w:ascii="宋体" w:hAnsi="宋体" w:eastAsia="宋体" w:cs="宋体"/>
                <w:b w:val="0"/>
                <w:i w:val="0"/>
                <w:iCs w:val="0"/>
                <w:caps w:val="0"/>
                <w:color w:val="000000"/>
                <w:spacing w:val="0"/>
                <w:kern w:val="0"/>
                <w:sz w:val="24"/>
                <w:szCs w:val="24"/>
                <w:lang w:val="en-US" w:eastAsia="zh-CN" w:bidi="ar"/>
              </w:rPr>
              <w:t>③ 昭和公司</w:t>
            </w:r>
          </w:p>
        </w:tc>
        <w:tc>
          <w:tcPr>
            <w:tcW w:w="2601" w:type="dxa"/>
            <w:tcBorders>
              <w:tl2br w:val="nil"/>
              <w:tr2bl w:val="nil"/>
            </w:tcBorders>
            <w:shd w:val="clear" w:color="auto" w:fill="EDF1F9" w:themeFill="accent1" w:themeFillTint="19"/>
            <w:noWrap w:val="0"/>
            <w:tcMar>
              <w:top w:w="-1" w:type="dxa"/>
              <w:left w:w="-1" w:type="dxa"/>
              <w:bottom w:w="-1" w:type="dxa"/>
              <w:right w:w="-1" w:type="dxa"/>
            </w:tcMar>
            <w:vAlign w:val="center"/>
          </w:tcPr>
          <w:p w14:paraId="3412A027">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p>
        </w:tc>
      </w:tr>
      <w:tr w14:paraId="461206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647" w:type="dxa"/>
            <w:tcBorders>
              <w:tl2br w:val="nil"/>
              <w:tr2bl w:val="nil"/>
            </w:tcBorders>
            <w:shd w:val="clear" w:color="auto" w:fill="FFFFFF"/>
            <w:noWrap w:val="0"/>
            <w:tcMar>
              <w:top w:w="-1" w:type="dxa"/>
              <w:left w:w="-1" w:type="dxa"/>
              <w:bottom w:w="-1" w:type="dxa"/>
              <w:right w:w="-1" w:type="dxa"/>
            </w:tcMar>
            <w:vAlign w:val="center"/>
          </w:tcPr>
          <w:p w14:paraId="06B975D0">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13</w:t>
            </w:r>
          </w:p>
        </w:tc>
        <w:tc>
          <w:tcPr>
            <w:tcW w:w="3111" w:type="dxa"/>
            <w:tcBorders>
              <w:tl2br w:val="nil"/>
              <w:tr2bl w:val="nil"/>
            </w:tcBorders>
            <w:shd w:val="clear" w:color="auto" w:fill="FFFFFF"/>
            <w:noWrap w:val="0"/>
            <w:tcMar>
              <w:top w:w="-1" w:type="dxa"/>
              <w:left w:w="-1" w:type="dxa"/>
              <w:bottom w:w="-1" w:type="dxa"/>
              <w:right w:w="-1" w:type="dxa"/>
            </w:tcMar>
            <w:vAlign w:val="center"/>
          </w:tcPr>
          <w:p w14:paraId="4793FAF6">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特变电工曙光电缆产业园</w:t>
            </w:r>
          </w:p>
        </w:tc>
        <w:tc>
          <w:tcPr>
            <w:tcW w:w="3426" w:type="dxa"/>
            <w:tcBorders>
              <w:tl2br w:val="nil"/>
              <w:tr2bl w:val="nil"/>
            </w:tcBorders>
            <w:shd w:val="clear" w:color="auto" w:fill="FFFFFF"/>
            <w:noWrap w:val="0"/>
            <w:tcMar>
              <w:top w:w="-1" w:type="dxa"/>
              <w:left w:w="-1" w:type="dxa"/>
              <w:bottom w:w="-1" w:type="dxa"/>
              <w:right w:w="-1" w:type="dxa"/>
            </w:tcMar>
            <w:vAlign w:val="center"/>
          </w:tcPr>
          <w:p w14:paraId="6E530067">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r>
              <w:rPr>
                <w:rFonts w:hint="eastAsia" w:ascii="宋体" w:hAnsi="宋体" w:eastAsia="宋体" w:cs="宋体"/>
                <w:b w:val="0"/>
                <w:i w:val="0"/>
                <w:iCs w:val="0"/>
                <w:caps w:val="0"/>
                <w:color w:val="000000"/>
                <w:spacing w:val="0"/>
                <w:kern w:val="0"/>
                <w:sz w:val="24"/>
                <w:szCs w:val="24"/>
                <w:lang w:val="en-US" w:eastAsia="zh-CN" w:bidi="ar"/>
              </w:rPr>
              <w:t>① 曙光公司</w:t>
            </w:r>
          </w:p>
        </w:tc>
        <w:tc>
          <w:tcPr>
            <w:tcW w:w="2601" w:type="dxa"/>
            <w:tcBorders>
              <w:tl2br w:val="nil"/>
              <w:tr2bl w:val="nil"/>
            </w:tcBorders>
            <w:shd w:val="clear" w:color="auto" w:fill="FFFFFF"/>
            <w:noWrap w:val="0"/>
            <w:tcMar>
              <w:top w:w="-1" w:type="dxa"/>
              <w:left w:w="-1" w:type="dxa"/>
              <w:bottom w:w="-1" w:type="dxa"/>
              <w:right w:w="-1" w:type="dxa"/>
            </w:tcMar>
            <w:vAlign w:val="center"/>
          </w:tcPr>
          <w:p w14:paraId="578E7471">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p>
        </w:tc>
      </w:tr>
      <w:tr w14:paraId="0D2CF8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647" w:type="dxa"/>
            <w:tcBorders>
              <w:tl2br w:val="nil"/>
              <w:tr2bl w:val="nil"/>
            </w:tcBorders>
            <w:shd w:val="clear" w:color="auto" w:fill="EDF1F9" w:themeFill="accent1" w:themeFillTint="19"/>
            <w:noWrap w:val="0"/>
            <w:tcMar>
              <w:top w:w="-1" w:type="dxa"/>
              <w:left w:w="-1" w:type="dxa"/>
              <w:bottom w:w="-1" w:type="dxa"/>
              <w:right w:w="-1" w:type="dxa"/>
            </w:tcMar>
            <w:vAlign w:val="center"/>
          </w:tcPr>
          <w:p w14:paraId="1AB1EBFB">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14</w:t>
            </w:r>
          </w:p>
        </w:tc>
        <w:tc>
          <w:tcPr>
            <w:tcW w:w="3111" w:type="dxa"/>
            <w:tcBorders>
              <w:tl2br w:val="nil"/>
              <w:tr2bl w:val="nil"/>
            </w:tcBorders>
            <w:shd w:val="clear" w:color="auto" w:fill="EDF1F9" w:themeFill="accent1" w:themeFillTint="19"/>
            <w:noWrap w:val="0"/>
            <w:tcMar>
              <w:top w:w="-1" w:type="dxa"/>
              <w:left w:w="-1" w:type="dxa"/>
              <w:bottom w:w="-1" w:type="dxa"/>
              <w:right w:w="-1" w:type="dxa"/>
            </w:tcMar>
            <w:vAlign w:val="center"/>
          </w:tcPr>
          <w:p w14:paraId="3F9786B7">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特变电工新疆电缆产业园</w:t>
            </w:r>
          </w:p>
        </w:tc>
        <w:tc>
          <w:tcPr>
            <w:tcW w:w="3426" w:type="dxa"/>
            <w:tcBorders>
              <w:tl2br w:val="nil"/>
              <w:tr2bl w:val="nil"/>
            </w:tcBorders>
            <w:shd w:val="clear" w:color="auto" w:fill="EDF1F9" w:themeFill="accent1" w:themeFillTint="19"/>
            <w:noWrap w:val="0"/>
            <w:tcMar>
              <w:top w:w="-1" w:type="dxa"/>
              <w:left w:w="-1" w:type="dxa"/>
              <w:bottom w:w="-1" w:type="dxa"/>
              <w:right w:w="-1" w:type="dxa"/>
            </w:tcMar>
            <w:vAlign w:val="center"/>
          </w:tcPr>
          <w:p w14:paraId="209DD899">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r>
              <w:rPr>
                <w:rFonts w:hint="eastAsia" w:ascii="宋体" w:hAnsi="宋体" w:eastAsia="宋体" w:cs="宋体"/>
                <w:b w:val="0"/>
                <w:i w:val="0"/>
                <w:iCs w:val="0"/>
                <w:caps w:val="0"/>
                <w:color w:val="000000"/>
                <w:spacing w:val="0"/>
                <w:kern w:val="0"/>
                <w:sz w:val="24"/>
                <w:szCs w:val="24"/>
                <w:lang w:val="en-US" w:eastAsia="zh-CN" w:bidi="ar"/>
              </w:rPr>
              <w:t>① 特变电工新疆电缆有限公司</w:t>
            </w:r>
          </w:p>
        </w:tc>
        <w:tc>
          <w:tcPr>
            <w:tcW w:w="2601" w:type="dxa"/>
            <w:tcBorders>
              <w:tl2br w:val="nil"/>
              <w:tr2bl w:val="nil"/>
            </w:tcBorders>
            <w:shd w:val="clear" w:color="auto" w:fill="EDF1F9" w:themeFill="accent1" w:themeFillTint="19"/>
            <w:noWrap w:val="0"/>
            <w:tcMar>
              <w:top w:w="-1" w:type="dxa"/>
              <w:left w:w="-1" w:type="dxa"/>
              <w:bottom w:w="-1" w:type="dxa"/>
              <w:right w:w="-1" w:type="dxa"/>
            </w:tcMar>
            <w:vAlign w:val="center"/>
          </w:tcPr>
          <w:p w14:paraId="70CFFCD8">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p>
        </w:tc>
      </w:tr>
      <w:tr w14:paraId="776CBC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647" w:type="dxa"/>
            <w:tcBorders>
              <w:tl2br w:val="nil"/>
              <w:tr2bl w:val="nil"/>
            </w:tcBorders>
            <w:shd w:val="clear" w:color="auto" w:fill="FFFFFF"/>
            <w:noWrap w:val="0"/>
            <w:tcMar>
              <w:top w:w="-1" w:type="dxa"/>
              <w:left w:w="-1" w:type="dxa"/>
              <w:bottom w:w="-1" w:type="dxa"/>
              <w:right w:w="-1" w:type="dxa"/>
            </w:tcMar>
            <w:vAlign w:val="center"/>
          </w:tcPr>
          <w:p w14:paraId="744EEC97">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15</w:t>
            </w:r>
          </w:p>
        </w:tc>
        <w:tc>
          <w:tcPr>
            <w:tcW w:w="3111" w:type="dxa"/>
            <w:tcBorders>
              <w:tl2br w:val="nil"/>
              <w:tr2bl w:val="nil"/>
            </w:tcBorders>
            <w:shd w:val="clear" w:color="auto" w:fill="FFFFFF"/>
            <w:noWrap w:val="0"/>
            <w:tcMar>
              <w:top w:w="-1" w:type="dxa"/>
              <w:left w:w="-1" w:type="dxa"/>
              <w:bottom w:w="-1" w:type="dxa"/>
              <w:right w:w="-1" w:type="dxa"/>
            </w:tcMar>
            <w:vAlign w:val="center"/>
          </w:tcPr>
          <w:p w14:paraId="18D49259">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bCs/>
                <w:i w:val="0"/>
                <w:iCs w:val="0"/>
                <w:caps w:val="0"/>
                <w:color w:val="000000"/>
                <w:spacing w:val="0"/>
                <w:sz w:val="24"/>
                <w:szCs w:val="24"/>
              </w:rPr>
            </w:pPr>
            <w:r>
              <w:rPr>
                <w:rStyle w:val="139"/>
                <w:rFonts w:hint="eastAsia" w:ascii="宋体" w:hAnsi="宋体" w:eastAsia="宋体" w:cs="宋体"/>
                <w:b w:val="0"/>
                <w:bCs/>
                <w:i w:val="0"/>
                <w:iCs w:val="0"/>
                <w:caps w:val="0"/>
                <w:color w:val="000000"/>
                <w:spacing w:val="0"/>
                <w:kern w:val="0"/>
                <w:sz w:val="24"/>
                <w:szCs w:val="24"/>
                <w:lang w:val="en-US" w:eastAsia="zh-CN" w:bidi="ar"/>
              </w:rPr>
              <w:t>特变电工(德阳)电缆园区</w:t>
            </w:r>
          </w:p>
        </w:tc>
        <w:tc>
          <w:tcPr>
            <w:tcW w:w="3426" w:type="dxa"/>
            <w:tcBorders>
              <w:tl2br w:val="nil"/>
              <w:tr2bl w:val="nil"/>
            </w:tcBorders>
            <w:shd w:val="clear" w:color="auto" w:fill="FFFFFF"/>
            <w:noWrap w:val="0"/>
            <w:tcMar>
              <w:top w:w="-1" w:type="dxa"/>
              <w:left w:w="-1" w:type="dxa"/>
              <w:bottom w:w="-1" w:type="dxa"/>
              <w:right w:w="-1" w:type="dxa"/>
            </w:tcMar>
            <w:vAlign w:val="center"/>
          </w:tcPr>
          <w:p w14:paraId="254B3A57">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r>
              <w:rPr>
                <w:rFonts w:hint="eastAsia" w:ascii="宋体" w:hAnsi="宋体" w:eastAsia="宋体" w:cs="宋体"/>
                <w:b w:val="0"/>
                <w:i w:val="0"/>
                <w:iCs w:val="0"/>
                <w:caps w:val="0"/>
                <w:color w:val="000000"/>
                <w:spacing w:val="0"/>
                <w:kern w:val="0"/>
                <w:sz w:val="24"/>
                <w:szCs w:val="24"/>
                <w:lang w:val="en-US" w:eastAsia="zh-CN" w:bidi="ar"/>
              </w:rPr>
              <w:t>① 特变电工（德阳）电缆股份有限公司</w:t>
            </w:r>
          </w:p>
        </w:tc>
        <w:tc>
          <w:tcPr>
            <w:tcW w:w="2601" w:type="dxa"/>
            <w:tcBorders>
              <w:tl2br w:val="nil"/>
              <w:tr2bl w:val="nil"/>
            </w:tcBorders>
            <w:shd w:val="clear" w:color="auto" w:fill="FFFFFF"/>
            <w:noWrap w:val="0"/>
            <w:tcMar>
              <w:top w:w="-1" w:type="dxa"/>
              <w:left w:w="-1" w:type="dxa"/>
              <w:bottom w:w="-1" w:type="dxa"/>
              <w:right w:w="-1" w:type="dxa"/>
            </w:tcMar>
            <w:vAlign w:val="center"/>
          </w:tcPr>
          <w:p w14:paraId="2D7893D5">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aps w:val="0"/>
                <w:color w:val="000000"/>
                <w:spacing w:val="0"/>
                <w:sz w:val="24"/>
                <w:szCs w:val="24"/>
              </w:rPr>
            </w:pPr>
          </w:p>
        </w:tc>
      </w:tr>
    </w:tbl>
    <w:p w14:paraId="2370011D">
      <w:pPr>
        <w:spacing w:after="60"/>
        <w:rPr>
          <w:rFonts w:hint="eastAsia" w:ascii="宋体" w:hAnsi="宋体" w:eastAsia="宋体" w:cs="宋体"/>
          <w:i w:val="0"/>
          <w:iCs w:val="0"/>
          <w:sz w:val="24"/>
          <w:szCs w:val="24"/>
        </w:rPr>
      </w:pPr>
    </w:p>
    <w:p w14:paraId="660DEB70">
      <w:pPr>
        <w:pStyle w:val="37"/>
        <w:widowControl/>
        <w:outlineLvl w:val="0"/>
        <w:rPr>
          <w:rFonts w:ascii="Times New Roman" w:hAnsi="Times New Roman" w:eastAsia="黑体" w:cs="Times New Roman"/>
          <w:b w:val="0"/>
          <w:bCs w:val="0"/>
          <w:sz w:val="36"/>
          <w:szCs w:val="24"/>
        </w:rPr>
      </w:pPr>
      <w:bookmarkStart w:id="122" w:name="_Toc20691"/>
      <w:r>
        <w:rPr>
          <w:rFonts w:ascii="Times New Roman" w:hAnsi="Times New Roman" w:eastAsia="黑体" w:cs="Times New Roman"/>
          <w:b w:val="0"/>
          <w:bCs w:val="0"/>
          <w:sz w:val="36"/>
          <w:szCs w:val="24"/>
        </w:rPr>
        <w:t>附录 E：角色与权限矩阵</w:t>
      </w:r>
      <w:bookmarkEnd w:id="122"/>
    </w:p>
    <w:tbl>
      <w:tblPr>
        <w:tblStyle w:val="38"/>
        <w:tblW w:w="9784" w:type="dxa"/>
        <w:jc w:val="center"/>
        <w:tblLayout w:type="autofit"/>
        <w:tblCellMar>
          <w:top w:w="0" w:type="dxa"/>
          <w:left w:w="108" w:type="dxa"/>
          <w:bottom w:w="0" w:type="dxa"/>
          <w:right w:w="108" w:type="dxa"/>
        </w:tblCellMar>
      </w:tblPr>
      <w:tblGrid>
        <w:gridCol w:w="2777"/>
        <w:gridCol w:w="1136"/>
        <w:gridCol w:w="1479"/>
        <w:gridCol w:w="1224"/>
        <w:gridCol w:w="1224"/>
        <w:gridCol w:w="972"/>
        <w:gridCol w:w="972"/>
      </w:tblGrid>
      <w:tr w14:paraId="7832E30D">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6833473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功能模块/角色</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8504653">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P1集团</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695FEA3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P2能碳专员</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CCAAA12">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P3填报员</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6F0DE025">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P4碳专员</w:t>
            </w:r>
          </w:p>
        </w:tc>
        <w:tc>
          <w:tcPr>
            <w:tcW w:w="0" w:type="auto"/>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32D8BA9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P5报关</w:t>
            </w:r>
          </w:p>
        </w:tc>
        <w:tc>
          <w:tcPr>
            <w:tcW w:w="972" w:type="dxa"/>
            <w:tcBorders>
              <w:top w:val="single" w:color="CBD5E1" w:sz="4" w:space="0"/>
              <w:left w:val="single" w:color="CBD5E1" w:sz="4" w:space="0"/>
              <w:bottom w:val="single" w:color="CBD5E1" w:sz="4" w:space="0"/>
              <w:right w:val="single" w:color="CBD5E1" w:sz="4" w:space="0"/>
            </w:tcBorders>
            <w:shd w:val="clear" w:color="auto" w:fill="1E3A8A"/>
            <w:tcMar>
              <w:top w:w="60" w:type="dxa"/>
              <w:left w:w="70" w:type="dxa"/>
              <w:bottom w:w="60" w:type="dxa"/>
              <w:right w:w="70" w:type="dxa"/>
            </w:tcMar>
          </w:tcPr>
          <w:p w14:paraId="5AE4C68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b/>
                <w:i w:val="0"/>
                <w:iCs w:val="0"/>
                <w:color w:val="FFFFFF"/>
                <w:sz w:val="24"/>
                <w:szCs w:val="24"/>
              </w:rPr>
              <w:t>P6审计</w:t>
            </w:r>
          </w:p>
        </w:tc>
      </w:tr>
      <w:tr w14:paraId="1DF5C235">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DCFF6E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集控中心大屏</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59021F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B4C4FC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F44958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EF8F38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737150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E3D095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r>
      <w:tr w14:paraId="41E8EA10">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A65622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指标管控</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CC82D3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F415CD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读写</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6F4814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C5FA80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9AC91C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1BDE99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r>
      <w:tr w14:paraId="2B9073C7">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47D45B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用能在线监测</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A4245D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8BE473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读写</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21F75B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FE291B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C79818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79B0481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r>
      <w:tr w14:paraId="47D3FD0B">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6F24DA9">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能耗能效分析</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9CF1EF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AAD88B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读写</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DFBCA8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427F5C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3F4143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30952E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r>
      <w:tr w14:paraId="2A7C171D">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3024536">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零碳项目评估</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B17666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审批</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4CC404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读写</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0116DD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AA14E1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4468A4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84F993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r>
      <w:tr w14:paraId="49E21587">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804FF87">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统计报表</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174AE8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F94434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读写导出</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BA3421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227E44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3701593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B3D6AF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r>
      <w:tr w14:paraId="19BACF6A">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908CF8D">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基础管理与数据录入</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237A393">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11F8978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读写</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7917D2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读写</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F3F800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FC2B2A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1F8C080">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r>
      <w:tr w14:paraId="1E6E1069">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B07F68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对外示范窗口</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C788F5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E01106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DBF545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2132DF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读写</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B73436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c>
          <w:tcPr>
            <w:tcW w:w="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C7AF56A">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r>
      <w:tr w14:paraId="01A90A70">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F7A72BF">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多维分析</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E5F8E4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4ADB96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9375ED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701A68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读写</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921EB1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3EEE18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r>
      <w:tr w14:paraId="2CE5D1F4">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161D5DE">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实景数据库与 LCA 核算</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2CCAB6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E221CB2">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561318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CCE48B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读写</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0194C0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083A454">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r>
      <w:tr w14:paraId="59618A90">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49E4EAF4">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CBAM 管理</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58C9DD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终审双签</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2C0F1FF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2CEDFB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C163FA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BAA157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读写</w:t>
            </w:r>
          </w:p>
        </w:tc>
        <w:tc>
          <w:tcPr>
            <w:tcW w:w="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FA71F9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r>
      <w:tr w14:paraId="4DD21A42">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6AEB4A11">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第三方认证管理</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C0DF78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43BB0AD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7CCFAAB">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0071C9F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读写</w:t>
            </w:r>
          </w:p>
        </w:tc>
        <w:tc>
          <w:tcPr>
            <w:tcW w:w="0" w:type="auto"/>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E8CF6EE">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7B4E5A19">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读写</w:t>
            </w:r>
          </w:p>
        </w:tc>
      </w:tr>
      <w:tr w14:paraId="1C8672A2">
        <w:tblPrEx>
          <w:tblCellMar>
            <w:top w:w="0" w:type="dxa"/>
            <w:left w:w="108" w:type="dxa"/>
            <w:bottom w:w="0" w:type="dxa"/>
            <w:right w:w="108" w:type="dxa"/>
          </w:tblCellMar>
        </w:tblPrEx>
        <w:trPr>
          <w:jc w:val="center"/>
        </w:trPr>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6310871C">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因子库管理</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F84C3F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061BD6F">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446E1F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51F885ED">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读写</w:t>
            </w:r>
          </w:p>
        </w:tc>
        <w:tc>
          <w:tcPr>
            <w:tcW w:w="0" w:type="auto"/>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316D6447">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c>
          <w:tcPr>
            <w:tcW w:w="972" w:type="dxa"/>
            <w:tcBorders>
              <w:top w:val="single" w:color="CBD5E1" w:sz="4" w:space="0"/>
              <w:left w:val="single" w:color="CBD5E1" w:sz="4" w:space="0"/>
              <w:bottom w:val="single" w:color="CBD5E1" w:sz="4" w:space="0"/>
              <w:right w:val="single" w:color="CBD5E1" w:sz="4" w:space="0"/>
            </w:tcBorders>
            <w:shd w:val="clear" w:color="auto" w:fill="FFFFFF"/>
            <w:tcMar>
              <w:top w:w="45" w:type="dxa"/>
              <w:left w:w="60" w:type="dxa"/>
              <w:bottom w:w="45" w:type="dxa"/>
              <w:right w:w="60" w:type="dxa"/>
            </w:tcMar>
          </w:tcPr>
          <w:p w14:paraId="0595221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r>
      <w:tr w14:paraId="129DDA47">
        <w:tblPrEx>
          <w:tblCellMar>
            <w:top w:w="0" w:type="dxa"/>
            <w:left w:w="108" w:type="dxa"/>
            <w:bottom w:w="0" w:type="dxa"/>
            <w:right w:w="108" w:type="dxa"/>
          </w:tblCellMar>
        </w:tblPrEx>
        <w:trPr>
          <w:jc w:val="center"/>
        </w:trPr>
        <w:tc>
          <w:tcPr>
            <w:tcW w:w="2777"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ADD4020">
            <w:pPr>
              <w:spacing w:before="0" w:after="0" w:line="240" w:lineRule="auto"/>
              <w:ind w:left="0" w:leftChars="0" w:right="0" w:rightChars="0" w:firstLine="0" w:firstLineChars="0"/>
              <w:jc w:val="center"/>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基础参数配置</w:t>
            </w:r>
          </w:p>
        </w:tc>
        <w:tc>
          <w:tcPr>
            <w:tcW w:w="1136"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4009AC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1479"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1B301738">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读写</w:t>
            </w:r>
          </w:p>
        </w:tc>
        <w:tc>
          <w:tcPr>
            <w:tcW w:w="122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EC4A6B6">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1224"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5BDFE181">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只读</w:t>
            </w:r>
          </w:p>
        </w:tc>
        <w:tc>
          <w:tcPr>
            <w:tcW w:w="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564A235">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c>
          <w:tcPr>
            <w:tcW w:w="972" w:type="dxa"/>
            <w:tcBorders>
              <w:top w:val="single" w:color="CBD5E1" w:sz="4" w:space="0"/>
              <w:left w:val="single" w:color="CBD5E1" w:sz="4" w:space="0"/>
              <w:bottom w:val="single" w:color="CBD5E1" w:sz="4" w:space="0"/>
              <w:right w:val="single" w:color="CBD5E1" w:sz="4" w:space="0"/>
            </w:tcBorders>
            <w:shd w:val="clear" w:color="auto" w:fill="F8FAFC"/>
            <w:tcMar>
              <w:top w:w="45" w:type="dxa"/>
              <w:left w:w="60" w:type="dxa"/>
              <w:bottom w:w="45" w:type="dxa"/>
              <w:right w:w="60" w:type="dxa"/>
            </w:tcMar>
          </w:tcPr>
          <w:p w14:paraId="282138DC">
            <w:pPr>
              <w:spacing w:before="0" w:after="0" w:line="240" w:lineRule="auto"/>
              <w:ind w:left="0" w:leftChars="0" w:right="0" w:rightChars="0" w:firstLine="0" w:firstLineChars="0"/>
              <w:jc w:val="left"/>
              <w:rPr>
                <w:rFonts w:hint="eastAsia" w:ascii="宋体" w:hAnsi="宋体" w:eastAsia="宋体" w:cs="宋体"/>
                <w:i w:val="0"/>
                <w:iCs w:val="0"/>
                <w:sz w:val="24"/>
                <w:szCs w:val="24"/>
              </w:rPr>
            </w:pPr>
            <w:r>
              <w:rPr>
                <w:rFonts w:hint="eastAsia" w:ascii="宋体" w:hAnsi="宋体" w:eastAsia="宋体" w:cs="宋体"/>
                <w:i w:val="0"/>
                <w:iCs w:val="0"/>
                <w:color w:val="1F2937"/>
                <w:sz w:val="24"/>
                <w:szCs w:val="24"/>
              </w:rPr>
              <w:t>—</w:t>
            </w:r>
          </w:p>
        </w:tc>
      </w:tr>
    </w:tbl>
    <w:p w14:paraId="5A371343">
      <w:pPr>
        <w:pStyle w:val="37"/>
        <w:widowControl/>
        <w:jc w:val="both"/>
        <w:rPr>
          <w:rFonts w:ascii="Times New Roman" w:hAnsi="Times New Roman" w:eastAsia="黑体" w:cs="Times New Roman"/>
          <w:b w:val="0"/>
          <w:bCs w:val="0"/>
          <w:sz w:val="36"/>
          <w:szCs w:val="24"/>
        </w:rPr>
      </w:pPr>
    </w:p>
    <w:p w14:paraId="325C1369">
      <w:pPr>
        <w:pStyle w:val="19"/>
        <w:widowControl/>
        <w:ind w:left="0" w:leftChars="0" w:firstLine="0" w:firstLineChars="0"/>
        <w:rPr>
          <w:rFonts w:ascii="Times New Roman" w:hAnsi="Times New Roman" w:eastAsia="宋体" w:cs="Times New Roman"/>
          <w:i w:val="0"/>
          <w:sz w:val="24"/>
          <w:szCs w:val="24"/>
        </w:rPr>
      </w:pPr>
    </w:p>
    <w:sectPr>
      <w:footerReference r:id="rId10" w:type="first"/>
      <w:footerReference r:id="rId9" w:type="default"/>
      <w:pgSz w:w="11906" w:h="16838"/>
      <w:pgMar w:top="1296" w:right="1296" w:bottom="1296" w:left="1296" w:header="720" w:footer="720" w:gutter="0"/>
      <w:pgBorders>
        <w:top w:val="none" w:sz="0" w:space="0"/>
        <w:left w:val="none" w:sz="0" w:space="0"/>
        <w:bottom w:val="none" w:sz="0" w:space="0"/>
        <w:right w:val="none" w:sz="0" w:space="0"/>
      </w:pgBorders>
      <w:pgNumType w:fmt="decimal" w:start="1"/>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ourier">
    <w:altName w:val="Courier New"/>
    <w:panose1 w:val="02000500000000000000"/>
    <w:charset w:val="00"/>
    <w:family w:val="auto"/>
    <w:pitch w:val="default"/>
    <w:sig w:usb0="00000000" w:usb1="00000000" w:usb2="00000000" w:usb3="00000000" w:csb0="00000001" w:csb1="00000000"/>
  </w:font>
  <w:font w:name="Calibri Light">
    <w:panose1 w:val="020F0302020204030204"/>
    <w:charset w:val="00"/>
    <w:family w:val="auto"/>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微软雅黑">
    <w:panose1 w:val="020B0503020204020204"/>
    <w:charset w:val="86"/>
    <w:family w:val="auto"/>
    <w:pitch w:val="default"/>
    <w:sig w:usb0="80000287" w:usb1="2ACF3C50" w:usb2="00000016" w:usb3="00000000" w:csb0="0004001F"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Segoe UI Emoji">
    <w:panose1 w:val="020B0502040204020203"/>
    <w:charset w:val="00"/>
    <w:family w:val="auto"/>
    <w:pitch w:val="default"/>
    <w:sig w:usb0="00000001" w:usb1="02000000" w:usb2="08000000" w:usb3="00000000" w:csb0="00000001"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4B7C27">
    <w:pPr>
      <w:pStyle w:val="25"/>
      <w:jc w:val="center"/>
    </w:pPr>
    <w:r>
      <w:rPr>
        <w:rFonts w:ascii="微软雅黑" w:hAnsi="微软雅黑"/>
        <w:color w:val="64748B"/>
        <w:sz w:val="17"/>
      </w:rPr>
      <w:t>特变电工股份有限公司 · 内部绝密工程技术资产 严禁未经授权复制与外传</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0FCBB6">
    <w:pPr>
      <w:pStyle w:val="25"/>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4DEF02">
    <w:pPr>
      <w:pStyle w:val="25"/>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2CCE37">
    <w:pPr>
      <w:pStyle w:val="25"/>
      <w:jc w:val="center"/>
    </w:pPr>
    <w:r>
      <w:rPr>
        <w:sz w:val="17"/>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3" name="文本框 4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DA179D1">
                          <w:pPr>
                            <w:pStyle w:val="25"/>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k3PuszAgAAYwQAAA4AAABkcnMvZTJvRG9jLnhtbK1UzY7TMBC+I/EO&#10;lu80aRdWVdV0VbYqQqrYlRbE2XWcxpL/ZLtNygPAG3Diwp3n6nPwOWm6aOGwBy7O2DP+xt83M5nf&#10;tFqRg/BBWlPQ8SinRBhuS2l2Bf30cf1qSkmIzJRMWSMKehSB3ixevpg3biYmtraqFJ4AxIRZ4wpa&#10;x+hmWRZ4LTQLI+uEgbOyXrOIrd9lpWcN0LXKJnl+nTXWl85bLkLA6ap30jOifw6grSrJxcryvRYm&#10;9qheKBZBKdTSBbroXltVgse7qgoiElVQMI3diiSwt2nNFnM223nmasnPT2DPecITTppJg6QXqBWL&#10;jOy9/AtKS+5tsFUccauznkinCFiM8yfaPNTMiY4LpA7uInr4f7D8w+HeE1kW9PUVJYZpVPz0/dvp&#10;x6/Tz68EZxCocWGGuAeHyNi+tS3aZjgPOEy828rr9AUjAj/kPV7kFW0kPF2aTqbTHC4O37ABfvZ4&#10;3fkQ3wmrSTIK6lG/TlZ22ITYhw4hKZuxa6lUV0NlSFPQ66s3eXfh4gG4MsiRSPSPTVZst+2Z2daW&#10;RxDztu+N4PhaIvmGhXjPPJoBD8a4xDsslbJIYs8WJbX1X/51nuJRI3gpadBcBTWYJUrUe4PaATAO&#10;hh+M7WCYvb616NYxxtDxzsQFH9VgVt7qz5ihZcoBFzMcmQoaB/M29g2OGeRiueyC9s7LXd1fQOc5&#10;FjfmwfGUJgkZ3HIfIWancRKoV+WsG3qvq9J5TlJz/7nvoh7/DY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Kk3PuszAgAAYwQAAA4AAAAAAAAAAQAgAAAAHwEAAGRycy9lMm9Eb2MueG1sUEsF&#10;BgAAAAAGAAYAWQEAAMQFAAAAAA==&#10;">
              <v:fill on="f" focussize="0,0"/>
              <v:stroke on="f" weight="0.5pt"/>
              <v:imagedata o:title=""/>
              <o:lock v:ext="edit" aspectratio="f"/>
              <v:textbox inset="0mm,0mm,0mm,0mm" style="mso-fit-shape-to-text:t;">
                <w:txbxContent>
                  <w:p w14:paraId="0DA179D1">
                    <w:pPr>
                      <w:pStyle w:val="25"/>
                    </w:pPr>
                    <w:r>
                      <w:fldChar w:fldCharType="begin"/>
                    </w:r>
                    <w:r>
                      <w:instrText xml:space="preserve"> PAGE  \* MERGEFORMAT </w:instrText>
                    </w:r>
                    <w:r>
                      <w:fldChar w:fldCharType="separate"/>
                    </w:r>
                    <w:r>
                      <w:t>4</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1FC78A">
    <w:pPr>
      <w:pStyle w:val="25"/>
    </w:pPr>
    <w:r>
      <w:rPr>
        <w:sz w:val="22"/>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44" name="文本框 4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CAF75EA">
                          <w:pPr>
                            <w:pStyle w:val="2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RkSwgzAgAAYw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dUaKZQsVP37+d&#10;fvw6/fxKcAaBWutniHuwiAzdW9OhbYZzj8PIu6ucil8wIvBD3uNFXtEFwuOl6WQ6zeHi8A0b4GeP&#10;163z4Z0wikSjoA71S7Kyw8aHPnQIidm0WTdSphpKTdqCXr9+k6cLFw/ApUaOSKJ/bLRCt+3OzLam&#10;PIKYM31veMvXDZJvmA/3zKEZ8GCMS7jDUkmDJOZsUVIb9+Vf5zEeNYKXkhbNVVCNWaJEvteoHQDD&#10;YLjB2A6G3qtbg24dYwwtTyYuuCAHs3JGfcYMLWMOuJjmyFTQMJi3oW9wzCAXy2UK2lvX7Or+AjrP&#10;srDRD5bHNFFIb5f7ADGTxlGgXpWzbui9VKXznMTm/nOfoh7/DY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KRkSwgzAgAAYwQAAA4AAAAAAAAAAQAgAAAAHwEAAGRycy9lMm9Eb2MueG1sUEsF&#10;BgAAAAAGAAYAWQEAAMQFAAAAAA==&#10;">
              <v:fill on="f" focussize="0,0"/>
              <v:stroke on="f" weight="0.5pt"/>
              <v:imagedata o:title=""/>
              <o:lock v:ext="edit" aspectratio="f"/>
              <v:textbox inset="0mm,0mm,0mm,0mm" style="mso-fit-shape-to-text:t;">
                <w:txbxContent>
                  <w:p w14:paraId="3CAF75EA">
                    <w:pPr>
                      <w:pStyle w:val="25"/>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EF97F2">
    <w:pPr>
      <w:pStyle w:val="26"/>
      <w:jc w:val="right"/>
    </w:pPr>
    <w:r>
      <w:rPr>
        <w:rFonts w:ascii="微软雅黑" w:hAnsi="微软雅黑"/>
        <w:color w:val="64748B"/>
        <w:sz w:val="17"/>
      </w:rPr>
      <w:t>特变电工能碳数字化双中心 · 产品需求规格说明书 (PRD)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D54F57"/>
    <w:multiLevelType w:val="singleLevel"/>
    <w:tmpl w:val="80D54F57"/>
    <w:lvl w:ilvl="0" w:tentative="0">
      <w:start w:val="1"/>
      <w:numFmt w:val="decimal"/>
      <w:suff w:val="space"/>
      <w:lvlText w:val=""/>
      <w:lvlJc w:val="left"/>
      <w:pPr>
        <w:ind w:left="0" w:firstLine="482"/>
      </w:pPr>
      <w:rPr>
        <w:rFonts w:hint="default"/>
      </w:rPr>
    </w:lvl>
  </w:abstractNum>
  <w:abstractNum w:abstractNumId="1">
    <w:nsid w:val="820F3A78"/>
    <w:multiLevelType w:val="singleLevel"/>
    <w:tmpl w:val="820F3A78"/>
    <w:lvl w:ilvl="0" w:tentative="0">
      <w:start w:val="1"/>
      <w:numFmt w:val="decimal"/>
      <w:suff w:val="space"/>
      <w:lvlText w:val=""/>
      <w:lvlJc w:val="left"/>
      <w:pPr>
        <w:ind w:left="0" w:firstLine="482"/>
      </w:pPr>
      <w:rPr>
        <w:rFonts w:hint="default"/>
      </w:rPr>
    </w:lvl>
  </w:abstractNum>
  <w:abstractNum w:abstractNumId="2">
    <w:nsid w:val="82DA92D6"/>
    <w:multiLevelType w:val="singleLevel"/>
    <w:tmpl w:val="82DA92D6"/>
    <w:lvl w:ilvl="0" w:tentative="0">
      <w:start w:val="1"/>
      <w:numFmt w:val="decimal"/>
      <w:suff w:val="space"/>
      <w:lvlText w:val=""/>
      <w:lvlJc w:val="left"/>
      <w:pPr>
        <w:ind w:left="0" w:firstLine="482"/>
      </w:pPr>
      <w:rPr>
        <w:rFonts w:hint="default"/>
      </w:rPr>
    </w:lvl>
  </w:abstractNum>
  <w:abstractNum w:abstractNumId="3">
    <w:nsid w:val="82DBECF6"/>
    <w:multiLevelType w:val="singleLevel"/>
    <w:tmpl w:val="82DBECF6"/>
    <w:lvl w:ilvl="0" w:tentative="0">
      <w:start w:val="1"/>
      <w:numFmt w:val="decimal"/>
      <w:suff w:val="space"/>
      <w:lvlText w:val="%1."/>
      <w:lvlJc w:val="left"/>
    </w:lvl>
  </w:abstractNum>
  <w:abstractNum w:abstractNumId="4">
    <w:nsid w:val="82E25BE8"/>
    <w:multiLevelType w:val="singleLevel"/>
    <w:tmpl w:val="82E25BE8"/>
    <w:lvl w:ilvl="0" w:tentative="0">
      <w:start w:val="1"/>
      <w:numFmt w:val="decimal"/>
      <w:suff w:val="space"/>
      <w:lvlText w:val=""/>
      <w:lvlJc w:val="left"/>
      <w:pPr>
        <w:ind w:left="0" w:firstLine="482"/>
      </w:pPr>
      <w:rPr>
        <w:rFonts w:hint="default"/>
      </w:rPr>
    </w:lvl>
  </w:abstractNum>
  <w:abstractNum w:abstractNumId="5">
    <w:nsid w:val="831AFA9C"/>
    <w:multiLevelType w:val="singleLevel"/>
    <w:tmpl w:val="831AFA9C"/>
    <w:lvl w:ilvl="0" w:tentative="0">
      <w:start w:val="1"/>
      <w:numFmt w:val="decimal"/>
      <w:suff w:val="space"/>
      <w:lvlText w:val=""/>
      <w:lvlJc w:val="left"/>
      <w:pPr>
        <w:ind w:left="0" w:firstLine="482"/>
      </w:pPr>
      <w:rPr>
        <w:rFonts w:hint="default"/>
      </w:rPr>
    </w:lvl>
  </w:abstractNum>
  <w:abstractNum w:abstractNumId="6">
    <w:nsid w:val="83BBF6EF"/>
    <w:multiLevelType w:val="singleLevel"/>
    <w:tmpl w:val="83BBF6EF"/>
    <w:lvl w:ilvl="0" w:tentative="0">
      <w:start w:val="1"/>
      <w:numFmt w:val="chineseCounting"/>
      <w:suff w:val="nothing"/>
      <w:lvlText w:val="%1、"/>
      <w:lvlJc w:val="left"/>
      <w:pPr>
        <w:ind w:left="0" w:firstLine="0"/>
      </w:pPr>
      <w:rPr>
        <w:rFonts w:hint="eastAsia"/>
      </w:rPr>
    </w:lvl>
  </w:abstractNum>
  <w:abstractNum w:abstractNumId="7">
    <w:nsid w:val="86EA1A2B"/>
    <w:multiLevelType w:val="singleLevel"/>
    <w:tmpl w:val="86EA1A2B"/>
    <w:lvl w:ilvl="0" w:tentative="0">
      <w:start w:val="1"/>
      <w:numFmt w:val="decimal"/>
      <w:suff w:val="space"/>
      <w:lvlText w:val="【%1】"/>
      <w:lvlJc w:val="left"/>
      <w:pPr>
        <w:ind w:left="0" w:firstLine="0"/>
      </w:pPr>
      <w:rPr>
        <w:rFonts w:hint="default"/>
      </w:rPr>
    </w:lvl>
  </w:abstractNum>
  <w:abstractNum w:abstractNumId="8">
    <w:nsid w:val="8739E8F0"/>
    <w:multiLevelType w:val="singleLevel"/>
    <w:tmpl w:val="8739E8F0"/>
    <w:lvl w:ilvl="0" w:tentative="0">
      <w:start w:val="1"/>
      <w:numFmt w:val="decimal"/>
      <w:suff w:val="space"/>
      <w:lvlText w:val="【%1】"/>
      <w:lvlJc w:val="left"/>
      <w:pPr>
        <w:ind w:left="0" w:firstLine="0"/>
      </w:pPr>
      <w:rPr>
        <w:rFonts w:hint="default"/>
      </w:rPr>
    </w:lvl>
  </w:abstractNum>
  <w:abstractNum w:abstractNumId="9">
    <w:nsid w:val="874C51EF"/>
    <w:multiLevelType w:val="singleLevel"/>
    <w:tmpl w:val="874C51EF"/>
    <w:lvl w:ilvl="0" w:tentative="0">
      <w:start w:val="1"/>
      <w:numFmt w:val="decimal"/>
      <w:suff w:val="space"/>
      <w:lvlText w:val=""/>
      <w:lvlJc w:val="left"/>
      <w:pPr>
        <w:ind w:left="0" w:firstLine="482"/>
      </w:pPr>
      <w:rPr>
        <w:rFonts w:hint="default"/>
      </w:rPr>
    </w:lvl>
  </w:abstractNum>
  <w:abstractNum w:abstractNumId="10">
    <w:nsid w:val="8780A424"/>
    <w:multiLevelType w:val="singleLevel"/>
    <w:tmpl w:val="8780A424"/>
    <w:lvl w:ilvl="0" w:tentative="0">
      <w:start w:val="1"/>
      <w:numFmt w:val="chineseCounting"/>
      <w:suff w:val="nothing"/>
      <w:lvlText w:val="%1、"/>
      <w:lvlJc w:val="left"/>
      <w:pPr>
        <w:ind w:left="0" w:firstLine="0"/>
      </w:pPr>
      <w:rPr>
        <w:rFonts w:hint="eastAsia"/>
      </w:rPr>
    </w:lvl>
  </w:abstractNum>
  <w:abstractNum w:abstractNumId="11">
    <w:nsid w:val="88372269"/>
    <w:multiLevelType w:val="singleLevel"/>
    <w:tmpl w:val="88372269"/>
    <w:lvl w:ilvl="0" w:tentative="0">
      <w:start w:val="1"/>
      <w:numFmt w:val="decimal"/>
      <w:suff w:val="space"/>
      <w:lvlText w:val=""/>
      <w:lvlJc w:val="left"/>
      <w:pPr>
        <w:ind w:left="0" w:firstLine="482"/>
      </w:pPr>
      <w:rPr>
        <w:rFonts w:hint="default"/>
      </w:rPr>
    </w:lvl>
  </w:abstractNum>
  <w:abstractNum w:abstractNumId="12">
    <w:nsid w:val="88C83874"/>
    <w:multiLevelType w:val="singleLevel"/>
    <w:tmpl w:val="88C83874"/>
    <w:lvl w:ilvl="0" w:tentative="0">
      <w:start w:val="1"/>
      <w:numFmt w:val="decimal"/>
      <w:suff w:val="space"/>
      <w:lvlText w:val="【%1】"/>
      <w:lvlJc w:val="left"/>
      <w:pPr>
        <w:ind w:left="0" w:firstLine="0"/>
      </w:pPr>
      <w:rPr>
        <w:rFonts w:hint="default"/>
      </w:rPr>
    </w:lvl>
  </w:abstractNum>
  <w:abstractNum w:abstractNumId="13">
    <w:nsid w:val="894ED6A5"/>
    <w:multiLevelType w:val="singleLevel"/>
    <w:tmpl w:val="894ED6A5"/>
    <w:lvl w:ilvl="0" w:tentative="0">
      <w:start w:val="1"/>
      <w:numFmt w:val="decimal"/>
      <w:suff w:val="space"/>
      <w:lvlText w:val=""/>
      <w:lvlJc w:val="left"/>
      <w:pPr>
        <w:ind w:left="0" w:firstLine="482"/>
      </w:pPr>
      <w:rPr>
        <w:rFonts w:hint="default"/>
      </w:rPr>
    </w:lvl>
  </w:abstractNum>
  <w:abstractNum w:abstractNumId="14">
    <w:nsid w:val="8C7E2EA9"/>
    <w:multiLevelType w:val="singleLevel"/>
    <w:tmpl w:val="8C7E2EA9"/>
    <w:lvl w:ilvl="0" w:tentative="0">
      <w:start w:val="1"/>
      <w:numFmt w:val="decimal"/>
      <w:suff w:val="space"/>
      <w:lvlText w:val=""/>
      <w:lvlJc w:val="left"/>
      <w:pPr>
        <w:ind w:left="0" w:firstLine="482"/>
      </w:pPr>
      <w:rPr>
        <w:rFonts w:hint="default"/>
      </w:rPr>
    </w:lvl>
  </w:abstractNum>
  <w:abstractNum w:abstractNumId="15">
    <w:nsid w:val="8E05F43A"/>
    <w:multiLevelType w:val="singleLevel"/>
    <w:tmpl w:val="8E05F43A"/>
    <w:lvl w:ilvl="0" w:tentative="0">
      <w:start w:val="1"/>
      <w:numFmt w:val="decimal"/>
      <w:suff w:val="space"/>
      <w:lvlText w:val="%1."/>
      <w:lvlJc w:val="left"/>
      <w:pPr>
        <w:ind w:left="0" w:firstLine="0"/>
      </w:pPr>
      <w:rPr>
        <w:rFonts w:hint="default"/>
      </w:rPr>
    </w:lvl>
  </w:abstractNum>
  <w:abstractNum w:abstractNumId="16">
    <w:nsid w:val="90776809"/>
    <w:multiLevelType w:val="multilevel"/>
    <w:tmpl w:val="9077680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7">
    <w:nsid w:val="9121E8EF"/>
    <w:multiLevelType w:val="singleLevel"/>
    <w:tmpl w:val="9121E8EF"/>
    <w:lvl w:ilvl="0" w:tentative="0">
      <w:start w:val="1"/>
      <w:numFmt w:val="decimal"/>
      <w:suff w:val="space"/>
      <w:lvlText w:val=""/>
      <w:lvlJc w:val="left"/>
      <w:pPr>
        <w:ind w:left="0" w:firstLine="482"/>
      </w:pPr>
      <w:rPr>
        <w:rFonts w:hint="default"/>
      </w:rPr>
    </w:lvl>
  </w:abstractNum>
  <w:abstractNum w:abstractNumId="18">
    <w:nsid w:val="91F629E4"/>
    <w:multiLevelType w:val="singleLevel"/>
    <w:tmpl w:val="91F629E4"/>
    <w:lvl w:ilvl="0" w:tentative="0">
      <w:start w:val="1"/>
      <w:numFmt w:val="decimal"/>
      <w:suff w:val="space"/>
      <w:lvlText w:val="%1."/>
      <w:lvlJc w:val="left"/>
      <w:pPr>
        <w:ind w:left="0" w:firstLine="0"/>
      </w:pPr>
      <w:rPr>
        <w:rFonts w:hint="default"/>
      </w:rPr>
    </w:lvl>
  </w:abstractNum>
  <w:abstractNum w:abstractNumId="19">
    <w:nsid w:val="93163AA2"/>
    <w:multiLevelType w:val="singleLevel"/>
    <w:tmpl w:val="93163AA2"/>
    <w:lvl w:ilvl="0" w:tentative="0">
      <w:start w:val="1"/>
      <w:numFmt w:val="decimal"/>
      <w:suff w:val="space"/>
      <w:lvlText w:val=""/>
      <w:lvlJc w:val="left"/>
      <w:pPr>
        <w:ind w:left="0" w:firstLine="482"/>
      </w:pPr>
      <w:rPr>
        <w:rFonts w:hint="default"/>
      </w:rPr>
    </w:lvl>
  </w:abstractNum>
  <w:abstractNum w:abstractNumId="20">
    <w:nsid w:val="93AB7A85"/>
    <w:multiLevelType w:val="singleLevel"/>
    <w:tmpl w:val="93AB7A85"/>
    <w:lvl w:ilvl="0" w:tentative="0">
      <w:start w:val="1"/>
      <w:numFmt w:val="decimal"/>
      <w:suff w:val="space"/>
      <w:lvlText w:val=""/>
      <w:lvlJc w:val="left"/>
      <w:pPr>
        <w:ind w:left="0" w:firstLine="482"/>
      </w:pPr>
      <w:rPr>
        <w:rFonts w:hint="default"/>
      </w:rPr>
    </w:lvl>
  </w:abstractNum>
  <w:abstractNum w:abstractNumId="21">
    <w:nsid w:val="9437EAA2"/>
    <w:multiLevelType w:val="singleLevel"/>
    <w:tmpl w:val="9437EAA2"/>
    <w:lvl w:ilvl="0" w:tentative="0">
      <w:start w:val="1"/>
      <w:numFmt w:val="decimal"/>
      <w:suff w:val="space"/>
      <w:lvlText w:val="%1."/>
      <w:lvlJc w:val="left"/>
    </w:lvl>
  </w:abstractNum>
  <w:abstractNum w:abstractNumId="22">
    <w:nsid w:val="9448DE20"/>
    <w:multiLevelType w:val="singleLevel"/>
    <w:tmpl w:val="9448DE20"/>
    <w:lvl w:ilvl="0" w:tentative="0">
      <w:start w:val="1"/>
      <w:numFmt w:val="decimal"/>
      <w:suff w:val="space"/>
      <w:lvlText w:val="【%1】"/>
      <w:lvlJc w:val="left"/>
      <w:pPr>
        <w:ind w:left="0" w:firstLine="0"/>
      </w:pPr>
      <w:rPr>
        <w:rFonts w:hint="default"/>
      </w:rPr>
    </w:lvl>
  </w:abstractNum>
  <w:abstractNum w:abstractNumId="23">
    <w:nsid w:val="94D49AA1"/>
    <w:multiLevelType w:val="singleLevel"/>
    <w:tmpl w:val="94D49AA1"/>
    <w:lvl w:ilvl="0" w:tentative="0">
      <w:start w:val="1"/>
      <w:numFmt w:val="decimal"/>
      <w:suff w:val="space"/>
      <w:lvlText w:val=""/>
      <w:lvlJc w:val="left"/>
      <w:pPr>
        <w:ind w:left="0" w:firstLine="482"/>
      </w:pPr>
      <w:rPr>
        <w:rFonts w:hint="default"/>
      </w:rPr>
    </w:lvl>
  </w:abstractNum>
  <w:abstractNum w:abstractNumId="24">
    <w:nsid w:val="9616636A"/>
    <w:multiLevelType w:val="singleLevel"/>
    <w:tmpl w:val="9616636A"/>
    <w:lvl w:ilvl="0" w:tentative="0">
      <w:start w:val="1"/>
      <w:numFmt w:val="decimal"/>
      <w:suff w:val="space"/>
      <w:lvlText w:val=""/>
      <w:lvlJc w:val="left"/>
      <w:pPr>
        <w:ind w:left="0" w:firstLine="482"/>
      </w:pPr>
      <w:rPr>
        <w:rFonts w:hint="default"/>
      </w:rPr>
    </w:lvl>
  </w:abstractNum>
  <w:abstractNum w:abstractNumId="25">
    <w:nsid w:val="97737BDD"/>
    <w:multiLevelType w:val="singleLevel"/>
    <w:tmpl w:val="97737BDD"/>
    <w:lvl w:ilvl="0" w:tentative="0">
      <w:start w:val="1"/>
      <w:numFmt w:val="decimal"/>
      <w:suff w:val="space"/>
      <w:lvlText w:val=""/>
      <w:lvlJc w:val="left"/>
      <w:pPr>
        <w:ind w:left="0" w:firstLine="482"/>
      </w:pPr>
      <w:rPr>
        <w:rFonts w:hint="default"/>
      </w:rPr>
    </w:lvl>
  </w:abstractNum>
  <w:abstractNum w:abstractNumId="26">
    <w:nsid w:val="9801B642"/>
    <w:multiLevelType w:val="singleLevel"/>
    <w:tmpl w:val="9801B642"/>
    <w:lvl w:ilvl="0" w:tentative="0">
      <w:start w:val="1"/>
      <w:numFmt w:val="decimal"/>
      <w:suff w:val="space"/>
      <w:lvlText w:val="【%1】"/>
      <w:lvlJc w:val="left"/>
      <w:pPr>
        <w:ind w:left="0" w:firstLine="0"/>
      </w:pPr>
      <w:rPr>
        <w:rFonts w:hint="default"/>
      </w:rPr>
    </w:lvl>
  </w:abstractNum>
  <w:abstractNum w:abstractNumId="27">
    <w:nsid w:val="98C262C9"/>
    <w:multiLevelType w:val="singleLevel"/>
    <w:tmpl w:val="98C262C9"/>
    <w:lvl w:ilvl="0" w:tentative="0">
      <w:start w:val="1"/>
      <w:numFmt w:val="decimal"/>
      <w:suff w:val="space"/>
      <w:lvlText w:val="%1."/>
      <w:lvlJc w:val="left"/>
      <w:pPr>
        <w:ind w:left="0" w:firstLine="482"/>
      </w:pPr>
      <w:rPr>
        <w:rFonts w:hint="default"/>
      </w:rPr>
    </w:lvl>
  </w:abstractNum>
  <w:abstractNum w:abstractNumId="28">
    <w:nsid w:val="99DA73B3"/>
    <w:multiLevelType w:val="singleLevel"/>
    <w:tmpl w:val="99DA73B3"/>
    <w:lvl w:ilvl="0" w:tentative="0">
      <w:start w:val="1"/>
      <w:numFmt w:val="decimal"/>
      <w:suff w:val="space"/>
      <w:lvlText w:val="【%1】"/>
      <w:lvlJc w:val="left"/>
      <w:pPr>
        <w:ind w:left="0" w:firstLine="0"/>
      </w:pPr>
      <w:rPr>
        <w:rFonts w:hint="default"/>
      </w:rPr>
    </w:lvl>
  </w:abstractNum>
  <w:abstractNum w:abstractNumId="29">
    <w:nsid w:val="9A2216C5"/>
    <w:multiLevelType w:val="singleLevel"/>
    <w:tmpl w:val="9A2216C5"/>
    <w:lvl w:ilvl="0" w:tentative="0">
      <w:start w:val="1"/>
      <w:numFmt w:val="decimal"/>
      <w:suff w:val="space"/>
      <w:lvlText w:val=""/>
      <w:lvlJc w:val="left"/>
      <w:pPr>
        <w:ind w:left="0" w:firstLine="482"/>
      </w:pPr>
      <w:rPr>
        <w:rFonts w:hint="default"/>
      </w:rPr>
    </w:lvl>
  </w:abstractNum>
  <w:abstractNum w:abstractNumId="30">
    <w:nsid w:val="9A5B94E8"/>
    <w:multiLevelType w:val="singleLevel"/>
    <w:tmpl w:val="9A5B94E8"/>
    <w:lvl w:ilvl="0" w:tentative="0">
      <w:start w:val="1"/>
      <w:numFmt w:val="decimal"/>
      <w:suff w:val="space"/>
      <w:lvlText w:val="%1."/>
      <w:lvlJc w:val="left"/>
      <w:pPr>
        <w:ind w:left="0" w:firstLine="0"/>
      </w:pPr>
      <w:rPr>
        <w:rFonts w:hint="default"/>
      </w:rPr>
    </w:lvl>
  </w:abstractNum>
  <w:abstractNum w:abstractNumId="31">
    <w:nsid w:val="9B80752E"/>
    <w:multiLevelType w:val="singleLevel"/>
    <w:tmpl w:val="9B80752E"/>
    <w:lvl w:ilvl="0" w:tentative="0">
      <w:start w:val="1"/>
      <w:numFmt w:val="decimal"/>
      <w:suff w:val="space"/>
      <w:lvlText w:val=""/>
      <w:lvlJc w:val="left"/>
      <w:pPr>
        <w:ind w:left="0" w:firstLine="482"/>
      </w:pPr>
      <w:rPr>
        <w:rFonts w:hint="default"/>
      </w:rPr>
    </w:lvl>
  </w:abstractNum>
  <w:abstractNum w:abstractNumId="32">
    <w:nsid w:val="9BCCBD02"/>
    <w:multiLevelType w:val="singleLevel"/>
    <w:tmpl w:val="9BCCBD02"/>
    <w:lvl w:ilvl="0" w:tentative="0">
      <w:start w:val="1"/>
      <w:numFmt w:val="decimal"/>
      <w:suff w:val="space"/>
      <w:lvlText w:val=""/>
      <w:lvlJc w:val="left"/>
      <w:pPr>
        <w:ind w:left="0" w:firstLine="482"/>
      </w:pPr>
      <w:rPr>
        <w:rFonts w:hint="default"/>
      </w:rPr>
    </w:lvl>
  </w:abstractNum>
  <w:abstractNum w:abstractNumId="33">
    <w:nsid w:val="9C63BAD2"/>
    <w:multiLevelType w:val="singleLevel"/>
    <w:tmpl w:val="9C63BAD2"/>
    <w:lvl w:ilvl="0" w:tentative="0">
      <w:start w:val="1"/>
      <w:numFmt w:val="decimal"/>
      <w:suff w:val="space"/>
      <w:lvlText w:val=""/>
      <w:lvlJc w:val="left"/>
      <w:pPr>
        <w:ind w:left="0" w:firstLine="482"/>
      </w:pPr>
      <w:rPr>
        <w:rFonts w:hint="default"/>
      </w:rPr>
    </w:lvl>
  </w:abstractNum>
  <w:abstractNum w:abstractNumId="34">
    <w:nsid w:val="9C8EB453"/>
    <w:multiLevelType w:val="singleLevel"/>
    <w:tmpl w:val="9C8EB453"/>
    <w:lvl w:ilvl="0" w:tentative="0">
      <w:start w:val="1"/>
      <w:numFmt w:val="decimal"/>
      <w:suff w:val="space"/>
      <w:lvlText w:val="【%1】"/>
      <w:lvlJc w:val="left"/>
      <w:pPr>
        <w:ind w:left="0" w:firstLine="0"/>
      </w:pPr>
      <w:rPr>
        <w:rFonts w:hint="default"/>
      </w:rPr>
    </w:lvl>
  </w:abstractNum>
  <w:abstractNum w:abstractNumId="35">
    <w:nsid w:val="9F113490"/>
    <w:multiLevelType w:val="singleLevel"/>
    <w:tmpl w:val="9F113490"/>
    <w:lvl w:ilvl="0" w:tentative="0">
      <w:start w:val="1"/>
      <w:numFmt w:val="decimal"/>
      <w:suff w:val="space"/>
      <w:lvlText w:val="%1."/>
      <w:lvlJc w:val="left"/>
    </w:lvl>
  </w:abstractNum>
  <w:abstractNum w:abstractNumId="36">
    <w:nsid w:val="9F9B1FAA"/>
    <w:multiLevelType w:val="singleLevel"/>
    <w:tmpl w:val="9F9B1FAA"/>
    <w:lvl w:ilvl="0" w:tentative="0">
      <w:start w:val="1"/>
      <w:numFmt w:val="chineseCounting"/>
      <w:suff w:val="nothing"/>
      <w:lvlText w:val="%1、"/>
      <w:lvlJc w:val="left"/>
      <w:pPr>
        <w:ind w:left="0" w:firstLine="0"/>
      </w:pPr>
      <w:rPr>
        <w:rFonts w:hint="eastAsia"/>
      </w:rPr>
    </w:lvl>
  </w:abstractNum>
  <w:abstractNum w:abstractNumId="37">
    <w:nsid w:val="A0EA38E5"/>
    <w:multiLevelType w:val="singleLevel"/>
    <w:tmpl w:val="A0EA38E5"/>
    <w:lvl w:ilvl="0" w:tentative="0">
      <w:start w:val="1"/>
      <w:numFmt w:val="decimal"/>
      <w:suff w:val="space"/>
      <w:lvlText w:val="【%1】"/>
      <w:lvlJc w:val="left"/>
      <w:pPr>
        <w:ind w:left="0" w:firstLine="0"/>
      </w:pPr>
      <w:rPr>
        <w:rFonts w:hint="default"/>
      </w:rPr>
    </w:lvl>
  </w:abstractNum>
  <w:abstractNum w:abstractNumId="38">
    <w:nsid w:val="A3067F8E"/>
    <w:multiLevelType w:val="singleLevel"/>
    <w:tmpl w:val="A3067F8E"/>
    <w:lvl w:ilvl="0" w:tentative="0">
      <w:start w:val="1"/>
      <w:numFmt w:val="decimal"/>
      <w:suff w:val="space"/>
      <w:lvlText w:val="【%1】"/>
      <w:lvlJc w:val="left"/>
      <w:pPr>
        <w:ind w:left="0" w:firstLine="0"/>
      </w:pPr>
      <w:rPr>
        <w:rFonts w:hint="default"/>
      </w:rPr>
    </w:lvl>
  </w:abstractNum>
  <w:abstractNum w:abstractNumId="39">
    <w:nsid w:val="A41D6A06"/>
    <w:multiLevelType w:val="singleLevel"/>
    <w:tmpl w:val="A41D6A06"/>
    <w:lvl w:ilvl="0" w:tentative="0">
      <w:start w:val="1"/>
      <w:numFmt w:val="decimal"/>
      <w:suff w:val="space"/>
      <w:lvlText w:val=""/>
      <w:lvlJc w:val="left"/>
      <w:pPr>
        <w:ind w:left="0" w:firstLine="482"/>
      </w:pPr>
      <w:rPr>
        <w:rFonts w:hint="default"/>
      </w:rPr>
    </w:lvl>
  </w:abstractNum>
  <w:abstractNum w:abstractNumId="40">
    <w:nsid w:val="A7CA51FE"/>
    <w:multiLevelType w:val="singleLevel"/>
    <w:tmpl w:val="A7CA51FE"/>
    <w:lvl w:ilvl="0" w:tentative="0">
      <w:start w:val="1"/>
      <w:numFmt w:val="decimal"/>
      <w:suff w:val="space"/>
      <w:lvlText w:val="【%1】"/>
      <w:lvlJc w:val="left"/>
      <w:pPr>
        <w:ind w:left="0" w:firstLine="0"/>
      </w:pPr>
      <w:rPr>
        <w:rFonts w:hint="default"/>
      </w:rPr>
    </w:lvl>
  </w:abstractNum>
  <w:abstractNum w:abstractNumId="41">
    <w:nsid w:val="A9854430"/>
    <w:multiLevelType w:val="singleLevel"/>
    <w:tmpl w:val="A9854430"/>
    <w:lvl w:ilvl="0" w:tentative="0">
      <w:start w:val="1"/>
      <w:numFmt w:val="decimal"/>
      <w:suff w:val="space"/>
      <w:lvlText w:val="%1."/>
      <w:lvlJc w:val="left"/>
    </w:lvl>
  </w:abstractNum>
  <w:abstractNum w:abstractNumId="42">
    <w:nsid w:val="AA2DFE47"/>
    <w:multiLevelType w:val="singleLevel"/>
    <w:tmpl w:val="AA2DFE47"/>
    <w:lvl w:ilvl="0" w:tentative="0">
      <w:start w:val="1"/>
      <w:numFmt w:val="decimal"/>
      <w:suff w:val="space"/>
      <w:lvlText w:val=""/>
      <w:lvlJc w:val="left"/>
      <w:pPr>
        <w:ind w:left="0" w:firstLine="482"/>
      </w:pPr>
      <w:rPr>
        <w:rFonts w:hint="default"/>
      </w:rPr>
    </w:lvl>
  </w:abstractNum>
  <w:abstractNum w:abstractNumId="43">
    <w:nsid w:val="AC93C784"/>
    <w:multiLevelType w:val="singleLevel"/>
    <w:tmpl w:val="AC93C784"/>
    <w:lvl w:ilvl="0" w:tentative="0">
      <w:start w:val="1"/>
      <w:numFmt w:val="decimal"/>
      <w:suff w:val="space"/>
      <w:lvlText w:val=""/>
      <w:lvlJc w:val="left"/>
      <w:pPr>
        <w:ind w:left="0" w:firstLine="482"/>
      </w:pPr>
      <w:rPr>
        <w:rFonts w:hint="default"/>
      </w:rPr>
    </w:lvl>
  </w:abstractNum>
  <w:abstractNum w:abstractNumId="44">
    <w:nsid w:val="ADDA889F"/>
    <w:multiLevelType w:val="singleLevel"/>
    <w:tmpl w:val="ADDA889F"/>
    <w:lvl w:ilvl="0" w:tentative="0">
      <w:start w:val="1"/>
      <w:numFmt w:val="decimal"/>
      <w:suff w:val="space"/>
      <w:lvlText w:val=""/>
      <w:lvlJc w:val="left"/>
      <w:pPr>
        <w:ind w:left="0" w:firstLine="482"/>
      </w:pPr>
      <w:rPr>
        <w:rFonts w:hint="default"/>
      </w:rPr>
    </w:lvl>
  </w:abstractNum>
  <w:abstractNum w:abstractNumId="45">
    <w:nsid w:val="AF8151C9"/>
    <w:multiLevelType w:val="singleLevel"/>
    <w:tmpl w:val="AF8151C9"/>
    <w:lvl w:ilvl="0" w:tentative="0">
      <w:start w:val="1"/>
      <w:numFmt w:val="decimal"/>
      <w:suff w:val="space"/>
      <w:lvlText w:val=""/>
      <w:lvlJc w:val="left"/>
      <w:pPr>
        <w:ind w:left="0" w:firstLine="482"/>
      </w:pPr>
      <w:rPr>
        <w:rFonts w:hint="default"/>
      </w:rPr>
    </w:lvl>
  </w:abstractNum>
  <w:abstractNum w:abstractNumId="46">
    <w:nsid w:val="AFCCCA87"/>
    <w:multiLevelType w:val="singleLevel"/>
    <w:tmpl w:val="AFCCCA87"/>
    <w:lvl w:ilvl="0" w:tentative="0">
      <w:start w:val="1"/>
      <w:numFmt w:val="decimal"/>
      <w:suff w:val="space"/>
      <w:lvlText w:val=""/>
      <w:lvlJc w:val="left"/>
      <w:pPr>
        <w:ind w:left="0" w:firstLine="482"/>
      </w:pPr>
      <w:rPr>
        <w:rFonts w:hint="default"/>
      </w:rPr>
    </w:lvl>
  </w:abstractNum>
  <w:abstractNum w:abstractNumId="47">
    <w:nsid w:val="B04D49AE"/>
    <w:multiLevelType w:val="singleLevel"/>
    <w:tmpl w:val="B04D49AE"/>
    <w:lvl w:ilvl="0" w:tentative="0">
      <w:start w:val="1"/>
      <w:numFmt w:val="decimal"/>
      <w:suff w:val="space"/>
      <w:lvlText w:val=""/>
      <w:lvlJc w:val="left"/>
      <w:pPr>
        <w:ind w:left="0" w:firstLine="482"/>
      </w:pPr>
      <w:rPr>
        <w:rFonts w:hint="default"/>
      </w:rPr>
    </w:lvl>
  </w:abstractNum>
  <w:abstractNum w:abstractNumId="48">
    <w:nsid w:val="B0C880EB"/>
    <w:multiLevelType w:val="singleLevel"/>
    <w:tmpl w:val="B0C880EB"/>
    <w:lvl w:ilvl="0" w:tentative="0">
      <w:start w:val="1"/>
      <w:numFmt w:val="decimal"/>
      <w:suff w:val="space"/>
      <w:lvlText w:val=""/>
      <w:lvlJc w:val="left"/>
      <w:pPr>
        <w:ind w:left="0" w:firstLine="482"/>
      </w:pPr>
      <w:rPr>
        <w:rFonts w:hint="default"/>
      </w:rPr>
    </w:lvl>
  </w:abstractNum>
  <w:abstractNum w:abstractNumId="49">
    <w:nsid w:val="B22256EE"/>
    <w:multiLevelType w:val="singleLevel"/>
    <w:tmpl w:val="B22256EE"/>
    <w:lvl w:ilvl="0" w:tentative="0">
      <w:start w:val="1"/>
      <w:numFmt w:val="decimal"/>
      <w:suff w:val="space"/>
      <w:lvlText w:val=""/>
      <w:lvlJc w:val="left"/>
      <w:pPr>
        <w:ind w:left="0" w:firstLine="482"/>
      </w:pPr>
      <w:rPr>
        <w:rFonts w:hint="default"/>
      </w:rPr>
    </w:lvl>
  </w:abstractNum>
  <w:abstractNum w:abstractNumId="50">
    <w:nsid w:val="B28BE648"/>
    <w:multiLevelType w:val="singleLevel"/>
    <w:tmpl w:val="B28BE648"/>
    <w:lvl w:ilvl="0" w:tentative="0">
      <w:start w:val="1"/>
      <w:numFmt w:val="decimal"/>
      <w:suff w:val="space"/>
      <w:lvlText w:val=""/>
      <w:lvlJc w:val="left"/>
      <w:pPr>
        <w:ind w:left="0" w:firstLine="482"/>
      </w:pPr>
      <w:rPr>
        <w:rFonts w:hint="default"/>
      </w:rPr>
    </w:lvl>
  </w:abstractNum>
  <w:abstractNum w:abstractNumId="51">
    <w:nsid w:val="B2BFCCE0"/>
    <w:multiLevelType w:val="singleLevel"/>
    <w:tmpl w:val="B2BFCCE0"/>
    <w:lvl w:ilvl="0" w:tentative="0">
      <w:start w:val="1"/>
      <w:numFmt w:val="decimal"/>
      <w:suff w:val="space"/>
      <w:lvlText w:val="【%1】"/>
      <w:lvlJc w:val="left"/>
      <w:pPr>
        <w:ind w:left="0" w:firstLine="0"/>
      </w:pPr>
      <w:rPr>
        <w:rFonts w:hint="default"/>
      </w:rPr>
    </w:lvl>
  </w:abstractNum>
  <w:abstractNum w:abstractNumId="52">
    <w:nsid w:val="B30BFAE3"/>
    <w:multiLevelType w:val="singleLevel"/>
    <w:tmpl w:val="B30BFAE3"/>
    <w:lvl w:ilvl="0" w:tentative="0">
      <w:start w:val="1"/>
      <w:numFmt w:val="decimal"/>
      <w:suff w:val="space"/>
      <w:lvlText w:val="%1."/>
      <w:lvlJc w:val="left"/>
    </w:lvl>
  </w:abstractNum>
  <w:abstractNum w:abstractNumId="53">
    <w:nsid w:val="B35A5435"/>
    <w:multiLevelType w:val="singleLevel"/>
    <w:tmpl w:val="B35A5435"/>
    <w:lvl w:ilvl="0" w:tentative="0">
      <w:start w:val="1"/>
      <w:numFmt w:val="decimal"/>
      <w:suff w:val="space"/>
      <w:lvlText w:val=""/>
      <w:lvlJc w:val="left"/>
      <w:pPr>
        <w:ind w:left="0" w:firstLine="482"/>
      </w:pPr>
      <w:rPr>
        <w:rFonts w:hint="default"/>
      </w:rPr>
    </w:lvl>
  </w:abstractNum>
  <w:abstractNum w:abstractNumId="54">
    <w:nsid w:val="B48EAF7B"/>
    <w:multiLevelType w:val="singleLevel"/>
    <w:tmpl w:val="B48EAF7B"/>
    <w:lvl w:ilvl="0" w:tentative="0">
      <w:start w:val="1"/>
      <w:numFmt w:val="decimal"/>
      <w:suff w:val="space"/>
      <w:lvlText w:val=""/>
      <w:lvlJc w:val="left"/>
      <w:pPr>
        <w:ind w:left="0" w:firstLine="482"/>
      </w:pPr>
      <w:rPr>
        <w:rFonts w:hint="default"/>
      </w:rPr>
    </w:lvl>
  </w:abstractNum>
  <w:abstractNum w:abstractNumId="55">
    <w:nsid w:val="B4C90ECC"/>
    <w:multiLevelType w:val="singleLevel"/>
    <w:tmpl w:val="B4C90ECC"/>
    <w:lvl w:ilvl="0" w:tentative="0">
      <w:start w:val="1"/>
      <w:numFmt w:val="decimal"/>
      <w:suff w:val="space"/>
      <w:lvlText w:val=""/>
      <w:lvlJc w:val="left"/>
      <w:pPr>
        <w:ind w:left="0" w:firstLine="482"/>
      </w:pPr>
      <w:rPr>
        <w:rFonts w:hint="default"/>
      </w:rPr>
    </w:lvl>
  </w:abstractNum>
  <w:abstractNum w:abstractNumId="56">
    <w:nsid w:val="B4C9B943"/>
    <w:multiLevelType w:val="singleLevel"/>
    <w:tmpl w:val="B4C9B943"/>
    <w:lvl w:ilvl="0" w:tentative="0">
      <w:start w:val="1"/>
      <w:numFmt w:val="decimal"/>
      <w:suff w:val="space"/>
      <w:lvlText w:val="【%1】"/>
      <w:lvlJc w:val="left"/>
      <w:pPr>
        <w:ind w:left="0" w:firstLine="0"/>
      </w:pPr>
      <w:rPr>
        <w:rFonts w:hint="default"/>
      </w:rPr>
    </w:lvl>
  </w:abstractNum>
  <w:abstractNum w:abstractNumId="57">
    <w:nsid w:val="B553E780"/>
    <w:multiLevelType w:val="singleLevel"/>
    <w:tmpl w:val="B553E780"/>
    <w:lvl w:ilvl="0" w:tentative="0">
      <w:start w:val="1"/>
      <w:numFmt w:val="decimal"/>
      <w:suff w:val="space"/>
      <w:lvlText w:val="【%1】"/>
      <w:lvlJc w:val="left"/>
      <w:pPr>
        <w:ind w:left="0" w:firstLine="0"/>
      </w:pPr>
      <w:rPr>
        <w:rFonts w:hint="default"/>
      </w:rPr>
    </w:lvl>
  </w:abstractNum>
  <w:abstractNum w:abstractNumId="58">
    <w:nsid w:val="B59620D3"/>
    <w:multiLevelType w:val="singleLevel"/>
    <w:tmpl w:val="B59620D3"/>
    <w:lvl w:ilvl="0" w:tentative="0">
      <w:start w:val="1"/>
      <w:numFmt w:val="decimal"/>
      <w:suff w:val="space"/>
      <w:lvlText w:val="【%1】"/>
      <w:lvlJc w:val="left"/>
      <w:pPr>
        <w:ind w:left="0" w:firstLine="0"/>
      </w:pPr>
      <w:rPr>
        <w:rFonts w:hint="default"/>
      </w:rPr>
    </w:lvl>
  </w:abstractNum>
  <w:abstractNum w:abstractNumId="59">
    <w:nsid w:val="B5C311DC"/>
    <w:multiLevelType w:val="singleLevel"/>
    <w:tmpl w:val="B5C311DC"/>
    <w:lvl w:ilvl="0" w:tentative="0">
      <w:start w:val="1"/>
      <w:numFmt w:val="decimal"/>
      <w:suff w:val="space"/>
      <w:lvlText w:val=""/>
      <w:lvlJc w:val="left"/>
      <w:pPr>
        <w:ind w:left="0" w:firstLine="482"/>
      </w:pPr>
      <w:rPr>
        <w:rFonts w:hint="default"/>
      </w:rPr>
    </w:lvl>
  </w:abstractNum>
  <w:abstractNum w:abstractNumId="60">
    <w:nsid w:val="B65793F7"/>
    <w:multiLevelType w:val="singleLevel"/>
    <w:tmpl w:val="B65793F7"/>
    <w:lvl w:ilvl="0" w:tentative="0">
      <w:start w:val="1"/>
      <w:numFmt w:val="decimal"/>
      <w:suff w:val="space"/>
      <w:lvlText w:val=""/>
      <w:lvlJc w:val="left"/>
      <w:pPr>
        <w:ind w:left="0" w:firstLine="482"/>
      </w:pPr>
      <w:rPr>
        <w:rFonts w:hint="default"/>
      </w:rPr>
    </w:lvl>
  </w:abstractNum>
  <w:abstractNum w:abstractNumId="61">
    <w:nsid w:val="B71ADD81"/>
    <w:multiLevelType w:val="singleLevel"/>
    <w:tmpl w:val="B71ADD81"/>
    <w:lvl w:ilvl="0" w:tentative="0">
      <w:start w:val="1"/>
      <w:numFmt w:val="decimal"/>
      <w:suff w:val="space"/>
      <w:lvlText w:val="【%1】"/>
      <w:lvlJc w:val="left"/>
      <w:pPr>
        <w:ind w:left="0" w:firstLine="0"/>
      </w:pPr>
      <w:rPr>
        <w:rFonts w:hint="default"/>
      </w:rPr>
    </w:lvl>
  </w:abstractNum>
  <w:abstractNum w:abstractNumId="62">
    <w:nsid w:val="B73178AC"/>
    <w:multiLevelType w:val="singleLevel"/>
    <w:tmpl w:val="B73178AC"/>
    <w:lvl w:ilvl="0" w:tentative="0">
      <w:start w:val="1"/>
      <w:numFmt w:val="decimal"/>
      <w:suff w:val="space"/>
      <w:lvlText w:val=""/>
      <w:lvlJc w:val="left"/>
      <w:pPr>
        <w:ind w:left="0" w:firstLine="482"/>
      </w:pPr>
      <w:rPr>
        <w:rFonts w:hint="default"/>
      </w:rPr>
    </w:lvl>
  </w:abstractNum>
  <w:abstractNum w:abstractNumId="63">
    <w:nsid w:val="B83988F1"/>
    <w:multiLevelType w:val="singleLevel"/>
    <w:tmpl w:val="B83988F1"/>
    <w:lvl w:ilvl="0" w:tentative="0">
      <w:start w:val="1"/>
      <w:numFmt w:val="decimal"/>
      <w:suff w:val="space"/>
      <w:lvlText w:val="3.%1"/>
      <w:lvlJc w:val="left"/>
      <w:pPr>
        <w:ind w:left="0" w:firstLine="0"/>
      </w:pPr>
      <w:rPr>
        <w:rFonts w:hint="default"/>
      </w:rPr>
    </w:lvl>
  </w:abstractNum>
  <w:abstractNum w:abstractNumId="64">
    <w:nsid w:val="B95D45D7"/>
    <w:multiLevelType w:val="singleLevel"/>
    <w:tmpl w:val="B95D45D7"/>
    <w:lvl w:ilvl="0" w:tentative="0">
      <w:start w:val="1"/>
      <w:numFmt w:val="decimal"/>
      <w:suff w:val="space"/>
      <w:lvlText w:val="【%1】"/>
      <w:lvlJc w:val="left"/>
      <w:pPr>
        <w:ind w:left="0" w:firstLine="0"/>
      </w:pPr>
      <w:rPr>
        <w:rFonts w:hint="default"/>
      </w:rPr>
    </w:lvl>
  </w:abstractNum>
  <w:abstractNum w:abstractNumId="65">
    <w:nsid w:val="B982AEB1"/>
    <w:multiLevelType w:val="singleLevel"/>
    <w:tmpl w:val="B982AEB1"/>
    <w:lvl w:ilvl="0" w:tentative="0">
      <w:start w:val="1"/>
      <w:numFmt w:val="decimal"/>
      <w:suff w:val="space"/>
      <w:lvlText w:val=""/>
      <w:lvlJc w:val="left"/>
      <w:pPr>
        <w:ind w:left="0" w:firstLine="482"/>
      </w:pPr>
      <w:rPr>
        <w:rFonts w:hint="default"/>
      </w:rPr>
    </w:lvl>
  </w:abstractNum>
  <w:abstractNum w:abstractNumId="66">
    <w:nsid w:val="B9B12C72"/>
    <w:multiLevelType w:val="singleLevel"/>
    <w:tmpl w:val="B9B12C72"/>
    <w:lvl w:ilvl="0" w:tentative="0">
      <w:start w:val="1"/>
      <w:numFmt w:val="decimal"/>
      <w:suff w:val="space"/>
      <w:lvlText w:val=""/>
      <w:lvlJc w:val="left"/>
      <w:pPr>
        <w:ind w:left="0" w:firstLine="482"/>
      </w:pPr>
      <w:rPr>
        <w:rFonts w:hint="default"/>
      </w:rPr>
    </w:lvl>
  </w:abstractNum>
  <w:abstractNum w:abstractNumId="67">
    <w:nsid w:val="BB0192BE"/>
    <w:multiLevelType w:val="singleLevel"/>
    <w:tmpl w:val="BB0192BE"/>
    <w:lvl w:ilvl="0" w:tentative="0">
      <w:start w:val="1"/>
      <w:numFmt w:val="decimal"/>
      <w:suff w:val="space"/>
      <w:lvlText w:val=""/>
      <w:lvlJc w:val="left"/>
      <w:pPr>
        <w:ind w:left="0" w:firstLine="482"/>
      </w:pPr>
      <w:rPr>
        <w:rFonts w:hint="default"/>
      </w:rPr>
    </w:lvl>
  </w:abstractNum>
  <w:abstractNum w:abstractNumId="68">
    <w:nsid w:val="BD301A4C"/>
    <w:multiLevelType w:val="singleLevel"/>
    <w:tmpl w:val="BD301A4C"/>
    <w:lvl w:ilvl="0" w:tentative="0">
      <w:start w:val="1"/>
      <w:numFmt w:val="decimal"/>
      <w:suff w:val="space"/>
      <w:lvlText w:val=""/>
      <w:lvlJc w:val="left"/>
      <w:pPr>
        <w:ind w:left="0" w:firstLine="482"/>
      </w:pPr>
      <w:rPr>
        <w:rFonts w:hint="default"/>
      </w:rPr>
    </w:lvl>
  </w:abstractNum>
  <w:abstractNum w:abstractNumId="69">
    <w:nsid w:val="BD5E3785"/>
    <w:multiLevelType w:val="singleLevel"/>
    <w:tmpl w:val="BD5E3785"/>
    <w:lvl w:ilvl="0" w:tentative="0">
      <w:start w:val="1"/>
      <w:numFmt w:val="decimal"/>
      <w:suff w:val="space"/>
      <w:lvlText w:val="%1."/>
      <w:lvlJc w:val="left"/>
    </w:lvl>
  </w:abstractNum>
  <w:abstractNum w:abstractNumId="70">
    <w:nsid w:val="BF433A8A"/>
    <w:multiLevelType w:val="singleLevel"/>
    <w:tmpl w:val="BF433A8A"/>
    <w:lvl w:ilvl="0" w:tentative="0">
      <w:start w:val="1"/>
      <w:numFmt w:val="decimal"/>
      <w:suff w:val="space"/>
      <w:lvlText w:val=""/>
      <w:lvlJc w:val="left"/>
      <w:pPr>
        <w:ind w:left="0" w:firstLine="482"/>
      </w:pPr>
      <w:rPr>
        <w:rFonts w:hint="default"/>
      </w:rPr>
    </w:lvl>
  </w:abstractNum>
  <w:abstractNum w:abstractNumId="71">
    <w:nsid w:val="BF69FDDF"/>
    <w:multiLevelType w:val="singleLevel"/>
    <w:tmpl w:val="BF69FDDF"/>
    <w:lvl w:ilvl="0" w:tentative="0">
      <w:start w:val="1"/>
      <w:numFmt w:val="decimal"/>
      <w:suff w:val="space"/>
      <w:lvlText w:val="【%1】"/>
      <w:lvlJc w:val="left"/>
      <w:pPr>
        <w:ind w:left="0" w:firstLine="0"/>
      </w:pPr>
      <w:rPr>
        <w:rFonts w:hint="default"/>
      </w:rPr>
    </w:lvl>
  </w:abstractNum>
  <w:abstractNum w:abstractNumId="72">
    <w:nsid w:val="C05179C8"/>
    <w:multiLevelType w:val="singleLevel"/>
    <w:tmpl w:val="C05179C8"/>
    <w:lvl w:ilvl="0" w:tentative="0">
      <w:start w:val="1"/>
      <w:numFmt w:val="decimal"/>
      <w:suff w:val="space"/>
      <w:lvlText w:val=""/>
      <w:lvlJc w:val="left"/>
      <w:pPr>
        <w:ind w:left="0" w:firstLine="482"/>
      </w:pPr>
      <w:rPr>
        <w:rFonts w:hint="default"/>
      </w:rPr>
    </w:lvl>
  </w:abstractNum>
  <w:abstractNum w:abstractNumId="73">
    <w:nsid w:val="C35CB0E8"/>
    <w:multiLevelType w:val="singleLevel"/>
    <w:tmpl w:val="C35CB0E8"/>
    <w:lvl w:ilvl="0" w:tentative="0">
      <w:start w:val="1"/>
      <w:numFmt w:val="decimal"/>
      <w:suff w:val="space"/>
      <w:lvlText w:val=""/>
      <w:lvlJc w:val="left"/>
      <w:pPr>
        <w:ind w:left="0" w:firstLine="482"/>
      </w:pPr>
      <w:rPr>
        <w:rFonts w:hint="default"/>
      </w:rPr>
    </w:lvl>
  </w:abstractNum>
  <w:abstractNum w:abstractNumId="74">
    <w:nsid w:val="C4CA2D91"/>
    <w:multiLevelType w:val="singleLevel"/>
    <w:tmpl w:val="C4CA2D91"/>
    <w:lvl w:ilvl="0" w:tentative="0">
      <w:start w:val="1"/>
      <w:numFmt w:val="decimal"/>
      <w:suff w:val="space"/>
      <w:lvlText w:val="【%1】"/>
      <w:lvlJc w:val="left"/>
      <w:pPr>
        <w:ind w:left="0" w:firstLine="0"/>
      </w:pPr>
      <w:rPr>
        <w:rFonts w:hint="default"/>
      </w:rPr>
    </w:lvl>
  </w:abstractNum>
  <w:abstractNum w:abstractNumId="75">
    <w:nsid w:val="C579A508"/>
    <w:multiLevelType w:val="singleLevel"/>
    <w:tmpl w:val="C579A508"/>
    <w:lvl w:ilvl="0" w:tentative="0">
      <w:start w:val="1"/>
      <w:numFmt w:val="decimal"/>
      <w:suff w:val="space"/>
      <w:lvlText w:val="【%1】"/>
      <w:lvlJc w:val="left"/>
      <w:pPr>
        <w:ind w:left="0" w:firstLine="0"/>
      </w:pPr>
      <w:rPr>
        <w:rFonts w:hint="default"/>
      </w:rPr>
    </w:lvl>
  </w:abstractNum>
  <w:abstractNum w:abstractNumId="76">
    <w:nsid w:val="C58455AB"/>
    <w:multiLevelType w:val="singleLevel"/>
    <w:tmpl w:val="C58455AB"/>
    <w:lvl w:ilvl="0" w:tentative="0">
      <w:start w:val="1"/>
      <w:numFmt w:val="decimal"/>
      <w:suff w:val="space"/>
      <w:lvlText w:val="%1."/>
      <w:lvlJc w:val="left"/>
    </w:lvl>
  </w:abstractNum>
  <w:abstractNum w:abstractNumId="77">
    <w:nsid w:val="C8E49426"/>
    <w:multiLevelType w:val="singleLevel"/>
    <w:tmpl w:val="C8E49426"/>
    <w:lvl w:ilvl="0" w:tentative="0">
      <w:start w:val="1"/>
      <w:numFmt w:val="decimal"/>
      <w:suff w:val="space"/>
      <w:lvlText w:val=""/>
      <w:lvlJc w:val="left"/>
      <w:pPr>
        <w:ind w:left="0" w:firstLine="482"/>
      </w:pPr>
      <w:rPr>
        <w:rFonts w:hint="default"/>
      </w:rPr>
    </w:lvl>
  </w:abstractNum>
  <w:abstractNum w:abstractNumId="78">
    <w:nsid w:val="C915FDB9"/>
    <w:multiLevelType w:val="singleLevel"/>
    <w:tmpl w:val="C915FDB9"/>
    <w:lvl w:ilvl="0" w:tentative="0">
      <w:start w:val="1"/>
      <w:numFmt w:val="decimal"/>
      <w:suff w:val="space"/>
      <w:lvlText w:val="%1."/>
      <w:lvlJc w:val="left"/>
      <w:pPr>
        <w:ind w:left="0" w:firstLine="482"/>
      </w:pPr>
      <w:rPr>
        <w:rFonts w:hint="default"/>
      </w:rPr>
    </w:lvl>
  </w:abstractNum>
  <w:abstractNum w:abstractNumId="79">
    <w:nsid w:val="C9587F91"/>
    <w:multiLevelType w:val="singleLevel"/>
    <w:tmpl w:val="C9587F91"/>
    <w:lvl w:ilvl="0" w:tentative="0">
      <w:start w:val="1"/>
      <w:numFmt w:val="chineseCounting"/>
      <w:suff w:val="nothing"/>
      <w:lvlText w:val="%1、"/>
      <w:lvlJc w:val="left"/>
      <w:pPr>
        <w:ind w:left="0" w:firstLine="0"/>
      </w:pPr>
      <w:rPr>
        <w:rFonts w:hint="eastAsia"/>
      </w:rPr>
    </w:lvl>
  </w:abstractNum>
  <w:abstractNum w:abstractNumId="80">
    <w:nsid w:val="C9588399"/>
    <w:multiLevelType w:val="singleLevel"/>
    <w:tmpl w:val="C9588399"/>
    <w:lvl w:ilvl="0" w:tentative="0">
      <w:start w:val="1"/>
      <w:numFmt w:val="decimal"/>
      <w:suff w:val="space"/>
      <w:lvlText w:val="3.%1"/>
      <w:lvlJc w:val="left"/>
      <w:pPr>
        <w:ind w:left="0" w:firstLine="0"/>
      </w:pPr>
      <w:rPr>
        <w:rFonts w:hint="default"/>
      </w:rPr>
    </w:lvl>
  </w:abstractNum>
  <w:abstractNum w:abstractNumId="81">
    <w:nsid w:val="CC6E6983"/>
    <w:multiLevelType w:val="singleLevel"/>
    <w:tmpl w:val="CC6E6983"/>
    <w:lvl w:ilvl="0" w:tentative="0">
      <w:start w:val="1"/>
      <w:numFmt w:val="decimal"/>
      <w:suff w:val="space"/>
      <w:lvlText w:val=""/>
      <w:lvlJc w:val="left"/>
      <w:pPr>
        <w:ind w:left="0" w:firstLine="482"/>
      </w:pPr>
      <w:rPr>
        <w:rFonts w:hint="default"/>
      </w:rPr>
    </w:lvl>
  </w:abstractNum>
  <w:abstractNum w:abstractNumId="82">
    <w:nsid w:val="CD156D07"/>
    <w:multiLevelType w:val="singleLevel"/>
    <w:tmpl w:val="CD156D07"/>
    <w:lvl w:ilvl="0" w:tentative="0">
      <w:start w:val="1"/>
      <w:numFmt w:val="chineseCounting"/>
      <w:suff w:val="nothing"/>
      <w:lvlText w:val="%1、"/>
      <w:lvlJc w:val="left"/>
      <w:pPr>
        <w:ind w:left="0" w:firstLine="0"/>
      </w:pPr>
      <w:rPr>
        <w:rFonts w:hint="eastAsia"/>
      </w:rPr>
    </w:lvl>
  </w:abstractNum>
  <w:abstractNum w:abstractNumId="83">
    <w:nsid w:val="CD5C6D69"/>
    <w:multiLevelType w:val="singleLevel"/>
    <w:tmpl w:val="CD5C6D69"/>
    <w:lvl w:ilvl="0" w:tentative="0">
      <w:start w:val="1"/>
      <w:numFmt w:val="decimal"/>
      <w:suff w:val="space"/>
      <w:lvlText w:val="%1."/>
      <w:lvlJc w:val="left"/>
    </w:lvl>
  </w:abstractNum>
  <w:abstractNum w:abstractNumId="84">
    <w:nsid w:val="CF1DA336"/>
    <w:multiLevelType w:val="singleLevel"/>
    <w:tmpl w:val="CF1DA336"/>
    <w:lvl w:ilvl="0" w:tentative="0">
      <w:start w:val="1"/>
      <w:numFmt w:val="decimal"/>
      <w:suff w:val="space"/>
      <w:lvlText w:val=""/>
      <w:lvlJc w:val="left"/>
      <w:pPr>
        <w:ind w:left="0" w:firstLine="482"/>
      </w:pPr>
      <w:rPr>
        <w:rFonts w:hint="default"/>
      </w:rPr>
    </w:lvl>
  </w:abstractNum>
  <w:abstractNum w:abstractNumId="85">
    <w:nsid w:val="D2AB9CE1"/>
    <w:multiLevelType w:val="singleLevel"/>
    <w:tmpl w:val="D2AB9CE1"/>
    <w:lvl w:ilvl="0" w:tentative="0">
      <w:start w:val="1"/>
      <w:numFmt w:val="decimal"/>
      <w:suff w:val="space"/>
      <w:lvlText w:val="【%1】"/>
      <w:lvlJc w:val="left"/>
      <w:pPr>
        <w:ind w:left="0" w:firstLine="0"/>
      </w:pPr>
      <w:rPr>
        <w:rFonts w:hint="default"/>
      </w:rPr>
    </w:lvl>
  </w:abstractNum>
  <w:abstractNum w:abstractNumId="86">
    <w:nsid w:val="D315E69F"/>
    <w:multiLevelType w:val="singleLevel"/>
    <w:tmpl w:val="D315E69F"/>
    <w:lvl w:ilvl="0" w:tentative="0">
      <w:start w:val="1"/>
      <w:numFmt w:val="decimal"/>
      <w:suff w:val="space"/>
      <w:lvlText w:val="【%1】"/>
      <w:lvlJc w:val="left"/>
      <w:pPr>
        <w:ind w:left="0" w:firstLine="0"/>
      </w:pPr>
      <w:rPr>
        <w:rFonts w:hint="default"/>
      </w:rPr>
    </w:lvl>
  </w:abstractNum>
  <w:abstractNum w:abstractNumId="87">
    <w:nsid w:val="D3D84700"/>
    <w:multiLevelType w:val="singleLevel"/>
    <w:tmpl w:val="D3D84700"/>
    <w:lvl w:ilvl="0" w:tentative="0">
      <w:start w:val="1"/>
      <w:numFmt w:val="decimal"/>
      <w:suff w:val="space"/>
      <w:lvlText w:val=""/>
      <w:lvlJc w:val="left"/>
      <w:pPr>
        <w:ind w:left="0" w:firstLine="482"/>
      </w:pPr>
      <w:rPr>
        <w:rFonts w:hint="default"/>
      </w:rPr>
    </w:lvl>
  </w:abstractNum>
  <w:abstractNum w:abstractNumId="88">
    <w:nsid w:val="D5C3CEE5"/>
    <w:multiLevelType w:val="singleLevel"/>
    <w:tmpl w:val="D5C3CEE5"/>
    <w:lvl w:ilvl="0" w:tentative="0">
      <w:start w:val="1"/>
      <w:numFmt w:val="decimal"/>
      <w:suff w:val="space"/>
      <w:lvlText w:val=""/>
      <w:lvlJc w:val="left"/>
      <w:pPr>
        <w:ind w:left="0" w:firstLine="482"/>
      </w:pPr>
      <w:rPr>
        <w:rFonts w:hint="default"/>
      </w:rPr>
    </w:lvl>
  </w:abstractNum>
  <w:abstractNum w:abstractNumId="89">
    <w:nsid w:val="D65C585F"/>
    <w:multiLevelType w:val="singleLevel"/>
    <w:tmpl w:val="D65C585F"/>
    <w:lvl w:ilvl="0" w:tentative="0">
      <w:start w:val="1"/>
      <w:numFmt w:val="decimal"/>
      <w:suff w:val="space"/>
      <w:lvlText w:val=""/>
      <w:lvlJc w:val="left"/>
      <w:pPr>
        <w:ind w:left="0" w:firstLine="482"/>
      </w:pPr>
      <w:rPr>
        <w:rFonts w:hint="default"/>
      </w:rPr>
    </w:lvl>
  </w:abstractNum>
  <w:abstractNum w:abstractNumId="90">
    <w:nsid w:val="D68174D4"/>
    <w:multiLevelType w:val="singleLevel"/>
    <w:tmpl w:val="D68174D4"/>
    <w:lvl w:ilvl="0" w:tentative="0">
      <w:start w:val="1"/>
      <w:numFmt w:val="decimal"/>
      <w:suff w:val="space"/>
      <w:lvlText w:val=""/>
      <w:lvlJc w:val="left"/>
      <w:pPr>
        <w:ind w:left="0" w:firstLine="482"/>
      </w:pPr>
      <w:rPr>
        <w:rFonts w:hint="default"/>
      </w:rPr>
    </w:lvl>
  </w:abstractNum>
  <w:abstractNum w:abstractNumId="91">
    <w:nsid w:val="D71D3A07"/>
    <w:multiLevelType w:val="singleLevel"/>
    <w:tmpl w:val="D71D3A07"/>
    <w:lvl w:ilvl="0" w:tentative="0">
      <w:start w:val="1"/>
      <w:numFmt w:val="decimal"/>
      <w:suff w:val="space"/>
      <w:lvlText w:val="%1."/>
      <w:lvlJc w:val="left"/>
      <w:pPr>
        <w:ind w:left="0" w:firstLine="0"/>
      </w:pPr>
      <w:rPr>
        <w:rFonts w:hint="default"/>
      </w:rPr>
    </w:lvl>
  </w:abstractNum>
  <w:abstractNum w:abstractNumId="92">
    <w:nsid w:val="D9994D54"/>
    <w:multiLevelType w:val="singleLevel"/>
    <w:tmpl w:val="D9994D54"/>
    <w:lvl w:ilvl="0" w:tentative="0">
      <w:start w:val="1"/>
      <w:numFmt w:val="decimal"/>
      <w:suff w:val="space"/>
      <w:lvlText w:val=""/>
      <w:lvlJc w:val="left"/>
      <w:pPr>
        <w:ind w:left="0" w:firstLine="482"/>
      </w:pPr>
      <w:rPr>
        <w:rFonts w:hint="default"/>
      </w:rPr>
    </w:lvl>
  </w:abstractNum>
  <w:abstractNum w:abstractNumId="93">
    <w:nsid w:val="DA30F3DF"/>
    <w:multiLevelType w:val="singleLevel"/>
    <w:tmpl w:val="DA30F3DF"/>
    <w:lvl w:ilvl="0" w:tentative="0">
      <w:start w:val="1"/>
      <w:numFmt w:val="decimal"/>
      <w:suff w:val="space"/>
      <w:lvlText w:val="【%1】"/>
      <w:lvlJc w:val="left"/>
      <w:pPr>
        <w:ind w:left="0" w:firstLine="0"/>
      </w:pPr>
      <w:rPr>
        <w:rFonts w:hint="default"/>
      </w:rPr>
    </w:lvl>
  </w:abstractNum>
  <w:abstractNum w:abstractNumId="94">
    <w:nsid w:val="DB2CA80F"/>
    <w:multiLevelType w:val="singleLevel"/>
    <w:tmpl w:val="DB2CA80F"/>
    <w:lvl w:ilvl="0" w:tentative="0">
      <w:start w:val="1"/>
      <w:numFmt w:val="decimal"/>
      <w:suff w:val="space"/>
      <w:lvlText w:val=""/>
      <w:lvlJc w:val="left"/>
      <w:pPr>
        <w:ind w:left="0" w:firstLine="482"/>
      </w:pPr>
      <w:rPr>
        <w:rFonts w:hint="default"/>
      </w:rPr>
    </w:lvl>
  </w:abstractNum>
  <w:abstractNum w:abstractNumId="95">
    <w:nsid w:val="DB58C874"/>
    <w:multiLevelType w:val="singleLevel"/>
    <w:tmpl w:val="DB58C874"/>
    <w:lvl w:ilvl="0" w:tentative="0">
      <w:start w:val="1"/>
      <w:numFmt w:val="decimal"/>
      <w:suff w:val="space"/>
      <w:lvlText w:val=""/>
      <w:lvlJc w:val="left"/>
      <w:pPr>
        <w:ind w:left="0" w:firstLine="482"/>
      </w:pPr>
      <w:rPr>
        <w:rFonts w:hint="default"/>
      </w:rPr>
    </w:lvl>
  </w:abstractNum>
  <w:abstractNum w:abstractNumId="96">
    <w:nsid w:val="DBB2E18B"/>
    <w:multiLevelType w:val="singleLevel"/>
    <w:tmpl w:val="DBB2E18B"/>
    <w:lvl w:ilvl="0" w:tentative="0">
      <w:start w:val="1"/>
      <w:numFmt w:val="decimal"/>
      <w:suff w:val="space"/>
      <w:lvlText w:val="%1."/>
      <w:lvlJc w:val="left"/>
      <w:pPr>
        <w:ind w:left="0" w:firstLine="0"/>
      </w:pPr>
      <w:rPr>
        <w:rFonts w:hint="default"/>
      </w:rPr>
    </w:lvl>
  </w:abstractNum>
  <w:abstractNum w:abstractNumId="97">
    <w:nsid w:val="DC827992"/>
    <w:multiLevelType w:val="singleLevel"/>
    <w:tmpl w:val="DC827992"/>
    <w:lvl w:ilvl="0" w:tentative="0">
      <w:start w:val="1"/>
      <w:numFmt w:val="decimal"/>
      <w:suff w:val="space"/>
      <w:lvlText w:val="【%1】"/>
      <w:lvlJc w:val="left"/>
      <w:pPr>
        <w:ind w:left="0" w:firstLine="0"/>
      </w:pPr>
      <w:rPr>
        <w:rFonts w:hint="default"/>
      </w:rPr>
    </w:lvl>
  </w:abstractNum>
  <w:abstractNum w:abstractNumId="98">
    <w:nsid w:val="DEF23186"/>
    <w:multiLevelType w:val="singleLevel"/>
    <w:tmpl w:val="DEF23186"/>
    <w:lvl w:ilvl="0" w:tentative="0">
      <w:start w:val="1"/>
      <w:numFmt w:val="decimal"/>
      <w:suff w:val="space"/>
      <w:lvlText w:val="【%1】"/>
      <w:lvlJc w:val="left"/>
      <w:pPr>
        <w:ind w:left="0" w:firstLine="0"/>
      </w:pPr>
      <w:rPr>
        <w:rFonts w:hint="default"/>
      </w:rPr>
    </w:lvl>
  </w:abstractNum>
  <w:abstractNum w:abstractNumId="99">
    <w:nsid w:val="E0F23399"/>
    <w:multiLevelType w:val="singleLevel"/>
    <w:tmpl w:val="E0F23399"/>
    <w:lvl w:ilvl="0" w:tentative="0">
      <w:start w:val="1"/>
      <w:numFmt w:val="decimal"/>
      <w:suff w:val="space"/>
      <w:lvlText w:val=""/>
      <w:lvlJc w:val="left"/>
      <w:pPr>
        <w:ind w:left="0" w:firstLine="482"/>
      </w:pPr>
      <w:rPr>
        <w:rFonts w:hint="default"/>
      </w:rPr>
    </w:lvl>
  </w:abstractNum>
  <w:abstractNum w:abstractNumId="100">
    <w:nsid w:val="E144FCDE"/>
    <w:multiLevelType w:val="singleLevel"/>
    <w:tmpl w:val="E144FCDE"/>
    <w:lvl w:ilvl="0" w:tentative="0">
      <w:start w:val="1"/>
      <w:numFmt w:val="decimal"/>
      <w:suff w:val="space"/>
      <w:lvlText w:val="%1."/>
      <w:lvlJc w:val="left"/>
      <w:pPr>
        <w:ind w:left="0" w:firstLine="0"/>
      </w:pPr>
      <w:rPr>
        <w:rFonts w:hint="default"/>
      </w:rPr>
    </w:lvl>
  </w:abstractNum>
  <w:abstractNum w:abstractNumId="101">
    <w:nsid w:val="E15FB9C5"/>
    <w:multiLevelType w:val="singleLevel"/>
    <w:tmpl w:val="E15FB9C5"/>
    <w:lvl w:ilvl="0" w:tentative="0">
      <w:start w:val="1"/>
      <w:numFmt w:val="decimal"/>
      <w:suff w:val="space"/>
      <w:lvlText w:val="%1."/>
      <w:lvlJc w:val="left"/>
    </w:lvl>
  </w:abstractNum>
  <w:abstractNum w:abstractNumId="102">
    <w:nsid w:val="E2F49B89"/>
    <w:multiLevelType w:val="singleLevel"/>
    <w:tmpl w:val="E2F49B89"/>
    <w:lvl w:ilvl="0" w:tentative="0">
      <w:start w:val="1"/>
      <w:numFmt w:val="decimal"/>
      <w:suff w:val="space"/>
      <w:lvlText w:val=""/>
      <w:lvlJc w:val="left"/>
      <w:pPr>
        <w:ind w:left="0" w:firstLine="482"/>
      </w:pPr>
      <w:rPr>
        <w:rFonts w:hint="default"/>
      </w:rPr>
    </w:lvl>
  </w:abstractNum>
  <w:abstractNum w:abstractNumId="103">
    <w:nsid w:val="E316BC5F"/>
    <w:multiLevelType w:val="singleLevel"/>
    <w:tmpl w:val="E316BC5F"/>
    <w:lvl w:ilvl="0" w:tentative="0">
      <w:start w:val="1"/>
      <w:numFmt w:val="chineseCounting"/>
      <w:suff w:val="nothing"/>
      <w:lvlText w:val="%1、"/>
      <w:lvlJc w:val="left"/>
      <w:pPr>
        <w:ind w:left="0" w:firstLine="0"/>
      </w:pPr>
      <w:rPr>
        <w:rFonts w:hint="eastAsia"/>
      </w:rPr>
    </w:lvl>
  </w:abstractNum>
  <w:abstractNum w:abstractNumId="104">
    <w:nsid w:val="E37F2C1B"/>
    <w:multiLevelType w:val="singleLevel"/>
    <w:tmpl w:val="E37F2C1B"/>
    <w:lvl w:ilvl="0" w:tentative="0">
      <w:start w:val="1"/>
      <w:numFmt w:val="decimal"/>
      <w:suff w:val="space"/>
      <w:lvlText w:val=""/>
      <w:lvlJc w:val="left"/>
      <w:pPr>
        <w:ind w:left="0" w:firstLine="482"/>
      </w:pPr>
      <w:rPr>
        <w:rFonts w:hint="default"/>
      </w:rPr>
    </w:lvl>
  </w:abstractNum>
  <w:abstractNum w:abstractNumId="105">
    <w:nsid w:val="E544E9C6"/>
    <w:multiLevelType w:val="singleLevel"/>
    <w:tmpl w:val="E544E9C6"/>
    <w:lvl w:ilvl="0" w:tentative="0">
      <w:start w:val="1"/>
      <w:numFmt w:val="decimal"/>
      <w:suff w:val="space"/>
      <w:lvlText w:val=""/>
      <w:lvlJc w:val="left"/>
      <w:pPr>
        <w:ind w:left="0" w:firstLine="482"/>
      </w:pPr>
      <w:rPr>
        <w:rFonts w:hint="default"/>
      </w:rPr>
    </w:lvl>
  </w:abstractNum>
  <w:abstractNum w:abstractNumId="106">
    <w:nsid w:val="E775A454"/>
    <w:multiLevelType w:val="singleLevel"/>
    <w:tmpl w:val="E775A454"/>
    <w:lvl w:ilvl="0" w:tentative="0">
      <w:start w:val="1"/>
      <w:numFmt w:val="decimal"/>
      <w:suff w:val="space"/>
      <w:lvlText w:val=""/>
      <w:lvlJc w:val="left"/>
      <w:pPr>
        <w:ind w:left="0" w:firstLine="482"/>
      </w:pPr>
      <w:rPr>
        <w:rFonts w:hint="default"/>
      </w:rPr>
    </w:lvl>
  </w:abstractNum>
  <w:abstractNum w:abstractNumId="107">
    <w:nsid w:val="E823D58D"/>
    <w:multiLevelType w:val="singleLevel"/>
    <w:tmpl w:val="E823D58D"/>
    <w:lvl w:ilvl="0" w:tentative="0">
      <w:start w:val="1"/>
      <w:numFmt w:val="decimal"/>
      <w:suff w:val="space"/>
      <w:lvlText w:val="【%1】"/>
      <w:lvlJc w:val="left"/>
      <w:pPr>
        <w:ind w:left="0" w:firstLine="0"/>
      </w:pPr>
      <w:rPr>
        <w:rFonts w:hint="default"/>
      </w:rPr>
    </w:lvl>
  </w:abstractNum>
  <w:abstractNum w:abstractNumId="108">
    <w:nsid w:val="E987FADC"/>
    <w:multiLevelType w:val="singleLevel"/>
    <w:tmpl w:val="E987FADC"/>
    <w:lvl w:ilvl="0" w:tentative="0">
      <w:start w:val="1"/>
      <w:numFmt w:val="decimal"/>
      <w:suff w:val="space"/>
      <w:lvlText w:val=""/>
      <w:lvlJc w:val="left"/>
      <w:pPr>
        <w:ind w:left="0" w:firstLine="482"/>
      </w:pPr>
      <w:rPr>
        <w:rFonts w:hint="default"/>
      </w:rPr>
    </w:lvl>
  </w:abstractNum>
  <w:abstractNum w:abstractNumId="109">
    <w:nsid w:val="E9A77239"/>
    <w:multiLevelType w:val="singleLevel"/>
    <w:tmpl w:val="E9A77239"/>
    <w:lvl w:ilvl="0" w:tentative="0">
      <w:start w:val="1"/>
      <w:numFmt w:val="decimal"/>
      <w:suff w:val="space"/>
      <w:lvlText w:val=""/>
      <w:lvlJc w:val="left"/>
      <w:pPr>
        <w:ind w:left="0" w:firstLine="482"/>
      </w:pPr>
      <w:rPr>
        <w:rFonts w:hint="default"/>
      </w:rPr>
    </w:lvl>
  </w:abstractNum>
  <w:abstractNum w:abstractNumId="110">
    <w:nsid w:val="EA3A8247"/>
    <w:multiLevelType w:val="singleLevel"/>
    <w:tmpl w:val="EA3A8247"/>
    <w:lvl w:ilvl="0" w:tentative="0">
      <w:start w:val="1"/>
      <w:numFmt w:val="decimal"/>
      <w:suff w:val="space"/>
      <w:lvlText w:val=""/>
      <w:lvlJc w:val="left"/>
      <w:pPr>
        <w:ind w:left="0" w:firstLine="482"/>
      </w:pPr>
      <w:rPr>
        <w:rFonts w:hint="default"/>
      </w:rPr>
    </w:lvl>
  </w:abstractNum>
  <w:abstractNum w:abstractNumId="111">
    <w:nsid w:val="EA4D1C42"/>
    <w:multiLevelType w:val="singleLevel"/>
    <w:tmpl w:val="EA4D1C42"/>
    <w:lvl w:ilvl="0" w:tentative="0">
      <w:start w:val="1"/>
      <w:numFmt w:val="decimal"/>
      <w:suff w:val="space"/>
      <w:lvlText w:val=""/>
      <w:lvlJc w:val="left"/>
      <w:pPr>
        <w:ind w:left="0" w:firstLine="482"/>
      </w:pPr>
      <w:rPr>
        <w:rFonts w:hint="default"/>
      </w:rPr>
    </w:lvl>
  </w:abstractNum>
  <w:abstractNum w:abstractNumId="112">
    <w:nsid w:val="ED5C8809"/>
    <w:multiLevelType w:val="singleLevel"/>
    <w:tmpl w:val="ED5C8809"/>
    <w:lvl w:ilvl="0" w:tentative="0">
      <w:start w:val="1"/>
      <w:numFmt w:val="decimal"/>
      <w:suff w:val="space"/>
      <w:lvlText w:val="【%1】"/>
      <w:lvlJc w:val="left"/>
      <w:pPr>
        <w:ind w:left="0" w:firstLine="0"/>
      </w:pPr>
      <w:rPr>
        <w:rFonts w:hint="default"/>
      </w:rPr>
    </w:lvl>
  </w:abstractNum>
  <w:abstractNum w:abstractNumId="113">
    <w:nsid w:val="ED930978"/>
    <w:multiLevelType w:val="singleLevel"/>
    <w:tmpl w:val="ED930978"/>
    <w:lvl w:ilvl="0" w:tentative="0">
      <w:start w:val="1"/>
      <w:numFmt w:val="decimal"/>
      <w:suff w:val="space"/>
      <w:lvlText w:val=""/>
      <w:lvlJc w:val="left"/>
      <w:pPr>
        <w:ind w:left="0" w:firstLine="482"/>
      </w:pPr>
      <w:rPr>
        <w:rFonts w:hint="default"/>
      </w:rPr>
    </w:lvl>
  </w:abstractNum>
  <w:abstractNum w:abstractNumId="114">
    <w:nsid w:val="F0F98369"/>
    <w:multiLevelType w:val="singleLevel"/>
    <w:tmpl w:val="F0F98369"/>
    <w:lvl w:ilvl="0" w:tentative="0">
      <w:start w:val="1"/>
      <w:numFmt w:val="decimal"/>
      <w:suff w:val="space"/>
      <w:lvlText w:val="%1."/>
      <w:lvlJc w:val="left"/>
    </w:lvl>
  </w:abstractNum>
  <w:abstractNum w:abstractNumId="115">
    <w:nsid w:val="F1518D6B"/>
    <w:multiLevelType w:val="singleLevel"/>
    <w:tmpl w:val="F1518D6B"/>
    <w:lvl w:ilvl="0" w:tentative="0">
      <w:start w:val="1"/>
      <w:numFmt w:val="decimal"/>
      <w:suff w:val="space"/>
      <w:lvlText w:val=""/>
      <w:lvlJc w:val="left"/>
      <w:pPr>
        <w:ind w:left="0" w:firstLine="482"/>
      </w:pPr>
      <w:rPr>
        <w:rFonts w:hint="default"/>
      </w:rPr>
    </w:lvl>
  </w:abstractNum>
  <w:abstractNum w:abstractNumId="116">
    <w:nsid w:val="F375DEBC"/>
    <w:multiLevelType w:val="singleLevel"/>
    <w:tmpl w:val="F375DEBC"/>
    <w:lvl w:ilvl="0" w:tentative="0">
      <w:start w:val="1"/>
      <w:numFmt w:val="decimal"/>
      <w:suff w:val="space"/>
      <w:lvlText w:val=""/>
      <w:lvlJc w:val="left"/>
      <w:pPr>
        <w:ind w:left="0" w:firstLine="482"/>
      </w:pPr>
      <w:rPr>
        <w:rFonts w:hint="default"/>
      </w:rPr>
    </w:lvl>
  </w:abstractNum>
  <w:abstractNum w:abstractNumId="117">
    <w:nsid w:val="F5CD62E9"/>
    <w:multiLevelType w:val="singleLevel"/>
    <w:tmpl w:val="F5CD62E9"/>
    <w:lvl w:ilvl="0" w:tentative="0">
      <w:start w:val="1"/>
      <w:numFmt w:val="decimal"/>
      <w:suff w:val="space"/>
      <w:lvlText w:val=""/>
      <w:lvlJc w:val="left"/>
      <w:pPr>
        <w:ind w:left="0" w:firstLine="482"/>
      </w:pPr>
      <w:rPr>
        <w:rFonts w:hint="default"/>
      </w:rPr>
    </w:lvl>
  </w:abstractNum>
  <w:abstractNum w:abstractNumId="118">
    <w:nsid w:val="F69F0795"/>
    <w:multiLevelType w:val="singleLevel"/>
    <w:tmpl w:val="F69F0795"/>
    <w:lvl w:ilvl="0" w:tentative="0">
      <w:start w:val="1"/>
      <w:numFmt w:val="decimal"/>
      <w:suff w:val="space"/>
      <w:lvlText w:val="【%1】"/>
      <w:lvlJc w:val="left"/>
      <w:pPr>
        <w:ind w:left="0" w:firstLine="0"/>
      </w:pPr>
      <w:rPr>
        <w:rFonts w:hint="default"/>
      </w:rPr>
    </w:lvl>
  </w:abstractNum>
  <w:abstractNum w:abstractNumId="119">
    <w:nsid w:val="F772D5ED"/>
    <w:multiLevelType w:val="singleLevel"/>
    <w:tmpl w:val="F772D5ED"/>
    <w:lvl w:ilvl="0" w:tentative="0">
      <w:start w:val="1"/>
      <w:numFmt w:val="decimal"/>
      <w:suff w:val="space"/>
      <w:lvlText w:val=""/>
      <w:lvlJc w:val="left"/>
      <w:pPr>
        <w:ind w:left="0" w:firstLine="482"/>
      </w:pPr>
      <w:rPr>
        <w:rFonts w:hint="default"/>
      </w:rPr>
    </w:lvl>
  </w:abstractNum>
  <w:abstractNum w:abstractNumId="120">
    <w:nsid w:val="F8FD28C5"/>
    <w:multiLevelType w:val="singleLevel"/>
    <w:tmpl w:val="F8FD28C5"/>
    <w:lvl w:ilvl="0" w:tentative="0">
      <w:start w:val="1"/>
      <w:numFmt w:val="decimal"/>
      <w:suff w:val="space"/>
      <w:lvlText w:val="%1."/>
      <w:lvlJc w:val="left"/>
      <w:pPr>
        <w:ind w:left="0" w:firstLine="0"/>
      </w:pPr>
      <w:rPr>
        <w:rFonts w:hint="default"/>
      </w:rPr>
    </w:lvl>
  </w:abstractNum>
  <w:abstractNum w:abstractNumId="121">
    <w:nsid w:val="F9698DD7"/>
    <w:multiLevelType w:val="singleLevel"/>
    <w:tmpl w:val="F9698DD7"/>
    <w:lvl w:ilvl="0" w:tentative="0">
      <w:start w:val="1"/>
      <w:numFmt w:val="chineseCounting"/>
      <w:suff w:val="nothing"/>
      <w:lvlText w:val="%1、"/>
      <w:lvlJc w:val="left"/>
      <w:pPr>
        <w:ind w:left="0" w:firstLine="0"/>
      </w:pPr>
      <w:rPr>
        <w:rFonts w:hint="eastAsia"/>
      </w:rPr>
    </w:lvl>
  </w:abstractNum>
  <w:abstractNum w:abstractNumId="122">
    <w:nsid w:val="F9B60A4E"/>
    <w:multiLevelType w:val="singleLevel"/>
    <w:tmpl w:val="F9B60A4E"/>
    <w:lvl w:ilvl="0" w:tentative="0">
      <w:start w:val="1"/>
      <w:numFmt w:val="decimal"/>
      <w:suff w:val="space"/>
      <w:lvlText w:val=""/>
      <w:lvlJc w:val="left"/>
      <w:pPr>
        <w:ind w:left="0" w:firstLine="482"/>
      </w:pPr>
      <w:rPr>
        <w:rFonts w:hint="default"/>
      </w:rPr>
    </w:lvl>
  </w:abstractNum>
  <w:abstractNum w:abstractNumId="123">
    <w:nsid w:val="F9B7CC4F"/>
    <w:multiLevelType w:val="singleLevel"/>
    <w:tmpl w:val="F9B7CC4F"/>
    <w:lvl w:ilvl="0" w:tentative="0">
      <w:start w:val="1"/>
      <w:numFmt w:val="decimal"/>
      <w:suff w:val="space"/>
      <w:lvlText w:val=""/>
      <w:lvlJc w:val="left"/>
      <w:pPr>
        <w:ind w:left="0" w:firstLine="482"/>
      </w:pPr>
      <w:rPr>
        <w:rFonts w:hint="default"/>
      </w:rPr>
    </w:lvl>
  </w:abstractNum>
  <w:abstractNum w:abstractNumId="124">
    <w:nsid w:val="FAB0F375"/>
    <w:multiLevelType w:val="singleLevel"/>
    <w:tmpl w:val="FAB0F375"/>
    <w:lvl w:ilvl="0" w:tentative="0">
      <w:start w:val="1"/>
      <w:numFmt w:val="decimal"/>
      <w:suff w:val="space"/>
      <w:lvlText w:val=""/>
      <w:lvlJc w:val="left"/>
      <w:pPr>
        <w:ind w:left="0" w:firstLine="482"/>
      </w:pPr>
      <w:rPr>
        <w:rFonts w:hint="default"/>
      </w:rPr>
    </w:lvl>
  </w:abstractNum>
  <w:abstractNum w:abstractNumId="125">
    <w:nsid w:val="FDF9D6E5"/>
    <w:multiLevelType w:val="singleLevel"/>
    <w:tmpl w:val="FDF9D6E5"/>
    <w:lvl w:ilvl="0" w:tentative="0">
      <w:start w:val="1"/>
      <w:numFmt w:val="decimal"/>
      <w:suff w:val="space"/>
      <w:lvlText w:val=""/>
      <w:lvlJc w:val="left"/>
      <w:pPr>
        <w:ind w:left="0" w:firstLine="482"/>
      </w:pPr>
      <w:rPr>
        <w:rFonts w:hint="default"/>
      </w:rPr>
    </w:lvl>
  </w:abstractNum>
  <w:abstractNum w:abstractNumId="126">
    <w:nsid w:val="FE31E588"/>
    <w:multiLevelType w:val="singleLevel"/>
    <w:tmpl w:val="FE31E588"/>
    <w:lvl w:ilvl="0" w:tentative="0">
      <w:start w:val="1"/>
      <w:numFmt w:val="decimal"/>
      <w:suff w:val="space"/>
      <w:lvlText w:val=""/>
      <w:lvlJc w:val="left"/>
      <w:pPr>
        <w:ind w:left="0" w:firstLine="482"/>
      </w:pPr>
      <w:rPr>
        <w:rFonts w:hint="default"/>
      </w:rPr>
    </w:lvl>
  </w:abstractNum>
  <w:abstractNum w:abstractNumId="127">
    <w:nsid w:val="FF4538C5"/>
    <w:multiLevelType w:val="singleLevel"/>
    <w:tmpl w:val="FF4538C5"/>
    <w:lvl w:ilvl="0" w:tentative="0">
      <w:start w:val="1"/>
      <w:numFmt w:val="decimal"/>
      <w:suff w:val="space"/>
      <w:lvlText w:val=""/>
      <w:lvlJc w:val="left"/>
      <w:pPr>
        <w:ind w:left="0" w:firstLine="482"/>
      </w:pPr>
      <w:rPr>
        <w:rFonts w:hint="default"/>
      </w:rPr>
    </w:lvl>
  </w:abstractNum>
  <w:abstractNum w:abstractNumId="128">
    <w:nsid w:val="FF62D596"/>
    <w:multiLevelType w:val="singleLevel"/>
    <w:tmpl w:val="FF62D596"/>
    <w:lvl w:ilvl="0" w:tentative="0">
      <w:start w:val="1"/>
      <w:numFmt w:val="decimal"/>
      <w:suff w:val="space"/>
      <w:lvlText w:val=""/>
      <w:lvlJc w:val="left"/>
      <w:pPr>
        <w:ind w:left="0" w:firstLine="482"/>
      </w:pPr>
      <w:rPr>
        <w:rFonts w:hint="default"/>
      </w:rPr>
    </w:lvl>
  </w:abstractNum>
  <w:abstractNum w:abstractNumId="129">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30">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131">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132">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133">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134">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135">
    <w:nsid w:val="00A347C8"/>
    <w:multiLevelType w:val="singleLevel"/>
    <w:tmpl w:val="00A347C8"/>
    <w:lvl w:ilvl="0" w:tentative="0">
      <w:start w:val="1"/>
      <w:numFmt w:val="decimal"/>
      <w:suff w:val="space"/>
      <w:lvlText w:val="【%1】"/>
      <w:lvlJc w:val="left"/>
      <w:pPr>
        <w:ind w:left="0" w:firstLine="0"/>
      </w:pPr>
      <w:rPr>
        <w:rFonts w:hint="default"/>
      </w:rPr>
    </w:lvl>
  </w:abstractNum>
  <w:abstractNum w:abstractNumId="136">
    <w:nsid w:val="01E4EEBF"/>
    <w:multiLevelType w:val="singleLevel"/>
    <w:tmpl w:val="01E4EEBF"/>
    <w:lvl w:ilvl="0" w:tentative="0">
      <w:start w:val="1"/>
      <w:numFmt w:val="decimal"/>
      <w:suff w:val="space"/>
      <w:lvlText w:val="【%1】"/>
      <w:lvlJc w:val="left"/>
      <w:pPr>
        <w:ind w:left="0" w:firstLine="0"/>
      </w:pPr>
      <w:rPr>
        <w:rFonts w:hint="default"/>
      </w:rPr>
    </w:lvl>
  </w:abstractNum>
  <w:abstractNum w:abstractNumId="137">
    <w:nsid w:val="02CB2F52"/>
    <w:multiLevelType w:val="singleLevel"/>
    <w:tmpl w:val="02CB2F52"/>
    <w:lvl w:ilvl="0" w:tentative="0">
      <w:start w:val="1"/>
      <w:numFmt w:val="decimal"/>
      <w:suff w:val="space"/>
      <w:lvlText w:val=""/>
      <w:lvlJc w:val="left"/>
      <w:pPr>
        <w:ind w:left="0" w:firstLine="482"/>
      </w:pPr>
      <w:rPr>
        <w:rFonts w:hint="default"/>
      </w:rPr>
    </w:lvl>
  </w:abstractNum>
  <w:abstractNum w:abstractNumId="138">
    <w:nsid w:val="048D8799"/>
    <w:multiLevelType w:val="singleLevel"/>
    <w:tmpl w:val="048D8799"/>
    <w:lvl w:ilvl="0" w:tentative="0">
      <w:start w:val="1"/>
      <w:numFmt w:val="decimal"/>
      <w:suff w:val="space"/>
      <w:lvlText w:val="【%1】"/>
      <w:lvlJc w:val="left"/>
      <w:pPr>
        <w:ind w:left="0" w:firstLine="0"/>
      </w:pPr>
      <w:rPr>
        <w:rFonts w:hint="default"/>
      </w:rPr>
    </w:lvl>
  </w:abstractNum>
  <w:abstractNum w:abstractNumId="139">
    <w:nsid w:val="076D0A84"/>
    <w:multiLevelType w:val="singleLevel"/>
    <w:tmpl w:val="076D0A84"/>
    <w:lvl w:ilvl="0" w:tentative="0">
      <w:start w:val="1"/>
      <w:numFmt w:val="decimal"/>
      <w:suff w:val="space"/>
      <w:lvlText w:val=""/>
      <w:lvlJc w:val="left"/>
      <w:pPr>
        <w:ind w:left="0" w:firstLine="482"/>
      </w:pPr>
      <w:rPr>
        <w:rFonts w:hint="default"/>
      </w:rPr>
    </w:lvl>
  </w:abstractNum>
  <w:abstractNum w:abstractNumId="140">
    <w:nsid w:val="0817D429"/>
    <w:multiLevelType w:val="singleLevel"/>
    <w:tmpl w:val="0817D429"/>
    <w:lvl w:ilvl="0" w:tentative="0">
      <w:start w:val="1"/>
      <w:numFmt w:val="decimal"/>
      <w:suff w:val="space"/>
      <w:lvlText w:val=""/>
      <w:lvlJc w:val="left"/>
      <w:pPr>
        <w:ind w:left="0" w:firstLine="482"/>
      </w:pPr>
      <w:rPr>
        <w:rFonts w:hint="default"/>
      </w:rPr>
    </w:lvl>
  </w:abstractNum>
  <w:abstractNum w:abstractNumId="141">
    <w:nsid w:val="08C54EDF"/>
    <w:multiLevelType w:val="singleLevel"/>
    <w:tmpl w:val="08C54EDF"/>
    <w:lvl w:ilvl="0" w:tentative="0">
      <w:start w:val="1"/>
      <w:numFmt w:val="decimal"/>
      <w:suff w:val="space"/>
      <w:lvlText w:val="%1."/>
      <w:lvlJc w:val="left"/>
      <w:pPr>
        <w:ind w:left="0" w:firstLine="0"/>
      </w:pPr>
      <w:rPr>
        <w:rFonts w:hint="default"/>
      </w:rPr>
    </w:lvl>
  </w:abstractNum>
  <w:abstractNum w:abstractNumId="142">
    <w:nsid w:val="0DC317BD"/>
    <w:multiLevelType w:val="singleLevel"/>
    <w:tmpl w:val="0DC317BD"/>
    <w:lvl w:ilvl="0" w:tentative="0">
      <w:start w:val="1"/>
      <w:numFmt w:val="decimal"/>
      <w:suff w:val="space"/>
      <w:lvlText w:val=""/>
      <w:lvlJc w:val="left"/>
      <w:pPr>
        <w:ind w:left="0" w:firstLine="482"/>
      </w:pPr>
      <w:rPr>
        <w:rFonts w:hint="default"/>
      </w:rPr>
    </w:lvl>
  </w:abstractNum>
  <w:abstractNum w:abstractNumId="143">
    <w:nsid w:val="11908268"/>
    <w:multiLevelType w:val="singleLevel"/>
    <w:tmpl w:val="11908268"/>
    <w:lvl w:ilvl="0" w:tentative="0">
      <w:start w:val="1"/>
      <w:numFmt w:val="decimal"/>
      <w:suff w:val="space"/>
      <w:lvlText w:val="%1."/>
      <w:lvlJc w:val="left"/>
      <w:pPr>
        <w:ind w:left="0" w:firstLine="0"/>
      </w:pPr>
      <w:rPr>
        <w:rFonts w:hint="default"/>
      </w:rPr>
    </w:lvl>
  </w:abstractNum>
  <w:abstractNum w:abstractNumId="144">
    <w:nsid w:val="14AB2487"/>
    <w:multiLevelType w:val="singleLevel"/>
    <w:tmpl w:val="14AB2487"/>
    <w:lvl w:ilvl="0" w:tentative="0">
      <w:start w:val="1"/>
      <w:numFmt w:val="decimal"/>
      <w:suff w:val="space"/>
      <w:lvlText w:val=""/>
      <w:lvlJc w:val="left"/>
      <w:pPr>
        <w:ind w:left="0" w:firstLine="482"/>
      </w:pPr>
      <w:rPr>
        <w:rFonts w:hint="default"/>
      </w:rPr>
    </w:lvl>
  </w:abstractNum>
  <w:abstractNum w:abstractNumId="145">
    <w:nsid w:val="14BAD5E0"/>
    <w:multiLevelType w:val="singleLevel"/>
    <w:tmpl w:val="14BAD5E0"/>
    <w:lvl w:ilvl="0" w:tentative="0">
      <w:start w:val="1"/>
      <w:numFmt w:val="decimal"/>
      <w:suff w:val="space"/>
      <w:lvlText w:val=""/>
      <w:lvlJc w:val="left"/>
      <w:pPr>
        <w:ind w:left="0" w:firstLine="482"/>
      </w:pPr>
      <w:rPr>
        <w:rFonts w:hint="default"/>
      </w:rPr>
    </w:lvl>
  </w:abstractNum>
  <w:abstractNum w:abstractNumId="146">
    <w:nsid w:val="15AA103A"/>
    <w:multiLevelType w:val="singleLevel"/>
    <w:tmpl w:val="15AA103A"/>
    <w:lvl w:ilvl="0" w:tentative="0">
      <w:start w:val="1"/>
      <w:numFmt w:val="decimal"/>
      <w:suff w:val="space"/>
      <w:lvlText w:val="【%1】"/>
      <w:lvlJc w:val="left"/>
      <w:pPr>
        <w:ind w:left="0" w:firstLine="0"/>
      </w:pPr>
      <w:rPr>
        <w:rFonts w:hint="default"/>
      </w:rPr>
    </w:lvl>
  </w:abstractNum>
  <w:abstractNum w:abstractNumId="147">
    <w:nsid w:val="1900AA1D"/>
    <w:multiLevelType w:val="singleLevel"/>
    <w:tmpl w:val="1900AA1D"/>
    <w:lvl w:ilvl="0" w:tentative="0">
      <w:start w:val="1"/>
      <w:numFmt w:val="decimal"/>
      <w:suff w:val="space"/>
      <w:lvlText w:val="【%1】"/>
      <w:lvlJc w:val="left"/>
      <w:pPr>
        <w:ind w:left="0" w:firstLine="0"/>
      </w:pPr>
      <w:rPr>
        <w:rFonts w:hint="default"/>
      </w:rPr>
    </w:lvl>
  </w:abstractNum>
  <w:abstractNum w:abstractNumId="148">
    <w:nsid w:val="1A44E267"/>
    <w:multiLevelType w:val="singleLevel"/>
    <w:tmpl w:val="1A44E267"/>
    <w:lvl w:ilvl="0" w:tentative="0">
      <w:start w:val="1"/>
      <w:numFmt w:val="decimal"/>
      <w:suff w:val="space"/>
      <w:lvlText w:val=""/>
      <w:lvlJc w:val="left"/>
      <w:pPr>
        <w:ind w:left="0" w:firstLine="482"/>
      </w:pPr>
      <w:rPr>
        <w:rFonts w:hint="default"/>
      </w:rPr>
    </w:lvl>
  </w:abstractNum>
  <w:abstractNum w:abstractNumId="149">
    <w:nsid w:val="1B11801D"/>
    <w:multiLevelType w:val="singleLevel"/>
    <w:tmpl w:val="1B11801D"/>
    <w:lvl w:ilvl="0" w:tentative="0">
      <w:start w:val="1"/>
      <w:numFmt w:val="decimal"/>
      <w:suff w:val="space"/>
      <w:lvlText w:val=""/>
      <w:lvlJc w:val="left"/>
      <w:pPr>
        <w:ind w:left="0" w:firstLine="482"/>
      </w:pPr>
      <w:rPr>
        <w:rFonts w:hint="default"/>
      </w:rPr>
    </w:lvl>
  </w:abstractNum>
  <w:abstractNum w:abstractNumId="150">
    <w:nsid w:val="1C9193F5"/>
    <w:multiLevelType w:val="singleLevel"/>
    <w:tmpl w:val="1C9193F5"/>
    <w:lvl w:ilvl="0" w:tentative="0">
      <w:start w:val="1"/>
      <w:numFmt w:val="decimal"/>
      <w:suff w:val="space"/>
      <w:lvlText w:val="【%1】"/>
      <w:lvlJc w:val="left"/>
      <w:pPr>
        <w:ind w:left="0" w:firstLine="0"/>
      </w:pPr>
      <w:rPr>
        <w:rFonts w:hint="default"/>
      </w:rPr>
    </w:lvl>
  </w:abstractNum>
  <w:abstractNum w:abstractNumId="151">
    <w:nsid w:val="1CA1BA15"/>
    <w:multiLevelType w:val="singleLevel"/>
    <w:tmpl w:val="1CA1BA15"/>
    <w:lvl w:ilvl="0" w:tentative="0">
      <w:start w:val="1"/>
      <w:numFmt w:val="decimal"/>
      <w:suff w:val="space"/>
      <w:lvlText w:val="%1."/>
      <w:lvlJc w:val="left"/>
      <w:pPr>
        <w:ind w:left="0" w:firstLine="0"/>
      </w:pPr>
      <w:rPr>
        <w:rFonts w:hint="default"/>
      </w:rPr>
    </w:lvl>
  </w:abstractNum>
  <w:abstractNum w:abstractNumId="152">
    <w:nsid w:val="1CAF3FB3"/>
    <w:multiLevelType w:val="singleLevel"/>
    <w:tmpl w:val="1CAF3FB3"/>
    <w:lvl w:ilvl="0" w:tentative="0">
      <w:start w:val="1"/>
      <w:numFmt w:val="decimal"/>
      <w:suff w:val="space"/>
      <w:lvlText w:val="%1."/>
      <w:lvlJc w:val="left"/>
      <w:pPr>
        <w:ind w:left="0" w:firstLine="482"/>
      </w:pPr>
      <w:rPr>
        <w:rFonts w:hint="default"/>
      </w:rPr>
    </w:lvl>
  </w:abstractNum>
  <w:abstractNum w:abstractNumId="153">
    <w:nsid w:val="1E224C4F"/>
    <w:multiLevelType w:val="singleLevel"/>
    <w:tmpl w:val="1E224C4F"/>
    <w:lvl w:ilvl="0" w:tentative="0">
      <w:start w:val="1"/>
      <w:numFmt w:val="decimal"/>
      <w:suff w:val="space"/>
      <w:lvlText w:val=""/>
      <w:lvlJc w:val="left"/>
      <w:pPr>
        <w:ind w:left="0" w:firstLine="482"/>
      </w:pPr>
      <w:rPr>
        <w:rFonts w:hint="default"/>
      </w:rPr>
    </w:lvl>
  </w:abstractNum>
  <w:abstractNum w:abstractNumId="154">
    <w:nsid w:val="1E30B63D"/>
    <w:multiLevelType w:val="singleLevel"/>
    <w:tmpl w:val="1E30B63D"/>
    <w:lvl w:ilvl="0" w:tentative="0">
      <w:start w:val="1"/>
      <w:numFmt w:val="decimal"/>
      <w:suff w:val="space"/>
      <w:lvlText w:val=""/>
      <w:lvlJc w:val="left"/>
      <w:pPr>
        <w:ind w:left="0" w:firstLine="482"/>
      </w:pPr>
      <w:rPr>
        <w:rFonts w:hint="default"/>
      </w:rPr>
    </w:lvl>
  </w:abstractNum>
  <w:abstractNum w:abstractNumId="155">
    <w:nsid w:val="1ECC15D0"/>
    <w:multiLevelType w:val="singleLevel"/>
    <w:tmpl w:val="1ECC15D0"/>
    <w:lvl w:ilvl="0" w:tentative="0">
      <w:start w:val="1"/>
      <w:numFmt w:val="decimal"/>
      <w:suff w:val="space"/>
      <w:lvlText w:val=""/>
      <w:lvlJc w:val="left"/>
      <w:pPr>
        <w:ind w:left="0" w:firstLine="482"/>
      </w:pPr>
      <w:rPr>
        <w:rFonts w:hint="default"/>
      </w:rPr>
    </w:lvl>
  </w:abstractNum>
  <w:abstractNum w:abstractNumId="156">
    <w:nsid w:val="1FFEA850"/>
    <w:multiLevelType w:val="singleLevel"/>
    <w:tmpl w:val="1FFEA850"/>
    <w:lvl w:ilvl="0" w:tentative="0">
      <w:start w:val="1"/>
      <w:numFmt w:val="decimal"/>
      <w:suff w:val="space"/>
      <w:lvlText w:val=""/>
      <w:lvlJc w:val="left"/>
      <w:pPr>
        <w:ind w:left="0" w:firstLine="482"/>
      </w:pPr>
      <w:rPr>
        <w:rFonts w:hint="default"/>
      </w:rPr>
    </w:lvl>
  </w:abstractNum>
  <w:abstractNum w:abstractNumId="157">
    <w:nsid w:val="21D169BF"/>
    <w:multiLevelType w:val="singleLevel"/>
    <w:tmpl w:val="21D169BF"/>
    <w:lvl w:ilvl="0" w:tentative="0">
      <w:start w:val="1"/>
      <w:numFmt w:val="decimal"/>
      <w:suff w:val="space"/>
      <w:lvlText w:val="【%1】"/>
      <w:lvlJc w:val="left"/>
      <w:pPr>
        <w:ind w:left="0" w:firstLine="0"/>
      </w:pPr>
      <w:rPr>
        <w:rFonts w:hint="default"/>
      </w:rPr>
    </w:lvl>
  </w:abstractNum>
  <w:abstractNum w:abstractNumId="158">
    <w:nsid w:val="227B798D"/>
    <w:multiLevelType w:val="singleLevel"/>
    <w:tmpl w:val="227B798D"/>
    <w:lvl w:ilvl="0" w:tentative="0">
      <w:start w:val="1"/>
      <w:numFmt w:val="decimal"/>
      <w:suff w:val="space"/>
      <w:lvlText w:val="%1."/>
      <w:lvlJc w:val="left"/>
    </w:lvl>
  </w:abstractNum>
  <w:abstractNum w:abstractNumId="159">
    <w:nsid w:val="22B6F6FB"/>
    <w:multiLevelType w:val="singleLevel"/>
    <w:tmpl w:val="22B6F6FB"/>
    <w:lvl w:ilvl="0" w:tentative="0">
      <w:start w:val="1"/>
      <w:numFmt w:val="decimal"/>
      <w:suff w:val="space"/>
      <w:lvlText w:val="%1."/>
      <w:lvlJc w:val="left"/>
      <w:pPr>
        <w:ind w:left="0" w:firstLine="0"/>
      </w:pPr>
      <w:rPr>
        <w:rFonts w:hint="default"/>
      </w:rPr>
    </w:lvl>
  </w:abstractNum>
  <w:abstractNum w:abstractNumId="160">
    <w:nsid w:val="240351A2"/>
    <w:multiLevelType w:val="singleLevel"/>
    <w:tmpl w:val="240351A2"/>
    <w:lvl w:ilvl="0" w:tentative="0">
      <w:start w:val="1"/>
      <w:numFmt w:val="decimal"/>
      <w:suff w:val="space"/>
      <w:lvlText w:val="【%1】"/>
      <w:lvlJc w:val="left"/>
      <w:pPr>
        <w:ind w:left="0" w:firstLine="0"/>
      </w:pPr>
      <w:rPr>
        <w:rFonts w:hint="default"/>
      </w:rPr>
    </w:lvl>
  </w:abstractNum>
  <w:abstractNum w:abstractNumId="161">
    <w:nsid w:val="2459407C"/>
    <w:multiLevelType w:val="singleLevel"/>
    <w:tmpl w:val="2459407C"/>
    <w:lvl w:ilvl="0" w:tentative="0">
      <w:start w:val="1"/>
      <w:numFmt w:val="decimal"/>
      <w:suff w:val="space"/>
      <w:lvlText w:val="【%1】"/>
      <w:lvlJc w:val="left"/>
      <w:pPr>
        <w:ind w:left="0" w:firstLine="0"/>
      </w:pPr>
      <w:rPr>
        <w:rFonts w:hint="default"/>
      </w:rPr>
    </w:lvl>
  </w:abstractNum>
  <w:abstractNum w:abstractNumId="162">
    <w:nsid w:val="263A57D5"/>
    <w:multiLevelType w:val="singleLevel"/>
    <w:tmpl w:val="263A57D5"/>
    <w:lvl w:ilvl="0" w:tentative="0">
      <w:start w:val="1"/>
      <w:numFmt w:val="decimal"/>
      <w:suff w:val="space"/>
      <w:lvlText w:val="【%1】"/>
      <w:lvlJc w:val="left"/>
      <w:pPr>
        <w:ind w:left="0" w:firstLine="0"/>
      </w:pPr>
      <w:rPr>
        <w:rFonts w:hint="default"/>
      </w:rPr>
    </w:lvl>
  </w:abstractNum>
  <w:abstractNum w:abstractNumId="163">
    <w:nsid w:val="268459D1"/>
    <w:multiLevelType w:val="singleLevel"/>
    <w:tmpl w:val="268459D1"/>
    <w:lvl w:ilvl="0" w:tentative="0">
      <w:start w:val="1"/>
      <w:numFmt w:val="decimal"/>
      <w:suff w:val="space"/>
      <w:lvlText w:val=""/>
      <w:lvlJc w:val="left"/>
      <w:pPr>
        <w:ind w:left="0" w:firstLine="482"/>
      </w:pPr>
      <w:rPr>
        <w:rFonts w:hint="default"/>
      </w:rPr>
    </w:lvl>
  </w:abstractNum>
  <w:abstractNum w:abstractNumId="164">
    <w:nsid w:val="27153E7B"/>
    <w:multiLevelType w:val="singleLevel"/>
    <w:tmpl w:val="27153E7B"/>
    <w:lvl w:ilvl="0" w:tentative="0">
      <w:start w:val="1"/>
      <w:numFmt w:val="decimal"/>
      <w:suff w:val="space"/>
      <w:lvlText w:val=""/>
      <w:lvlJc w:val="left"/>
      <w:pPr>
        <w:ind w:left="0" w:firstLine="482"/>
      </w:pPr>
      <w:rPr>
        <w:rFonts w:hint="default"/>
      </w:rPr>
    </w:lvl>
  </w:abstractNum>
  <w:abstractNum w:abstractNumId="165">
    <w:nsid w:val="27E504BF"/>
    <w:multiLevelType w:val="singleLevel"/>
    <w:tmpl w:val="27E504BF"/>
    <w:lvl w:ilvl="0" w:tentative="0">
      <w:start w:val="1"/>
      <w:numFmt w:val="decimal"/>
      <w:suff w:val="space"/>
      <w:lvlText w:val=""/>
      <w:lvlJc w:val="left"/>
      <w:pPr>
        <w:ind w:left="0" w:firstLine="482"/>
      </w:pPr>
      <w:rPr>
        <w:rFonts w:hint="default"/>
      </w:rPr>
    </w:lvl>
  </w:abstractNum>
  <w:abstractNum w:abstractNumId="166">
    <w:nsid w:val="28460EC3"/>
    <w:multiLevelType w:val="singleLevel"/>
    <w:tmpl w:val="28460EC3"/>
    <w:lvl w:ilvl="0" w:tentative="0">
      <w:start w:val="1"/>
      <w:numFmt w:val="decimal"/>
      <w:suff w:val="space"/>
      <w:lvlText w:val=""/>
      <w:lvlJc w:val="left"/>
      <w:pPr>
        <w:ind w:left="0" w:firstLine="482"/>
      </w:pPr>
      <w:rPr>
        <w:rFonts w:hint="default"/>
      </w:rPr>
    </w:lvl>
  </w:abstractNum>
  <w:abstractNum w:abstractNumId="167">
    <w:nsid w:val="28E984FA"/>
    <w:multiLevelType w:val="singleLevel"/>
    <w:tmpl w:val="28E984FA"/>
    <w:lvl w:ilvl="0" w:tentative="0">
      <w:start w:val="1"/>
      <w:numFmt w:val="decimal"/>
      <w:suff w:val="space"/>
      <w:lvlText w:val=""/>
      <w:lvlJc w:val="left"/>
      <w:pPr>
        <w:ind w:left="0" w:firstLine="482"/>
      </w:pPr>
      <w:rPr>
        <w:rFonts w:hint="default"/>
      </w:rPr>
    </w:lvl>
  </w:abstractNum>
  <w:abstractNum w:abstractNumId="168">
    <w:nsid w:val="296D4EE9"/>
    <w:multiLevelType w:val="singleLevel"/>
    <w:tmpl w:val="296D4EE9"/>
    <w:lvl w:ilvl="0" w:tentative="0">
      <w:start w:val="1"/>
      <w:numFmt w:val="decimal"/>
      <w:suff w:val="space"/>
      <w:lvlText w:val=""/>
      <w:lvlJc w:val="left"/>
      <w:pPr>
        <w:ind w:left="0" w:firstLine="482"/>
      </w:pPr>
      <w:rPr>
        <w:rFonts w:hint="default"/>
      </w:rPr>
    </w:lvl>
  </w:abstractNum>
  <w:abstractNum w:abstractNumId="169">
    <w:nsid w:val="29BBAD0E"/>
    <w:multiLevelType w:val="singleLevel"/>
    <w:tmpl w:val="29BBAD0E"/>
    <w:lvl w:ilvl="0" w:tentative="0">
      <w:start w:val="1"/>
      <w:numFmt w:val="decimal"/>
      <w:suff w:val="space"/>
      <w:lvlText w:val=""/>
      <w:lvlJc w:val="left"/>
      <w:pPr>
        <w:ind w:left="0" w:firstLine="482"/>
      </w:pPr>
      <w:rPr>
        <w:rFonts w:hint="default"/>
      </w:rPr>
    </w:lvl>
  </w:abstractNum>
  <w:abstractNum w:abstractNumId="170">
    <w:nsid w:val="29C24E1C"/>
    <w:multiLevelType w:val="singleLevel"/>
    <w:tmpl w:val="29C24E1C"/>
    <w:lvl w:ilvl="0" w:tentative="0">
      <w:start w:val="1"/>
      <w:numFmt w:val="decimal"/>
      <w:suff w:val="space"/>
      <w:lvlText w:val=""/>
      <w:lvlJc w:val="left"/>
      <w:pPr>
        <w:ind w:left="0" w:firstLine="482"/>
      </w:pPr>
      <w:rPr>
        <w:rFonts w:hint="default"/>
      </w:rPr>
    </w:lvl>
  </w:abstractNum>
  <w:abstractNum w:abstractNumId="171">
    <w:nsid w:val="2B3D8BFD"/>
    <w:multiLevelType w:val="singleLevel"/>
    <w:tmpl w:val="2B3D8BFD"/>
    <w:lvl w:ilvl="0" w:tentative="0">
      <w:start w:val="1"/>
      <w:numFmt w:val="decimal"/>
      <w:suff w:val="space"/>
      <w:lvlText w:val=""/>
      <w:lvlJc w:val="left"/>
      <w:pPr>
        <w:ind w:left="0" w:firstLine="482"/>
      </w:pPr>
      <w:rPr>
        <w:rFonts w:hint="default"/>
      </w:rPr>
    </w:lvl>
  </w:abstractNum>
  <w:abstractNum w:abstractNumId="172">
    <w:nsid w:val="2CEB4668"/>
    <w:multiLevelType w:val="singleLevel"/>
    <w:tmpl w:val="2CEB4668"/>
    <w:lvl w:ilvl="0" w:tentative="0">
      <w:start w:val="1"/>
      <w:numFmt w:val="decimal"/>
      <w:suff w:val="space"/>
      <w:lvlText w:val="%1."/>
      <w:lvlJc w:val="left"/>
      <w:pPr>
        <w:ind w:left="0" w:firstLine="0"/>
      </w:pPr>
      <w:rPr>
        <w:rFonts w:hint="default"/>
      </w:rPr>
    </w:lvl>
  </w:abstractNum>
  <w:abstractNum w:abstractNumId="173">
    <w:nsid w:val="2F2E6370"/>
    <w:multiLevelType w:val="singleLevel"/>
    <w:tmpl w:val="2F2E6370"/>
    <w:lvl w:ilvl="0" w:tentative="0">
      <w:start w:val="1"/>
      <w:numFmt w:val="decimal"/>
      <w:suff w:val="space"/>
      <w:lvlText w:val=""/>
      <w:lvlJc w:val="left"/>
      <w:pPr>
        <w:ind w:left="0" w:firstLine="482"/>
      </w:pPr>
      <w:rPr>
        <w:rFonts w:hint="default"/>
      </w:rPr>
    </w:lvl>
  </w:abstractNum>
  <w:abstractNum w:abstractNumId="174">
    <w:nsid w:val="31956329"/>
    <w:multiLevelType w:val="singleLevel"/>
    <w:tmpl w:val="31956329"/>
    <w:lvl w:ilvl="0" w:tentative="0">
      <w:start w:val="1"/>
      <w:numFmt w:val="decimal"/>
      <w:suff w:val="space"/>
      <w:lvlText w:val=""/>
      <w:lvlJc w:val="left"/>
      <w:pPr>
        <w:ind w:left="0" w:firstLine="482"/>
      </w:pPr>
      <w:rPr>
        <w:rFonts w:hint="default"/>
      </w:rPr>
    </w:lvl>
  </w:abstractNum>
  <w:abstractNum w:abstractNumId="175">
    <w:nsid w:val="32DF5FCD"/>
    <w:multiLevelType w:val="singleLevel"/>
    <w:tmpl w:val="32DF5FCD"/>
    <w:lvl w:ilvl="0" w:tentative="0">
      <w:start w:val="1"/>
      <w:numFmt w:val="decimal"/>
      <w:suff w:val="space"/>
      <w:lvlText w:val=""/>
      <w:lvlJc w:val="left"/>
      <w:pPr>
        <w:ind w:left="0" w:firstLine="482"/>
      </w:pPr>
      <w:rPr>
        <w:rFonts w:hint="default"/>
      </w:rPr>
    </w:lvl>
  </w:abstractNum>
  <w:abstractNum w:abstractNumId="176">
    <w:nsid w:val="3424CA97"/>
    <w:multiLevelType w:val="singleLevel"/>
    <w:tmpl w:val="3424CA97"/>
    <w:lvl w:ilvl="0" w:tentative="0">
      <w:start w:val="1"/>
      <w:numFmt w:val="decimal"/>
      <w:suff w:val="space"/>
      <w:lvlText w:val="%1."/>
      <w:lvlJc w:val="left"/>
      <w:pPr>
        <w:ind w:left="0" w:firstLine="0"/>
      </w:pPr>
      <w:rPr>
        <w:rFonts w:hint="default"/>
      </w:rPr>
    </w:lvl>
  </w:abstractNum>
  <w:abstractNum w:abstractNumId="177">
    <w:nsid w:val="3472B646"/>
    <w:multiLevelType w:val="singleLevel"/>
    <w:tmpl w:val="3472B646"/>
    <w:lvl w:ilvl="0" w:tentative="0">
      <w:start w:val="1"/>
      <w:numFmt w:val="decimal"/>
      <w:suff w:val="space"/>
      <w:lvlText w:val="【%1】"/>
      <w:lvlJc w:val="left"/>
      <w:pPr>
        <w:ind w:left="0" w:firstLine="0"/>
      </w:pPr>
      <w:rPr>
        <w:rFonts w:hint="default"/>
      </w:rPr>
    </w:lvl>
  </w:abstractNum>
  <w:abstractNum w:abstractNumId="178">
    <w:nsid w:val="34C74625"/>
    <w:multiLevelType w:val="singleLevel"/>
    <w:tmpl w:val="34C74625"/>
    <w:lvl w:ilvl="0" w:tentative="0">
      <w:start w:val="1"/>
      <w:numFmt w:val="decimal"/>
      <w:suff w:val="space"/>
      <w:lvlText w:val=""/>
      <w:lvlJc w:val="left"/>
      <w:pPr>
        <w:ind w:left="0" w:firstLine="482"/>
      </w:pPr>
      <w:rPr>
        <w:rFonts w:hint="default"/>
      </w:rPr>
    </w:lvl>
  </w:abstractNum>
  <w:abstractNum w:abstractNumId="179">
    <w:nsid w:val="356A5703"/>
    <w:multiLevelType w:val="singleLevel"/>
    <w:tmpl w:val="356A5703"/>
    <w:lvl w:ilvl="0" w:tentative="0">
      <w:start w:val="1"/>
      <w:numFmt w:val="decimal"/>
      <w:suff w:val="space"/>
      <w:lvlText w:val="【%1】"/>
      <w:lvlJc w:val="left"/>
      <w:pPr>
        <w:ind w:left="0" w:firstLine="0"/>
      </w:pPr>
      <w:rPr>
        <w:rFonts w:hint="default"/>
      </w:rPr>
    </w:lvl>
  </w:abstractNum>
  <w:abstractNum w:abstractNumId="180">
    <w:nsid w:val="370D2F68"/>
    <w:multiLevelType w:val="singleLevel"/>
    <w:tmpl w:val="370D2F68"/>
    <w:lvl w:ilvl="0" w:tentative="0">
      <w:start w:val="1"/>
      <w:numFmt w:val="chineseCounting"/>
      <w:suff w:val="nothing"/>
      <w:lvlText w:val="%1、"/>
      <w:lvlJc w:val="left"/>
      <w:pPr>
        <w:ind w:left="0" w:firstLine="0"/>
      </w:pPr>
      <w:rPr>
        <w:rFonts w:hint="eastAsia"/>
      </w:rPr>
    </w:lvl>
  </w:abstractNum>
  <w:abstractNum w:abstractNumId="181">
    <w:nsid w:val="39271B3C"/>
    <w:multiLevelType w:val="singleLevel"/>
    <w:tmpl w:val="39271B3C"/>
    <w:lvl w:ilvl="0" w:tentative="0">
      <w:start w:val="1"/>
      <w:numFmt w:val="decimal"/>
      <w:suff w:val="space"/>
      <w:lvlText w:val="【%1】"/>
      <w:lvlJc w:val="left"/>
      <w:pPr>
        <w:ind w:left="0" w:firstLine="0"/>
      </w:pPr>
      <w:rPr>
        <w:rFonts w:hint="default"/>
      </w:rPr>
    </w:lvl>
  </w:abstractNum>
  <w:abstractNum w:abstractNumId="182">
    <w:nsid w:val="3955E09D"/>
    <w:multiLevelType w:val="singleLevel"/>
    <w:tmpl w:val="3955E09D"/>
    <w:lvl w:ilvl="0" w:tentative="0">
      <w:start w:val="1"/>
      <w:numFmt w:val="chineseCounting"/>
      <w:suff w:val="nothing"/>
      <w:lvlText w:val="%1、"/>
      <w:lvlJc w:val="left"/>
      <w:pPr>
        <w:ind w:left="0" w:firstLine="0"/>
      </w:pPr>
      <w:rPr>
        <w:rFonts w:hint="eastAsia"/>
      </w:rPr>
    </w:lvl>
  </w:abstractNum>
  <w:abstractNum w:abstractNumId="183">
    <w:nsid w:val="3AE9A25A"/>
    <w:multiLevelType w:val="singleLevel"/>
    <w:tmpl w:val="3AE9A25A"/>
    <w:lvl w:ilvl="0" w:tentative="0">
      <w:start w:val="1"/>
      <w:numFmt w:val="decimal"/>
      <w:suff w:val="space"/>
      <w:lvlText w:val=""/>
      <w:lvlJc w:val="left"/>
      <w:pPr>
        <w:ind w:left="0" w:firstLine="482"/>
      </w:pPr>
      <w:rPr>
        <w:rFonts w:hint="default"/>
      </w:rPr>
    </w:lvl>
  </w:abstractNum>
  <w:abstractNum w:abstractNumId="184">
    <w:nsid w:val="3BAF4B88"/>
    <w:multiLevelType w:val="singleLevel"/>
    <w:tmpl w:val="3BAF4B88"/>
    <w:lvl w:ilvl="0" w:tentative="0">
      <w:start w:val="1"/>
      <w:numFmt w:val="decimal"/>
      <w:suff w:val="space"/>
      <w:lvlText w:val=""/>
      <w:lvlJc w:val="left"/>
      <w:pPr>
        <w:ind w:left="0" w:firstLine="482"/>
      </w:pPr>
      <w:rPr>
        <w:rFonts w:hint="default"/>
      </w:rPr>
    </w:lvl>
  </w:abstractNum>
  <w:abstractNum w:abstractNumId="185">
    <w:nsid w:val="3E643456"/>
    <w:multiLevelType w:val="singleLevel"/>
    <w:tmpl w:val="3E643456"/>
    <w:lvl w:ilvl="0" w:tentative="0">
      <w:start w:val="1"/>
      <w:numFmt w:val="decimal"/>
      <w:suff w:val="space"/>
      <w:lvlText w:val="【%1】"/>
      <w:lvlJc w:val="left"/>
      <w:pPr>
        <w:ind w:left="0" w:firstLine="0"/>
      </w:pPr>
      <w:rPr>
        <w:rFonts w:hint="default"/>
      </w:rPr>
    </w:lvl>
  </w:abstractNum>
  <w:abstractNum w:abstractNumId="186">
    <w:nsid w:val="3E77A1F0"/>
    <w:multiLevelType w:val="singleLevel"/>
    <w:tmpl w:val="3E77A1F0"/>
    <w:lvl w:ilvl="0" w:tentative="0">
      <w:start w:val="1"/>
      <w:numFmt w:val="decimal"/>
      <w:suff w:val="space"/>
      <w:lvlText w:val="%1."/>
      <w:lvlJc w:val="left"/>
      <w:pPr>
        <w:ind w:left="0" w:firstLine="0"/>
      </w:pPr>
      <w:rPr>
        <w:rFonts w:hint="default"/>
      </w:rPr>
    </w:lvl>
  </w:abstractNum>
  <w:abstractNum w:abstractNumId="187">
    <w:nsid w:val="3EEF83E7"/>
    <w:multiLevelType w:val="singleLevel"/>
    <w:tmpl w:val="3EEF83E7"/>
    <w:lvl w:ilvl="0" w:tentative="0">
      <w:start w:val="1"/>
      <w:numFmt w:val="decimal"/>
      <w:suff w:val="space"/>
      <w:lvlText w:val=""/>
      <w:lvlJc w:val="left"/>
      <w:pPr>
        <w:ind w:left="0" w:firstLine="482"/>
      </w:pPr>
      <w:rPr>
        <w:rFonts w:hint="default"/>
      </w:rPr>
    </w:lvl>
  </w:abstractNum>
  <w:abstractNum w:abstractNumId="188">
    <w:nsid w:val="446076BC"/>
    <w:multiLevelType w:val="singleLevel"/>
    <w:tmpl w:val="446076BC"/>
    <w:lvl w:ilvl="0" w:tentative="0">
      <w:start w:val="1"/>
      <w:numFmt w:val="decimal"/>
      <w:suff w:val="space"/>
      <w:lvlText w:val=""/>
      <w:lvlJc w:val="left"/>
      <w:pPr>
        <w:ind w:left="0" w:firstLine="482"/>
      </w:pPr>
      <w:rPr>
        <w:rFonts w:hint="default"/>
      </w:rPr>
    </w:lvl>
  </w:abstractNum>
  <w:abstractNum w:abstractNumId="189">
    <w:nsid w:val="46F492E7"/>
    <w:multiLevelType w:val="singleLevel"/>
    <w:tmpl w:val="46F492E7"/>
    <w:lvl w:ilvl="0" w:tentative="0">
      <w:start w:val="1"/>
      <w:numFmt w:val="decimal"/>
      <w:suff w:val="space"/>
      <w:lvlText w:val="%1."/>
      <w:lvlJc w:val="left"/>
    </w:lvl>
  </w:abstractNum>
  <w:abstractNum w:abstractNumId="190">
    <w:nsid w:val="482B781B"/>
    <w:multiLevelType w:val="singleLevel"/>
    <w:tmpl w:val="482B781B"/>
    <w:lvl w:ilvl="0" w:tentative="0">
      <w:start w:val="1"/>
      <w:numFmt w:val="decimal"/>
      <w:suff w:val="space"/>
      <w:lvlText w:val=""/>
      <w:lvlJc w:val="left"/>
      <w:pPr>
        <w:ind w:left="0" w:firstLine="482"/>
      </w:pPr>
      <w:rPr>
        <w:rFonts w:hint="default"/>
      </w:rPr>
    </w:lvl>
  </w:abstractNum>
  <w:abstractNum w:abstractNumId="191">
    <w:nsid w:val="48FA35CE"/>
    <w:multiLevelType w:val="singleLevel"/>
    <w:tmpl w:val="48FA35CE"/>
    <w:lvl w:ilvl="0" w:tentative="0">
      <w:start w:val="1"/>
      <w:numFmt w:val="decimal"/>
      <w:suff w:val="space"/>
      <w:lvlText w:val=""/>
      <w:lvlJc w:val="left"/>
      <w:pPr>
        <w:ind w:left="0" w:firstLine="482"/>
      </w:pPr>
      <w:rPr>
        <w:rFonts w:hint="default"/>
      </w:rPr>
    </w:lvl>
  </w:abstractNum>
  <w:abstractNum w:abstractNumId="192">
    <w:nsid w:val="491BE62B"/>
    <w:multiLevelType w:val="singleLevel"/>
    <w:tmpl w:val="491BE62B"/>
    <w:lvl w:ilvl="0" w:tentative="0">
      <w:start w:val="1"/>
      <w:numFmt w:val="decimal"/>
      <w:suff w:val="space"/>
      <w:lvlText w:val=""/>
      <w:lvlJc w:val="left"/>
      <w:pPr>
        <w:ind w:left="0" w:firstLine="482"/>
      </w:pPr>
      <w:rPr>
        <w:rFonts w:hint="default"/>
      </w:rPr>
    </w:lvl>
  </w:abstractNum>
  <w:abstractNum w:abstractNumId="193">
    <w:nsid w:val="4A77CCF7"/>
    <w:multiLevelType w:val="singleLevel"/>
    <w:tmpl w:val="4A77CCF7"/>
    <w:lvl w:ilvl="0" w:tentative="0">
      <w:start w:val="1"/>
      <w:numFmt w:val="decimal"/>
      <w:suff w:val="space"/>
      <w:lvlText w:val=""/>
      <w:lvlJc w:val="left"/>
      <w:pPr>
        <w:ind w:left="0" w:firstLine="482"/>
      </w:pPr>
      <w:rPr>
        <w:rFonts w:hint="default"/>
      </w:rPr>
    </w:lvl>
  </w:abstractNum>
  <w:abstractNum w:abstractNumId="194">
    <w:nsid w:val="4A8C8AF5"/>
    <w:multiLevelType w:val="singleLevel"/>
    <w:tmpl w:val="4A8C8AF5"/>
    <w:lvl w:ilvl="0" w:tentative="0">
      <w:start w:val="1"/>
      <w:numFmt w:val="decimal"/>
      <w:suff w:val="space"/>
      <w:lvlText w:val=""/>
      <w:lvlJc w:val="left"/>
      <w:pPr>
        <w:ind w:left="0" w:firstLine="482"/>
      </w:pPr>
      <w:rPr>
        <w:rFonts w:hint="default"/>
      </w:rPr>
    </w:lvl>
  </w:abstractNum>
  <w:abstractNum w:abstractNumId="195">
    <w:nsid w:val="4BE3479B"/>
    <w:multiLevelType w:val="singleLevel"/>
    <w:tmpl w:val="4BE3479B"/>
    <w:lvl w:ilvl="0" w:tentative="0">
      <w:start w:val="1"/>
      <w:numFmt w:val="decimal"/>
      <w:suff w:val="space"/>
      <w:lvlText w:val=""/>
      <w:lvlJc w:val="left"/>
      <w:pPr>
        <w:ind w:left="0" w:firstLine="482"/>
      </w:pPr>
      <w:rPr>
        <w:rFonts w:hint="default"/>
      </w:rPr>
    </w:lvl>
  </w:abstractNum>
  <w:abstractNum w:abstractNumId="196">
    <w:nsid w:val="4C77B402"/>
    <w:multiLevelType w:val="singleLevel"/>
    <w:tmpl w:val="4C77B402"/>
    <w:lvl w:ilvl="0" w:tentative="0">
      <w:start w:val="1"/>
      <w:numFmt w:val="decimal"/>
      <w:suff w:val="space"/>
      <w:lvlText w:val=""/>
      <w:lvlJc w:val="left"/>
      <w:pPr>
        <w:ind w:left="0" w:firstLine="482"/>
      </w:pPr>
      <w:rPr>
        <w:rFonts w:hint="default"/>
      </w:rPr>
    </w:lvl>
  </w:abstractNum>
  <w:abstractNum w:abstractNumId="197">
    <w:nsid w:val="4CB7A876"/>
    <w:multiLevelType w:val="singleLevel"/>
    <w:tmpl w:val="4CB7A876"/>
    <w:lvl w:ilvl="0" w:tentative="0">
      <w:start w:val="1"/>
      <w:numFmt w:val="decimal"/>
      <w:suff w:val="space"/>
      <w:lvlText w:val=""/>
      <w:lvlJc w:val="left"/>
      <w:pPr>
        <w:ind w:left="0" w:firstLine="482"/>
      </w:pPr>
      <w:rPr>
        <w:rFonts w:hint="default"/>
      </w:rPr>
    </w:lvl>
  </w:abstractNum>
  <w:abstractNum w:abstractNumId="198">
    <w:nsid w:val="4E376D55"/>
    <w:multiLevelType w:val="singleLevel"/>
    <w:tmpl w:val="4E376D55"/>
    <w:lvl w:ilvl="0" w:tentative="0">
      <w:start w:val="1"/>
      <w:numFmt w:val="decimal"/>
      <w:suff w:val="space"/>
      <w:lvlText w:val=""/>
      <w:lvlJc w:val="left"/>
      <w:pPr>
        <w:ind w:left="0" w:firstLine="482"/>
      </w:pPr>
      <w:rPr>
        <w:rFonts w:hint="default"/>
      </w:rPr>
    </w:lvl>
  </w:abstractNum>
  <w:abstractNum w:abstractNumId="199">
    <w:nsid w:val="4F0DCE0D"/>
    <w:multiLevelType w:val="singleLevel"/>
    <w:tmpl w:val="4F0DCE0D"/>
    <w:lvl w:ilvl="0" w:tentative="0">
      <w:start w:val="1"/>
      <w:numFmt w:val="decimal"/>
      <w:suff w:val="space"/>
      <w:lvlText w:val="【%1】"/>
      <w:lvlJc w:val="left"/>
      <w:pPr>
        <w:ind w:left="0" w:firstLine="0"/>
      </w:pPr>
      <w:rPr>
        <w:rFonts w:hint="default"/>
      </w:rPr>
    </w:lvl>
  </w:abstractNum>
  <w:abstractNum w:abstractNumId="200">
    <w:nsid w:val="4FC28BC5"/>
    <w:multiLevelType w:val="singleLevel"/>
    <w:tmpl w:val="4FC28BC5"/>
    <w:lvl w:ilvl="0" w:tentative="0">
      <w:start w:val="1"/>
      <w:numFmt w:val="decimal"/>
      <w:suff w:val="space"/>
      <w:lvlText w:val=""/>
      <w:lvlJc w:val="left"/>
      <w:pPr>
        <w:ind w:left="0" w:firstLine="482"/>
      </w:pPr>
      <w:rPr>
        <w:rFonts w:hint="default"/>
      </w:rPr>
    </w:lvl>
  </w:abstractNum>
  <w:abstractNum w:abstractNumId="201">
    <w:nsid w:val="50338085"/>
    <w:multiLevelType w:val="singleLevel"/>
    <w:tmpl w:val="50338085"/>
    <w:lvl w:ilvl="0" w:tentative="0">
      <w:start w:val="1"/>
      <w:numFmt w:val="decimal"/>
      <w:suff w:val="space"/>
      <w:lvlText w:val="%1."/>
      <w:lvlJc w:val="left"/>
      <w:pPr>
        <w:ind w:left="0" w:firstLine="482"/>
      </w:pPr>
      <w:rPr>
        <w:rFonts w:hint="default"/>
      </w:rPr>
    </w:lvl>
  </w:abstractNum>
  <w:abstractNum w:abstractNumId="202">
    <w:nsid w:val="503CC9D0"/>
    <w:multiLevelType w:val="singleLevel"/>
    <w:tmpl w:val="503CC9D0"/>
    <w:lvl w:ilvl="0" w:tentative="0">
      <w:start w:val="1"/>
      <w:numFmt w:val="decimal"/>
      <w:suff w:val="space"/>
      <w:lvlText w:val=""/>
      <w:lvlJc w:val="left"/>
      <w:pPr>
        <w:ind w:left="0" w:firstLine="482"/>
      </w:pPr>
      <w:rPr>
        <w:rFonts w:hint="default"/>
      </w:rPr>
    </w:lvl>
  </w:abstractNum>
  <w:abstractNum w:abstractNumId="203">
    <w:nsid w:val="5040E49F"/>
    <w:multiLevelType w:val="singleLevel"/>
    <w:tmpl w:val="5040E49F"/>
    <w:lvl w:ilvl="0" w:tentative="0">
      <w:start w:val="1"/>
      <w:numFmt w:val="decimal"/>
      <w:suff w:val="space"/>
      <w:lvlText w:val="%1."/>
      <w:lvlJc w:val="left"/>
      <w:pPr>
        <w:ind w:left="0" w:firstLine="0"/>
      </w:pPr>
      <w:rPr>
        <w:rFonts w:hint="default"/>
      </w:rPr>
    </w:lvl>
  </w:abstractNum>
  <w:abstractNum w:abstractNumId="204">
    <w:nsid w:val="505D1838"/>
    <w:multiLevelType w:val="singleLevel"/>
    <w:tmpl w:val="505D1838"/>
    <w:lvl w:ilvl="0" w:tentative="0">
      <w:start w:val="1"/>
      <w:numFmt w:val="decimal"/>
      <w:suff w:val="space"/>
      <w:lvlText w:val="%1."/>
      <w:lvlJc w:val="left"/>
      <w:pPr>
        <w:ind w:left="0" w:firstLine="0"/>
      </w:pPr>
      <w:rPr>
        <w:rFonts w:hint="default"/>
      </w:rPr>
    </w:lvl>
  </w:abstractNum>
  <w:abstractNum w:abstractNumId="205">
    <w:nsid w:val="51094587"/>
    <w:multiLevelType w:val="singleLevel"/>
    <w:tmpl w:val="51094587"/>
    <w:lvl w:ilvl="0" w:tentative="0">
      <w:start w:val="1"/>
      <w:numFmt w:val="decimal"/>
      <w:suff w:val="space"/>
      <w:lvlText w:val="【%1】"/>
      <w:lvlJc w:val="left"/>
      <w:pPr>
        <w:ind w:left="0" w:firstLine="0"/>
      </w:pPr>
      <w:rPr>
        <w:rFonts w:hint="default"/>
      </w:rPr>
    </w:lvl>
  </w:abstractNum>
  <w:abstractNum w:abstractNumId="206">
    <w:nsid w:val="53FC14DF"/>
    <w:multiLevelType w:val="singleLevel"/>
    <w:tmpl w:val="53FC14DF"/>
    <w:lvl w:ilvl="0" w:tentative="0">
      <w:start w:val="1"/>
      <w:numFmt w:val="decimal"/>
      <w:suff w:val="space"/>
      <w:lvlText w:val=""/>
      <w:lvlJc w:val="left"/>
      <w:pPr>
        <w:ind w:left="0" w:firstLine="482"/>
      </w:pPr>
      <w:rPr>
        <w:rFonts w:hint="default"/>
      </w:rPr>
    </w:lvl>
  </w:abstractNum>
  <w:abstractNum w:abstractNumId="207">
    <w:nsid w:val="54CBC6EC"/>
    <w:multiLevelType w:val="singleLevel"/>
    <w:tmpl w:val="54CBC6EC"/>
    <w:lvl w:ilvl="0" w:tentative="0">
      <w:start w:val="1"/>
      <w:numFmt w:val="chineseCounting"/>
      <w:suff w:val="nothing"/>
      <w:lvlText w:val="%1、"/>
      <w:lvlJc w:val="left"/>
      <w:pPr>
        <w:ind w:left="0" w:firstLine="0"/>
      </w:pPr>
      <w:rPr>
        <w:rFonts w:hint="eastAsia"/>
      </w:rPr>
    </w:lvl>
  </w:abstractNum>
  <w:abstractNum w:abstractNumId="208">
    <w:nsid w:val="569CC9D9"/>
    <w:multiLevelType w:val="singleLevel"/>
    <w:tmpl w:val="569CC9D9"/>
    <w:lvl w:ilvl="0" w:tentative="0">
      <w:start w:val="1"/>
      <w:numFmt w:val="decimal"/>
      <w:suff w:val="space"/>
      <w:lvlText w:val=""/>
      <w:lvlJc w:val="left"/>
      <w:pPr>
        <w:ind w:left="0" w:firstLine="482"/>
      </w:pPr>
      <w:rPr>
        <w:rFonts w:hint="default"/>
      </w:rPr>
    </w:lvl>
  </w:abstractNum>
  <w:abstractNum w:abstractNumId="209">
    <w:nsid w:val="56B4692C"/>
    <w:multiLevelType w:val="singleLevel"/>
    <w:tmpl w:val="56B4692C"/>
    <w:lvl w:ilvl="0" w:tentative="0">
      <w:start w:val="1"/>
      <w:numFmt w:val="decimal"/>
      <w:suff w:val="space"/>
      <w:lvlText w:val=""/>
      <w:lvlJc w:val="left"/>
      <w:pPr>
        <w:ind w:left="0" w:firstLine="482"/>
      </w:pPr>
      <w:rPr>
        <w:rFonts w:hint="default"/>
      </w:rPr>
    </w:lvl>
  </w:abstractNum>
  <w:abstractNum w:abstractNumId="210">
    <w:nsid w:val="56EFF0A2"/>
    <w:multiLevelType w:val="singleLevel"/>
    <w:tmpl w:val="56EFF0A2"/>
    <w:lvl w:ilvl="0" w:tentative="0">
      <w:start w:val="1"/>
      <w:numFmt w:val="decimal"/>
      <w:suff w:val="space"/>
      <w:lvlText w:val="【%1】"/>
      <w:lvlJc w:val="left"/>
      <w:pPr>
        <w:ind w:left="0" w:firstLine="0"/>
      </w:pPr>
      <w:rPr>
        <w:rFonts w:hint="default"/>
      </w:rPr>
    </w:lvl>
  </w:abstractNum>
  <w:abstractNum w:abstractNumId="211">
    <w:nsid w:val="5A325698"/>
    <w:multiLevelType w:val="singleLevel"/>
    <w:tmpl w:val="5A325698"/>
    <w:lvl w:ilvl="0" w:tentative="0">
      <w:start w:val="1"/>
      <w:numFmt w:val="decimal"/>
      <w:suff w:val="space"/>
      <w:lvlText w:val="%1."/>
      <w:lvlJc w:val="left"/>
    </w:lvl>
  </w:abstractNum>
  <w:abstractNum w:abstractNumId="212">
    <w:nsid w:val="5A4F39B2"/>
    <w:multiLevelType w:val="singleLevel"/>
    <w:tmpl w:val="5A4F39B2"/>
    <w:lvl w:ilvl="0" w:tentative="0">
      <w:start w:val="1"/>
      <w:numFmt w:val="chineseCounting"/>
      <w:suff w:val="nothing"/>
      <w:lvlText w:val="%1、"/>
      <w:lvlJc w:val="left"/>
      <w:pPr>
        <w:ind w:left="0" w:firstLine="0"/>
      </w:pPr>
      <w:rPr>
        <w:rFonts w:hint="eastAsia"/>
      </w:rPr>
    </w:lvl>
  </w:abstractNum>
  <w:abstractNum w:abstractNumId="213">
    <w:nsid w:val="5ACE5499"/>
    <w:multiLevelType w:val="singleLevel"/>
    <w:tmpl w:val="5ACE5499"/>
    <w:lvl w:ilvl="0" w:tentative="0">
      <w:start w:val="1"/>
      <w:numFmt w:val="decimal"/>
      <w:suff w:val="space"/>
      <w:lvlText w:val=""/>
      <w:lvlJc w:val="left"/>
      <w:pPr>
        <w:ind w:left="0" w:firstLine="482"/>
      </w:pPr>
      <w:rPr>
        <w:rFonts w:hint="default"/>
      </w:rPr>
    </w:lvl>
  </w:abstractNum>
  <w:abstractNum w:abstractNumId="214">
    <w:nsid w:val="5C354479"/>
    <w:multiLevelType w:val="singleLevel"/>
    <w:tmpl w:val="5C354479"/>
    <w:lvl w:ilvl="0" w:tentative="0">
      <w:start w:val="1"/>
      <w:numFmt w:val="decimal"/>
      <w:suff w:val="space"/>
      <w:lvlText w:val=""/>
      <w:lvlJc w:val="left"/>
      <w:pPr>
        <w:ind w:left="0" w:firstLine="482"/>
      </w:pPr>
      <w:rPr>
        <w:rFonts w:hint="default"/>
      </w:rPr>
    </w:lvl>
  </w:abstractNum>
  <w:abstractNum w:abstractNumId="215">
    <w:nsid w:val="5CCA8E15"/>
    <w:multiLevelType w:val="singleLevel"/>
    <w:tmpl w:val="5CCA8E15"/>
    <w:lvl w:ilvl="0" w:tentative="0">
      <w:start w:val="1"/>
      <w:numFmt w:val="decimal"/>
      <w:suff w:val="space"/>
      <w:lvlText w:val="【%1】"/>
      <w:lvlJc w:val="left"/>
      <w:pPr>
        <w:ind w:left="0" w:firstLine="0"/>
      </w:pPr>
      <w:rPr>
        <w:rFonts w:hint="default"/>
      </w:rPr>
    </w:lvl>
  </w:abstractNum>
  <w:abstractNum w:abstractNumId="216">
    <w:nsid w:val="5F35B691"/>
    <w:multiLevelType w:val="singleLevel"/>
    <w:tmpl w:val="5F35B691"/>
    <w:lvl w:ilvl="0" w:tentative="0">
      <w:start w:val="1"/>
      <w:numFmt w:val="decimal"/>
      <w:suff w:val="space"/>
      <w:lvlText w:val=""/>
      <w:lvlJc w:val="left"/>
      <w:pPr>
        <w:ind w:left="0" w:firstLine="482"/>
      </w:pPr>
      <w:rPr>
        <w:rFonts w:hint="default"/>
      </w:rPr>
    </w:lvl>
  </w:abstractNum>
  <w:abstractNum w:abstractNumId="217">
    <w:nsid w:val="63009E31"/>
    <w:multiLevelType w:val="singleLevel"/>
    <w:tmpl w:val="63009E31"/>
    <w:lvl w:ilvl="0" w:tentative="0">
      <w:start w:val="1"/>
      <w:numFmt w:val="decimal"/>
      <w:suff w:val="space"/>
      <w:lvlText w:val=""/>
      <w:lvlJc w:val="left"/>
      <w:pPr>
        <w:ind w:left="0" w:firstLine="482"/>
      </w:pPr>
      <w:rPr>
        <w:rFonts w:hint="default"/>
      </w:rPr>
    </w:lvl>
  </w:abstractNum>
  <w:abstractNum w:abstractNumId="218">
    <w:nsid w:val="63AE7253"/>
    <w:multiLevelType w:val="singleLevel"/>
    <w:tmpl w:val="63AE7253"/>
    <w:lvl w:ilvl="0" w:tentative="0">
      <w:start w:val="1"/>
      <w:numFmt w:val="chineseCounting"/>
      <w:suff w:val="nothing"/>
      <w:lvlText w:val="%1、"/>
      <w:lvlJc w:val="left"/>
      <w:pPr>
        <w:ind w:left="0" w:firstLine="0"/>
      </w:pPr>
      <w:rPr>
        <w:rFonts w:hint="eastAsia"/>
      </w:rPr>
    </w:lvl>
  </w:abstractNum>
  <w:abstractNum w:abstractNumId="219">
    <w:nsid w:val="64ECA0D4"/>
    <w:multiLevelType w:val="singleLevel"/>
    <w:tmpl w:val="64ECA0D4"/>
    <w:lvl w:ilvl="0" w:tentative="0">
      <w:start w:val="1"/>
      <w:numFmt w:val="decimal"/>
      <w:suff w:val="space"/>
      <w:lvlText w:val=""/>
      <w:lvlJc w:val="left"/>
      <w:pPr>
        <w:ind w:left="0" w:firstLine="482"/>
      </w:pPr>
      <w:rPr>
        <w:rFonts w:hint="default"/>
      </w:rPr>
    </w:lvl>
  </w:abstractNum>
  <w:abstractNum w:abstractNumId="220">
    <w:nsid w:val="6579F1DC"/>
    <w:multiLevelType w:val="singleLevel"/>
    <w:tmpl w:val="6579F1DC"/>
    <w:lvl w:ilvl="0" w:tentative="0">
      <w:start w:val="1"/>
      <w:numFmt w:val="decimal"/>
      <w:suff w:val="space"/>
      <w:lvlText w:val=""/>
      <w:lvlJc w:val="left"/>
      <w:pPr>
        <w:ind w:left="0" w:firstLine="482"/>
      </w:pPr>
      <w:rPr>
        <w:rFonts w:hint="default"/>
      </w:rPr>
    </w:lvl>
  </w:abstractNum>
  <w:abstractNum w:abstractNumId="221">
    <w:nsid w:val="65D7DC8E"/>
    <w:multiLevelType w:val="singleLevel"/>
    <w:tmpl w:val="65D7DC8E"/>
    <w:lvl w:ilvl="0" w:tentative="0">
      <w:start w:val="1"/>
      <w:numFmt w:val="decimal"/>
      <w:suff w:val="space"/>
      <w:lvlText w:val="【%1】"/>
      <w:lvlJc w:val="left"/>
      <w:pPr>
        <w:ind w:left="0" w:firstLine="0"/>
      </w:pPr>
      <w:rPr>
        <w:rFonts w:hint="default"/>
      </w:rPr>
    </w:lvl>
  </w:abstractNum>
  <w:abstractNum w:abstractNumId="222">
    <w:nsid w:val="663B8FD2"/>
    <w:multiLevelType w:val="singleLevel"/>
    <w:tmpl w:val="663B8FD2"/>
    <w:lvl w:ilvl="0" w:tentative="0">
      <w:start w:val="1"/>
      <w:numFmt w:val="decimal"/>
      <w:suff w:val="space"/>
      <w:lvlText w:val="【%1】"/>
      <w:lvlJc w:val="left"/>
      <w:pPr>
        <w:ind w:left="0" w:firstLine="0"/>
      </w:pPr>
      <w:rPr>
        <w:rFonts w:hint="default"/>
      </w:rPr>
    </w:lvl>
  </w:abstractNum>
  <w:abstractNum w:abstractNumId="223">
    <w:nsid w:val="669F37B5"/>
    <w:multiLevelType w:val="singleLevel"/>
    <w:tmpl w:val="669F37B5"/>
    <w:lvl w:ilvl="0" w:tentative="0">
      <w:start w:val="1"/>
      <w:numFmt w:val="decimal"/>
      <w:suff w:val="space"/>
      <w:lvlText w:val="【%1】"/>
      <w:lvlJc w:val="left"/>
      <w:pPr>
        <w:ind w:left="0" w:firstLine="0"/>
      </w:pPr>
      <w:rPr>
        <w:rFonts w:hint="default"/>
      </w:rPr>
    </w:lvl>
  </w:abstractNum>
  <w:abstractNum w:abstractNumId="224">
    <w:nsid w:val="66D84420"/>
    <w:multiLevelType w:val="singleLevel"/>
    <w:tmpl w:val="66D84420"/>
    <w:lvl w:ilvl="0" w:tentative="0">
      <w:start w:val="1"/>
      <w:numFmt w:val="decimal"/>
      <w:suff w:val="space"/>
      <w:lvlText w:val=""/>
      <w:lvlJc w:val="left"/>
      <w:pPr>
        <w:ind w:left="0" w:firstLine="482"/>
      </w:pPr>
      <w:rPr>
        <w:rFonts w:hint="default"/>
      </w:rPr>
    </w:lvl>
  </w:abstractNum>
  <w:abstractNum w:abstractNumId="225">
    <w:nsid w:val="676CA178"/>
    <w:multiLevelType w:val="singleLevel"/>
    <w:tmpl w:val="676CA178"/>
    <w:lvl w:ilvl="0" w:tentative="0">
      <w:start w:val="1"/>
      <w:numFmt w:val="decimal"/>
      <w:suff w:val="space"/>
      <w:lvlText w:val="%1."/>
      <w:lvlJc w:val="left"/>
      <w:pPr>
        <w:ind w:left="0" w:firstLine="0"/>
      </w:pPr>
      <w:rPr>
        <w:rFonts w:hint="default"/>
      </w:rPr>
    </w:lvl>
  </w:abstractNum>
  <w:abstractNum w:abstractNumId="226">
    <w:nsid w:val="69A6BDFE"/>
    <w:multiLevelType w:val="singleLevel"/>
    <w:tmpl w:val="69A6BDFE"/>
    <w:lvl w:ilvl="0" w:tentative="0">
      <w:start w:val="1"/>
      <w:numFmt w:val="decimal"/>
      <w:suff w:val="space"/>
      <w:lvlText w:val="【%1】"/>
      <w:lvlJc w:val="left"/>
      <w:pPr>
        <w:ind w:left="0" w:firstLine="0"/>
      </w:pPr>
      <w:rPr>
        <w:rFonts w:hint="default"/>
      </w:rPr>
    </w:lvl>
  </w:abstractNum>
  <w:abstractNum w:abstractNumId="227">
    <w:nsid w:val="6B142ADE"/>
    <w:multiLevelType w:val="singleLevel"/>
    <w:tmpl w:val="6B142ADE"/>
    <w:lvl w:ilvl="0" w:tentative="0">
      <w:start w:val="1"/>
      <w:numFmt w:val="decimal"/>
      <w:suff w:val="space"/>
      <w:lvlText w:val=""/>
      <w:lvlJc w:val="left"/>
      <w:pPr>
        <w:ind w:left="0" w:firstLine="482"/>
      </w:pPr>
      <w:rPr>
        <w:rFonts w:hint="default"/>
      </w:rPr>
    </w:lvl>
  </w:abstractNum>
  <w:abstractNum w:abstractNumId="228">
    <w:nsid w:val="6B9BE083"/>
    <w:multiLevelType w:val="singleLevel"/>
    <w:tmpl w:val="6B9BE083"/>
    <w:lvl w:ilvl="0" w:tentative="0">
      <w:start w:val="1"/>
      <w:numFmt w:val="decimal"/>
      <w:suff w:val="space"/>
      <w:lvlText w:val="【%1】"/>
      <w:lvlJc w:val="left"/>
      <w:pPr>
        <w:ind w:left="0" w:firstLine="0"/>
      </w:pPr>
      <w:rPr>
        <w:rFonts w:hint="default"/>
      </w:rPr>
    </w:lvl>
  </w:abstractNum>
  <w:abstractNum w:abstractNumId="229">
    <w:nsid w:val="6CE3F79A"/>
    <w:multiLevelType w:val="singleLevel"/>
    <w:tmpl w:val="6CE3F79A"/>
    <w:lvl w:ilvl="0" w:tentative="0">
      <w:start w:val="1"/>
      <w:numFmt w:val="decimal"/>
      <w:suff w:val="space"/>
      <w:lvlText w:val=""/>
      <w:lvlJc w:val="left"/>
      <w:pPr>
        <w:ind w:left="0" w:firstLine="482"/>
      </w:pPr>
      <w:rPr>
        <w:rFonts w:hint="default"/>
      </w:rPr>
    </w:lvl>
  </w:abstractNum>
  <w:abstractNum w:abstractNumId="230">
    <w:nsid w:val="6D1C6BBA"/>
    <w:multiLevelType w:val="singleLevel"/>
    <w:tmpl w:val="6D1C6BBA"/>
    <w:lvl w:ilvl="0" w:tentative="0">
      <w:start w:val="1"/>
      <w:numFmt w:val="decimal"/>
      <w:suff w:val="space"/>
      <w:lvlText w:val="%1."/>
      <w:lvlJc w:val="left"/>
      <w:pPr>
        <w:ind w:left="0" w:firstLine="0"/>
      </w:pPr>
      <w:rPr>
        <w:rFonts w:hint="default"/>
      </w:rPr>
    </w:lvl>
  </w:abstractNum>
  <w:abstractNum w:abstractNumId="231">
    <w:nsid w:val="6E92B67B"/>
    <w:multiLevelType w:val="singleLevel"/>
    <w:tmpl w:val="6E92B67B"/>
    <w:lvl w:ilvl="0" w:tentative="0">
      <w:start w:val="1"/>
      <w:numFmt w:val="decimal"/>
      <w:suff w:val="space"/>
      <w:lvlText w:val=""/>
      <w:lvlJc w:val="left"/>
      <w:pPr>
        <w:ind w:left="0" w:firstLine="482"/>
      </w:pPr>
      <w:rPr>
        <w:rFonts w:hint="default"/>
      </w:rPr>
    </w:lvl>
  </w:abstractNum>
  <w:abstractNum w:abstractNumId="232">
    <w:nsid w:val="6EBBD8BD"/>
    <w:multiLevelType w:val="singleLevel"/>
    <w:tmpl w:val="6EBBD8BD"/>
    <w:lvl w:ilvl="0" w:tentative="0">
      <w:start w:val="1"/>
      <w:numFmt w:val="decimal"/>
      <w:suff w:val="space"/>
      <w:lvlText w:val=""/>
      <w:lvlJc w:val="left"/>
      <w:pPr>
        <w:ind w:left="0" w:firstLine="482"/>
      </w:pPr>
      <w:rPr>
        <w:rFonts w:hint="default"/>
      </w:rPr>
    </w:lvl>
  </w:abstractNum>
  <w:abstractNum w:abstractNumId="233">
    <w:nsid w:val="6FE13EC2"/>
    <w:multiLevelType w:val="singleLevel"/>
    <w:tmpl w:val="6FE13EC2"/>
    <w:lvl w:ilvl="0" w:tentative="0">
      <w:start w:val="1"/>
      <w:numFmt w:val="decimal"/>
      <w:suff w:val="space"/>
      <w:lvlText w:val=""/>
      <w:lvlJc w:val="left"/>
      <w:pPr>
        <w:ind w:left="0" w:firstLine="482"/>
      </w:pPr>
      <w:rPr>
        <w:rFonts w:hint="default"/>
      </w:rPr>
    </w:lvl>
  </w:abstractNum>
  <w:abstractNum w:abstractNumId="234">
    <w:nsid w:val="70376A42"/>
    <w:multiLevelType w:val="singleLevel"/>
    <w:tmpl w:val="70376A42"/>
    <w:lvl w:ilvl="0" w:tentative="0">
      <w:start w:val="1"/>
      <w:numFmt w:val="decimal"/>
      <w:suff w:val="space"/>
      <w:lvlText w:val="【%1】"/>
      <w:lvlJc w:val="left"/>
      <w:pPr>
        <w:ind w:left="0" w:firstLine="0"/>
      </w:pPr>
      <w:rPr>
        <w:rFonts w:hint="default"/>
      </w:rPr>
    </w:lvl>
  </w:abstractNum>
  <w:abstractNum w:abstractNumId="235">
    <w:nsid w:val="70D413D3"/>
    <w:multiLevelType w:val="singleLevel"/>
    <w:tmpl w:val="70D413D3"/>
    <w:lvl w:ilvl="0" w:tentative="0">
      <w:start w:val="1"/>
      <w:numFmt w:val="chineseCounting"/>
      <w:suff w:val="space"/>
      <w:lvlText w:val="第%1章"/>
      <w:lvlJc w:val="left"/>
      <w:pPr>
        <w:ind w:left="0" w:firstLine="0"/>
      </w:pPr>
      <w:rPr>
        <w:rFonts w:hint="eastAsia"/>
      </w:rPr>
    </w:lvl>
  </w:abstractNum>
  <w:abstractNum w:abstractNumId="236">
    <w:nsid w:val="70EA57A8"/>
    <w:multiLevelType w:val="singleLevel"/>
    <w:tmpl w:val="70EA57A8"/>
    <w:lvl w:ilvl="0" w:tentative="0">
      <w:start w:val="1"/>
      <w:numFmt w:val="decimal"/>
      <w:suff w:val="space"/>
      <w:lvlText w:val=""/>
      <w:lvlJc w:val="left"/>
      <w:pPr>
        <w:ind w:left="0" w:firstLine="482"/>
      </w:pPr>
      <w:rPr>
        <w:rFonts w:hint="default"/>
      </w:rPr>
    </w:lvl>
  </w:abstractNum>
  <w:abstractNum w:abstractNumId="237">
    <w:nsid w:val="71AA17F9"/>
    <w:multiLevelType w:val="singleLevel"/>
    <w:tmpl w:val="71AA17F9"/>
    <w:lvl w:ilvl="0" w:tentative="0">
      <w:start w:val="1"/>
      <w:numFmt w:val="decimal"/>
      <w:suff w:val="space"/>
      <w:lvlText w:val="%1."/>
      <w:lvlJc w:val="left"/>
      <w:pPr>
        <w:ind w:left="0" w:firstLine="0"/>
      </w:pPr>
      <w:rPr>
        <w:rFonts w:hint="default"/>
      </w:rPr>
    </w:lvl>
  </w:abstractNum>
  <w:abstractNum w:abstractNumId="238">
    <w:nsid w:val="7228C134"/>
    <w:multiLevelType w:val="singleLevel"/>
    <w:tmpl w:val="7228C134"/>
    <w:lvl w:ilvl="0" w:tentative="0">
      <w:start w:val="1"/>
      <w:numFmt w:val="bullet"/>
      <w:lvlText w:val=""/>
      <w:lvlJc w:val="left"/>
      <w:pPr>
        <w:ind w:left="420" w:hanging="420"/>
      </w:pPr>
      <w:rPr>
        <w:rFonts w:hint="default" w:ascii="Wingdings" w:hAnsi="Wingdings"/>
      </w:rPr>
    </w:lvl>
  </w:abstractNum>
  <w:abstractNum w:abstractNumId="239">
    <w:nsid w:val="7512DE61"/>
    <w:multiLevelType w:val="singleLevel"/>
    <w:tmpl w:val="7512DE61"/>
    <w:lvl w:ilvl="0" w:tentative="0">
      <w:start w:val="1"/>
      <w:numFmt w:val="decimal"/>
      <w:suff w:val="space"/>
      <w:lvlText w:val="%1."/>
      <w:lvlJc w:val="left"/>
      <w:pPr>
        <w:ind w:left="0" w:firstLine="482"/>
      </w:pPr>
      <w:rPr>
        <w:rFonts w:hint="default"/>
      </w:rPr>
    </w:lvl>
  </w:abstractNum>
  <w:abstractNum w:abstractNumId="240">
    <w:nsid w:val="7744011C"/>
    <w:multiLevelType w:val="singleLevel"/>
    <w:tmpl w:val="7744011C"/>
    <w:lvl w:ilvl="0" w:tentative="0">
      <w:start w:val="1"/>
      <w:numFmt w:val="decimal"/>
      <w:suff w:val="space"/>
      <w:lvlText w:val="【%1】"/>
      <w:lvlJc w:val="left"/>
      <w:pPr>
        <w:ind w:left="0" w:firstLine="0"/>
      </w:pPr>
      <w:rPr>
        <w:rFonts w:hint="default"/>
      </w:rPr>
    </w:lvl>
  </w:abstractNum>
  <w:abstractNum w:abstractNumId="241">
    <w:nsid w:val="7833B6AA"/>
    <w:multiLevelType w:val="singleLevel"/>
    <w:tmpl w:val="7833B6AA"/>
    <w:lvl w:ilvl="0" w:tentative="0">
      <w:start w:val="1"/>
      <w:numFmt w:val="decimal"/>
      <w:suff w:val="space"/>
      <w:lvlText w:val=""/>
      <w:lvlJc w:val="left"/>
      <w:pPr>
        <w:ind w:left="0" w:firstLine="482"/>
      </w:pPr>
      <w:rPr>
        <w:rFonts w:hint="default"/>
      </w:rPr>
    </w:lvl>
  </w:abstractNum>
  <w:abstractNum w:abstractNumId="242">
    <w:nsid w:val="7B836642"/>
    <w:multiLevelType w:val="singleLevel"/>
    <w:tmpl w:val="7B836642"/>
    <w:lvl w:ilvl="0" w:tentative="0">
      <w:start w:val="1"/>
      <w:numFmt w:val="decimal"/>
      <w:suff w:val="space"/>
      <w:lvlText w:val=""/>
      <w:lvlJc w:val="left"/>
      <w:pPr>
        <w:ind w:left="0" w:firstLine="482"/>
      </w:pPr>
      <w:rPr>
        <w:rFonts w:hint="default"/>
      </w:rPr>
    </w:lvl>
  </w:abstractNum>
  <w:abstractNum w:abstractNumId="243">
    <w:nsid w:val="7D308E49"/>
    <w:multiLevelType w:val="singleLevel"/>
    <w:tmpl w:val="7D308E49"/>
    <w:lvl w:ilvl="0" w:tentative="0">
      <w:start w:val="1"/>
      <w:numFmt w:val="decimal"/>
      <w:suff w:val="space"/>
      <w:lvlText w:val="【%1】"/>
      <w:lvlJc w:val="left"/>
      <w:pPr>
        <w:ind w:left="0" w:firstLine="0"/>
      </w:pPr>
      <w:rPr>
        <w:rFonts w:hint="default"/>
      </w:rPr>
    </w:lvl>
  </w:abstractNum>
  <w:abstractNum w:abstractNumId="244">
    <w:nsid w:val="7EC6FD75"/>
    <w:multiLevelType w:val="singleLevel"/>
    <w:tmpl w:val="7EC6FD75"/>
    <w:lvl w:ilvl="0" w:tentative="0">
      <w:start w:val="1"/>
      <w:numFmt w:val="decimal"/>
      <w:suff w:val="space"/>
      <w:lvlText w:val=""/>
      <w:lvlJc w:val="left"/>
      <w:pPr>
        <w:ind w:left="0" w:firstLine="482"/>
      </w:pPr>
      <w:rPr>
        <w:rFonts w:hint="default"/>
      </w:rPr>
    </w:lvl>
  </w:abstractNum>
  <w:abstractNum w:abstractNumId="245">
    <w:nsid w:val="7F830E53"/>
    <w:multiLevelType w:val="singleLevel"/>
    <w:tmpl w:val="7F830E53"/>
    <w:lvl w:ilvl="0" w:tentative="0">
      <w:start w:val="1"/>
      <w:numFmt w:val="decimal"/>
      <w:suff w:val="space"/>
      <w:lvlText w:val=""/>
      <w:lvlJc w:val="left"/>
      <w:pPr>
        <w:ind w:left="0" w:firstLine="482"/>
      </w:pPr>
      <w:rPr>
        <w:rFonts w:hint="default"/>
      </w:rPr>
    </w:lvl>
  </w:abstractNum>
  <w:num w:numId="1">
    <w:abstractNumId w:val="130"/>
  </w:num>
  <w:num w:numId="2">
    <w:abstractNumId w:val="133"/>
  </w:num>
  <w:num w:numId="3">
    <w:abstractNumId w:val="134"/>
  </w:num>
  <w:num w:numId="4">
    <w:abstractNumId w:val="131"/>
  </w:num>
  <w:num w:numId="5">
    <w:abstractNumId w:val="129"/>
  </w:num>
  <w:num w:numId="6">
    <w:abstractNumId w:val="132"/>
  </w:num>
  <w:num w:numId="7">
    <w:abstractNumId w:val="235"/>
  </w:num>
  <w:num w:numId="8">
    <w:abstractNumId w:val="103"/>
  </w:num>
  <w:num w:numId="9">
    <w:abstractNumId w:val="176"/>
  </w:num>
  <w:num w:numId="10">
    <w:abstractNumId w:val="238"/>
  </w:num>
  <w:num w:numId="11">
    <w:abstractNumId w:val="55"/>
  </w:num>
  <w:num w:numId="12">
    <w:abstractNumId w:val="192"/>
  </w:num>
  <w:num w:numId="13">
    <w:abstractNumId w:val="15"/>
  </w:num>
  <w:num w:numId="14">
    <w:abstractNumId w:val="227"/>
  </w:num>
  <w:num w:numId="15">
    <w:abstractNumId w:val="36"/>
  </w:num>
  <w:num w:numId="16">
    <w:abstractNumId w:val="225"/>
  </w:num>
  <w:num w:numId="17">
    <w:abstractNumId w:val="135"/>
  </w:num>
  <w:num w:numId="18">
    <w:abstractNumId w:val="84"/>
  </w:num>
  <w:num w:numId="19">
    <w:abstractNumId w:val="193"/>
  </w:num>
  <w:num w:numId="20">
    <w:abstractNumId w:val="156"/>
  </w:num>
  <w:num w:numId="21">
    <w:abstractNumId w:val="47"/>
  </w:num>
  <w:num w:numId="22">
    <w:abstractNumId w:val="215"/>
  </w:num>
  <w:num w:numId="23">
    <w:abstractNumId w:val="72"/>
  </w:num>
  <w:num w:numId="24">
    <w:abstractNumId w:val="242"/>
  </w:num>
  <w:num w:numId="25">
    <w:abstractNumId w:val="155"/>
  </w:num>
  <w:num w:numId="26">
    <w:abstractNumId w:val="231"/>
  </w:num>
  <w:num w:numId="27">
    <w:abstractNumId w:val="120"/>
  </w:num>
  <w:num w:numId="28">
    <w:abstractNumId w:val="64"/>
  </w:num>
  <w:num w:numId="29">
    <w:abstractNumId w:val="88"/>
  </w:num>
  <w:num w:numId="30">
    <w:abstractNumId w:val="17"/>
  </w:num>
  <w:num w:numId="31">
    <w:abstractNumId w:val="149"/>
  </w:num>
  <w:num w:numId="32">
    <w:abstractNumId w:val="80"/>
  </w:num>
  <w:num w:numId="33">
    <w:abstractNumId w:val="68"/>
  </w:num>
  <w:num w:numId="34">
    <w:abstractNumId w:val="229"/>
  </w:num>
  <w:num w:numId="35">
    <w:abstractNumId w:val="244"/>
  </w:num>
  <w:num w:numId="36">
    <w:abstractNumId w:val="110"/>
  </w:num>
  <w:num w:numId="37">
    <w:abstractNumId w:val="123"/>
  </w:num>
  <w:num w:numId="38">
    <w:abstractNumId w:val="150"/>
  </w:num>
  <w:num w:numId="39">
    <w:abstractNumId w:val="224"/>
  </w:num>
  <w:num w:numId="40">
    <w:abstractNumId w:val="197"/>
  </w:num>
  <w:num w:numId="41">
    <w:abstractNumId w:val="66"/>
  </w:num>
  <w:num w:numId="42">
    <w:abstractNumId w:val="44"/>
  </w:num>
  <w:num w:numId="43">
    <w:abstractNumId w:val="221"/>
  </w:num>
  <w:num w:numId="44">
    <w:abstractNumId w:val="14"/>
  </w:num>
  <w:num w:numId="45">
    <w:abstractNumId w:val="202"/>
  </w:num>
  <w:num w:numId="46">
    <w:abstractNumId w:val="54"/>
  </w:num>
  <w:num w:numId="47">
    <w:abstractNumId w:val="164"/>
  </w:num>
  <w:num w:numId="48">
    <w:abstractNumId w:val="153"/>
  </w:num>
  <w:num w:numId="49">
    <w:abstractNumId w:val="71"/>
  </w:num>
  <w:num w:numId="50">
    <w:abstractNumId w:val="209"/>
  </w:num>
  <w:num w:numId="51">
    <w:abstractNumId w:val="190"/>
  </w:num>
  <w:num w:numId="52">
    <w:abstractNumId w:val="128"/>
  </w:num>
  <w:num w:numId="53">
    <w:abstractNumId w:val="187"/>
  </w:num>
  <w:num w:numId="54">
    <w:abstractNumId w:val="61"/>
  </w:num>
  <w:num w:numId="55">
    <w:abstractNumId w:val="183"/>
  </w:num>
  <w:num w:numId="56">
    <w:abstractNumId w:val="1"/>
  </w:num>
  <w:num w:numId="57">
    <w:abstractNumId w:val="119"/>
  </w:num>
  <w:num w:numId="58">
    <w:abstractNumId w:val="90"/>
  </w:num>
  <w:num w:numId="59">
    <w:abstractNumId w:val="40"/>
  </w:num>
  <w:num w:numId="60">
    <w:abstractNumId w:val="13"/>
  </w:num>
  <w:num w:numId="61">
    <w:abstractNumId w:val="42"/>
  </w:num>
  <w:num w:numId="62">
    <w:abstractNumId w:val="5"/>
  </w:num>
  <w:num w:numId="63">
    <w:abstractNumId w:val="191"/>
  </w:num>
  <w:num w:numId="64">
    <w:abstractNumId w:val="222"/>
  </w:num>
  <w:num w:numId="65">
    <w:abstractNumId w:val="143"/>
  </w:num>
  <w:num w:numId="66">
    <w:abstractNumId w:val="243"/>
  </w:num>
  <w:num w:numId="67">
    <w:abstractNumId w:val="232"/>
  </w:num>
  <w:num w:numId="68">
    <w:abstractNumId w:val="59"/>
  </w:num>
  <w:num w:numId="69">
    <w:abstractNumId w:val="213"/>
  </w:num>
  <w:num w:numId="70">
    <w:abstractNumId w:val="39"/>
  </w:num>
  <w:num w:numId="71">
    <w:abstractNumId w:val="181"/>
  </w:num>
  <w:num w:numId="72">
    <w:abstractNumId w:val="174"/>
  </w:num>
  <w:num w:numId="73">
    <w:abstractNumId w:val="184"/>
  </w:num>
  <w:num w:numId="74">
    <w:abstractNumId w:val="92"/>
  </w:num>
  <w:num w:numId="75">
    <w:abstractNumId w:val="126"/>
  </w:num>
  <w:num w:numId="76">
    <w:abstractNumId w:val="205"/>
  </w:num>
  <w:num w:numId="77">
    <w:abstractNumId w:val="178"/>
  </w:num>
  <w:num w:numId="78">
    <w:abstractNumId w:val="81"/>
  </w:num>
  <w:num w:numId="79">
    <w:abstractNumId w:val="24"/>
  </w:num>
  <w:num w:numId="80">
    <w:abstractNumId w:val="31"/>
  </w:num>
  <w:num w:numId="81">
    <w:abstractNumId w:val="228"/>
  </w:num>
  <w:num w:numId="82">
    <w:abstractNumId w:val="168"/>
  </w:num>
  <w:num w:numId="83">
    <w:abstractNumId w:val="9"/>
  </w:num>
  <w:num w:numId="84">
    <w:abstractNumId w:val="220"/>
  </w:num>
  <w:num w:numId="85">
    <w:abstractNumId w:val="46"/>
  </w:num>
  <w:num w:numId="86">
    <w:abstractNumId w:val="151"/>
  </w:num>
  <w:num w:numId="87">
    <w:abstractNumId w:val="177"/>
  </w:num>
  <w:num w:numId="88">
    <w:abstractNumId w:val="167"/>
  </w:num>
  <w:num w:numId="89">
    <w:abstractNumId w:val="142"/>
  </w:num>
  <w:num w:numId="90">
    <w:abstractNumId w:val="11"/>
  </w:num>
  <w:num w:numId="91">
    <w:abstractNumId w:val="217"/>
  </w:num>
  <w:num w:numId="92">
    <w:abstractNumId w:val="22"/>
  </w:num>
  <w:num w:numId="93">
    <w:abstractNumId w:val="233"/>
  </w:num>
  <w:num w:numId="94">
    <w:abstractNumId w:val="104"/>
  </w:num>
  <w:num w:numId="95">
    <w:abstractNumId w:val="95"/>
  </w:num>
  <w:num w:numId="96">
    <w:abstractNumId w:val="165"/>
  </w:num>
  <w:num w:numId="97">
    <w:abstractNumId w:val="34"/>
  </w:num>
  <w:num w:numId="98">
    <w:abstractNumId w:val="117"/>
  </w:num>
  <w:num w:numId="99">
    <w:abstractNumId w:val="140"/>
  </w:num>
  <w:num w:numId="100">
    <w:abstractNumId w:val="188"/>
  </w:num>
  <w:num w:numId="101">
    <w:abstractNumId w:val="148"/>
  </w:num>
  <w:num w:numId="102">
    <w:abstractNumId w:val="51"/>
  </w:num>
  <w:num w:numId="103">
    <w:abstractNumId w:val="154"/>
  </w:num>
  <w:num w:numId="104">
    <w:abstractNumId w:val="0"/>
  </w:num>
  <w:num w:numId="105">
    <w:abstractNumId w:val="62"/>
  </w:num>
  <w:num w:numId="106">
    <w:abstractNumId w:val="96"/>
  </w:num>
  <w:num w:numId="107">
    <w:abstractNumId w:val="57"/>
  </w:num>
  <w:num w:numId="108">
    <w:abstractNumId w:val="65"/>
  </w:num>
  <w:num w:numId="109">
    <w:abstractNumId w:val="32"/>
  </w:num>
  <w:num w:numId="110">
    <w:abstractNumId w:val="170"/>
  </w:num>
  <w:num w:numId="111">
    <w:abstractNumId w:val="124"/>
  </w:num>
  <w:num w:numId="112">
    <w:abstractNumId w:val="86"/>
  </w:num>
  <w:num w:numId="113">
    <w:abstractNumId w:val="206"/>
  </w:num>
  <w:num w:numId="114">
    <w:abstractNumId w:val="241"/>
  </w:num>
  <w:num w:numId="115">
    <w:abstractNumId w:val="89"/>
  </w:num>
  <w:num w:numId="116">
    <w:abstractNumId w:val="111"/>
  </w:num>
  <w:num w:numId="117">
    <w:abstractNumId w:val="223"/>
  </w:num>
  <w:num w:numId="118">
    <w:abstractNumId w:val="106"/>
  </w:num>
  <w:num w:numId="119">
    <w:abstractNumId w:val="94"/>
  </w:num>
  <w:num w:numId="120">
    <w:abstractNumId w:val="166"/>
  </w:num>
  <w:num w:numId="121">
    <w:abstractNumId w:val="20"/>
  </w:num>
  <w:num w:numId="122">
    <w:abstractNumId w:val="100"/>
  </w:num>
  <w:num w:numId="123">
    <w:abstractNumId w:val="226"/>
  </w:num>
  <w:num w:numId="124">
    <w:abstractNumId w:val="53"/>
  </w:num>
  <w:num w:numId="125">
    <w:abstractNumId w:val="33"/>
  </w:num>
  <w:num w:numId="126">
    <w:abstractNumId w:val="63"/>
  </w:num>
  <w:num w:numId="127">
    <w:abstractNumId w:val="201"/>
  </w:num>
  <w:num w:numId="128">
    <w:abstractNumId w:val="105"/>
  </w:num>
  <w:num w:numId="129">
    <w:abstractNumId w:val="70"/>
  </w:num>
  <w:num w:numId="130">
    <w:abstractNumId w:val="93"/>
  </w:num>
  <w:num w:numId="131">
    <w:abstractNumId w:val="137"/>
  </w:num>
  <w:num w:numId="132">
    <w:abstractNumId w:val="45"/>
  </w:num>
  <w:num w:numId="133">
    <w:abstractNumId w:val="144"/>
  </w:num>
  <w:num w:numId="134">
    <w:abstractNumId w:val="25"/>
  </w:num>
  <w:num w:numId="135">
    <w:abstractNumId w:val="180"/>
  </w:num>
  <w:num w:numId="136">
    <w:abstractNumId w:val="141"/>
  </w:num>
  <w:num w:numId="137">
    <w:abstractNumId w:val="58"/>
  </w:num>
  <w:num w:numId="138">
    <w:abstractNumId w:val="236"/>
  </w:num>
  <w:num w:numId="139">
    <w:abstractNumId w:val="122"/>
  </w:num>
  <w:num w:numId="140">
    <w:abstractNumId w:val="77"/>
  </w:num>
  <w:num w:numId="141">
    <w:abstractNumId w:val="216"/>
  </w:num>
  <w:num w:numId="142">
    <w:abstractNumId w:val="186"/>
  </w:num>
  <w:num w:numId="143">
    <w:abstractNumId w:val="85"/>
  </w:num>
  <w:num w:numId="144">
    <w:abstractNumId w:val="87"/>
  </w:num>
  <w:num w:numId="145">
    <w:abstractNumId w:val="195"/>
  </w:num>
  <w:num w:numId="146">
    <w:abstractNumId w:val="108"/>
  </w:num>
  <w:num w:numId="147">
    <w:abstractNumId w:val="4"/>
  </w:num>
  <w:num w:numId="148">
    <w:abstractNumId w:val="210"/>
  </w:num>
  <w:num w:numId="149">
    <w:abstractNumId w:val="171"/>
  </w:num>
  <w:num w:numId="150">
    <w:abstractNumId w:val="49"/>
  </w:num>
  <w:num w:numId="151">
    <w:abstractNumId w:val="115"/>
  </w:num>
  <w:num w:numId="152">
    <w:abstractNumId w:val="67"/>
  </w:num>
  <w:num w:numId="153">
    <w:abstractNumId w:val="18"/>
  </w:num>
  <w:num w:numId="154">
    <w:abstractNumId w:val="160"/>
  </w:num>
  <w:num w:numId="155">
    <w:abstractNumId w:val="145"/>
  </w:num>
  <w:num w:numId="156">
    <w:abstractNumId w:val="194"/>
  </w:num>
  <w:num w:numId="157">
    <w:abstractNumId w:val="200"/>
  </w:num>
  <w:num w:numId="158">
    <w:abstractNumId w:val="175"/>
  </w:num>
  <w:num w:numId="159">
    <w:abstractNumId w:val="56"/>
  </w:num>
  <w:num w:numId="160">
    <w:abstractNumId w:val="116"/>
  </w:num>
  <w:num w:numId="161">
    <w:abstractNumId w:val="208"/>
  </w:num>
  <w:num w:numId="162">
    <w:abstractNumId w:val="127"/>
  </w:num>
  <w:num w:numId="163">
    <w:abstractNumId w:val="29"/>
  </w:num>
  <w:num w:numId="164">
    <w:abstractNumId w:val="38"/>
  </w:num>
  <w:num w:numId="165">
    <w:abstractNumId w:val="43"/>
  </w:num>
  <w:num w:numId="166">
    <w:abstractNumId w:val="198"/>
  </w:num>
  <w:num w:numId="167">
    <w:abstractNumId w:val="239"/>
  </w:num>
  <w:num w:numId="168">
    <w:abstractNumId w:val="48"/>
  </w:num>
  <w:num w:numId="169">
    <w:abstractNumId w:val="204"/>
  </w:num>
  <w:num w:numId="170">
    <w:abstractNumId w:val="37"/>
  </w:num>
  <w:num w:numId="171">
    <w:abstractNumId w:val="169"/>
  </w:num>
  <w:num w:numId="172">
    <w:abstractNumId w:val="2"/>
  </w:num>
  <w:num w:numId="173">
    <w:abstractNumId w:val="23"/>
  </w:num>
  <w:num w:numId="174">
    <w:abstractNumId w:val="173"/>
  </w:num>
  <w:num w:numId="175">
    <w:abstractNumId w:val="12"/>
  </w:num>
  <w:num w:numId="176">
    <w:abstractNumId w:val="50"/>
  </w:num>
  <w:num w:numId="177">
    <w:abstractNumId w:val="219"/>
  </w:num>
  <w:num w:numId="178">
    <w:abstractNumId w:val="214"/>
  </w:num>
  <w:num w:numId="179">
    <w:abstractNumId w:val="152"/>
  </w:num>
  <w:num w:numId="180">
    <w:abstractNumId w:val="139"/>
  </w:num>
  <w:num w:numId="181">
    <w:abstractNumId w:val="107"/>
  </w:num>
  <w:num w:numId="182">
    <w:abstractNumId w:val="125"/>
  </w:num>
  <w:num w:numId="183">
    <w:abstractNumId w:val="73"/>
  </w:num>
  <w:num w:numId="184">
    <w:abstractNumId w:val="99"/>
  </w:num>
  <w:num w:numId="185">
    <w:abstractNumId w:val="245"/>
  </w:num>
  <w:num w:numId="186">
    <w:abstractNumId w:val="91"/>
  </w:num>
  <w:num w:numId="187">
    <w:abstractNumId w:val="199"/>
  </w:num>
  <w:num w:numId="188">
    <w:abstractNumId w:val="196"/>
  </w:num>
  <w:num w:numId="189">
    <w:abstractNumId w:val="163"/>
  </w:num>
  <w:num w:numId="190">
    <w:abstractNumId w:val="19"/>
  </w:num>
  <w:num w:numId="191">
    <w:abstractNumId w:val="102"/>
  </w:num>
  <w:num w:numId="192">
    <w:abstractNumId w:val="118"/>
  </w:num>
  <w:num w:numId="193">
    <w:abstractNumId w:val="97"/>
  </w:num>
  <w:num w:numId="194">
    <w:abstractNumId w:val="159"/>
  </w:num>
  <w:num w:numId="195">
    <w:abstractNumId w:val="138"/>
  </w:num>
  <w:num w:numId="196">
    <w:abstractNumId w:val="157"/>
  </w:num>
  <w:num w:numId="197">
    <w:abstractNumId w:val="146"/>
  </w:num>
  <w:num w:numId="198">
    <w:abstractNumId w:val="8"/>
  </w:num>
  <w:num w:numId="199">
    <w:abstractNumId w:val="79"/>
  </w:num>
  <w:num w:numId="200">
    <w:abstractNumId w:val="237"/>
  </w:num>
  <w:num w:numId="201">
    <w:abstractNumId w:val="74"/>
  </w:num>
  <w:num w:numId="202">
    <w:abstractNumId w:val="16"/>
  </w:num>
  <w:num w:numId="203">
    <w:abstractNumId w:val="234"/>
  </w:num>
  <w:num w:numId="204">
    <w:abstractNumId w:val="21"/>
  </w:num>
  <w:num w:numId="205">
    <w:abstractNumId w:val="75"/>
  </w:num>
  <w:num w:numId="206">
    <w:abstractNumId w:val="69"/>
  </w:num>
  <w:num w:numId="207">
    <w:abstractNumId w:val="136"/>
  </w:num>
  <w:num w:numId="208">
    <w:abstractNumId w:val="30"/>
  </w:num>
  <w:num w:numId="209">
    <w:abstractNumId w:val="28"/>
  </w:num>
  <w:num w:numId="210">
    <w:abstractNumId w:val="101"/>
  </w:num>
  <w:num w:numId="211">
    <w:abstractNumId w:val="112"/>
  </w:num>
  <w:num w:numId="212">
    <w:abstractNumId w:val="35"/>
  </w:num>
  <w:num w:numId="213">
    <w:abstractNumId w:val="161"/>
  </w:num>
  <w:num w:numId="214">
    <w:abstractNumId w:val="76"/>
  </w:num>
  <w:num w:numId="215">
    <w:abstractNumId w:val="98"/>
  </w:num>
  <w:num w:numId="216">
    <w:abstractNumId w:val="211"/>
  </w:num>
  <w:num w:numId="217">
    <w:abstractNumId w:val="230"/>
  </w:num>
  <w:num w:numId="218">
    <w:abstractNumId w:val="162"/>
  </w:num>
  <w:num w:numId="219">
    <w:abstractNumId w:val="158"/>
  </w:num>
  <w:num w:numId="220">
    <w:abstractNumId w:val="7"/>
  </w:num>
  <w:num w:numId="221">
    <w:abstractNumId w:val="189"/>
  </w:num>
  <w:num w:numId="222">
    <w:abstractNumId w:val="203"/>
  </w:num>
  <w:num w:numId="223">
    <w:abstractNumId w:val="147"/>
  </w:num>
  <w:num w:numId="224">
    <w:abstractNumId w:val="52"/>
  </w:num>
  <w:num w:numId="225">
    <w:abstractNumId w:val="185"/>
  </w:num>
  <w:num w:numId="226">
    <w:abstractNumId w:val="3"/>
  </w:num>
  <w:num w:numId="227">
    <w:abstractNumId w:val="179"/>
  </w:num>
  <w:num w:numId="228">
    <w:abstractNumId w:val="41"/>
  </w:num>
  <w:num w:numId="229">
    <w:abstractNumId w:val="26"/>
  </w:num>
  <w:num w:numId="230">
    <w:abstractNumId w:val="83"/>
  </w:num>
  <w:num w:numId="231">
    <w:abstractNumId w:val="240"/>
  </w:num>
  <w:num w:numId="232">
    <w:abstractNumId w:val="114"/>
  </w:num>
  <w:num w:numId="233">
    <w:abstractNumId w:val="82"/>
  </w:num>
  <w:num w:numId="234">
    <w:abstractNumId w:val="60"/>
  </w:num>
  <w:num w:numId="235">
    <w:abstractNumId w:val="109"/>
  </w:num>
  <w:num w:numId="236">
    <w:abstractNumId w:val="207"/>
  </w:num>
  <w:num w:numId="237">
    <w:abstractNumId w:val="78"/>
  </w:num>
  <w:num w:numId="238">
    <w:abstractNumId w:val="172"/>
  </w:num>
  <w:num w:numId="239">
    <w:abstractNumId w:val="182"/>
  </w:num>
  <w:num w:numId="240">
    <w:abstractNumId w:val="212"/>
  </w:num>
  <w:num w:numId="241">
    <w:abstractNumId w:val="218"/>
  </w:num>
  <w:num w:numId="242">
    <w:abstractNumId w:val="10"/>
  </w:num>
  <w:num w:numId="243">
    <w:abstractNumId w:val="113"/>
  </w:num>
  <w:num w:numId="244">
    <w:abstractNumId w:val="6"/>
  </w:num>
  <w:num w:numId="245">
    <w:abstractNumId w:val="121"/>
  </w:num>
  <w:num w:numId="246">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AB59F7"/>
    <w:rsid w:val="00B47730"/>
    <w:rsid w:val="00CB0664"/>
    <w:rsid w:val="00DC3BBF"/>
    <w:rsid w:val="00FC693F"/>
    <w:rsid w:val="01287D8E"/>
    <w:rsid w:val="02337D11"/>
    <w:rsid w:val="02D72974"/>
    <w:rsid w:val="047D2C92"/>
    <w:rsid w:val="047F723D"/>
    <w:rsid w:val="048F7622"/>
    <w:rsid w:val="06A50BF6"/>
    <w:rsid w:val="06BB4388"/>
    <w:rsid w:val="07155C37"/>
    <w:rsid w:val="0790350F"/>
    <w:rsid w:val="084F4F9C"/>
    <w:rsid w:val="08550E08"/>
    <w:rsid w:val="089327F6"/>
    <w:rsid w:val="09404CDC"/>
    <w:rsid w:val="0951376D"/>
    <w:rsid w:val="095D0797"/>
    <w:rsid w:val="09710551"/>
    <w:rsid w:val="0A541176"/>
    <w:rsid w:val="0B2548EC"/>
    <w:rsid w:val="0B6251C3"/>
    <w:rsid w:val="0BE3052D"/>
    <w:rsid w:val="0C185CAA"/>
    <w:rsid w:val="0C3A723F"/>
    <w:rsid w:val="0C614F3A"/>
    <w:rsid w:val="0D532E09"/>
    <w:rsid w:val="0E2826F4"/>
    <w:rsid w:val="0E6404BC"/>
    <w:rsid w:val="0E791C99"/>
    <w:rsid w:val="0EB000A1"/>
    <w:rsid w:val="105B1AB4"/>
    <w:rsid w:val="105E064F"/>
    <w:rsid w:val="12DD5069"/>
    <w:rsid w:val="13280AA0"/>
    <w:rsid w:val="1335531E"/>
    <w:rsid w:val="137F7DA4"/>
    <w:rsid w:val="141170ED"/>
    <w:rsid w:val="14A16D5C"/>
    <w:rsid w:val="14B8020C"/>
    <w:rsid w:val="1504525C"/>
    <w:rsid w:val="15C87273"/>
    <w:rsid w:val="16646CDD"/>
    <w:rsid w:val="16910FD9"/>
    <w:rsid w:val="18740AE5"/>
    <w:rsid w:val="18EC3BAD"/>
    <w:rsid w:val="19FC7CC6"/>
    <w:rsid w:val="1A4866E5"/>
    <w:rsid w:val="1A58610F"/>
    <w:rsid w:val="1A6233DE"/>
    <w:rsid w:val="1AC90DBB"/>
    <w:rsid w:val="1AD055C7"/>
    <w:rsid w:val="1B0911B7"/>
    <w:rsid w:val="1B373F76"/>
    <w:rsid w:val="1B506DE6"/>
    <w:rsid w:val="1BFA52C3"/>
    <w:rsid w:val="1CB04E54"/>
    <w:rsid w:val="1CF06AD2"/>
    <w:rsid w:val="1E285BB3"/>
    <w:rsid w:val="1E854FF8"/>
    <w:rsid w:val="1EF83A1C"/>
    <w:rsid w:val="1F3031B6"/>
    <w:rsid w:val="1F877BDE"/>
    <w:rsid w:val="202548FF"/>
    <w:rsid w:val="20327478"/>
    <w:rsid w:val="20B47E17"/>
    <w:rsid w:val="20F73191"/>
    <w:rsid w:val="21537AB3"/>
    <w:rsid w:val="21BC614C"/>
    <w:rsid w:val="21C916A0"/>
    <w:rsid w:val="21EF60F0"/>
    <w:rsid w:val="220B039D"/>
    <w:rsid w:val="22230E62"/>
    <w:rsid w:val="22777571"/>
    <w:rsid w:val="22A65EBC"/>
    <w:rsid w:val="22BA7DA5"/>
    <w:rsid w:val="235B5ADA"/>
    <w:rsid w:val="235C2E4D"/>
    <w:rsid w:val="235E52E6"/>
    <w:rsid w:val="2472601F"/>
    <w:rsid w:val="247D03B7"/>
    <w:rsid w:val="248A0711"/>
    <w:rsid w:val="25C76384"/>
    <w:rsid w:val="26815BDB"/>
    <w:rsid w:val="274A5804"/>
    <w:rsid w:val="28D92B11"/>
    <w:rsid w:val="295F7807"/>
    <w:rsid w:val="2A4C7C4B"/>
    <w:rsid w:val="2AE337D3"/>
    <w:rsid w:val="2B095471"/>
    <w:rsid w:val="2B715282"/>
    <w:rsid w:val="2BC272BF"/>
    <w:rsid w:val="2C6F705F"/>
    <w:rsid w:val="2D942BFB"/>
    <w:rsid w:val="2DDD44E2"/>
    <w:rsid w:val="2EC465DF"/>
    <w:rsid w:val="2F5051AF"/>
    <w:rsid w:val="2F9C7272"/>
    <w:rsid w:val="2FEC3129"/>
    <w:rsid w:val="30157776"/>
    <w:rsid w:val="301E34E6"/>
    <w:rsid w:val="30797DCA"/>
    <w:rsid w:val="318A59A0"/>
    <w:rsid w:val="32263B56"/>
    <w:rsid w:val="326276D3"/>
    <w:rsid w:val="32A7067D"/>
    <w:rsid w:val="34547D9D"/>
    <w:rsid w:val="36594286"/>
    <w:rsid w:val="3670428D"/>
    <w:rsid w:val="36E51695"/>
    <w:rsid w:val="36FA6F28"/>
    <w:rsid w:val="37920A4E"/>
    <w:rsid w:val="37AE5168"/>
    <w:rsid w:val="39355C80"/>
    <w:rsid w:val="39430031"/>
    <w:rsid w:val="394962B0"/>
    <w:rsid w:val="3993406B"/>
    <w:rsid w:val="39A71956"/>
    <w:rsid w:val="3A2B0CF2"/>
    <w:rsid w:val="3CE3517D"/>
    <w:rsid w:val="3D2D5BD4"/>
    <w:rsid w:val="3D3C18A7"/>
    <w:rsid w:val="3E894239"/>
    <w:rsid w:val="3EF06996"/>
    <w:rsid w:val="3F6D0FB3"/>
    <w:rsid w:val="3F9F0CD2"/>
    <w:rsid w:val="41BE6785"/>
    <w:rsid w:val="42217728"/>
    <w:rsid w:val="433F2195"/>
    <w:rsid w:val="434A043B"/>
    <w:rsid w:val="434D3A87"/>
    <w:rsid w:val="43B119B5"/>
    <w:rsid w:val="44255D38"/>
    <w:rsid w:val="44DB54F6"/>
    <w:rsid w:val="44EF003D"/>
    <w:rsid w:val="45156827"/>
    <w:rsid w:val="454F3935"/>
    <w:rsid w:val="4581203B"/>
    <w:rsid w:val="46072613"/>
    <w:rsid w:val="464425BB"/>
    <w:rsid w:val="466815A0"/>
    <w:rsid w:val="467D4684"/>
    <w:rsid w:val="46D57DB6"/>
    <w:rsid w:val="475B11F3"/>
    <w:rsid w:val="47694F1C"/>
    <w:rsid w:val="476A63AC"/>
    <w:rsid w:val="48F77029"/>
    <w:rsid w:val="496658A3"/>
    <w:rsid w:val="497C6BEC"/>
    <w:rsid w:val="4A0155CC"/>
    <w:rsid w:val="4A880BB7"/>
    <w:rsid w:val="4A943797"/>
    <w:rsid w:val="4AD73EDC"/>
    <w:rsid w:val="4B086F3D"/>
    <w:rsid w:val="4B492087"/>
    <w:rsid w:val="4B603EF9"/>
    <w:rsid w:val="4B644493"/>
    <w:rsid w:val="4B991F60"/>
    <w:rsid w:val="4BC0490B"/>
    <w:rsid w:val="4BCD39B7"/>
    <w:rsid w:val="4BE20CC1"/>
    <w:rsid w:val="4BFA3413"/>
    <w:rsid w:val="4C0D3812"/>
    <w:rsid w:val="4C994BFF"/>
    <w:rsid w:val="4E505A06"/>
    <w:rsid w:val="4ED82D9F"/>
    <w:rsid w:val="4F804A74"/>
    <w:rsid w:val="502B33A2"/>
    <w:rsid w:val="509B6B85"/>
    <w:rsid w:val="50B82AC5"/>
    <w:rsid w:val="50D457E8"/>
    <w:rsid w:val="51027558"/>
    <w:rsid w:val="51255DA0"/>
    <w:rsid w:val="514566E6"/>
    <w:rsid w:val="517E000C"/>
    <w:rsid w:val="51F21D42"/>
    <w:rsid w:val="521E7B60"/>
    <w:rsid w:val="529B6283"/>
    <w:rsid w:val="53B44B0B"/>
    <w:rsid w:val="53DC50DF"/>
    <w:rsid w:val="54095EBA"/>
    <w:rsid w:val="54821AA4"/>
    <w:rsid w:val="551E02E1"/>
    <w:rsid w:val="55306B8D"/>
    <w:rsid w:val="55610682"/>
    <w:rsid w:val="557E4769"/>
    <w:rsid w:val="55CC1183"/>
    <w:rsid w:val="55E71DE2"/>
    <w:rsid w:val="56501DBB"/>
    <w:rsid w:val="56B756C4"/>
    <w:rsid w:val="57A3611E"/>
    <w:rsid w:val="580F7106"/>
    <w:rsid w:val="586A2A53"/>
    <w:rsid w:val="59B61CFB"/>
    <w:rsid w:val="5A36306F"/>
    <w:rsid w:val="5A6A34FF"/>
    <w:rsid w:val="5B5A153F"/>
    <w:rsid w:val="5B5D7BA1"/>
    <w:rsid w:val="5BB04C2C"/>
    <w:rsid w:val="5D08757F"/>
    <w:rsid w:val="5D1E4907"/>
    <w:rsid w:val="5E2418E2"/>
    <w:rsid w:val="5E3308A2"/>
    <w:rsid w:val="5E6F64A1"/>
    <w:rsid w:val="5EC26F49"/>
    <w:rsid w:val="5FF61782"/>
    <w:rsid w:val="5FF90DC7"/>
    <w:rsid w:val="60264B67"/>
    <w:rsid w:val="602D18A2"/>
    <w:rsid w:val="60A732CB"/>
    <w:rsid w:val="60EE7480"/>
    <w:rsid w:val="6131633F"/>
    <w:rsid w:val="617F354E"/>
    <w:rsid w:val="619C5EAE"/>
    <w:rsid w:val="622A0976"/>
    <w:rsid w:val="62C746D1"/>
    <w:rsid w:val="63803A39"/>
    <w:rsid w:val="64E63B26"/>
    <w:rsid w:val="653C392D"/>
    <w:rsid w:val="654362C3"/>
    <w:rsid w:val="66053C16"/>
    <w:rsid w:val="66BC7F97"/>
    <w:rsid w:val="66BE7A81"/>
    <w:rsid w:val="66FF0FD3"/>
    <w:rsid w:val="671C61EA"/>
    <w:rsid w:val="677D5FDA"/>
    <w:rsid w:val="680429A2"/>
    <w:rsid w:val="68176EBD"/>
    <w:rsid w:val="68476448"/>
    <w:rsid w:val="686B7D6C"/>
    <w:rsid w:val="687D3E81"/>
    <w:rsid w:val="68AA02F5"/>
    <w:rsid w:val="69B8584F"/>
    <w:rsid w:val="6A063B3C"/>
    <w:rsid w:val="6AE10DD5"/>
    <w:rsid w:val="6B3453A9"/>
    <w:rsid w:val="6B6D6B6B"/>
    <w:rsid w:val="6B931A72"/>
    <w:rsid w:val="6C0044C7"/>
    <w:rsid w:val="6C092392"/>
    <w:rsid w:val="6C7C1AC7"/>
    <w:rsid w:val="6C924135"/>
    <w:rsid w:val="6D5F3CC6"/>
    <w:rsid w:val="6E46205D"/>
    <w:rsid w:val="6E5D4666"/>
    <w:rsid w:val="6F4F0945"/>
    <w:rsid w:val="6F6F02E9"/>
    <w:rsid w:val="6F911E7E"/>
    <w:rsid w:val="6F9957DB"/>
    <w:rsid w:val="6FA64AAB"/>
    <w:rsid w:val="70A72179"/>
    <w:rsid w:val="70C44AD9"/>
    <w:rsid w:val="710E5A87"/>
    <w:rsid w:val="71DE14A3"/>
    <w:rsid w:val="72414F83"/>
    <w:rsid w:val="72B868C0"/>
    <w:rsid w:val="72DB435C"/>
    <w:rsid w:val="73271EE6"/>
    <w:rsid w:val="738F520D"/>
    <w:rsid w:val="73C95144"/>
    <w:rsid w:val="73E45068"/>
    <w:rsid w:val="75537C1F"/>
    <w:rsid w:val="757C5D9C"/>
    <w:rsid w:val="760D1070"/>
    <w:rsid w:val="766905FD"/>
    <w:rsid w:val="76FC17A3"/>
    <w:rsid w:val="77730C17"/>
    <w:rsid w:val="77BB3E94"/>
    <w:rsid w:val="77D2720E"/>
    <w:rsid w:val="782D11B6"/>
    <w:rsid w:val="784A5B3F"/>
    <w:rsid w:val="79A557F7"/>
    <w:rsid w:val="79D43F4C"/>
    <w:rsid w:val="7A1C7734"/>
    <w:rsid w:val="7AEF4D91"/>
    <w:rsid w:val="7B871525"/>
    <w:rsid w:val="7BAA04D3"/>
    <w:rsid w:val="7D845D1C"/>
    <w:rsid w:val="7E3C2153"/>
    <w:rsid w:val="7E934EBC"/>
    <w:rsid w:val="7EC4714C"/>
    <w:rsid w:val="7F637252"/>
    <w:rsid w:val="7FAB28D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qFormat="1"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next w:val="1"/>
    <w:link w:val="145"/>
    <w:qFormat/>
    <w:uiPriority w:val="9"/>
    <w:pPr>
      <w:widowControl w:val="0"/>
      <w:adjustRightInd w:val="0"/>
      <w:spacing w:before="320" w:line="300" w:lineRule="auto"/>
      <w:jc w:val="both"/>
      <w:outlineLvl w:val="0"/>
    </w:pPr>
    <w:rPr>
      <w:rFonts w:ascii="Times New Roman" w:hAnsi="Times New Roman" w:eastAsia="黑体" w:cs="Times New Roman"/>
      <w:color w:val="000000"/>
      <w:kern w:val="44"/>
      <w:sz w:val="32"/>
      <w:szCs w:val="44"/>
      <w:lang w:bidi="ar-SA"/>
    </w:rPr>
  </w:style>
  <w:style w:type="paragraph" w:styleId="4">
    <w:name w:val="heading 2"/>
    <w:basedOn w:val="1"/>
    <w:next w:val="1"/>
    <w:unhideWhenUsed/>
    <w:qFormat/>
    <w:uiPriority w:val="9"/>
    <w:pPr>
      <w:widowControl w:val="0"/>
      <w:adjustRightInd w:val="0"/>
      <w:spacing w:before="280" w:line="300" w:lineRule="auto"/>
      <w:jc w:val="both"/>
      <w:outlineLvl w:val="1"/>
    </w:pPr>
    <w:rPr>
      <w:rFonts w:ascii="Times New Roman" w:hAnsi="Times New Roman" w:eastAsia="黑体" w:cs="Times New Roman"/>
      <w:kern w:val="2"/>
      <w:sz w:val="30"/>
      <w:szCs w:val="32"/>
      <w:lang w:bidi="ar-SA"/>
    </w:rPr>
  </w:style>
  <w:style w:type="paragraph" w:styleId="5">
    <w:name w:val="heading 3"/>
    <w:next w:val="1"/>
    <w:unhideWhenUsed/>
    <w:qFormat/>
    <w:uiPriority w:val="9"/>
    <w:pPr>
      <w:keepNext/>
      <w:keepLines/>
      <w:widowControl w:val="0"/>
      <w:adjustRightInd w:val="0"/>
      <w:spacing w:before="240" w:line="300" w:lineRule="auto"/>
      <w:jc w:val="both"/>
      <w:outlineLvl w:val="2"/>
    </w:pPr>
    <w:rPr>
      <w:rFonts w:ascii="Times New Roman" w:hAnsi="Times New Roman" w:eastAsia="黑体" w:cs="Times New Roman"/>
      <w:kern w:val="2"/>
      <w:sz w:val="30"/>
      <w:szCs w:val="24"/>
      <w:lang w:bidi="ar-SA"/>
    </w:rPr>
  </w:style>
  <w:style w:type="paragraph" w:styleId="6">
    <w:name w:val="heading 4"/>
    <w:next w:val="1"/>
    <w:link w:val="157"/>
    <w:unhideWhenUsed/>
    <w:qFormat/>
    <w:uiPriority w:val="9"/>
    <w:pPr>
      <w:keepNext/>
      <w:keepLines/>
      <w:widowControl w:val="0"/>
      <w:adjustRightInd w:val="0"/>
      <w:spacing w:before="200" w:line="300" w:lineRule="auto"/>
      <w:jc w:val="both"/>
      <w:outlineLvl w:val="3"/>
    </w:pPr>
    <w:rPr>
      <w:rFonts w:ascii="Times New Roman" w:hAnsi="Times New Roman" w:eastAsia="黑体" w:cs="Times New Roman"/>
      <w:bCs/>
      <w:kern w:val="2"/>
      <w:sz w:val="28"/>
      <w:szCs w:val="28"/>
      <w:lang w:bidi="ar-SA"/>
    </w:rPr>
  </w:style>
  <w:style w:type="paragraph" w:styleId="7">
    <w:name w:val="heading 5"/>
    <w:next w:val="1"/>
    <w:link w:val="158"/>
    <w:unhideWhenUsed/>
    <w:qFormat/>
    <w:uiPriority w:val="9"/>
    <w:pPr>
      <w:keepNext/>
      <w:keepLines/>
      <w:widowControl w:val="0"/>
      <w:adjustRightInd w:val="0"/>
      <w:spacing w:before="160" w:line="300" w:lineRule="auto"/>
      <w:jc w:val="both"/>
      <w:outlineLvl w:val="4"/>
    </w:pPr>
    <w:rPr>
      <w:rFonts w:ascii="Times New Roman" w:hAnsi="Times New Roman" w:eastAsia="黑体" w:cs="Times New Roman"/>
      <w:bCs/>
      <w:kern w:val="2"/>
      <w:sz w:val="28"/>
      <w:szCs w:val="28"/>
      <w:lang w:bidi="ar-SA"/>
    </w:rPr>
  </w:style>
  <w:style w:type="paragraph" w:styleId="8">
    <w:name w:val="heading 6"/>
    <w:next w:val="1"/>
    <w:link w:val="159"/>
    <w:semiHidden/>
    <w:unhideWhenUsed/>
    <w:qFormat/>
    <w:uiPriority w:val="9"/>
    <w:pPr>
      <w:keepNext/>
      <w:keepLines/>
      <w:widowControl w:val="0"/>
      <w:adjustRightInd w:val="0"/>
      <w:spacing w:before="120" w:line="300" w:lineRule="auto"/>
      <w:jc w:val="both"/>
      <w:outlineLvl w:val="5"/>
    </w:pPr>
    <w:rPr>
      <w:rFonts w:ascii="Times New Roman" w:hAnsi="Times New Roman" w:eastAsia="黑体" w:cs="Times New Roman"/>
      <w:bCs/>
      <w:kern w:val="2"/>
      <w:sz w:val="28"/>
      <w:szCs w:val="24"/>
      <w:lang w:bidi="ar-SA"/>
    </w:rPr>
  </w:style>
  <w:style w:type="paragraph" w:styleId="9">
    <w:name w:val="heading 7"/>
    <w:next w:val="1"/>
    <w:link w:val="160"/>
    <w:semiHidden/>
    <w:unhideWhenUsed/>
    <w:qFormat/>
    <w:uiPriority w:val="9"/>
    <w:pPr>
      <w:keepNext/>
      <w:keepLines/>
      <w:widowControl w:val="0"/>
      <w:adjustRightInd w:val="0"/>
      <w:spacing w:before="120" w:line="300" w:lineRule="auto"/>
      <w:jc w:val="both"/>
      <w:outlineLvl w:val="6"/>
    </w:pPr>
    <w:rPr>
      <w:rFonts w:ascii="Times New Roman" w:hAnsi="Times New Roman" w:eastAsia="黑体" w:cs="Times New Roman"/>
      <w:bCs/>
      <w:kern w:val="2"/>
      <w:sz w:val="24"/>
      <w:szCs w:val="24"/>
      <w:lang w:bidi="ar-SA"/>
    </w:rPr>
  </w:style>
  <w:style w:type="paragraph" w:styleId="10">
    <w:name w:val="heading 8"/>
    <w:next w:val="1"/>
    <w:link w:val="161"/>
    <w:semiHidden/>
    <w:unhideWhenUsed/>
    <w:qFormat/>
    <w:uiPriority w:val="9"/>
    <w:pPr>
      <w:keepNext/>
      <w:keepLines/>
      <w:widowControl w:val="0"/>
      <w:adjustRightInd w:val="0"/>
      <w:spacing w:before="120" w:line="300" w:lineRule="auto"/>
      <w:jc w:val="both"/>
      <w:outlineLvl w:val="7"/>
    </w:pPr>
    <w:rPr>
      <w:rFonts w:ascii="Times New Roman" w:hAnsi="Times New Roman" w:eastAsia="黑体" w:cs="Times New Roman"/>
      <w:kern w:val="2"/>
      <w:sz w:val="24"/>
      <w:szCs w:val="24"/>
      <w:lang w:bidi="ar-SA"/>
    </w:rPr>
  </w:style>
  <w:style w:type="paragraph" w:styleId="11">
    <w:name w:val="heading 9"/>
    <w:next w:val="1"/>
    <w:link w:val="162"/>
    <w:semiHidden/>
    <w:unhideWhenUsed/>
    <w:qFormat/>
    <w:uiPriority w:val="9"/>
    <w:pPr>
      <w:keepNext/>
      <w:keepLines/>
      <w:widowControl w:val="0"/>
      <w:adjustRightInd w:val="0"/>
      <w:spacing w:before="120" w:line="300" w:lineRule="auto"/>
      <w:jc w:val="both"/>
      <w:outlineLvl w:val="8"/>
    </w:pPr>
    <w:rPr>
      <w:rFonts w:ascii="Times New Roman" w:hAnsi="Times New Roman" w:eastAsia="黑体" w:cs="Times New Roman"/>
      <w:kern w:val="2"/>
      <w:sz w:val="21"/>
      <w:szCs w:val="21"/>
      <w:lang w:bidi="ar-SA"/>
    </w:rPr>
  </w:style>
  <w:style w:type="character" w:default="1" w:styleId="138">
    <w:name w:val="Default Paragraph Font"/>
    <w:semiHidden/>
    <w:unhideWhenUsed/>
    <w:qFormat/>
    <w:uiPriority w:val="1"/>
  </w:style>
  <w:style w:type="table" w:default="1" w:styleId="38">
    <w:name w:val="Normal Table"/>
    <w:semiHidden/>
    <w:unhideWhenUsed/>
    <w:qFormat/>
    <w:uiPriority w:val="99"/>
    <w:tblPr>
      <w:tblCellMar>
        <w:top w:w="0" w:type="dxa"/>
        <w:left w:w="108" w:type="dxa"/>
        <w:bottom w:w="0" w:type="dxa"/>
        <w:right w:w="108" w:type="dxa"/>
      </w:tblCellMar>
    </w:tblPr>
  </w:style>
  <w:style w:type="paragraph" w:styleId="2">
    <w:name w:val="macro"/>
    <w:link w:val="154"/>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874CB"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53"/>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unhideWhenUsed/>
    <w:qFormat/>
    <w:uiPriority w:val="99"/>
    <w:pPr>
      <w:widowControl w:val="0"/>
      <w:adjustRightInd w:val="0"/>
      <w:spacing w:before="100" w:after="100" w:afterLines="0" w:afterAutospacing="0" w:line="300" w:lineRule="auto"/>
      <w:ind w:firstLine="1044" w:firstLineChars="200"/>
      <w:jc w:val="both"/>
    </w:pPr>
    <w:rPr>
      <w:rFonts w:ascii="Times New Roman" w:hAnsi="Times New Roman" w:eastAsia="宋体" w:cs="Times New Roman"/>
      <w:kern w:val="2"/>
      <w:sz w:val="24"/>
      <w:szCs w:val="24"/>
      <w:lang w:bidi="ar-SA"/>
    </w:r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toc 3"/>
    <w:basedOn w:val="1"/>
    <w:next w:val="1"/>
    <w:semiHidden/>
    <w:unhideWhenUsed/>
    <w:qFormat/>
    <w:uiPriority w:val="39"/>
    <w:pPr>
      <w:ind w:left="840" w:leftChars="400"/>
    </w:pPr>
  </w:style>
  <w:style w:type="paragraph" w:styleId="25">
    <w:name w:val="footer"/>
    <w:basedOn w:val="1"/>
    <w:link w:val="174"/>
    <w:unhideWhenUsed/>
    <w:qFormat/>
    <w:uiPriority w:val="99"/>
    <w:pPr>
      <w:tabs>
        <w:tab w:val="center" w:pos="4680"/>
        <w:tab w:val="right" w:pos="9360"/>
      </w:tabs>
      <w:spacing w:after="0" w:line="240" w:lineRule="auto"/>
    </w:pPr>
  </w:style>
  <w:style w:type="paragraph" w:styleId="26">
    <w:name w:val="header"/>
    <w:basedOn w:val="1"/>
    <w:link w:val="173"/>
    <w:unhideWhenUsed/>
    <w:qFormat/>
    <w:uiPriority w:val="99"/>
    <w:pPr>
      <w:tabs>
        <w:tab w:val="center" w:pos="4680"/>
        <w:tab w:val="right" w:pos="9360"/>
      </w:tabs>
      <w:spacing w:after="0" w:line="240" w:lineRule="auto"/>
    </w:pPr>
  </w:style>
  <w:style w:type="paragraph" w:styleId="27">
    <w:name w:val="toc 1"/>
    <w:basedOn w:val="1"/>
    <w:next w:val="1"/>
    <w:semiHidden/>
    <w:unhideWhenUsed/>
    <w:qFormat/>
    <w:uiPriority w:val="39"/>
  </w:style>
  <w:style w:type="paragraph" w:styleId="28">
    <w:name w:val="toc 4"/>
    <w:basedOn w:val="1"/>
    <w:next w:val="1"/>
    <w:semiHidden/>
    <w:unhideWhenUsed/>
    <w:qFormat/>
    <w:uiPriority w:val="39"/>
    <w:pPr>
      <w:ind w:left="1260" w:leftChars="600"/>
    </w:pPr>
  </w:style>
  <w:style w:type="paragraph" w:styleId="29">
    <w:name w:val="Subtitle"/>
    <w:next w:val="1"/>
    <w:qFormat/>
    <w:uiPriority w:val="11"/>
    <w:pPr>
      <w:widowControl w:val="0"/>
      <w:adjustRightInd w:val="0"/>
      <w:spacing w:before="100" w:after="100" w:line="240" w:lineRule="auto"/>
      <w:jc w:val="center"/>
      <w:outlineLvl w:val="9"/>
    </w:pPr>
    <w:rPr>
      <w:rFonts w:ascii="Times New Roman" w:hAnsi="Times New Roman" w:eastAsia="黑体" w:cs="Times New Roman"/>
      <w:kern w:val="28"/>
      <w:sz w:val="32"/>
      <w:szCs w:val="24"/>
      <w:lang w:bidi="ar-SA"/>
    </w:rPr>
  </w:style>
  <w:style w:type="paragraph" w:styleId="30">
    <w:name w:val="List"/>
    <w:basedOn w:val="1"/>
    <w:unhideWhenUsed/>
    <w:qFormat/>
    <w:uiPriority w:val="99"/>
    <w:pPr>
      <w:ind w:left="360" w:hanging="360"/>
      <w:contextualSpacing/>
    </w:pPr>
  </w:style>
  <w:style w:type="paragraph" w:styleId="31">
    <w:name w:val="toc 2"/>
    <w:basedOn w:val="1"/>
    <w:next w:val="1"/>
    <w:semiHidden/>
    <w:unhideWhenUsed/>
    <w:qFormat/>
    <w:uiPriority w:val="39"/>
    <w:pPr>
      <w:ind w:left="420" w:leftChars="200"/>
    </w:pPr>
  </w:style>
  <w:style w:type="paragraph" w:styleId="32">
    <w:name w:val="Body Text 2"/>
    <w:basedOn w:val="1"/>
    <w:link w:val="152"/>
    <w:unhideWhenUsed/>
    <w:qFormat/>
    <w:uiPriority w:val="99"/>
    <w:pPr>
      <w:spacing w:after="120" w:line="480" w:lineRule="auto"/>
    </w:pPr>
  </w:style>
  <w:style w:type="paragraph" w:styleId="33">
    <w:name w:val="List Continue 2"/>
    <w:basedOn w:val="1"/>
    <w:unhideWhenUsed/>
    <w:qFormat/>
    <w:uiPriority w:val="99"/>
    <w:pPr>
      <w:spacing w:after="120"/>
      <w:ind w:left="720"/>
      <w:contextualSpacing/>
    </w:pPr>
  </w:style>
  <w:style w:type="paragraph" w:styleId="34">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35">
    <w:name w:val="Normal (Web)"/>
    <w:basedOn w:val="1"/>
    <w:semiHidden/>
    <w:unhideWhenUsed/>
    <w:qFormat/>
    <w:uiPriority w:val="99"/>
    <w:rPr>
      <w:sz w:val="24"/>
    </w:rPr>
  </w:style>
  <w:style w:type="paragraph" w:styleId="36">
    <w:name w:val="List Continue 3"/>
    <w:basedOn w:val="1"/>
    <w:unhideWhenUsed/>
    <w:qFormat/>
    <w:uiPriority w:val="99"/>
    <w:pPr>
      <w:spacing w:after="120"/>
      <w:ind w:left="1080"/>
      <w:contextualSpacing/>
    </w:pPr>
  </w:style>
  <w:style w:type="paragraph" w:styleId="37">
    <w:name w:val="Title"/>
    <w:next w:val="1"/>
    <w:qFormat/>
    <w:uiPriority w:val="10"/>
    <w:pPr>
      <w:widowControl w:val="0"/>
      <w:adjustRightInd w:val="0"/>
      <w:spacing w:before="100" w:beforeAutospacing="0" w:after="100" w:afterAutospacing="0" w:line="240" w:lineRule="auto"/>
      <w:jc w:val="center"/>
      <w:outlineLvl w:val="9"/>
    </w:pPr>
    <w:rPr>
      <w:rFonts w:ascii="Times New Roman" w:hAnsi="Times New Roman" w:eastAsia="黑体" w:cs="Times New Roman"/>
      <w:kern w:val="2"/>
      <w:sz w:val="36"/>
      <w:szCs w:val="24"/>
      <w:lang w:bidi="ar-SA"/>
    </w:rPr>
  </w:style>
  <w:style w:type="table" w:styleId="39">
    <w:name w:val="Table Grid"/>
    <w:basedOn w:val="38"/>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40">
    <w:name w:val="Light Shading"/>
    <w:basedOn w:val="38"/>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1">
    <w:name w:val="Light Shading Accent 1"/>
    <w:basedOn w:val="38"/>
    <w:qFormat/>
    <w:uiPriority w:val="60"/>
    <w:pPr>
      <w:spacing w:after="0" w:line="240" w:lineRule="auto"/>
    </w:pPr>
    <w:rPr>
      <w:color w:val="2E54A1" w:themeColor="accent1" w:themeShade="BF"/>
    </w:rPr>
    <w:tblPr>
      <w:tblBorders>
        <w:top w:val="single" w:color="4874CB" w:themeColor="accent1" w:sz="8" w:space="0"/>
        <w:bottom w:val="single" w:color="4874CB"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874CB" w:themeColor="accent1" w:sz="8" w:space="0"/>
          <w:left w:val="nil"/>
          <w:bottom w:val="single" w:color="4874CB" w:themeColor="accent1" w:sz="8" w:space="0"/>
          <w:right w:val="nil"/>
          <w:insideH w:val="nil"/>
          <w:insideV w:val="nil"/>
        </w:tcBorders>
      </w:tcPr>
    </w:tblStylePr>
    <w:tblStylePr w:type="lastRow">
      <w:pPr>
        <w:spacing w:before="0" w:after="0" w:line="240" w:lineRule="auto"/>
      </w:pPr>
      <w:rPr>
        <w:b/>
        <w:bCs/>
      </w:rPr>
      <w:tblPr/>
      <w:tcPr>
        <w:tcBorders>
          <w:top w:val="single" w:color="4874CB" w:themeColor="accent1" w:sz="8" w:space="0"/>
          <w:left w:val="nil"/>
          <w:bottom w:val="single" w:color="4874CB"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DCF2" w:themeFill="accent1" w:themeFillTint="3F"/>
      </w:tcPr>
    </w:tblStylePr>
    <w:tblStylePr w:type="band1Horz">
      <w:tblPr/>
      <w:tcPr>
        <w:tcBorders>
          <w:left w:val="nil"/>
          <w:right w:val="nil"/>
          <w:insideH w:val="nil"/>
          <w:insideV w:val="nil"/>
        </w:tcBorders>
        <w:shd w:val="clear" w:color="auto" w:fill="D1DCF2" w:themeFill="accent1" w:themeFillTint="3F"/>
      </w:tcPr>
    </w:tblStylePr>
  </w:style>
  <w:style w:type="table" w:styleId="42">
    <w:name w:val="Light Shading Accent 2"/>
    <w:basedOn w:val="38"/>
    <w:qFormat/>
    <w:uiPriority w:val="60"/>
    <w:pPr>
      <w:spacing w:after="0" w:line="240" w:lineRule="auto"/>
    </w:pPr>
    <w:rPr>
      <w:color w:val="C65F10" w:themeColor="accent2" w:themeShade="BF"/>
    </w:rPr>
    <w:tblPr>
      <w:tblBorders>
        <w:top w:val="single" w:color="EE822F" w:themeColor="accent2" w:sz="8" w:space="0"/>
        <w:bottom w:val="single" w:color="EE822F"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EE822F" w:themeColor="accent2" w:sz="8" w:space="0"/>
          <w:left w:val="nil"/>
          <w:bottom w:val="single" w:color="EE822F" w:themeColor="accent2" w:sz="8" w:space="0"/>
          <w:right w:val="nil"/>
          <w:insideH w:val="nil"/>
          <w:insideV w:val="nil"/>
        </w:tcBorders>
      </w:tcPr>
    </w:tblStylePr>
    <w:tblStylePr w:type="lastRow">
      <w:pPr>
        <w:spacing w:before="0" w:after="0" w:line="240" w:lineRule="auto"/>
      </w:pPr>
      <w:rPr>
        <w:b/>
        <w:bCs/>
      </w:rPr>
      <w:tblPr/>
      <w:tcPr>
        <w:tcBorders>
          <w:top w:val="single" w:color="EE822F" w:themeColor="accent2" w:sz="8" w:space="0"/>
          <w:left w:val="nil"/>
          <w:bottom w:val="single" w:color="EE822F"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E0CB" w:themeFill="accent2" w:themeFillTint="3F"/>
      </w:tcPr>
    </w:tblStylePr>
    <w:tblStylePr w:type="band1Horz">
      <w:tblPr/>
      <w:tcPr>
        <w:tcBorders>
          <w:left w:val="nil"/>
          <w:right w:val="nil"/>
          <w:insideH w:val="nil"/>
          <w:insideV w:val="nil"/>
        </w:tcBorders>
        <w:shd w:val="clear" w:color="auto" w:fill="FAE0CB" w:themeFill="accent2" w:themeFillTint="3F"/>
      </w:tcPr>
    </w:tblStylePr>
  </w:style>
  <w:style w:type="table" w:styleId="43">
    <w:name w:val="Light Shading Accent 3"/>
    <w:basedOn w:val="38"/>
    <w:qFormat/>
    <w:uiPriority w:val="60"/>
    <w:pPr>
      <w:spacing w:after="0" w:line="240" w:lineRule="auto"/>
    </w:pPr>
    <w:rPr>
      <w:color w:val="B68C02" w:themeColor="accent3" w:themeShade="BF"/>
    </w:rPr>
    <w:tblPr>
      <w:tblBorders>
        <w:top w:val="single" w:color="F2BA02" w:themeColor="accent3" w:sz="8" w:space="0"/>
        <w:bottom w:val="single" w:color="F2BA02"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2BA02" w:themeColor="accent3" w:sz="8" w:space="0"/>
          <w:left w:val="nil"/>
          <w:bottom w:val="single" w:color="F2BA02" w:themeColor="accent3" w:sz="8" w:space="0"/>
          <w:right w:val="nil"/>
          <w:insideH w:val="nil"/>
          <w:insideV w:val="nil"/>
        </w:tcBorders>
      </w:tcPr>
    </w:tblStylePr>
    <w:tblStylePr w:type="lastRow">
      <w:pPr>
        <w:spacing w:before="0" w:after="0" w:line="240" w:lineRule="auto"/>
      </w:pPr>
      <w:rPr>
        <w:b/>
        <w:bCs/>
      </w:rPr>
      <w:tblPr/>
      <w:tcPr>
        <w:tcBorders>
          <w:top w:val="single" w:color="F2BA02" w:themeColor="accent3" w:sz="8" w:space="0"/>
          <w:left w:val="nil"/>
          <w:bottom w:val="single" w:color="F2BA02"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EFBD" w:themeFill="accent3" w:themeFillTint="3F"/>
      </w:tcPr>
    </w:tblStylePr>
    <w:tblStylePr w:type="band1Horz">
      <w:tblPr/>
      <w:tcPr>
        <w:tcBorders>
          <w:left w:val="nil"/>
          <w:right w:val="nil"/>
          <w:insideH w:val="nil"/>
          <w:insideV w:val="nil"/>
        </w:tcBorders>
        <w:shd w:val="clear" w:color="auto" w:fill="FEEFBD" w:themeFill="accent3" w:themeFillTint="3F"/>
      </w:tcPr>
    </w:tblStylePr>
  </w:style>
  <w:style w:type="table" w:styleId="44">
    <w:name w:val="Light Shading Accent 4"/>
    <w:basedOn w:val="38"/>
    <w:qFormat/>
    <w:uiPriority w:val="60"/>
    <w:pPr>
      <w:spacing w:after="0" w:line="240" w:lineRule="auto"/>
    </w:pPr>
    <w:rPr>
      <w:color w:val="588E32" w:themeColor="accent4" w:themeShade="BF"/>
    </w:rPr>
    <w:tblPr>
      <w:tblBorders>
        <w:top w:val="single" w:color="75BD42" w:themeColor="accent4" w:sz="8" w:space="0"/>
        <w:bottom w:val="single" w:color="75BD4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75BD42" w:themeColor="accent4" w:sz="8" w:space="0"/>
          <w:left w:val="nil"/>
          <w:bottom w:val="single" w:color="75BD42" w:themeColor="accent4" w:sz="8" w:space="0"/>
          <w:right w:val="nil"/>
          <w:insideH w:val="nil"/>
          <w:insideV w:val="nil"/>
        </w:tcBorders>
      </w:tcPr>
    </w:tblStylePr>
    <w:tblStylePr w:type="lastRow">
      <w:pPr>
        <w:spacing w:before="0" w:after="0" w:line="240" w:lineRule="auto"/>
      </w:pPr>
      <w:rPr>
        <w:b/>
        <w:bCs/>
      </w:rPr>
      <w:tblPr/>
      <w:tcPr>
        <w:tcBorders>
          <w:top w:val="single" w:color="75BD42" w:themeColor="accent4" w:sz="8" w:space="0"/>
          <w:left w:val="nil"/>
          <w:bottom w:val="single" w:color="75BD4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CEED0" w:themeFill="accent4" w:themeFillTint="3F"/>
      </w:tcPr>
    </w:tblStylePr>
    <w:tblStylePr w:type="band1Horz">
      <w:tblPr/>
      <w:tcPr>
        <w:tcBorders>
          <w:left w:val="nil"/>
          <w:right w:val="nil"/>
          <w:insideH w:val="nil"/>
          <w:insideV w:val="nil"/>
        </w:tcBorders>
        <w:shd w:val="clear" w:color="auto" w:fill="DCEED0" w:themeFill="accent4" w:themeFillTint="3F"/>
      </w:tcPr>
    </w:tblStylePr>
  </w:style>
  <w:style w:type="table" w:styleId="45">
    <w:name w:val="Light Shading Accent 5"/>
    <w:basedOn w:val="38"/>
    <w:qFormat/>
    <w:uiPriority w:val="60"/>
    <w:pPr>
      <w:spacing w:after="0" w:line="240" w:lineRule="auto"/>
    </w:pPr>
    <w:rPr>
      <w:color w:val="249087" w:themeColor="accent5" w:themeShade="BF"/>
    </w:rPr>
    <w:tblPr>
      <w:tblBorders>
        <w:top w:val="single" w:color="30C0B4" w:themeColor="accent5" w:sz="8" w:space="0"/>
        <w:bottom w:val="single" w:color="30C0B4"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30C0B4" w:themeColor="accent5" w:sz="8" w:space="0"/>
          <w:left w:val="nil"/>
          <w:bottom w:val="single" w:color="30C0B4" w:themeColor="accent5" w:sz="8" w:space="0"/>
          <w:right w:val="nil"/>
          <w:insideH w:val="nil"/>
          <w:insideV w:val="nil"/>
        </w:tcBorders>
      </w:tcPr>
    </w:tblStylePr>
    <w:tblStylePr w:type="lastRow">
      <w:pPr>
        <w:spacing w:before="0" w:after="0" w:line="240" w:lineRule="auto"/>
      </w:pPr>
      <w:rPr>
        <w:b/>
        <w:bCs/>
      </w:rPr>
      <w:tblPr/>
      <w:tcPr>
        <w:tcBorders>
          <w:top w:val="single" w:color="30C0B4" w:themeColor="accent5" w:sz="8" w:space="0"/>
          <w:left w:val="nil"/>
          <w:bottom w:val="single" w:color="30C0B4"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9F1EE" w:themeFill="accent5" w:themeFillTint="3F"/>
      </w:tcPr>
    </w:tblStylePr>
    <w:tblStylePr w:type="band1Horz">
      <w:tblPr/>
      <w:tcPr>
        <w:tcBorders>
          <w:left w:val="nil"/>
          <w:right w:val="nil"/>
          <w:insideH w:val="nil"/>
          <w:insideV w:val="nil"/>
        </w:tcBorders>
        <w:shd w:val="clear" w:color="auto" w:fill="C9F1EE" w:themeFill="accent5" w:themeFillTint="3F"/>
      </w:tcPr>
    </w:tblStylePr>
  </w:style>
  <w:style w:type="table" w:styleId="46">
    <w:name w:val="Light Shading Accent 6"/>
    <w:basedOn w:val="38"/>
    <w:qFormat/>
    <w:uiPriority w:val="60"/>
    <w:pPr>
      <w:spacing w:after="0" w:line="240" w:lineRule="auto"/>
    </w:pPr>
    <w:rPr>
      <w:color w:val="C81D31" w:themeColor="accent6" w:themeShade="BF"/>
    </w:rPr>
    <w:tblPr>
      <w:tblBorders>
        <w:top w:val="single" w:color="E54C5E" w:themeColor="accent6" w:sz="8" w:space="0"/>
        <w:bottom w:val="single" w:color="E54C5E"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E54C5E" w:themeColor="accent6" w:sz="8" w:space="0"/>
          <w:left w:val="nil"/>
          <w:bottom w:val="single" w:color="E54C5E" w:themeColor="accent6" w:sz="8" w:space="0"/>
          <w:right w:val="nil"/>
          <w:insideH w:val="nil"/>
          <w:insideV w:val="nil"/>
        </w:tcBorders>
      </w:tcPr>
    </w:tblStylePr>
    <w:tblStylePr w:type="lastRow">
      <w:pPr>
        <w:spacing w:before="0" w:after="0" w:line="240" w:lineRule="auto"/>
      </w:pPr>
      <w:rPr>
        <w:b/>
        <w:bCs/>
      </w:rPr>
      <w:tblPr/>
      <w:tcPr>
        <w:tcBorders>
          <w:top w:val="single" w:color="E54C5E" w:themeColor="accent6" w:sz="8" w:space="0"/>
          <w:left w:val="nil"/>
          <w:bottom w:val="single" w:color="E54C5E"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D2D7" w:themeFill="accent6" w:themeFillTint="3F"/>
      </w:tcPr>
    </w:tblStylePr>
    <w:tblStylePr w:type="band1Horz">
      <w:tblPr/>
      <w:tcPr>
        <w:tcBorders>
          <w:left w:val="nil"/>
          <w:right w:val="nil"/>
          <w:insideH w:val="nil"/>
          <w:insideV w:val="nil"/>
        </w:tcBorders>
        <w:shd w:val="clear" w:color="auto" w:fill="F8D2D7" w:themeFill="accent6" w:themeFillTint="3F"/>
      </w:tcPr>
    </w:tblStylePr>
  </w:style>
  <w:style w:type="table" w:styleId="47">
    <w:name w:val="Light List"/>
    <w:basedOn w:val="38"/>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8">
    <w:name w:val="Light List Accent 1"/>
    <w:basedOn w:val="38"/>
    <w:qFormat/>
    <w:uiPriority w:val="61"/>
    <w:pPr>
      <w:spacing w:after="0" w:line="240" w:lineRule="auto"/>
    </w:pPr>
    <w:tblPr>
      <w:tblBorders>
        <w:top w:val="single" w:color="4874CB" w:themeColor="accent1" w:sz="8" w:space="0"/>
        <w:left w:val="single" w:color="4874CB" w:themeColor="accent1" w:sz="8" w:space="0"/>
        <w:bottom w:val="single" w:color="4874CB" w:themeColor="accent1" w:sz="8" w:space="0"/>
        <w:right w:val="single" w:color="4874CB"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874CB" w:themeFill="accent1"/>
      </w:tcPr>
    </w:tblStylePr>
    <w:tblStylePr w:type="lastRow">
      <w:pPr>
        <w:spacing w:before="0" w:after="0" w:line="240" w:lineRule="auto"/>
      </w:pPr>
      <w:rPr>
        <w:b/>
        <w:bCs/>
      </w:rPr>
      <w:tblPr/>
      <w:tcPr>
        <w:tcBorders>
          <w:top w:val="double" w:color="4874CB" w:themeColor="accent1" w:sz="6" w:space="0"/>
          <w:left w:val="single" w:color="4874CB" w:themeColor="accent1" w:sz="8" w:space="0"/>
          <w:bottom w:val="single" w:color="4874CB" w:themeColor="accent1" w:sz="8" w:space="0"/>
          <w:right w:val="single" w:color="4874CB" w:themeColor="accent1" w:sz="8" w:space="0"/>
        </w:tcBorders>
      </w:tcPr>
    </w:tblStylePr>
    <w:tblStylePr w:type="firstCol">
      <w:rPr>
        <w:b/>
        <w:bCs/>
      </w:rPr>
    </w:tblStylePr>
    <w:tblStylePr w:type="lastCol">
      <w:rPr>
        <w:b/>
        <w:bCs/>
      </w:rPr>
    </w:tblStylePr>
    <w:tblStylePr w:type="band1Vert">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tcPr>
    </w:tblStylePr>
    <w:tblStylePr w:type="band1Horz">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tcPr>
    </w:tblStylePr>
  </w:style>
  <w:style w:type="table" w:styleId="49">
    <w:name w:val="Light List Accent 2"/>
    <w:basedOn w:val="38"/>
    <w:qFormat/>
    <w:uiPriority w:val="61"/>
    <w:pPr>
      <w:spacing w:after="0" w:line="240" w:lineRule="auto"/>
    </w:pPr>
    <w:tblPr>
      <w:tblBorders>
        <w:top w:val="single" w:color="EE822F" w:themeColor="accent2" w:sz="8" w:space="0"/>
        <w:left w:val="single" w:color="EE822F" w:themeColor="accent2" w:sz="8" w:space="0"/>
        <w:bottom w:val="single" w:color="EE822F" w:themeColor="accent2" w:sz="8" w:space="0"/>
        <w:right w:val="single" w:color="EE822F"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EE822F" w:themeFill="accent2"/>
      </w:tcPr>
    </w:tblStylePr>
    <w:tblStylePr w:type="lastRow">
      <w:pPr>
        <w:spacing w:before="0" w:after="0" w:line="240" w:lineRule="auto"/>
      </w:pPr>
      <w:rPr>
        <w:b/>
        <w:bCs/>
      </w:rPr>
      <w:tblPr/>
      <w:tcPr>
        <w:tcBorders>
          <w:top w:val="double" w:color="EE822F" w:themeColor="accent2" w:sz="6" w:space="0"/>
          <w:left w:val="single" w:color="EE822F" w:themeColor="accent2" w:sz="8" w:space="0"/>
          <w:bottom w:val="single" w:color="EE822F" w:themeColor="accent2" w:sz="8" w:space="0"/>
          <w:right w:val="single" w:color="EE822F" w:themeColor="accent2" w:sz="8" w:space="0"/>
        </w:tcBorders>
      </w:tcPr>
    </w:tblStylePr>
    <w:tblStylePr w:type="firstCol">
      <w:rPr>
        <w:b/>
        <w:bCs/>
      </w:rPr>
    </w:tblStylePr>
    <w:tblStylePr w:type="lastCol">
      <w:rPr>
        <w:b/>
        <w:bCs/>
      </w:rPr>
    </w:tblStylePr>
    <w:tblStylePr w:type="band1Vert">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tcPr>
    </w:tblStylePr>
    <w:tblStylePr w:type="band1Horz">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tcPr>
    </w:tblStylePr>
  </w:style>
  <w:style w:type="table" w:styleId="50">
    <w:name w:val="Light List Accent 3"/>
    <w:basedOn w:val="38"/>
    <w:qFormat/>
    <w:uiPriority w:val="61"/>
    <w:pPr>
      <w:spacing w:after="0" w:line="240" w:lineRule="auto"/>
    </w:pPr>
    <w:tblPr>
      <w:tblBorders>
        <w:top w:val="single" w:color="F2BA02" w:themeColor="accent3" w:sz="8" w:space="0"/>
        <w:left w:val="single" w:color="F2BA02" w:themeColor="accent3" w:sz="8" w:space="0"/>
        <w:bottom w:val="single" w:color="F2BA02" w:themeColor="accent3" w:sz="8" w:space="0"/>
        <w:right w:val="single" w:color="F2BA02"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2BA02" w:themeFill="accent3"/>
      </w:tcPr>
    </w:tblStylePr>
    <w:tblStylePr w:type="lastRow">
      <w:pPr>
        <w:spacing w:before="0" w:after="0" w:line="240" w:lineRule="auto"/>
      </w:pPr>
      <w:rPr>
        <w:b/>
        <w:bCs/>
      </w:rPr>
      <w:tblPr/>
      <w:tcPr>
        <w:tcBorders>
          <w:top w:val="double" w:color="F2BA02" w:themeColor="accent3" w:sz="6" w:space="0"/>
          <w:left w:val="single" w:color="F2BA02" w:themeColor="accent3" w:sz="8" w:space="0"/>
          <w:bottom w:val="single" w:color="F2BA02" w:themeColor="accent3" w:sz="8" w:space="0"/>
          <w:right w:val="single" w:color="F2BA02" w:themeColor="accent3" w:sz="8" w:space="0"/>
        </w:tcBorders>
      </w:tcPr>
    </w:tblStylePr>
    <w:tblStylePr w:type="firstCol">
      <w:rPr>
        <w:b/>
        <w:bCs/>
      </w:rPr>
    </w:tblStylePr>
    <w:tblStylePr w:type="lastCol">
      <w:rPr>
        <w:b/>
        <w:bCs/>
      </w:rPr>
    </w:tblStylePr>
    <w:tblStylePr w:type="band1Vert">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tcPr>
    </w:tblStylePr>
    <w:tblStylePr w:type="band1Horz">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tcPr>
    </w:tblStylePr>
  </w:style>
  <w:style w:type="table" w:styleId="51">
    <w:name w:val="Light List Accent 4"/>
    <w:basedOn w:val="38"/>
    <w:qFormat/>
    <w:uiPriority w:val="61"/>
    <w:pPr>
      <w:spacing w:after="0" w:line="240" w:lineRule="auto"/>
    </w:pPr>
    <w:tblPr>
      <w:tblBorders>
        <w:top w:val="single" w:color="75BD42" w:themeColor="accent4" w:sz="8" w:space="0"/>
        <w:left w:val="single" w:color="75BD42" w:themeColor="accent4" w:sz="8" w:space="0"/>
        <w:bottom w:val="single" w:color="75BD42" w:themeColor="accent4" w:sz="8" w:space="0"/>
        <w:right w:val="single" w:color="75BD4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75BD42" w:themeFill="accent4"/>
      </w:tcPr>
    </w:tblStylePr>
    <w:tblStylePr w:type="lastRow">
      <w:pPr>
        <w:spacing w:before="0" w:after="0" w:line="240" w:lineRule="auto"/>
      </w:pPr>
      <w:rPr>
        <w:b/>
        <w:bCs/>
      </w:rPr>
      <w:tblPr/>
      <w:tcPr>
        <w:tcBorders>
          <w:top w:val="double" w:color="75BD42" w:themeColor="accent4" w:sz="6" w:space="0"/>
          <w:left w:val="single" w:color="75BD42" w:themeColor="accent4" w:sz="8" w:space="0"/>
          <w:bottom w:val="single" w:color="75BD42" w:themeColor="accent4" w:sz="8" w:space="0"/>
          <w:right w:val="single" w:color="75BD42" w:themeColor="accent4" w:sz="8" w:space="0"/>
        </w:tcBorders>
      </w:tcPr>
    </w:tblStylePr>
    <w:tblStylePr w:type="firstCol">
      <w:rPr>
        <w:b/>
        <w:bCs/>
      </w:rPr>
    </w:tblStylePr>
    <w:tblStylePr w:type="lastCol">
      <w:rPr>
        <w:b/>
        <w:bCs/>
      </w:rPr>
    </w:tblStylePr>
    <w:tblStylePr w:type="band1Vert">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tcPr>
    </w:tblStylePr>
    <w:tblStylePr w:type="band1Horz">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tcPr>
    </w:tblStylePr>
  </w:style>
  <w:style w:type="table" w:styleId="52">
    <w:name w:val="Light List Accent 5"/>
    <w:basedOn w:val="38"/>
    <w:qFormat/>
    <w:uiPriority w:val="61"/>
    <w:pPr>
      <w:spacing w:after="0" w:line="240" w:lineRule="auto"/>
    </w:pPr>
    <w:tblPr>
      <w:tblBorders>
        <w:top w:val="single" w:color="30C0B4" w:themeColor="accent5" w:sz="8" w:space="0"/>
        <w:left w:val="single" w:color="30C0B4" w:themeColor="accent5" w:sz="8" w:space="0"/>
        <w:bottom w:val="single" w:color="30C0B4" w:themeColor="accent5" w:sz="8" w:space="0"/>
        <w:right w:val="single" w:color="30C0B4"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30C0B4" w:themeFill="accent5"/>
      </w:tcPr>
    </w:tblStylePr>
    <w:tblStylePr w:type="lastRow">
      <w:pPr>
        <w:spacing w:before="0" w:after="0" w:line="240" w:lineRule="auto"/>
      </w:pPr>
      <w:rPr>
        <w:b/>
        <w:bCs/>
      </w:rPr>
      <w:tblPr/>
      <w:tcPr>
        <w:tcBorders>
          <w:top w:val="double" w:color="30C0B4" w:themeColor="accent5" w:sz="6" w:space="0"/>
          <w:left w:val="single" w:color="30C0B4" w:themeColor="accent5" w:sz="8" w:space="0"/>
          <w:bottom w:val="single" w:color="30C0B4" w:themeColor="accent5" w:sz="8" w:space="0"/>
          <w:right w:val="single" w:color="30C0B4" w:themeColor="accent5" w:sz="8" w:space="0"/>
        </w:tcBorders>
      </w:tcPr>
    </w:tblStylePr>
    <w:tblStylePr w:type="firstCol">
      <w:rPr>
        <w:b/>
        <w:bCs/>
      </w:rPr>
    </w:tblStylePr>
    <w:tblStylePr w:type="lastCol">
      <w:rPr>
        <w:b/>
        <w:bCs/>
      </w:rPr>
    </w:tblStylePr>
    <w:tblStylePr w:type="band1Vert">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tcPr>
    </w:tblStylePr>
    <w:tblStylePr w:type="band1Horz">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tcPr>
    </w:tblStylePr>
  </w:style>
  <w:style w:type="table" w:styleId="53">
    <w:name w:val="Light List Accent 6"/>
    <w:basedOn w:val="38"/>
    <w:qFormat/>
    <w:uiPriority w:val="61"/>
    <w:pPr>
      <w:spacing w:after="0" w:line="240" w:lineRule="auto"/>
    </w:pPr>
    <w:tblPr>
      <w:tblBorders>
        <w:top w:val="single" w:color="E54C5E" w:themeColor="accent6" w:sz="8" w:space="0"/>
        <w:left w:val="single" w:color="E54C5E" w:themeColor="accent6" w:sz="8" w:space="0"/>
        <w:bottom w:val="single" w:color="E54C5E" w:themeColor="accent6" w:sz="8" w:space="0"/>
        <w:right w:val="single" w:color="E54C5E"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E54C5E" w:themeFill="accent6"/>
      </w:tcPr>
    </w:tblStylePr>
    <w:tblStylePr w:type="lastRow">
      <w:pPr>
        <w:spacing w:before="0" w:after="0" w:line="240" w:lineRule="auto"/>
      </w:pPr>
      <w:rPr>
        <w:b/>
        <w:bCs/>
      </w:rPr>
      <w:tblPr/>
      <w:tcPr>
        <w:tcBorders>
          <w:top w:val="double" w:color="E54C5E" w:themeColor="accent6" w:sz="6" w:space="0"/>
          <w:left w:val="single" w:color="E54C5E" w:themeColor="accent6" w:sz="8" w:space="0"/>
          <w:bottom w:val="single" w:color="E54C5E" w:themeColor="accent6" w:sz="8" w:space="0"/>
          <w:right w:val="single" w:color="E54C5E" w:themeColor="accent6" w:sz="8" w:space="0"/>
        </w:tcBorders>
      </w:tcPr>
    </w:tblStylePr>
    <w:tblStylePr w:type="firstCol">
      <w:rPr>
        <w:b/>
        <w:bCs/>
      </w:rPr>
    </w:tblStylePr>
    <w:tblStylePr w:type="lastCol">
      <w:rPr>
        <w:b/>
        <w:bCs/>
      </w:rPr>
    </w:tblStylePr>
    <w:tblStylePr w:type="band1Vert">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tcPr>
    </w:tblStylePr>
    <w:tblStylePr w:type="band1Horz">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tcPr>
    </w:tblStylePr>
  </w:style>
  <w:style w:type="table" w:styleId="54">
    <w:name w:val="Light Grid"/>
    <w:basedOn w:val="38"/>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5">
    <w:name w:val="Light Grid Accent 1"/>
    <w:basedOn w:val="38"/>
    <w:qFormat/>
    <w:uiPriority w:val="62"/>
    <w:pPr>
      <w:spacing w:after="0" w:line="240" w:lineRule="auto"/>
    </w:pPr>
    <w:tblPr>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874CB" w:themeColor="accent1" w:sz="8" w:space="0"/>
          <w:left w:val="single" w:color="4874CB" w:themeColor="accent1" w:sz="8" w:space="0"/>
          <w:bottom w:val="single" w:color="4874CB" w:themeColor="accent1" w:sz="18" w:space="0"/>
          <w:right w:val="single" w:color="4874CB"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874CB" w:themeColor="accent1" w:sz="6" w:space="0"/>
          <w:left w:val="single" w:color="4874CB" w:themeColor="accent1" w:sz="8" w:space="0"/>
          <w:bottom w:val="single" w:color="4874CB" w:themeColor="accent1" w:sz="8" w:space="0"/>
          <w:right w:val="single" w:color="4874CB"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tcPr>
    </w:tblStylePr>
    <w:tblStylePr w:type="band1Vert">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shd w:val="clear" w:color="auto" w:fill="D1DCF2" w:themeFill="accent1" w:themeFillTint="3F"/>
      </w:tcPr>
    </w:tblStylePr>
    <w:tblStylePr w:type="band1Horz">
      <w:tblPr/>
      <w:tcPr>
        <w:tcBorders>
          <w:top w:val="single" w:color="4874CB" w:themeColor="accent1" w:sz="8" w:space="0"/>
          <w:left w:val="single" w:color="4874CB" w:themeColor="accent1" w:sz="8" w:space="0"/>
          <w:bottom w:val="single" w:color="4874CB" w:themeColor="accent1" w:sz="8" w:space="0"/>
          <w:right w:val="single" w:color="4874CB" w:themeColor="accent1" w:sz="8" w:space="0"/>
          <w:insideV w:val="single" w:sz="8" w:space="0"/>
        </w:tcBorders>
        <w:shd w:val="clear" w:color="auto" w:fill="D1DCF2" w:themeFill="accent1" w:themeFillTint="3F"/>
      </w:tcPr>
    </w:tblStylePr>
    <w:tblStylePr w:type="band2Horz">
      <w:tblPr/>
      <w:tcPr>
        <w:tcBorders>
          <w:top w:val="single" w:color="4874CB" w:themeColor="accent1" w:sz="8" w:space="0"/>
          <w:left w:val="single" w:color="4874CB" w:themeColor="accent1" w:sz="8" w:space="0"/>
          <w:bottom w:val="single" w:color="4874CB" w:themeColor="accent1" w:sz="8" w:space="0"/>
          <w:right w:val="single" w:color="4874CB" w:themeColor="accent1" w:sz="8" w:space="0"/>
          <w:insideV w:val="single" w:sz="8" w:space="0"/>
        </w:tcBorders>
      </w:tcPr>
    </w:tblStylePr>
  </w:style>
  <w:style w:type="table" w:styleId="56">
    <w:name w:val="Light Grid Accent 2"/>
    <w:basedOn w:val="38"/>
    <w:qFormat/>
    <w:uiPriority w:val="62"/>
    <w:pPr>
      <w:spacing w:after="0" w:line="240" w:lineRule="auto"/>
    </w:pPr>
    <w:tblPr>
      <w:tblBorders>
        <w:top w:val="single" w:color="EE822F" w:themeColor="accent2" w:sz="8" w:space="0"/>
        <w:left w:val="single" w:color="EE822F" w:themeColor="accent2" w:sz="8" w:space="0"/>
        <w:bottom w:val="single" w:color="EE822F" w:themeColor="accent2" w:sz="8" w:space="0"/>
        <w:right w:val="single" w:color="EE822F" w:themeColor="accent2" w:sz="8" w:space="0"/>
        <w:insideH w:val="single" w:color="EE822F" w:themeColor="accent2" w:sz="8" w:space="0"/>
        <w:insideV w:val="single" w:color="EE822F"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EE822F" w:themeColor="accent2" w:sz="8" w:space="0"/>
          <w:left w:val="single" w:color="EE822F" w:themeColor="accent2" w:sz="8" w:space="0"/>
          <w:bottom w:val="single" w:color="EE822F" w:themeColor="accent2" w:sz="18" w:space="0"/>
          <w:right w:val="single" w:color="EE822F"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EE822F" w:themeColor="accent2" w:sz="6" w:space="0"/>
          <w:left w:val="single" w:color="EE822F" w:themeColor="accent2" w:sz="8" w:space="0"/>
          <w:bottom w:val="single" w:color="EE822F" w:themeColor="accent2" w:sz="8" w:space="0"/>
          <w:right w:val="single" w:color="EE822F"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tcPr>
    </w:tblStylePr>
    <w:tblStylePr w:type="band1Vert">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shd w:val="clear" w:color="auto" w:fill="FAE0CB" w:themeFill="accent2" w:themeFillTint="3F"/>
      </w:tcPr>
    </w:tblStylePr>
    <w:tblStylePr w:type="band1Horz">
      <w:tblPr/>
      <w:tcPr>
        <w:tcBorders>
          <w:top w:val="single" w:color="EE822F" w:themeColor="accent2" w:sz="8" w:space="0"/>
          <w:left w:val="single" w:color="EE822F" w:themeColor="accent2" w:sz="8" w:space="0"/>
          <w:bottom w:val="single" w:color="EE822F" w:themeColor="accent2" w:sz="8" w:space="0"/>
          <w:right w:val="single" w:color="EE822F" w:themeColor="accent2" w:sz="8" w:space="0"/>
          <w:insideV w:val="single" w:sz="8" w:space="0"/>
        </w:tcBorders>
        <w:shd w:val="clear" w:color="auto" w:fill="FAE0CB" w:themeFill="accent2" w:themeFillTint="3F"/>
      </w:tcPr>
    </w:tblStylePr>
    <w:tblStylePr w:type="band2Horz">
      <w:tblPr/>
      <w:tcPr>
        <w:tcBorders>
          <w:top w:val="single" w:color="EE822F" w:themeColor="accent2" w:sz="8" w:space="0"/>
          <w:left w:val="single" w:color="EE822F" w:themeColor="accent2" w:sz="8" w:space="0"/>
          <w:bottom w:val="single" w:color="EE822F" w:themeColor="accent2" w:sz="8" w:space="0"/>
          <w:right w:val="single" w:color="EE822F" w:themeColor="accent2" w:sz="8" w:space="0"/>
          <w:insideV w:val="single" w:sz="8" w:space="0"/>
        </w:tcBorders>
      </w:tcPr>
    </w:tblStylePr>
  </w:style>
  <w:style w:type="table" w:styleId="57">
    <w:name w:val="Light Grid Accent 3"/>
    <w:basedOn w:val="38"/>
    <w:qFormat/>
    <w:uiPriority w:val="62"/>
    <w:pPr>
      <w:spacing w:after="0" w:line="240" w:lineRule="auto"/>
    </w:pPr>
    <w:tblPr>
      <w:tblBorders>
        <w:top w:val="single" w:color="F2BA02" w:themeColor="accent3" w:sz="8" w:space="0"/>
        <w:left w:val="single" w:color="F2BA02" w:themeColor="accent3" w:sz="8" w:space="0"/>
        <w:bottom w:val="single" w:color="F2BA02" w:themeColor="accent3" w:sz="8" w:space="0"/>
        <w:right w:val="single" w:color="F2BA02" w:themeColor="accent3" w:sz="8" w:space="0"/>
        <w:insideH w:val="single" w:color="F2BA02" w:themeColor="accent3" w:sz="8" w:space="0"/>
        <w:insideV w:val="single" w:color="F2BA02"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2BA02" w:themeColor="accent3" w:sz="8" w:space="0"/>
          <w:left w:val="single" w:color="F2BA02" w:themeColor="accent3" w:sz="8" w:space="0"/>
          <w:bottom w:val="single" w:color="F2BA02" w:themeColor="accent3" w:sz="18" w:space="0"/>
          <w:right w:val="single" w:color="F2BA02"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2BA02" w:themeColor="accent3" w:sz="6" w:space="0"/>
          <w:left w:val="single" w:color="F2BA02" w:themeColor="accent3" w:sz="8" w:space="0"/>
          <w:bottom w:val="single" w:color="F2BA02" w:themeColor="accent3" w:sz="8" w:space="0"/>
          <w:right w:val="single" w:color="F2BA02"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tcPr>
    </w:tblStylePr>
    <w:tblStylePr w:type="band1Vert">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shd w:val="clear" w:color="auto" w:fill="FEEFBD" w:themeFill="accent3" w:themeFillTint="3F"/>
      </w:tcPr>
    </w:tblStylePr>
    <w:tblStylePr w:type="band1Horz">
      <w:tblPr/>
      <w:tcPr>
        <w:tcBorders>
          <w:top w:val="single" w:color="F2BA02" w:themeColor="accent3" w:sz="8" w:space="0"/>
          <w:left w:val="single" w:color="F2BA02" w:themeColor="accent3" w:sz="8" w:space="0"/>
          <w:bottom w:val="single" w:color="F2BA02" w:themeColor="accent3" w:sz="8" w:space="0"/>
          <w:right w:val="single" w:color="F2BA02" w:themeColor="accent3" w:sz="8" w:space="0"/>
          <w:insideV w:val="single" w:sz="8" w:space="0"/>
        </w:tcBorders>
        <w:shd w:val="clear" w:color="auto" w:fill="FEEFBD" w:themeFill="accent3" w:themeFillTint="3F"/>
      </w:tcPr>
    </w:tblStylePr>
    <w:tblStylePr w:type="band2Horz">
      <w:tblPr/>
      <w:tcPr>
        <w:tcBorders>
          <w:top w:val="single" w:color="F2BA02" w:themeColor="accent3" w:sz="8" w:space="0"/>
          <w:left w:val="single" w:color="F2BA02" w:themeColor="accent3" w:sz="8" w:space="0"/>
          <w:bottom w:val="single" w:color="F2BA02" w:themeColor="accent3" w:sz="8" w:space="0"/>
          <w:right w:val="single" w:color="F2BA02" w:themeColor="accent3" w:sz="8" w:space="0"/>
          <w:insideV w:val="single" w:sz="8" w:space="0"/>
        </w:tcBorders>
      </w:tcPr>
    </w:tblStylePr>
  </w:style>
  <w:style w:type="table" w:styleId="58">
    <w:name w:val="Light Grid Accent 4"/>
    <w:basedOn w:val="38"/>
    <w:qFormat/>
    <w:uiPriority w:val="62"/>
    <w:pPr>
      <w:spacing w:after="0" w:line="240" w:lineRule="auto"/>
    </w:pPr>
    <w:tblPr>
      <w:tblBorders>
        <w:top w:val="single" w:color="75BD42" w:themeColor="accent4" w:sz="8" w:space="0"/>
        <w:left w:val="single" w:color="75BD42" w:themeColor="accent4" w:sz="8" w:space="0"/>
        <w:bottom w:val="single" w:color="75BD42" w:themeColor="accent4" w:sz="8" w:space="0"/>
        <w:right w:val="single" w:color="75BD42" w:themeColor="accent4" w:sz="8" w:space="0"/>
        <w:insideH w:val="single" w:color="75BD42" w:themeColor="accent4" w:sz="8" w:space="0"/>
        <w:insideV w:val="single" w:color="75BD4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75BD42" w:themeColor="accent4" w:sz="8" w:space="0"/>
          <w:left w:val="single" w:color="75BD42" w:themeColor="accent4" w:sz="8" w:space="0"/>
          <w:bottom w:val="single" w:color="75BD42" w:themeColor="accent4" w:sz="18" w:space="0"/>
          <w:right w:val="single" w:color="75BD4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75BD42" w:themeColor="accent4" w:sz="6" w:space="0"/>
          <w:left w:val="single" w:color="75BD42" w:themeColor="accent4" w:sz="8" w:space="0"/>
          <w:bottom w:val="single" w:color="75BD42" w:themeColor="accent4" w:sz="8" w:space="0"/>
          <w:right w:val="single" w:color="75BD4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tcPr>
    </w:tblStylePr>
    <w:tblStylePr w:type="band1Vert">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shd w:val="clear" w:color="auto" w:fill="DCEED0" w:themeFill="accent4" w:themeFillTint="3F"/>
      </w:tcPr>
    </w:tblStylePr>
    <w:tblStylePr w:type="band1Horz">
      <w:tblPr/>
      <w:tcPr>
        <w:tcBorders>
          <w:top w:val="single" w:color="75BD42" w:themeColor="accent4" w:sz="8" w:space="0"/>
          <w:left w:val="single" w:color="75BD42" w:themeColor="accent4" w:sz="8" w:space="0"/>
          <w:bottom w:val="single" w:color="75BD42" w:themeColor="accent4" w:sz="8" w:space="0"/>
          <w:right w:val="single" w:color="75BD42" w:themeColor="accent4" w:sz="8" w:space="0"/>
          <w:insideV w:val="single" w:sz="8" w:space="0"/>
        </w:tcBorders>
        <w:shd w:val="clear" w:color="auto" w:fill="DCEED0" w:themeFill="accent4" w:themeFillTint="3F"/>
      </w:tcPr>
    </w:tblStylePr>
    <w:tblStylePr w:type="band2Horz">
      <w:tblPr/>
      <w:tcPr>
        <w:tcBorders>
          <w:top w:val="single" w:color="75BD42" w:themeColor="accent4" w:sz="8" w:space="0"/>
          <w:left w:val="single" w:color="75BD42" w:themeColor="accent4" w:sz="8" w:space="0"/>
          <w:bottom w:val="single" w:color="75BD42" w:themeColor="accent4" w:sz="8" w:space="0"/>
          <w:right w:val="single" w:color="75BD42" w:themeColor="accent4" w:sz="8" w:space="0"/>
          <w:insideV w:val="single" w:sz="8" w:space="0"/>
        </w:tcBorders>
      </w:tcPr>
    </w:tblStylePr>
  </w:style>
  <w:style w:type="table" w:styleId="59">
    <w:name w:val="Light Grid Accent 5"/>
    <w:basedOn w:val="38"/>
    <w:qFormat/>
    <w:uiPriority w:val="62"/>
    <w:pPr>
      <w:spacing w:after="0" w:line="240" w:lineRule="auto"/>
    </w:pPr>
    <w:tblPr>
      <w:tblBorders>
        <w:top w:val="single" w:color="30C0B4" w:themeColor="accent5" w:sz="8" w:space="0"/>
        <w:left w:val="single" w:color="30C0B4" w:themeColor="accent5" w:sz="8" w:space="0"/>
        <w:bottom w:val="single" w:color="30C0B4" w:themeColor="accent5" w:sz="8" w:space="0"/>
        <w:right w:val="single" w:color="30C0B4" w:themeColor="accent5" w:sz="8" w:space="0"/>
        <w:insideH w:val="single" w:color="30C0B4" w:themeColor="accent5" w:sz="8" w:space="0"/>
        <w:insideV w:val="single" w:color="30C0B4"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30C0B4" w:themeColor="accent5" w:sz="8" w:space="0"/>
          <w:left w:val="single" w:color="30C0B4" w:themeColor="accent5" w:sz="8" w:space="0"/>
          <w:bottom w:val="single" w:color="30C0B4" w:themeColor="accent5" w:sz="18" w:space="0"/>
          <w:right w:val="single" w:color="30C0B4"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30C0B4" w:themeColor="accent5" w:sz="6" w:space="0"/>
          <w:left w:val="single" w:color="30C0B4" w:themeColor="accent5" w:sz="8" w:space="0"/>
          <w:bottom w:val="single" w:color="30C0B4" w:themeColor="accent5" w:sz="8" w:space="0"/>
          <w:right w:val="single" w:color="30C0B4"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tcPr>
    </w:tblStylePr>
    <w:tblStylePr w:type="band1Vert">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shd w:val="clear" w:color="auto" w:fill="C9F1EE" w:themeFill="accent5" w:themeFillTint="3F"/>
      </w:tcPr>
    </w:tblStylePr>
    <w:tblStylePr w:type="band1Horz">
      <w:tblPr/>
      <w:tcPr>
        <w:tcBorders>
          <w:top w:val="single" w:color="30C0B4" w:themeColor="accent5" w:sz="8" w:space="0"/>
          <w:left w:val="single" w:color="30C0B4" w:themeColor="accent5" w:sz="8" w:space="0"/>
          <w:bottom w:val="single" w:color="30C0B4" w:themeColor="accent5" w:sz="8" w:space="0"/>
          <w:right w:val="single" w:color="30C0B4" w:themeColor="accent5" w:sz="8" w:space="0"/>
          <w:insideV w:val="single" w:sz="8" w:space="0"/>
        </w:tcBorders>
        <w:shd w:val="clear" w:color="auto" w:fill="C9F1EE" w:themeFill="accent5" w:themeFillTint="3F"/>
      </w:tcPr>
    </w:tblStylePr>
    <w:tblStylePr w:type="band2Horz">
      <w:tblPr/>
      <w:tcPr>
        <w:tcBorders>
          <w:top w:val="single" w:color="30C0B4" w:themeColor="accent5" w:sz="8" w:space="0"/>
          <w:left w:val="single" w:color="30C0B4" w:themeColor="accent5" w:sz="8" w:space="0"/>
          <w:bottom w:val="single" w:color="30C0B4" w:themeColor="accent5" w:sz="8" w:space="0"/>
          <w:right w:val="single" w:color="30C0B4" w:themeColor="accent5" w:sz="8" w:space="0"/>
          <w:insideV w:val="single" w:sz="8" w:space="0"/>
        </w:tcBorders>
      </w:tcPr>
    </w:tblStylePr>
  </w:style>
  <w:style w:type="table" w:styleId="60">
    <w:name w:val="Light Grid Accent 6"/>
    <w:basedOn w:val="38"/>
    <w:qFormat/>
    <w:uiPriority w:val="62"/>
    <w:pPr>
      <w:spacing w:after="0" w:line="240" w:lineRule="auto"/>
    </w:pPr>
    <w:tblPr>
      <w:tblBorders>
        <w:top w:val="single" w:color="E54C5E" w:themeColor="accent6" w:sz="8" w:space="0"/>
        <w:left w:val="single" w:color="E54C5E" w:themeColor="accent6" w:sz="8" w:space="0"/>
        <w:bottom w:val="single" w:color="E54C5E" w:themeColor="accent6" w:sz="8" w:space="0"/>
        <w:right w:val="single" w:color="E54C5E" w:themeColor="accent6" w:sz="8" w:space="0"/>
        <w:insideH w:val="single" w:color="E54C5E" w:themeColor="accent6" w:sz="8" w:space="0"/>
        <w:insideV w:val="single" w:color="E54C5E"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E54C5E" w:themeColor="accent6" w:sz="8" w:space="0"/>
          <w:left w:val="single" w:color="E54C5E" w:themeColor="accent6" w:sz="8" w:space="0"/>
          <w:bottom w:val="single" w:color="E54C5E" w:themeColor="accent6" w:sz="18" w:space="0"/>
          <w:right w:val="single" w:color="E54C5E"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E54C5E" w:themeColor="accent6" w:sz="6" w:space="0"/>
          <w:left w:val="single" w:color="E54C5E" w:themeColor="accent6" w:sz="8" w:space="0"/>
          <w:bottom w:val="single" w:color="E54C5E" w:themeColor="accent6" w:sz="8" w:space="0"/>
          <w:right w:val="single" w:color="E54C5E"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tcPr>
    </w:tblStylePr>
    <w:tblStylePr w:type="band1Vert">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shd w:val="clear" w:color="auto" w:fill="F8D2D7" w:themeFill="accent6" w:themeFillTint="3F"/>
      </w:tcPr>
    </w:tblStylePr>
    <w:tblStylePr w:type="band1Horz">
      <w:tblPr/>
      <w:tcPr>
        <w:tcBorders>
          <w:top w:val="single" w:color="E54C5E" w:themeColor="accent6" w:sz="8" w:space="0"/>
          <w:left w:val="single" w:color="E54C5E" w:themeColor="accent6" w:sz="8" w:space="0"/>
          <w:bottom w:val="single" w:color="E54C5E" w:themeColor="accent6" w:sz="8" w:space="0"/>
          <w:right w:val="single" w:color="E54C5E" w:themeColor="accent6" w:sz="8" w:space="0"/>
          <w:insideV w:val="single" w:sz="8" w:space="0"/>
        </w:tcBorders>
        <w:shd w:val="clear" w:color="auto" w:fill="F8D2D7" w:themeFill="accent6" w:themeFillTint="3F"/>
      </w:tcPr>
    </w:tblStylePr>
    <w:tblStylePr w:type="band2Horz">
      <w:tblPr/>
      <w:tcPr>
        <w:tcBorders>
          <w:top w:val="single" w:color="E54C5E" w:themeColor="accent6" w:sz="8" w:space="0"/>
          <w:left w:val="single" w:color="E54C5E" w:themeColor="accent6" w:sz="8" w:space="0"/>
          <w:bottom w:val="single" w:color="E54C5E" w:themeColor="accent6" w:sz="8" w:space="0"/>
          <w:right w:val="single" w:color="E54C5E" w:themeColor="accent6" w:sz="8" w:space="0"/>
          <w:insideV w:val="single" w:sz="8" w:space="0"/>
        </w:tcBorders>
      </w:tcPr>
    </w:tblStylePr>
  </w:style>
  <w:style w:type="table" w:styleId="61">
    <w:name w:val="Medium Shading 1"/>
    <w:basedOn w:val="38"/>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2">
    <w:name w:val="Medium Shading 1 Accent 1"/>
    <w:basedOn w:val="38"/>
    <w:qFormat/>
    <w:uiPriority w:val="63"/>
    <w:pPr>
      <w:spacing w:after="0" w:line="240" w:lineRule="auto"/>
    </w:pPr>
    <w:tblPr>
      <w:tblBorders>
        <w:top w:val="single" w:color="7596D8" w:themeColor="accent1" w:themeTint="BF" w:sz="8" w:space="0"/>
        <w:left w:val="single" w:color="7596D8" w:themeColor="accent1" w:themeTint="BF" w:sz="8" w:space="0"/>
        <w:bottom w:val="single" w:color="7596D8" w:themeColor="accent1" w:themeTint="BF" w:sz="8" w:space="0"/>
        <w:right w:val="single" w:color="7596D8" w:themeColor="accent1" w:themeTint="BF" w:sz="8" w:space="0"/>
        <w:insideH w:val="single" w:color="7596D8"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596D8" w:themeColor="accent1" w:themeTint="BF" w:sz="8" w:space="0"/>
          <w:left w:val="single" w:color="7596D8" w:themeColor="accent1" w:themeTint="BF" w:sz="8" w:space="0"/>
          <w:bottom w:val="single" w:color="7596D8" w:themeColor="accent1" w:themeTint="BF" w:sz="8" w:space="0"/>
          <w:right w:val="single" w:color="7596D8" w:themeColor="accent1" w:themeTint="BF" w:sz="8" w:space="0"/>
          <w:insideH w:val="nil"/>
          <w:insideV w:val="nil"/>
        </w:tcBorders>
        <w:shd w:val="clear" w:color="auto" w:fill="4874CB" w:themeFill="accent1"/>
      </w:tcPr>
    </w:tblStylePr>
    <w:tblStylePr w:type="lastRow">
      <w:pPr>
        <w:spacing w:before="0" w:after="0" w:line="240" w:lineRule="auto"/>
      </w:pPr>
      <w:rPr>
        <w:b/>
        <w:bCs/>
      </w:rPr>
      <w:tblPr/>
      <w:tcPr>
        <w:tcBorders>
          <w:top w:val="double" w:color="7596D8" w:themeColor="accent1" w:themeTint="BF" w:sz="6" w:space="0"/>
          <w:left w:val="single" w:color="7596D8" w:themeColor="accent1" w:themeTint="BF" w:sz="8" w:space="0"/>
          <w:bottom w:val="single" w:color="7596D8" w:themeColor="accent1" w:themeTint="BF" w:sz="8" w:space="0"/>
          <w:right w:val="single" w:color="7596D8"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1DCF2" w:themeFill="accent1" w:themeFillTint="3F"/>
      </w:tcPr>
    </w:tblStylePr>
    <w:tblStylePr w:type="band1Horz">
      <w:tblPr/>
      <w:tcPr>
        <w:tcBorders>
          <w:insideH w:val="nil"/>
          <w:insideV w:val="nil"/>
        </w:tcBorders>
        <w:shd w:val="clear" w:color="auto" w:fill="D1DCF2" w:themeFill="accent1" w:themeFillTint="3F"/>
      </w:tcPr>
    </w:tblStylePr>
    <w:tblStylePr w:type="band2Horz">
      <w:tblPr/>
      <w:tcPr>
        <w:tcBorders>
          <w:insideH w:val="nil"/>
          <w:insideV w:val="nil"/>
        </w:tcBorders>
      </w:tcPr>
    </w:tblStylePr>
  </w:style>
  <w:style w:type="table" w:styleId="63">
    <w:name w:val="Medium Shading 1 Accent 2"/>
    <w:basedOn w:val="38"/>
    <w:qFormat/>
    <w:uiPriority w:val="63"/>
    <w:pPr>
      <w:spacing w:after="0" w:line="240" w:lineRule="auto"/>
    </w:pPr>
    <w:tblPr>
      <w:tblBorders>
        <w:top w:val="single" w:color="F2A163" w:themeColor="accent2" w:themeTint="BF" w:sz="8" w:space="0"/>
        <w:left w:val="single" w:color="F2A163" w:themeColor="accent2" w:themeTint="BF" w:sz="8" w:space="0"/>
        <w:bottom w:val="single" w:color="F2A163" w:themeColor="accent2" w:themeTint="BF" w:sz="8" w:space="0"/>
        <w:right w:val="single" w:color="F2A163" w:themeColor="accent2" w:themeTint="BF" w:sz="8" w:space="0"/>
        <w:insideH w:val="single" w:color="F2A163"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2A163" w:themeColor="accent2" w:themeTint="BF" w:sz="8" w:space="0"/>
          <w:left w:val="single" w:color="F2A163" w:themeColor="accent2" w:themeTint="BF" w:sz="8" w:space="0"/>
          <w:bottom w:val="single" w:color="F2A163" w:themeColor="accent2" w:themeTint="BF" w:sz="8" w:space="0"/>
          <w:right w:val="single" w:color="F2A163" w:themeColor="accent2" w:themeTint="BF" w:sz="8" w:space="0"/>
          <w:insideH w:val="nil"/>
          <w:insideV w:val="nil"/>
        </w:tcBorders>
        <w:shd w:val="clear" w:color="auto" w:fill="EE822F" w:themeFill="accent2"/>
      </w:tcPr>
    </w:tblStylePr>
    <w:tblStylePr w:type="lastRow">
      <w:pPr>
        <w:spacing w:before="0" w:after="0" w:line="240" w:lineRule="auto"/>
      </w:pPr>
      <w:rPr>
        <w:b/>
        <w:bCs/>
      </w:rPr>
      <w:tblPr/>
      <w:tcPr>
        <w:tcBorders>
          <w:top w:val="double" w:color="F2A163" w:themeColor="accent2" w:themeTint="BF" w:sz="6" w:space="0"/>
          <w:left w:val="single" w:color="F2A163" w:themeColor="accent2" w:themeTint="BF" w:sz="8" w:space="0"/>
          <w:bottom w:val="single" w:color="F2A163" w:themeColor="accent2" w:themeTint="BF" w:sz="8" w:space="0"/>
          <w:right w:val="single" w:color="F2A163"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FAE0CB" w:themeFill="accent2" w:themeFillTint="3F"/>
      </w:tcPr>
    </w:tblStylePr>
    <w:tblStylePr w:type="band1Horz">
      <w:tblPr/>
      <w:tcPr>
        <w:tcBorders>
          <w:insideH w:val="nil"/>
          <w:insideV w:val="nil"/>
        </w:tcBorders>
        <w:shd w:val="clear" w:color="auto" w:fill="FAE0CB" w:themeFill="accent2" w:themeFillTint="3F"/>
      </w:tcPr>
    </w:tblStylePr>
    <w:tblStylePr w:type="band2Horz">
      <w:tblPr/>
      <w:tcPr>
        <w:tcBorders>
          <w:insideH w:val="nil"/>
          <w:insideV w:val="nil"/>
        </w:tcBorders>
      </w:tcPr>
    </w:tblStylePr>
  </w:style>
  <w:style w:type="table" w:styleId="64">
    <w:name w:val="Medium Shading 1 Accent 3"/>
    <w:basedOn w:val="38"/>
    <w:qFormat/>
    <w:uiPriority w:val="63"/>
    <w:pPr>
      <w:spacing w:after="0" w:line="240" w:lineRule="auto"/>
    </w:pPr>
    <w:tblPr>
      <w:tblBorders>
        <w:top w:val="single" w:color="FDCF39" w:themeColor="accent3" w:themeTint="BF" w:sz="8" w:space="0"/>
        <w:left w:val="single" w:color="FDCF39" w:themeColor="accent3" w:themeTint="BF" w:sz="8" w:space="0"/>
        <w:bottom w:val="single" w:color="FDCF39" w:themeColor="accent3" w:themeTint="BF" w:sz="8" w:space="0"/>
        <w:right w:val="single" w:color="FDCF39" w:themeColor="accent3" w:themeTint="BF" w:sz="8" w:space="0"/>
        <w:insideH w:val="single" w:color="FDCF39"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DCF39" w:themeColor="accent3" w:themeTint="BF" w:sz="8" w:space="0"/>
          <w:left w:val="single" w:color="FDCF39" w:themeColor="accent3" w:themeTint="BF" w:sz="8" w:space="0"/>
          <w:bottom w:val="single" w:color="FDCF39" w:themeColor="accent3" w:themeTint="BF" w:sz="8" w:space="0"/>
          <w:right w:val="single" w:color="FDCF39" w:themeColor="accent3" w:themeTint="BF" w:sz="8" w:space="0"/>
          <w:insideH w:val="nil"/>
          <w:insideV w:val="nil"/>
        </w:tcBorders>
        <w:shd w:val="clear" w:color="auto" w:fill="F2BA02" w:themeFill="accent3"/>
      </w:tcPr>
    </w:tblStylePr>
    <w:tblStylePr w:type="lastRow">
      <w:pPr>
        <w:spacing w:before="0" w:after="0" w:line="240" w:lineRule="auto"/>
      </w:pPr>
      <w:rPr>
        <w:b/>
        <w:bCs/>
      </w:rPr>
      <w:tblPr/>
      <w:tcPr>
        <w:tcBorders>
          <w:top w:val="double" w:color="FDCF39" w:themeColor="accent3" w:themeTint="BF" w:sz="6" w:space="0"/>
          <w:left w:val="single" w:color="FDCF39" w:themeColor="accent3" w:themeTint="BF" w:sz="8" w:space="0"/>
          <w:bottom w:val="single" w:color="FDCF39" w:themeColor="accent3" w:themeTint="BF" w:sz="8" w:space="0"/>
          <w:right w:val="single" w:color="FDCF39"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FEEFBD" w:themeFill="accent3" w:themeFillTint="3F"/>
      </w:tcPr>
    </w:tblStylePr>
    <w:tblStylePr w:type="band1Horz">
      <w:tblPr/>
      <w:tcPr>
        <w:tcBorders>
          <w:insideH w:val="nil"/>
          <w:insideV w:val="nil"/>
        </w:tcBorders>
        <w:shd w:val="clear" w:color="auto" w:fill="FEEFBD" w:themeFill="accent3" w:themeFillTint="3F"/>
      </w:tcPr>
    </w:tblStylePr>
    <w:tblStylePr w:type="band2Horz">
      <w:tblPr/>
      <w:tcPr>
        <w:tcBorders>
          <w:insideH w:val="nil"/>
          <w:insideV w:val="nil"/>
        </w:tcBorders>
      </w:tcPr>
    </w:tblStylePr>
  </w:style>
  <w:style w:type="table" w:styleId="65">
    <w:name w:val="Medium Shading 1 Accent 4"/>
    <w:basedOn w:val="38"/>
    <w:qFormat/>
    <w:uiPriority w:val="63"/>
    <w:pPr>
      <w:spacing w:after="0" w:line="240" w:lineRule="auto"/>
    </w:pPr>
    <w:tblPr>
      <w:tblBorders>
        <w:top w:val="single" w:color="97CD71" w:themeColor="accent4" w:themeTint="BF" w:sz="8" w:space="0"/>
        <w:left w:val="single" w:color="97CD71" w:themeColor="accent4" w:themeTint="BF" w:sz="8" w:space="0"/>
        <w:bottom w:val="single" w:color="97CD71" w:themeColor="accent4" w:themeTint="BF" w:sz="8" w:space="0"/>
        <w:right w:val="single" w:color="97CD71" w:themeColor="accent4" w:themeTint="BF" w:sz="8" w:space="0"/>
        <w:insideH w:val="single" w:color="97CD71"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7CD71" w:themeColor="accent4" w:themeTint="BF" w:sz="8" w:space="0"/>
          <w:left w:val="single" w:color="97CD71" w:themeColor="accent4" w:themeTint="BF" w:sz="8" w:space="0"/>
          <w:bottom w:val="single" w:color="97CD71" w:themeColor="accent4" w:themeTint="BF" w:sz="8" w:space="0"/>
          <w:right w:val="single" w:color="97CD71" w:themeColor="accent4" w:themeTint="BF" w:sz="8" w:space="0"/>
          <w:insideH w:val="nil"/>
          <w:insideV w:val="nil"/>
        </w:tcBorders>
        <w:shd w:val="clear" w:color="auto" w:fill="75BD42" w:themeFill="accent4"/>
      </w:tcPr>
    </w:tblStylePr>
    <w:tblStylePr w:type="lastRow">
      <w:pPr>
        <w:spacing w:before="0" w:after="0" w:line="240" w:lineRule="auto"/>
      </w:pPr>
      <w:rPr>
        <w:b/>
        <w:bCs/>
      </w:rPr>
      <w:tblPr/>
      <w:tcPr>
        <w:tcBorders>
          <w:top w:val="double" w:color="97CD71" w:themeColor="accent4" w:themeTint="BF" w:sz="6" w:space="0"/>
          <w:left w:val="single" w:color="97CD71" w:themeColor="accent4" w:themeTint="BF" w:sz="8" w:space="0"/>
          <w:bottom w:val="single" w:color="97CD71" w:themeColor="accent4" w:themeTint="BF" w:sz="8" w:space="0"/>
          <w:right w:val="single" w:color="97CD71"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CEED0" w:themeFill="accent4" w:themeFillTint="3F"/>
      </w:tcPr>
    </w:tblStylePr>
    <w:tblStylePr w:type="band1Horz">
      <w:tblPr/>
      <w:tcPr>
        <w:tcBorders>
          <w:insideH w:val="nil"/>
          <w:insideV w:val="nil"/>
        </w:tcBorders>
        <w:shd w:val="clear" w:color="auto" w:fill="DCEED0" w:themeFill="accent4" w:themeFillTint="3F"/>
      </w:tcPr>
    </w:tblStylePr>
    <w:tblStylePr w:type="band2Horz">
      <w:tblPr/>
      <w:tcPr>
        <w:tcBorders>
          <w:insideH w:val="nil"/>
          <w:insideV w:val="nil"/>
        </w:tcBorders>
      </w:tcPr>
    </w:tblStylePr>
  </w:style>
  <w:style w:type="table" w:styleId="66">
    <w:name w:val="Medium Shading 1 Accent 5"/>
    <w:basedOn w:val="38"/>
    <w:qFormat/>
    <w:uiPriority w:val="63"/>
    <w:pPr>
      <w:spacing w:after="0" w:line="240" w:lineRule="auto"/>
    </w:pPr>
    <w:tblPr>
      <w:tblBorders>
        <w:top w:val="single" w:color="5DD6CC" w:themeColor="accent5" w:themeTint="BF" w:sz="8" w:space="0"/>
        <w:left w:val="single" w:color="5DD6CC" w:themeColor="accent5" w:themeTint="BF" w:sz="8" w:space="0"/>
        <w:bottom w:val="single" w:color="5DD6CC" w:themeColor="accent5" w:themeTint="BF" w:sz="8" w:space="0"/>
        <w:right w:val="single" w:color="5DD6CC" w:themeColor="accent5" w:themeTint="BF" w:sz="8" w:space="0"/>
        <w:insideH w:val="single" w:color="5DD6CC"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5DD6CC" w:themeColor="accent5" w:themeTint="BF" w:sz="8" w:space="0"/>
          <w:left w:val="single" w:color="5DD6CC" w:themeColor="accent5" w:themeTint="BF" w:sz="8" w:space="0"/>
          <w:bottom w:val="single" w:color="5DD6CC" w:themeColor="accent5" w:themeTint="BF" w:sz="8" w:space="0"/>
          <w:right w:val="single" w:color="5DD6CC" w:themeColor="accent5" w:themeTint="BF" w:sz="8" w:space="0"/>
          <w:insideH w:val="nil"/>
          <w:insideV w:val="nil"/>
        </w:tcBorders>
        <w:shd w:val="clear" w:color="auto" w:fill="30C0B4" w:themeFill="accent5"/>
      </w:tcPr>
    </w:tblStylePr>
    <w:tblStylePr w:type="lastRow">
      <w:pPr>
        <w:spacing w:before="0" w:after="0" w:line="240" w:lineRule="auto"/>
      </w:pPr>
      <w:rPr>
        <w:b/>
        <w:bCs/>
      </w:rPr>
      <w:tblPr/>
      <w:tcPr>
        <w:tcBorders>
          <w:top w:val="double" w:color="5DD6CC" w:themeColor="accent5" w:themeTint="BF" w:sz="6" w:space="0"/>
          <w:left w:val="single" w:color="5DD6CC" w:themeColor="accent5" w:themeTint="BF" w:sz="8" w:space="0"/>
          <w:bottom w:val="single" w:color="5DD6CC" w:themeColor="accent5" w:themeTint="BF" w:sz="8" w:space="0"/>
          <w:right w:val="single" w:color="5DD6CC"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C9F1EE" w:themeFill="accent5" w:themeFillTint="3F"/>
      </w:tcPr>
    </w:tblStylePr>
    <w:tblStylePr w:type="band1Horz">
      <w:tblPr/>
      <w:tcPr>
        <w:tcBorders>
          <w:insideH w:val="nil"/>
          <w:insideV w:val="nil"/>
        </w:tcBorders>
        <w:shd w:val="clear" w:color="auto" w:fill="C9F1EE" w:themeFill="accent5" w:themeFillTint="3F"/>
      </w:tcPr>
    </w:tblStylePr>
    <w:tblStylePr w:type="band2Horz">
      <w:tblPr/>
      <w:tcPr>
        <w:tcBorders>
          <w:insideH w:val="nil"/>
          <w:insideV w:val="nil"/>
        </w:tcBorders>
      </w:tcPr>
    </w:tblStylePr>
  </w:style>
  <w:style w:type="table" w:styleId="67">
    <w:name w:val="Medium Shading 1 Accent 6"/>
    <w:basedOn w:val="38"/>
    <w:qFormat/>
    <w:uiPriority w:val="63"/>
    <w:pPr>
      <w:spacing w:after="0" w:line="240" w:lineRule="auto"/>
    </w:pPr>
    <w:tblPr>
      <w:tblBorders>
        <w:top w:val="single" w:color="EB7886" w:themeColor="accent6" w:themeTint="BF" w:sz="8" w:space="0"/>
        <w:left w:val="single" w:color="EB7886" w:themeColor="accent6" w:themeTint="BF" w:sz="8" w:space="0"/>
        <w:bottom w:val="single" w:color="EB7886" w:themeColor="accent6" w:themeTint="BF" w:sz="8" w:space="0"/>
        <w:right w:val="single" w:color="EB7886" w:themeColor="accent6" w:themeTint="BF" w:sz="8" w:space="0"/>
        <w:insideH w:val="single" w:color="EB7886"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EB7886" w:themeColor="accent6" w:themeTint="BF" w:sz="8" w:space="0"/>
          <w:left w:val="single" w:color="EB7886" w:themeColor="accent6" w:themeTint="BF" w:sz="8" w:space="0"/>
          <w:bottom w:val="single" w:color="EB7886" w:themeColor="accent6" w:themeTint="BF" w:sz="8" w:space="0"/>
          <w:right w:val="single" w:color="EB7886" w:themeColor="accent6" w:themeTint="BF" w:sz="8" w:space="0"/>
          <w:insideH w:val="nil"/>
          <w:insideV w:val="nil"/>
        </w:tcBorders>
        <w:shd w:val="clear" w:color="auto" w:fill="E54C5E" w:themeFill="accent6"/>
      </w:tcPr>
    </w:tblStylePr>
    <w:tblStylePr w:type="lastRow">
      <w:pPr>
        <w:spacing w:before="0" w:after="0" w:line="240" w:lineRule="auto"/>
      </w:pPr>
      <w:rPr>
        <w:b/>
        <w:bCs/>
      </w:rPr>
      <w:tblPr/>
      <w:tcPr>
        <w:tcBorders>
          <w:top w:val="double" w:color="EB7886" w:themeColor="accent6" w:themeTint="BF" w:sz="6" w:space="0"/>
          <w:left w:val="single" w:color="EB7886" w:themeColor="accent6" w:themeTint="BF" w:sz="8" w:space="0"/>
          <w:bottom w:val="single" w:color="EB7886" w:themeColor="accent6" w:themeTint="BF" w:sz="8" w:space="0"/>
          <w:right w:val="single" w:color="EB7886"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8D2D7" w:themeFill="accent6" w:themeFillTint="3F"/>
      </w:tcPr>
    </w:tblStylePr>
    <w:tblStylePr w:type="band1Horz">
      <w:tblPr/>
      <w:tcPr>
        <w:tcBorders>
          <w:insideH w:val="nil"/>
          <w:insideV w:val="nil"/>
        </w:tcBorders>
        <w:shd w:val="clear" w:color="auto" w:fill="F8D2D7" w:themeFill="accent6" w:themeFillTint="3F"/>
      </w:tcPr>
    </w:tblStylePr>
    <w:tblStylePr w:type="band2Horz">
      <w:tblPr/>
      <w:tcPr>
        <w:tcBorders>
          <w:insideH w:val="nil"/>
          <w:insideV w:val="nil"/>
        </w:tcBorders>
      </w:tcPr>
    </w:tblStylePr>
  </w:style>
  <w:style w:type="table" w:styleId="68">
    <w:name w:val="Medium Shading 2"/>
    <w:basedOn w:val="38"/>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1"/>
    <w:basedOn w:val="38"/>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874CB"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874CB"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874CB"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2"/>
    <w:basedOn w:val="38"/>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EE822F"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EE822F"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EE822F"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3"/>
    <w:basedOn w:val="38"/>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2BA02"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2BA02"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2BA02"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4"/>
    <w:basedOn w:val="38"/>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75BD4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75BD4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75BD4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5"/>
    <w:basedOn w:val="38"/>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30C0B4"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30C0B4"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30C0B4"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6"/>
    <w:basedOn w:val="38"/>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E54C5E"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E54C5E"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E54C5E"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List 1"/>
    <w:basedOn w:val="38"/>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44546A"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6">
    <w:name w:val="Medium List 1 Accent 1"/>
    <w:basedOn w:val="38"/>
    <w:qFormat/>
    <w:uiPriority w:val="65"/>
    <w:pPr>
      <w:spacing w:after="0" w:line="240" w:lineRule="auto"/>
    </w:pPr>
    <w:rPr>
      <w:color w:val="000000" w:themeColor="text1"/>
      <w14:textFill>
        <w14:solidFill>
          <w14:schemeClr w14:val="tx1"/>
        </w14:solidFill>
      </w14:textFill>
    </w:rPr>
    <w:tblPr>
      <w:tblBorders>
        <w:top w:val="single" w:color="4874CB" w:themeColor="accent1" w:sz="8" w:space="0"/>
        <w:bottom w:val="single" w:color="4874CB"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874CB" w:themeColor="accent1" w:sz="8" w:space="0"/>
        </w:tcBorders>
      </w:tcPr>
    </w:tblStylePr>
    <w:tblStylePr w:type="lastRow">
      <w:rPr>
        <w:b/>
        <w:bCs/>
        <w:color w:val="44546A" w:themeColor="text2"/>
        <w14:textFill>
          <w14:solidFill>
            <w14:schemeClr w14:val="tx2"/>
          </w14:solidFill>
        </w14:textFill>
      </w:rPr>
      <w:tblPr/>
      <w:tcPr>
        <w:tcBorders>
          <w:top w:val="single" w:color="4874CB" w:themeColor="accent1" w:sz="8" w:space="0"/>
          <w:bottom w:val="single" w:color="4874CB" w:themeColor="accent1" w:sz="8" w:space="0"/>
        </w:tcBorders>
      </w:tcPr>
    </w:tblStylePr>
    <w:tblStylePr w:type="firstCol">
      <w:rPr>
        <w:b/>
        <w:bCs/>
      </w:rPr>
    </w:tblStylePr>
    <w:tblStylePr w:type="lastCol">
      <w:rPr>
        <w:b/>
        <w:bCs/>
      </w:rPr>
      <w:tblPr/>
      <w:tcPr>
        <w:tcBorders>
          <w:top w:val="single" w:color="4874CB" w:themeColor="accent1" w:sz="8" w:space="0"/>
          <w:bottom w:val="single" w:color="4874CB" w:themeColor="accent1" w:sz="8" w:space="0"/>
        </w:tcBorders>
      </w:tcPr>
    </w:tblStylePr>
    <w:tblStylePr w:type="band1Vert">
      <w:tblPr/>
      <w:tcPr>
        <w:shd w:val="clear" w:color="auto" w:fill="D1DCF2" w:themeFill="accent1" w:themeFillTint="3F"/>
      </w:tcPr>
    </w:tblStylePr>
    <w:tblStylePr w:type="band1Horz">
      <w:tblPr/>
      <w:tcPr>
        <w:shd w:val="clear" w:color="auto" w:fill="D1DCF2" w:themeFill="accent1" w:themeFillTint="3F"/>
      </w:tcPr>
    </w:tblStylePr>
  </w:style>
  <w:style w:type="table" w:styleId="77">
    <w:name w:val="Medium List 1 Accent 2"/>
    <w:basedOn w:val="38"/>
    <w:qFormat/>
    <w:uiPriority w:val="65"/>
    <w:pPr>
      <w:spacing w:after="0" w:line="240" w:lineRule="auto"/>
    </w:pPr>
    <w:rPr>
      <w:color w:val="000000" w:themeColor="text1"/>
      <w14:textFill>
        <w14:solidFill>
          <w14:schemeClr w14:val="tx1"/>
        </w14:solidFill>
      </w14:textFill>
    </w:rPr>
    <w:tblPr>
      <w:tblBorders>
        <w:top w:val="single" w:color="EE822F" w:themeColor="accent2" w:sz="8" w:space="0"/>
        <w:bottom w:val="single" w:color="EE822F"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EE822F" w:themeColor="accent2" w:sz="8" w:space="0"/>
        </w:tcBorders>
      </w:tcPr>
    </w:tblStylePr>
    <w:tblStylePr w:type="lastRow">
      <w:rPr>
        <w:b/>
        <w:bCs/>
        <w:color w:val="44546A" w:themeColor="text2"/>
        <w14:textFill>
          <w14:solidFill>
            <w14:schemeClr w14:val="tx2"/>
          </w14:solidFill>
        </w14:textFill>
      </w:rPr>
      <w:tblPr/>
      <w:tcPr>
        <w:tcBorders>
          <w:top w:val="single" w:color="EE822F" w:themeColor="accent2" w:sz="8" w:space="0"/>
          <w:bottom w:val="single" w:color="EE822F" w:themeColor="accent2" w:sz="8" w:space="0"/>
        </w:tcBorders>
      </w:tcPr>
    </w:tblStylePr>
    <w:tblStylePr w:type="firstCol">
      <w:rPr>
        <w:b/>
        <w:bCs/>
      </w:rPr>
    </w:tblStylePr>
    <w:tblStylePr w:type="lastCol">
      <w:rPr>
        <w:b/>
        <w:bCs/>
      </w:rPr>
      <w:tblPr/>
      <w:tcPr>
        <w:tcBorders>
          <w:top w:val="single" w:color="EE822F" w:themeColor="accent2" w:sz="8" w:space="0"/>
          <w:bottom w:val="single" w:color="EE822F" w:themeColor="accent2" w:sz="8" w:space="0"/>
        </w:tcBorders>
      </w:tcPr>
    </w:tblStylePr>
    <w:tblStylePr w:type="band1Vert">
      <w:tblPr/>
      <w:tcPr>
        <w:shd w:val="clear" w:color="auto" w:fill="FAE0CB" w:themeFill="accent2" w:themeFillTint="3F"/>
      </w:tcPr>
    </w:tblStylePr>
    <w:tblStylePr w:type="band1Horz">
      <w:tblPr/>
      <w:tcPr>
        <w:shd w:val="clear" w:color="auto" w:fill="FAE0CB" w:themeFill="accent2" w:themeFillTint="3F"/>
      </w:tcPr>
    </w:tblStylePr>
  </w:style>
  <w:style w:type="table" w:styleId="78">
    <w:name w:val="Medium List 1 Accent 3"/>
    <w:basedOn w:val="38"/>
    <w:qFormat/>
    <w:uiPriority w:val="65"/>
    <w:pPr>
      <w:spacing w:after="0" w:line="240" w:lineRule="auto"/>
    </w:pPr>
    <w:rPr>
      <w:color w:val="000000" w:themeColor="text1"/>
      <w14:textFill>
        <w14:solidFill>
          <w14:schemeClr w14:val="tx1"/>
        </w14:solidFill>
      </w14:textFill>
    </w:rPr>
    <w:tblPr>
      <w:tblBorders>
        <w:top w:val="single" w:color="F2BA02" w:themeColor="accent3" w:sz="8" w:space="0"/>
        <w:bottom w:val="single" w:color="F2BA02"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2BA02" w:themeColor="accent3" w:sz="8" w:space="0"/>
        </w:tcBorders>
      </w:tcPr>
    </w:tblStylePr>
    <w:tblStylePr w:type="lastRow">
      <w:rPr>
        <w:b/>
        <w:bCs/>
        <w:color w:val="44546A" w:themeColor="text2"/>
        <w14:textFill>
          <w14:solidFill>
            <w14:schemeClr w14:val="tx2"/>
          </w14:solidFill>
        </w14:textFill>
      </w:rPr>
      <w:tblPr/>
      <w:tcPr>
        <w:tcBorders>
          <w:top w:val="single" w:color="F2BA02" w:themeColor="accent3" w:sz="8" w:space="0"/>
          <w:bottom w:val="single" w:color="F2BA02" w:themeColor="accent3" w:sz="8" w:space="0"/>
        </w:tcBorders>
      </w:tcPr>
    </w:tblStylePr>
    <w:tblStylePr w:type="firstCol">
      <w:rPr>
        <w:b/>
        <w:bCs/>
      </w:rPr>
    </w:tblStylePr>
    <w:tblStylePr w:type="lastCol">
      <w:rPr>
        <w:b/>
        <w:bCs/>
      </w:rPr>
      <w:tblPr/>
      <w:tcPr>
        <w:tcBorders>
          <w:top w:val="single" w:color="F2BA02" w:themeColor="accent3" w:sz="8" w:space="0"/>
          <w:bottom w:val="single" w:color="F2BA02" w:themeColor="accent3" w:sz="8" w:space="0"/>
        </w:tcBorders>
      </w:tcPr>
    </w:tblStylePr>
    <w:tblStylePr w:type="band1Vert">
      <w:tblPr/>
      <w:tcPr>
        <w:shd w:val="clear" w:color="auto" w:fill="FEEFBD" w:themeFill="accent3" w:themeFillTint="3F"/>
      </w:tcPr>
    </w:tblStylePr>
    <w:tblStylePr w:type="band1Horz">
      <w:tblPr/>
      <w:tcPr>
        <w:shd w:val="clear" w:color="auto" w:fill="FEEFBD" w:themeFill="accent3" w:themeFillTint="3F"/>
      </w:tcPr>
    </w:tblStylePr>
  </w:style>
  <w:style w:type="table" w:styleId="79">
    <w:name w:val="Medium List 1 Accent 4"/>
    <w:basedOn w:val="38"/>
    <w:qFormat/>
    <w:uiPriority w:val="65"/>
    <w:pPr>
      <w:spacing w:after="0" w:line="240" w:lineRule="auto"/>
    </w:pPr>
    <w:rPr>
      <w:color w:val="000000" w:themeColor="text1"/>
      <w14:textFill>
        <w14:solidFill>
          <w14:schemeClr w14:val="tx1"/>
        </w14:solidFill>
      </w14:textFill>
    </w:rPr>
    <w:tblPr>
      <w:tblBorders>
        <w:top w:val="single" w:color="75BD42" w:themeColor="accent4" w:sz="8" w:space="0"/>
        <w:bottom w:val="single" w:color="75BD4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75BD42" w:themeColor="accent4" w:sz="8" w:space="0"/>
        </w:tcBorders>
      </w:tcPr>
    </w:tblStylePr>
    <w:tblStylePr w:type="lastRow">
      <w:rPr>
        <w:b/>
        <w:bCs/>
        <w:color w:val="44546A" w:themeColor="text2"/>
        <w14:textFill>
          <w14:solidFill>
            <w14:schemeClr w14:val="tx2"/>
          </w14:solidFill>
        </w14:textFill>
      </w:rPr>
      <w:tblPr/>
      <w:tcPr>
        <w:tcBorders>
          <w:top w:val="single" w:color="75BD42" w:themeColor="accent4" w:sz="8" w:space="0"/>
          <w:bottom w:val="single" w:color="75BD42" w:themeColor="accent4" w:sz="8" w:space="0"/>
        </w:tcBorders>
      </w:tcPr>
    </w:tblStylePr>
    <w:tblStylePr w:type="firstCol">
      <w:rPr>
        <w:b/>
        <w:bCs/>
      </w:rPr>
    </w:tblStylePr>
    <w:tblStylePr w:type="lastCol">
      <w:rPr>
        <w:b/>
        <w:bCs/>
      </w:rPr>
      <w:tblPr/>
      <w:tcPr>
        <w:tcBorders>
          <w:top w:val="single" w:color="75BD42" w:themeColor="accent4" w:sz="8" w:space="0"/>
          <w:bottom w:val="single" w:color="75BD42" w:themeColor="accent4" w:sz="8" w:space="0"/>
        </w:tcBorders>
      </w:tcPr>
    </w:tblStylePr>
    <w:tblStylePr w:type="band1Vert">
      <w:tblPr/>
      <w:tcPr>
        <w:shd w:val="clear" w:color="auto" w:fill="DCEED0" w:themeFill="accent4" w:themeFillTint="3F"/>
      </w:tcPr>
    </w:tblStylePr>
    <w:tblStylePr w:type="band1Horz">
      <w:tblPr/>
      <w:tcPr>
        <w:shd w:val="clear" w:color="auto" w:fill="DCEED0" w:themeFill="accent4" w:themeFillTint="3F"/>
      </w:tcPr>
    </w:tblStylePr>
  </w:style>
  <w:style w:type="table" w:styleId="80">
    <w:name w:val="Medium List 1 Accent 5"/>
    <w:basedOn w:val="38"/>
    <w:qFormat/>
    <w:uiPriority w:val="65"/>
    <w:pPr>
      <w:spacing w:after="0" w:line="240" w:lineRule="auto"/>
    </w:pPr>
    <w:rPr>
      <w:color w:val="000000" w:themeColor="text1"/>
      <w14:textFill>
        <w14:solidFill>
          <w14:schemeClr w14:val="tx1"/>
        </w14:solidFill>
      </w14:textFill>
    </w:rPr>
    <w:tblPr>
      <w:tblBorders>
        <w:top w:val="single" w:color="30C0B4" w:themeColor="accent5" w:sz="8" w:space="0"/>
        <w:bottom w:val="single" w:color="30C0B4"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30C0B4" w:themeColor="accent5" w:sz="8" w:space="0"/>
        </w:tcBorders>
      </w:tcPr>
    </w:tblStylePr>
    <w:tblStylePr w:type="lastRow">
      <w:rPr>
        <w:b/>
        <w:bCs/>
        <w:color w:val="44546A" w:themeColor="text2"/>
        <w14:textFill>
          <w14:solidFill>
            <w14:schemeClr w14:val="tx2"/>
          </w14:solidFill>
        </w14:textFill>
      </w:rPr>
      <w:tblPr/>
      <w:tcPr>
        <w:tcBorders>
          <w:top w:val="single" w:color="30C0B4" w:themeColor="accent5" w:sz="8" w:space="0"/>
          <w:bottom w:val="single" w:color="30C0B4" w:themeColor="accent5" w:sz="8" w:space="0"/>
        </w:tcBorders>
      </w:tcPr>
    </w:tblStylePr>
    <w:tblStylePr w:type="firstCol">
      <w:rPr>
        <w:b/>
        <w:bCs/>
      </w:rPr>
    </w:tblStylePr>
    <w:tblStylePr w:type="lastCol">
      <w:rPr>
        <w:b/>
        <w:bCs/>
      </w:rPr>
      <w:tblPr/>
      <w:tcPr>
        <w:tcBorders>
          <w:top w:val="single" w:color="30C0B4" w:themeColor="accent5" w:sz="8" w:space="0"/>
          <w:bottom w:val="single" w:color="30C0B4" w:themeColor="accent5" w:sz="8" w:space="0"/>
        </w:tcBorders>
      </w:tcPr>
    </w:tblStylePr>
    <w:tblStylePr w:type="band1Vert">
      <w:tblPr/>
      <w:tcPr>
        <w:shd w:val="clear" w:color="auto" w:fill="C9F1EE" w:themeFill="accent5" w:themeFillTint="3F"/>
      </w:tcPr>
    </w:tblStylePr>
    <w:tblStylePr w:type="band1Horz">
      <w:tblPr/>
      <w:tcPr>
        <w:shd w:val="clear" w:color="auto" w:fill="C9F1EE" w:themeFill="accent5" w:themeFillTint="3F"/>
      </w:tcPr>
    </w:tblStylePr>
  </w:style>
  <w:style w:type="table" w:styleId="81">
    <w:name w:val="Medium List 1 Accent 6"/>
    <w:basedOn w:val="38"/>
    <w:qFormat/>
    <w:uiPriority w:val="65"/>
    <w:pPr>
      <w:spacing w:after="0" w:line="240" w:lineRule="auto"/>
    </w:pPr>
    <w:rPr>
      <w:color w:val="000000" w:themeColor="text1"/>
      <w14:textFill>
        <w14:solidFill>
          <w14:schemeClr w14:val="tx1"/>
        </w14:solidFill>
      </w14:textFill>
    </w:rPr>
    <w:tblPr>
      <w:tblBorders>
        <w:top w:val="single" w:color="E54C5E" w:themeColor="accent6" w:sz="8" w:space="0"/>
        <w:bottom w:val="single" w:color="E54C5E"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E54C5E" w:themeColor="accent6" w:sz="8" w:space="0"/>
        </w:tcBorders>
      </w:tcPr>
    </w:tblStylePr>
    <w:tblStylePr w:type="lastRow">
      <w:rPr>
        <w:b/>
        <w:bCs/>
        <w:color w:val="44546A" w:themeColor="text2"/>
        <w14:textFill>
          <w14:solidFill>
            <w14:schemeClr w14:val="tx2"/>
          </w14:solidFill>
        </w14:textFill>
      </w:rPr>
      <w:tblPr/>
      <w:tcPr>
        <w:tcBorders>
          <w:top w:val="single" w:color="E54C5E" w:themeColor="accent6" w:sz="8" w:space="0"/>
          <w:bottom w:val="single" w:color="E54C5E" w:themeColor="accent6" w:sz="8" w:space="0"/>
        </w:tcBorders>
      </w:tcPr>
    </w:tblStylePr>
    <w:tblStylePr w:type="firstCol">
      <w:rPr>
        <w:b/>
        <w:bCs/>
      </w:rPr>
    </w:tblStylePr>
    <w:tblStylePr w:type="lastCol">
      <w:rPr>
        <w:b/>
        <w:bCs/>
      </w:rPr>
      <w:tblPr/>
      <w:tcPr>
        <w:tcBorders>
          <w:top w:val="single" w:color="E54C5E" w:themeColor="accent6" w:sz="8" w:space="0"/>
          <w:bottom w:val="single" w:color="E54C5E" w:themeColor="accent6" w:sz="8" w:space="0"/>
        </w:tcBorders>
      </w:tcPr>
    </w:tblStylePr>
    <w:tblStylePr w:type="band1Vert">
      <w:tblPr/>
      <w:tcPr>
        <w:shd w:val="clear" w:color="auto" w:fill="F8D2D7" w:themeFill="accent6" w:themeFillTint="3F"/>
      </w:tcPr>
    </w:tblStylePr>
    <w:tblStylePr w:type="band1Horz">
      <w:tblPr/>
      <w:tcPr>
        <w:shd w:val="clear" w:color="auto" w:fill="F8D2D7" w:themeFill="accent6" w:themeFillTint="3F"/>
      </w:tcPr>
    </w:tblStylePr>
  </w:style>
  <w:style w:type="table" w:styleId="82">
    <w:name w:val="Medium List 2"/>
    <w:basedOn w:val="38"/>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1"/>
    <w:basedOn w:val="38"/>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874CB" w:themeColor="accent1" w:sz="8" w:space="0"/>
        <w:left w:val="single" w:color="4874CB" w:themeColor="accent1" w:sz="8" w:space="0"/>
        <w:bottom w:val="single" w:color="4874CB" w:themeColor="accent1" w:sz="8" w:space="0"/>
        <w:right w:val="single" w:color="4874CB"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874CB" w:themeColor="accent1" w:sz="24" w:space="0"/>
          <w:right w:val="nil"/>
          <w:insideH w:val="nil"/>
          <w:insideV w:val="nil"/>
        </w:tcBorders>
        <w:shd w:val="clear" w:color="auto" w:fill="FFFFFF" w:themeFill="background1"/>
      </w:tcPr>
    </w:tblStylePr>
    <w:tblStylePr w:type="lastRow">
      <w:tblPr/>
      <w:tcPr>
        <w:tcBorders>
          <w:top w:val="single" w:color="4874CB"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874CB" w:themeColor="accent1" w:sz="8" w:space="0"/>
          <w:insideH w:val="nil"/>
          <w:insideV w:val="nil"/>
        </w:tcBorders>
        <w:shd w:val="clear" w:color="auto" w:fill="FFFFFF" w:themeFill="background1"/>
      </w:tcPr>
    </w:tblStylePr>
    <w:tblStylePr w:type="lastCol">
      <w:tblPr/>
      <w:tcPr>
        <w:tcBorders>
          <w:top w:val="nil"/>
          <w:left w:val="single" w:color="4874CB"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DCF2" w:themeFill="accent1" w:themeFillTint="3F"/>
      </w:tcPr>
    </w:tblStylePr>
    <w:tblStylePr w:type="band1Horz">
      <w:tblPr/>
      <w:tcPr>
        <w:tcBorders>
          <w:top w:val="nil"/>
          <w:bottom w:val="nil"/>
          <w:insideH w:val="nil"/>
          <w:insideV w:val="nil"/>
        </w:tcBorders>
        <w:shd w:val="clear" w:color="auto" w:fill="D1DC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2"/>
    <w:basedOn w:val="38"/>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E822F" w:themeColor="accent2" w:sz="8" w:space="0"/>
        <w:left w:val="single" w:color="EE822F" w:themeColor="accent2" w:sz="8" w:space="0"/>
        <w:bottom w:val="single" w:color="EE822F" w:themeColor="accent2" w:sz="8" w:space="0"/>
        <w:right w:val="single" w:color="EE822F"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tblPr/>
      <w:tcPr>
        <w:tcBorders>
          <w:top w:val="single" w:color="EE822F"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EE822F" w:themeColor="accent2" w:sz="8" w:space="0"/>
          <w:insideH w:val="nil"/>
          <w:insideV w:val="nil"/>
        </w:tcBorders>
        <w:shd w:val="clear" w:color="auto" w:fill="FFFFFF" w:themeFill="background1"/>
      </w:tcPr>
    </w:tblStylePr>
    <w:tblStylePr w:type="lastCol">
      <w:tblPr/>
      <w:tcPr>
        <w:tcBorders>
          <w:top w:val="nil"/>
          <w:left w:val="single" w:color="EE822F"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E0CB" w:themeFill="accent2" w:themeFillTint="3F"/>
      </w:tcPr>
    </w:tblStylePr>
    <w:tblStylePr w:type="band1Horz">
      <w:tblPr/>
      <w:tcPr>
        <w:tcBorders>
          <w:top w:val="nil"/>
          <w:bottom w:val="nil"/>
          <w:insideH w:val="nil"/>
          <w:insideV w:val="nil"/>
        </w:tcBorders>
        <w:shd w:val="clear" w:color="auto" w:fill="FAE0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3"/>
    <w:basedOn w:val="38"/>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2BA02" w:themeColor="accent3" w:sz="8" w:space="0"/>
        <w:left w:val="single" w:color="F2BA02" w:themeColor="accent3" w:sz="8" w:space="0"/>
        <w:bottom w:val="single" w:color="F2BA02" w:themeColor="accent3" w:sz="8" w:space="0"/>
        <w:right w:val="single" w:color="F2BA02"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F2BA02" w:themeColor="accent3" w:sz="24" w:space="0"/>
          <w:right w:val="nil"/>
          <w:insideH w:val="nil"/>
          <w:insideV w:val="nil"/>
        </w:tcBorders>
        <w:shd w:val="clear" w:color="auto" w:fill="FFFFFF" w:themeFill="background1"/>
      </w:tcPr>
    </w:tblStylePr>
    <w:tblStylePr w:type="lastRow">
      <w:tblPr/>
      <w:tcPr>
        <w:tcBorders>
          <w:top w:val="single" w:color="F2BA02"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2BA02" w:themeColor="accent3" w:sz="8" w:space="0"/>
          <w:insideH w:val="nil"/>
          <w:insideV w:val="nil"/>
        </w:tcBorders>
        <w:shd w:val="clear" w:color="auto" w:fill="FFFFFF" w:themeFill="background1"/>
      </w:tcPr>
    </w:tblStylePr>
    <w:tblStylePr w:type="lastCol">
      <w:tblPr/>
      <w:tcPr>
        <w:tcBorders>
          <w:top w:val="nil"/>
          <w:left w:val="single" w:color="F2BA02"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EFBD" w:themeFill="accent3" w:themeFillTint="3F"/>
      </w:tcPr>
    </w:tblStylePr>
    <w:tblStylePr w:type="band1Horz">
      <w:tblPr/>
      <w:tcPr>
        <w:tcBorders>
          <w:top w:val="nil"/>
          <w:bottom w:val="nil"/>
          <w:insideH w:val="nil"/>
          <w:insideV w:val="nil"/>
        </w:tcBorders>
        <w:shd w:val="clear" w:color="auto" w:fill="FEEFBD"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4"/>
    <w:basedOn w:val="38"/>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75BD42" w:themeColor="accent4" w:sz="8" w:space="0"/>
        <w:left w:val="single" w:color="75BD42" w:themeColor="accent4" w:sz="8" w:space="0"/>
        <w:bottom w:val="single" w:color="75BD42" w:themeColor="accent4" w:sz="8" w:space="0"/>
        <w:right w:val="single" w:color="75BD4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75BD42" w:themeColor="accent4" w:sz="24" w:space="0"/>
          <w:right w:val="nil"/>
          <w:insideH w:val="nil"/>
          <w:insideV w:val="nil"/>
        </w:tcBorders>
        <w:shd w:val="clear" w:color="auto" w:fill="FFFFFF" w:themeFill="background1"/>
      </w:tcPr>
    </w:tblStylePr>
    <w:tblStylePr w:type="lastRow">
      <w:tblPr/>
      <w:tcPr>
        <w:tcBorders>
          <w:top w:val="single" w:color="75BD4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75BD42" w:themeColor="accent4" w:sz="8" w:space="0"/>
          <w:insideH w:val="nil"/>
          <w:insideV w:val="nil"/>
        </w:tcBorders>
        <w:shd w:val="clear" w:color="auto" w:fill="FFFFFF" w:themeFill="background1"/>
      </w:tcPr>
    </w:tblStylePr>
    <w:tblStylePr w:type="lastCol">
      <w:tblPr/>
      <w:tcPr>
        <w:tcBorders>
          <w:top w:val="nil"/>
          <w:left w:val="single" w:color="75BD4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CEED0" w:themeFill="accent4" w:themeFillTint="3F"/>
      </w:tcPr>
    </w:tblStylePr>
    <w:tblStylePr w:type="band1Horz">
      <w:tblPr/>
      <w:tcPr>
        <w:tcBorders>
          <w:top w:val="nil"/>
          <w:bottom w:val="nil"/>
          <w:insideH w:val="nil"/>
          <w:insideV w:val="nil"/>
        </w:tcBorders>
        <w:shd w:val="clear" w:color="auto" w:fill="DCEED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5"/>
    <w:basedOn w:val="38"/>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30C0B4" w:themeColor="accent5" w:sz="8" w:space="0"/>
        <w:left w:val="single" w:color="30C0B4" w:themeColor="accent5" w:sz="8" w:space="0"/>
        <w:bottom w:val="single" w:color="30C0B4" w:themeColor="accent5" w:sz="8" w:space="0"/>
        <w:right w:val="single" w:color="30C0B4"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30C0B4" w:themeColor="accent5" w:sz="24" w:space="0"/>
          <w:right w:val="nil"/>
          <w:insideH w:val="nil"/>
          <w:insideV w:val="nil"/>
        </w:tcBorders>
        <w:shd w:val="clear" w:color="auto" w:fill="FFFFFF" w:themeFill="background1"/>
      </w:tcPr>
    </w:tblStylePr>
    <w:tblStylePr w:type="lastRow">
      <w:tblPr/>
      <w:tcPr>
        <w:tcBorders>
          <w:top w:val="single" w:color="30C0B4"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30C0B4" w:themeColor="accent5" w:sz="8" w:space="0"/>
          <w:insideH w:val="nil"/>
          <w:insideV w:val="nil"/>
        </w:tcBorders>
        <w:shd w:val="clear" w:color="auto" w:fill="FFFFFF" w:themeFill="background1"/>
      </w:tcPr>
    </w:tblStylePr>
    <w:tblStylePr w:type="lastCol">
      <w:tblPr/>
      <w:tcPr>
        <w:tcBorders>
          <w:top w:val="nil"/>
          <w:left w:val="single" w:color="30C0B4"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9F1EE" w:themeFill="accent5" w:themeFillTint="3F"/>
      </w:tcPr>
    </w:tblStylePr>
    <w:tblStylePr w:type="band1Horz">
      <w:tblPr/>
      <w:tcPr>
        <w:tcBorders>
          <w:top w:val="nil"/>
          <w:bottom w:val="nil"/>
          <w:insideH w:val="nil"/>
          <w:insideV w:val="nil"/>
        </w:tcBorders>
        <w:shd w:val="clear" w:color="auto" w:fill="C9F1EE"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6"/>
    <w:basedOn w:val="38"/>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54C5E" w:themeColor="accent6" w:sz="8" w:space="0"/>
        <w:left w:val="single" w:color="E54C5E" w:themeColor="accent6" w:sz="8" w:space="0"/>
        <w:bottom w:val="single" w:color="E54C5E" w:themeColor="accent6" w:sz="8" w:space="0"/>
        <w:right w:val="single" w:color="E54C5E"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E54C5E" w:themeColor="accent6" w:sz="24" w:space="0"/>
          <w:right w:val="nil"/>
          <w:insideH w:val="nil"/>
          <w:insideV w:val="nil"/>
        </w:tcBorders>
        <w:shd w:val="clear" w:color="auto" w:fill="FFFFFF" w:themeFill="background1"/>
      </w:tcPr>
    </w:tblStylePr>
    <w:tblStylePr w:type="lastRow">
      <w:tblPr/>
      <w:tcPr>
        <w:tcBorders>
          <w:top w:val="single" w:color="E54C5E"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E54C5E" w:themeColor="accent6" w:sz="8" w:space="0"/>
          <w:insideH w:val="nil"/>
          <w:insideV w:val="nil"/>
        </w:tcBorders>
        <w:shd w:val="clear" w:color="auto" w:fill="FFFFFF" w:themeFill="background1"/>
      </w:tcPr>
    </w:tblStylePr>
    <w:tblStylePr w:type="lastCol">
      <w:tblPr/>
      <w:tcPr>
        <w:tcBorders>
          <w:top w:val="nil"/>
          <w:left w:val="single" w:color="E54C5E"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D2D7" w:themeFill="accent6" w:themeFillTint="3F"/>
      </w:tcPr>
    </w:tblStylePr>
    <w:tblStylePr w:type="band1Horz">
      <w:tblPr/>
      <w:tcPr>
        <w:tcBorders>
          <w:top w:val="nil"/>
          <w:bottom w:val="nil"/>
          <w:insideH w:val="nil"/>
          <w:insideV w:val="nil"/>
        </w:tcBorders>
        <w:shd w:val="clear" w:color="auto" w:fill="F8D2D7"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Grid 1"/>
    <w:basedOn w:val="38"/>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0">
    <w:name w:val="Medium Grid 1 Accent 1"/>
    <w:basedOn w:val="38"/>
    <w:uiPriority w:val="67"/>
    <w:pPr>
      <w:spacing w:after="0" w:line="240" w:lineRule="auto"/>
    </w:pPr>
    <w:tblPr>
      <w:tblBorders>
        <w:top w:val="single" w:color="7596D8" w:themeColor="accent1" w:themeTint="BF" w:sz="8" w:space="0"/>
        <w:left w:val="single" w:color="7596D8" w:themeColor="accent1" w:themeTint="BF" w:sz="8" w:space="0"/>
        <w:bottom w:val="single" w:color="7596D8" w:themeColor="accent1" w:themeTint="BF" w:sz="8" w:space="0"/>
        <w:right w:val="single" w:color="7596D8" w:themeColor="accent1" w:themeTint="BF" w:sz="8" w:space="0"/>
        <w:insideH w:val="single" w:color="7596D8" w:themeColor="accent1" w:themeTint="BF" w:sz="8" w:space="0"/>
        <w:insideV w:val="single" w:color="7596D8" w:themeColor="accent1" w:themeTint="BF" w:sz="8" w:space="0"/>
      </w:tblBorders>
      <w:tblCellMar>
        <w:top w:w="0" w:type="dxa"/>
        <w:left w:w="108" w:type="dxa"/>
        <w:bottom w:w="0" w:type="dxa"/>
        <w:right w:w="108" w:type="dxa"/>
      </w:tblCellMar>
    </w:tblPr>
    <w:tcPr>
      <w:shd w:val="clear" w:color="auto" w:fill="D1DCF2" w:themeFill="accent1" w:themeFillTint="3F"/>
    </w:tcPr>
    <w:tblStylePr w:type="firstRow">
      <w:rPr>
        <w:b/>
        <w:bCs/>
      </w:rPr>
    </w:tblStylePr>
    <w:tblStylePr w:type="lastRow">
      <w:rPr>
        <w:b/>
        <w:bCs/>
      </w:rPr>
      <w:tblPr/>
      <w:tcPr>
        <w:tcBorders>
          <w:top w:val="single" w:color="7596D8" w:themeColor="accent1" w:themeTint="BF" w:sz="18" w:space="0"/>
        </w:tcBorders>
      </w:tcPr>
    </w:tblStylePr>
    <w:tblStylePr w:type="firstCol">
      <w:rPr>
        <w:b/>
        <w:bCs/>
      </w:rPr>
    </w:tblStylePr>
    <w:tblStylePr w:type="lastCol">
      <w:rPr>
        <w:b/>
        <w:bCs/>
      </w:rPr>
    </w:tblStylePr>
    <w:tblStylePr w:type="band1Vert">
      <w:tblPr/>
      <w:tcPr>
        <w:shd w:val="clear" w:color="auto" w:fill="A3B9E5" w:themeFill="accent1" w:themeFillTint="7F"/>
      </w:tcPr>
    </w:tblStylePr>
    <w:tblStylePr w:type="band1Horz">
      <w:tblPr/>
      <w:tcPr>
        <w:shd w:val="clear" w:color="auto" w:fill="A3B9E5" w:themeFill="accent1" w:themeFillTint="7F"/>
      </w:tcPr>
    </w:tblStylePr>
  </w:style>
  <w:style w:type="table" w:styleId="91">
    <w:name w:val="Medium Grid 1 Accent 2"/>
    <w:basedOn w:val="38"/>
    <w:uiPriority w:val="67"/>
    <w:pPr>
      <w:spacing w:after="0" w:line="240" w:lineRule="auto"/>
    </w:pPr>
    <w:tblPr>
      <w:tblBorders>
        <w:top w:val="single" w:color="F2A163" w:themeColor="accent2" w:themeTint="BF" w:sz="8" w:space="0"/>
        <w:left w:val="single" w:color="F2A163" w:themeColor="accent2" w:themeTint="BF" w:sz="8" w:space="0"/>
        <w:bottom w:val="single" w:color="F2A163" w:themeColor="accent2" w:themeTint="BF" w:sz="8" w:space="0"/>
        <w:right w:val="single" w:color="F2A163" w:themeColor="accent2" w:themeTint="BF" w:sz="8" w:space="0"/>
        <w:insideH w:val="single" w:color="F2A163" w:themeColor="accent2" w:themeTint="BF" w:sz="8" w:space="0"/>
        <w:insideV w:val="single" w:color="F2A163" w:themeColor="accent2" w:themeTint="BF" w:sz="8" w:space="0"/>
      </w:tblBorders>
      <w:tblCellMar>
        <w:top w:w="0" w:type="dxa"/>
        <w:left w:w="108" w:type="dxa"/>
        <w:bottom w:w="0" w:type="dxa"/>
        <w:right w:w="108" w:type="dxa"/>
      </w:tblCellMar>
    </w:tblPr>
    <w:tcPr>
      <w:shd w:val="clear" w:color="auto" w:fill="FAE0CB" w:themeFill="accent2" w:themeFillTint="3F"/>
    </w:tcPr>
    <w:tblStylePr w:type="firstRow">
      <w:rPr>
        <w:b/>
        <w:bCs/>
      </w:rPr>
    </w:tblStylePr>
    <w:tblStylePr w:type="lastRow">
      <w:rPr>
        <w:b/>
        <w:bCs/>
      </w:rPr>
      <w:tblPr/>
      <w:tcPr>
        <w:tcBorders>
          <w:top w:val="single" w:color="F2A163" w:themeColor="accent2" w:themeTint="BF" w:sz="18" w:space="0"/>
        </w:tcBorders>
      </w:tcPr>
    </w:tblStylePr>
    <w:tblStylePr w:type="firstCol">
      <w:rPr>
        <w:b/>
        <w:bCs/>
      </w:rPr>
    </w:tblStylePr>
    <w:tblStylePr w:type="lastCol">
      <w:rPr>
        <w:b/>
        <w:bCs/>
      </w:rPr>
    </w:tblStylePr>
    <w:tblStylePr w:type="band1Vert">
      <w:tblPr/>
      <w:tcPr>
        <w:shd w:val="clear" w:color="auto" w:fill="F6C097" w:themeFill="accent2" w:themeFillTint="7F"/>
      </w:tcPr>
    </w:tblStylePr>
    <w:tblStylePr w:type="band1Horz">
      <w:tblPr/>
      <w:tcPr>
        <w:shd w:val="clear" w:color="auto" w:fill="F6C097" w:themeFill="accent2" w:themeFillTint="7F"/>
      </w:tcPr>
    </w:tblStylePr>
  </w:style>
  <w:style w:type="table" w:styleId="92">
    <w:name w:val="Medium Grid 1 Accent 3"/>
    <w:basedOn w:val="38"/>
    <w:uiPriority w:val="67"/>
    <w:pPr>
      <w:spacing w:after="0" w:line="240" w:lineRule="auto"/>
    </w:pPr>
    <w:tblPr>
      <w:tblBorders>
        <w:top w:val="single" w:color="FDCF39" w:themeColor="accent3" w:themeTint="BF" w:sz="8" w:space="0"/>
        <w:left w:val="single" w:color="FDCF39" w:themeColor="accent3" w:themeTint="BF" w:sz="8" w:space="0"/>
        <w:bottom w:val="single" w:color="FDCF39" w:themeColor="accent3" w:themeTint="BF" w:sz="8" w:space="0"/>
        <w:right w:val="single" w:color="FDCF39" w:themeColor="accent3" w:themeTint="BF" w:sz="8" w:space="0"/>
        <w:insideH w:val="single" w:color="FDCF39" w:themeColor="accent3" w:themeTint="BF" w:sz="8" w:space="0"/>
        <w:insideV w:val="single" w:color="FDCF39" w:themeColor="accent3" w:themeTint="BF" w:sz="8" w:space="0"/>
      </w:tblBorders>
      <w:tblCellMar>
        <w:top w:w="0" w:type="dxa"/>
        <w:left w:w="108" w:type="dxa"/>
        <w:bottom w:w="0" w:type="dxa"/>
        <w:right w:w="108" w:type="dxa"/>
      </w:tblCellMar>
    </w:tblPr>
    <w:tcPr>
      <w:shd w:val="clear" w:color="auto" w:fill="FEEFBD" w:themeFill="accent3" w:themeFillTint="3F"/>
    </w:tcPr>
    <w:tblStylePr w:type="firstRow">
      <w:rPr>
        <w:b/>
        <w:bCs/>
      </w:rPr>
    </w:tblStylePr>
    <w:tblStylePr w:type="lastRow">
      <w:rPr>
        <w:b/>
        <w:bCs/>
      </w:rPr>
      <w:tblPr/>
      <w:tcPr>
        <w:tcBorders>
          <w:top w:val="single" w:color="FDCF39" w:themeColor="accent3" w:themeTint="BF" w:sz="18" w:space="0"/>
        </w:tcBorders>
      </w:tcPr>
    </w:tblStylePr>
    <w:tblStylePr w:type="firstCol">
      <w:rPr>
        <w:b/>
        <w:bCs/>
      </w:rPr>
    </w:tblStylePr>
    <w:tblStylePr w:type="lastCol">
      <w:rPr>
        <w:b/>
        <w:bCs/>
      </w:rPr>
    </w:tblStylePr>
    <w:tblStylePr w:type="band1Vert">
      <w:tblPr/>
      <w:tcPr>
        <w:shd w:val="clear" w:color="auto" w:fill="FDDF7B" w:themeFill="accent3" w:themeFillTint="7F"/>
      </w:tcPr>
    </w:tblStylePr>
    <w:tblStylePr w:type="band1Horz">
      <w:tblPr/>
      <w:tcPr>
        <w:shd w:val="clear" w:color="auto" w:fill="FDDF7B" w:themeFill="accent3" w:themeFillTint="7F"/>
      </w:tcPr>
    </w:tblStylePr>
  </w:style>
  <w:style w:type="table" w:styleId="93">
    <w:name w:val="Medium Grid 1 Accent 4"/>
    <w:basedOn w:val="38"/>
    <w:uiPriority w:val="67"/>
    <w:pPr>
      <w:spacing w:after="0" w:line="240" w:lineRule="auto"/>
    </w:pPr>
    <w:tblPr>
      <w:tblBorders>
        <w:top w:val="single" w:color="97CD71" w:themeColor="accent4" w:themeTint="BF" w:sz="8" w:space="0"/>
        <w:left w:val="single" w:color="97CD71" w:themeColor="accent4" w:themeTint="BF" w:sz="8" w:space="0"/>
        <w:bottom w:val="single" w:color="97CD71" w:themeColor="accent4" w:themeTint="BF" w:sz="8" w:space="0"/>
        <w:right w:val="single" w:color="97CD71" w:themeColor="accent4" w:themeTint="BF" w:sz="8" w:space="0"/>
        <w:insideH w:val="single" w:color="97CD71" w:themeColor="accent4" w:themeTint="BF" w:sz="8" w:space="0"/>
        <w:insideV w:val="single" w:color="97CD71" w:themeColor="accent4" w:themeTint="BF" w:sz="8" w:space="0"/>
      </w:tblBorders>
      <w:tblCellMar>
        <w:top w:w="0" w:type="dxa"/>
        <w:left w:w="108" w:type="dxa"/>
        <w:bottom w:w="0" w:type="dxa"/>
        <w:right w:w="108" w:type="dxa"/>
      </w:tblCellMar>
    </w:tblPr>
    <w:tcPr>
      <w:shd w:val="clear" w:color="auto" w:fill="DCEED0" w:themeFill="accent4" w:themeFillTint="3F"/>
    </w:tcPr>
    <w:tblStylePr w:type="firstRow">
      <w:rPr>
        <w:b/>
        <w:bCs/>
      </w:rPr>
    </w:tblStylePr>
    <w:tblStylePr w:type="lastRow">
      <w:rPr>
        <w:b/>
        <w:bCs/>
      </w:rPr>
      <w:tblPr/>
      <w:tcPr>
        <w:tcBorders>
          <w:top w:val="single" w:color="97CD71" w:themeColor="accent4" w:themeTint="BF" w:sz="18" w:space="0"/>
        </w:tcBorders>
      </w:tcPr>
    </w:tblStylePr>
    <w:tblStylePr w:type="firstCol">
      <w:rPr>
        <w:b/>
        <w:bCs/>
      </w:rPr>
    </w:tblStylePr>
    <w:tblStylePr w:type="lastCol">
      <w:rPr>
        <w:b/>
        <w:bCs/>
      </w:rPr>
    </w:tblStylePr>
    <w:tblStylePr w:type="band1Vert">
      <w:tblPr/>
      <w:tcPr>
        <w:shd w:val="clear" w:color="auto" w:fill="BADEA0" w:themeFill="accent4" w:themeFillTint="7F"/>
      </w:tcPr>
    </w:tblStylePr>
    <w:tblStylePr w:type="band1Horz">
      <w:tblPr/>
      <w:tcPr>
        <w:shd w:val="clear" w:color="auto" w:fill="BADEA0" w:themeFill="accent4" w:themeFillTint="7F"/>
      </w:tcPr>
    </w:tblStylePr>
  </w:style>
  <w:style w:type="table" w:styleId="94">
    <w:name w:val="Medium Grid 1 Accent 5"/>
    <w:basedOn w:val="38"/>
    <w:qFormat/>
    <w:uiPriority w:val="67"/>
    <w:pPr>
      <w:spacing w:after="0" w:line="240" w:lineRule="auto"/>
    </w:pPr>
    <w:tblPr>
      <w:tblBorders>
        <w:top w:val="single" w:color="5DD6CC" w:themeColor="accent5" w:themeTint="BF" w:sz="8" w:space="0"/>
        <w:left w:val="single" w:color="5DD6CC" w:themeColor="accent5" w:themeTint="BF" w:sz="8" w:space="0"/>
        <w:bottom w:val="single" w:color="5DD6CC" w:themeColor="accent5" w:themeTint="BF" w:sz="8" w:space="0"/>
        <w:right w:val="single" w:color="5DD6CC" w:themeColor="accent5" w:themeTint="BF" w:sz="8" w:space="0"/>
        <w:insideH w:val="single" w:color="5DD6CC" w:themeColor="accent5" w:themeTint="BF" w:sz="8" w:space="0"/>
        <w:insideV w:val="single" w:color="5DD6CC" w:themeColor="accent5" w:themeTint="BF" w:sz="8" w:space="0"/>
      </w:tblBorders>
      <w:tblCellMar>
        <w:top w:w="0" w:type="dxa"/>
        <w:left w:w="108" w:type="dxa"/>
        <w:bottom w:w="0" w:type="dxa"/>
        <w:right w:w="108" w:type="dxa"/>
      </w:tblCellMar>
    </w:tblPr>
    <w:tcPr>
      <w:shd w:val="clear" w:color="auto" w:fill="C9F1EE" w:themeFill="accent5" w:themeFillTint="3F"/>
    </w:tcPr>
    <w:tblStylePr w:type="firstRow">
      <w:rPr>
        <w:b/>
        <w:bCs/>
      </w:rPr>
    </w:tblStylePr>
    <w:tblStylePr w:type="lastRow">
      <w:rPr>
        <w:b/>
        <w:bCs/>
      </w:rPr>
      <w:tblPr/>
      <w:tcPr>
        <w:tcBorders>
          <w:top w:val="single" w:color="5DD6CC" w:themeColor="accent5" w:themeTint="BF" w:sz="18" w:space="0"/>
        </w:tcBorders>
      </w:tcPr>
    </w:tblStylePr>
    <w:tblStylePr w:type="firstCol">
      <w:rPr>
        <w:b/>
        <w:bCs/>
      </w:rPr>
    </w:tblStylePr>
    <w:tblStylePr w:type="lastCol">
      <w:rPr>
        <w:b/>
        <w:bCs/>
      </w:rPr>
    </w:tblStylePr>
    <w:tblStylePr w:type="band1Vert">
      <w:tblPr/>
      <w:tcPr>
        <w:shd w:val="clear" w:color="auto" w:fill="93E4DD" w:themeFill="accent5" w:themeFillTint="7F"/>
      </w:tcPr>
    </w:tblStylePr>
    <w:tblStylePr w:type="band1Horz">
      <w:tblPr/>
      <w:tcPr>
        <w:shd w:val="clear" w:color="auto" w:fill="93E4DD" w:themeFill="accent5" w:themeFillTint="7F"/>
      </w:tcPr>
    </w:tblStylePr>
  </w:style>
  <w:style w:type="table" w:styleId="95">
    <w:name w:val="Medium Grid 1 Accent 6"/>
    <w:basedOn w:val="38"/>
    <w:uiPriority w:val="67"/>
    <w:pPr>
      <w:spacing w:after="0" w:line="240" w:lineRule="auto"/>
    </w:pPr>
    <w:tblPr>
      <w:tblBorders>
        <w:top w:val="single" w:color="EB7886" w:themeColor="accent6" w:themeTint="BF" w:sz="8" w:space="0"/>
        <w:left w:val="single" w:color="EB7886" w:themeColor="accent6" w:themeTint="BF" w:sz="8" w:space="0"/>
        <w:bottom w:val="single" w:color="EB7886" w:themeColor="accent6" w:themeTint="BF" w:sz="8" w:space="0"/>
        <w:right w:val="single" w:color="EB7886" w:themeColor="accent6" w:themeTint="BF" w:sz="8" w:space="0"/>
        <w:insideH w:val="single" w:color="EB7886" w:themeColor="accent6" w:themeTint="BF" w:sz="8" w:space="0"/>
        <w:insideV w:val="single" w:color="EB7886" w:themeColor="accent6" w:themeTint="BF" w:sz="8" w:space="0"/>
      </w:tblBorders>
      <w:tblCellMar>
        <w:top w:w="0" w:type="dxa"/>
        <w:left w:w="108" w:type="dxa"/>
        <w:bottom w:w="0" w:type="dxa"/>
        <w:right w:w="108" w:type="dxa"/>
      </w:tblCellMar>
    </w:tblPr>
    <w:tcPr>
      <w:shd w:val="clear" w:color="auto" w:fill="F8D2D7" w:themeFill="accent6" w:themeFillTint="3F"/>
    </w:tcPr>
    <w:tblStylePr w:type="firstRow">
      <w:rPr>
        <w:b/>
        <w:bCs/>
      </w:rPr>
    </w:tblStylePr>
    <w:tblStylePr w:type="lastRow">
      <w:rPr>
        <w:b/>
        <w:bCs/>
      </w:rPr>
      <w:tblPr/>
      <w:tcPr>
        <w:tcBorders>
          <w:top w:val="single" w:color="EB7886" w:themeColor="accent6" w:themeTint="BF" w:sz="18" w:space="0"/>
        </w:tcBorders>
      </w:tcPr>
    </w:tblStylePr>
    <w:tblStylePr w:type="firstCol">
      <w:rPr>
        <w:b/>
        <w:bCs/>
      </w:rPr>
    </w:tblStylePr>
    <w:tblStylePr w:type="lastCol">
      <w:rPr>
        <w:b/>
        <w:bCs/>
      </w:rPr>
    </w:tblStylePr>
    <w:tblStylePr w:type="band1Vert">
      <w:tblPr/>
      <w:tcPr>
        <w:shd w:val="clear" w:color="auto" w:fill="F2A5AE" w:themeFill="accent6" w:themeFillTint="7F"/>
      </w:tcPr>
    </w:tblStylePr>
    <w:tblStylePr w:type="band1Horz">
      <w:tblPr/>
      <w:tcPr>
        <w:shd w:val="clear" w:color="auto" w:fill="F2A5AE" w:themeFill="accent6" w:themeFillTint="7F"/>
      </w:tcPr>
    </w:tblStylePr>
  </w:style>
  <w:style w:type="table" w:styleId="96">
    <w:name w:val="Medium Grid 2"/>
    <w:basedOn w:val="38"/>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7">
    <w:name w:val="Medium Grid 2 Accent 1"/>
    <w:basedOn w:val="38"/>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
    <w:tcPr>
      <w:shd w:val="clear" w:color="auto" w:fill="D1DCF2" w:themeFill="accent1" w:themeFillTint="3F"/>
    </w:tcPr>
    <w:tblStylePr w:type="firstRow">
      <w:rPr>
        <w:b/>
        <w:bCs/>
        <w:color w:val="000000" w:themeColor="text1"/>
        <w14:textFill>
          <w14:solidFill>
            <w14:schemeClr w14:val="tx1"/>
          </w14:solidFill>
        </w14:textFill>
      </w:rPr>
      <w:tblPr/>
      <w:tcPr>
        <w:shd w:val="clear" w:color="auto" w:fill="EDF1F9"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3F4" w:themeFill="accent1" w:themeFillTint="33"/>
      </w:tcPr>
    </w:tblStylePr>
    <w:tblStylePr w:type="band1Vert">
      <w:tblPr/>
      <w:tcPr>
        <w:shd w:val="clear" w:color="auto" w:fill="A3B9E5" w:themeFill="accent1" w:themeFillTint="7F"/>
      </w:tcPr>
    </w:tblStylePr>
    <w:tblStylePr w:type="band1Horz">
      <w:tblPr/>
      <w:tcPr>
        <w:tcBorders>
          <w:insideH w:val="single" w:sz="6" w:space="0"/>
          <w:insideV w:val="single" w:sz="6" w:space="0"/>
        </w:tcBorders>
        <w:shd w:val="clear" w:color="auto" w:fill="A3B9E5" w:themeFill="accent1" w:themeFillTint="7F"/>
      </w:tcPr>
    </w:tblStylePr>
    <w:tblStylePr w:type="nwCell">
      <w:tblPr/>
      <w:tcPr>
        <w:shd w:val="clear" w:color="auto" w:fill="FFFFFF" w:themeFill="background1"/>
      </w:tcPr>
    </w:tblStylePr>
  </w:style>
  <w:style w:type="table" w:styleId="98">
    <w:name w:val="Medium Grid 2 Accent 2"/>
    <w:basedOn w:val="38"/>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E822F" w:themeColor="accent2" w:sz="8" w:space="0"/>
        <w:left w:val="single" w:color="EE822F" w:themeColor="accent2" w:sz="8" w:space="0"/>
        <w:bottom w:val="single" w:color="EE822F" w:themeColor="accent2" w:sz="8" w:space="0"/>
        <w:right w:val="single" w:color="EE822F" w:themeColor="accent2" w:sz="8" w:space="0"/>
        <w:insideH w:val="single" w:color="EE822F" w:themeColor="accent2" w:sz="8" w:space="0"/>
        <w:insideV w:val="single" w:color="EE822F" w:themeColor="accent2" w:sz="8" w:space="0"/>
      </w:tblBorders>
      <w:tblCellMar>
        <w:top w:w="0" w:type="dxa"/>
        <w:left w:w="108" w:type="dxa"/>
        <w:bottom w:w="0" w:type="dxa"/>
        <w:right w:w="108" w:type="dxa"/>
      </w:tblCellMar>
    </w:tblPr>
    <w:tcPr>
      <w:shd w:val="clear" w:color="auto" w:fill="FAE0CB" w:themeFill="accent2" w:themeFillTint="3F"/>
    </w:tcPr>
    <w:tblStylePr w:type="firstRow">
      <w:rPr>
        <w:b/>
        <w:bCs/>
        <w:color w:val="000000" w:themeColor="text1"/>
        <w14:textFill>
          <w14:solidFill>
            <w14:schemeClr w14:val="tx1"/>
          </w14:solidFill>
        </w14:textFill>
      </w:rPr>
      <w:tblPr/>
      <w:tcPr>
        <w:shd w:val="clear" w:color="auto" w:fill="FDF2EA"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BE5D5" w:themeFill="accent2" w:themeFillTint="33"/>
      </w:tcPr>
    </w:tblStylePr>
    <w:tblStylePr w:type="band1Vert">
      <w:tblPr/>
      <w:tcPr>
        <w:shd w:val="clear" w:color="auto" w:fill="F6C097" w:themeFill="accent2" w:themeFillTint="7F"/>
      </w:tcPr>
    </w:tblStylePr>
    <w:tblStylePr w:type="band1Horz">
      <w:tblPr/>
      <w:tcPr>
        <w:tcBorders>
          <w:insideH w:val="single" w:sz="6" w:space="0"/>
          <w:insideV w:val="single" w:sz="6" w:space="0"/>
        </w:tcBorders>
        <w:shd w:val="clear" w:color="auto" w:fill="F6C097" w:themeFill="accent2" w:themeFillTint="7F"/>
      </w:tcPr>
    </w:tblStylePr>
    <w:tblStylePr w:type="nwCell">
      <w:tblPr/>
      <w:tcPr>
        <w:shd w:val="clear" w:color="auto" w:fill="FFFFFF" w:themeFill="background1"/>
      </w:tcPr>
    </w:tblStylePr>
  </w:style>
  <w:style w:type="table" w:styleId="99">
    <w:name w:val="Medium Grid 2 Accent 3"/>
    <w:basedOn w:val="38"/>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2BA02" w:themeColor="accent3" w:sz="8" w:space="0"/>
        <w:left w:val="single" w:color="F2BA02" w:themeColor="accent3" w:sz="8" w:space="0"/>
        <w:bottom w:val="single" w:color="F2BA02" w:themeColor="accent3" w:sz="8" w:space="0"/>
        <w:right w:val="single" w:color="F2BA02" w:themeColor="accent3" w:sz="8" w:space="0"/>
        <w:insideH w:val="single" w:color="F2BA02" w:themeColor="accent3" w:sz="8" w:space="0"/>
        <w:insideV w:val="single" w:color="F2BA02" w:themeColor="accent3" w:sz="8" w:space="0"/>
      </w:tblBorders>
      <w:tblCellMar>
        <w:top w:w="0" w:type="dxa"/>
        <w:left w:w="108" w:type="dxa"/>
        <w:bottom w:w="0" w:type="dxa"/>
        <w:right w:w="108" w:type="dxa"/>
      </w:tblCellMar>
    </w:tblPr>
    <w:tcPr>
      <w:shd w:val="clear" w:color="auto" w:fill="FEEFBD" w:themeFill="accent3" w:themeFillTint="3F"/>
    </w:tcPr>
    <w:tblStylePr w:type="firstRow">
      <w:rPr>
        <w:b/>
        <w:bCs/>
        <w:color w:val="000000" w:themeColor="text1"/>
        <w14:textFill>
          <w14:solidFill>
            <w14:schemeClr w14:val="tx1"/>
          </w14:solidFill>
        </w14:textFill>
      </w:rPr>
      <w:tblPr/>
      <w:tcPr>
        <w:shd w:val="clear" w:color="auto" w:fill="FEF8E5"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EF2CA" w:themeFill="accent3" w:themeFillTint="33"/>
      </w:tcPr>
    </w:tblStylePr>
    <w:tblStylePr w:type="band1Vert">
      <w:tblPr/>
      <w:tcPr>
        <w:shd w:val="clear" w:color="auto" w:fill="FDDF7B" w:themeFill="accent3" w:themeFillTint="7F"/>
      </w:tcPr>
    </w:tblStylePr>
    <w:tblStylePr w:type="band1Horz">
      <w:tblPr/>
      <w:tcPr>
        <w:tcBorders>
          <w:insideH w:val="single" w:sz="6" w:space="0"/>
          <w:insideV w:val="single" w:sz="6" w:space="0"/>
        </w:tcBorders>
        <w:shd w:val="clear" w:color="auto" w:fill="FDDF7B" w:themeFill="accent3" w:themeFillTint="7F"/>
      </w:tcPr>
    </w:tblStylePr>
    <w:tblStylePr w:type="nwCell">
      <w:tblPr/>
      <w:tcPr>
        <w:shd w:val="clear" w:color="auto" w:fill="FFFFFF" w:themeFill="background1"/>
      </w:tcPr>
    </w:tblStylePr>
  </w:style>
  <w:style w:type="table" w:styleId="100">
    <w:name w:val="Medium Grid 2 Accent 4"/>
    <w:basedOn w:val="38"/>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75BD42" w:themeColor="accent4" w:sz="8" w:space="0"/>
        <w:left w:val="single" w:color="75BD42" w:themeColor="accent4" w:sz="8" w:space="0"/>
        <w:bottom w:val="single" w:color="75BD42" w:themeColor="accent4" w:sz="8" w:space="0"/>
        <w:right w:val="single" w:color="75BD42" w:themeColor="accent4" w:sz="8" w:space="0"/>
        <w:insideH w:val="single" w:color="75BD42" w:themeColor="accent4" w:sz="8" w:space="0"/>
        <w:insideV w:val="single" w:color="75BD42" w:themeColor="accent4" w:sz="8" w:space="0"/>
      </w:tblBorders>
      <w:tblCellMar>
        <w:top w:w="0" w:type="dxa"/>
        <w:left w:w="108" w:type="dxa"/>
        <w:bottom w:w="0" w:type="dxa"/>
        <w:right w:w="108" w:type="dxa"/>
      </w:tblCellMar>
    </w:tblPr>
    <w:tcPr>
      <w:shd w:val="clear" w:color="auto" w:fill="DCEED0" w:themeFill="accent4" w:themeFillTint="3F"/>
    </w:tcPr>
    <w:tblStylePr w:type="firstRow">
      <w:rPr>
        <w:b/>
        <w:bCs/>
        <w:color w:val="000000" w:themeColor="text1"/>
        <w14:textFill>
          <w14:solidFill>
            <w14:schemeClr w14:val="tx1"/>
          </w14:solidFill>
        </w14:textFill>
      </w:rPr>
      <w:tblPr/>
      <w:tcPr>
        <w:shd w:val="clear" w:color="auto" w:fill="F1F8EC"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3F1D9" w:themeFill="accent4" w:themeFillTint="33"/>
      </w:tcPr>
    </w:tblStylePr>
    <w:tblStylePr w:type="band1Vert">
      <w:tblPr/>
      <w:tcPr>
        <w:shd w:val="clear" w:color="auto" w:fill="BADEA0" w:themeFill="accent4" w:themeFillTint="7F"/>
      </w:tcPr>
    </w:tblStylePr>
    <w:tblStylePr w:type="band1Horz">
      <w:tblPr/>
      <w:tcPr>
        <w:tcBorders>
          <w:insideH w:val="single" w:sz="6" w:space="0"/>
          <w:insideV w:val="single" w:sz="6" w:space="0"/>
        </w:tcBorders>
        <w:shd w:val="clear" w:color="auto" w:fill="BADEA0" w:themeFill="accent4" w:themeFillTint="7F"/>
      </w:tcPr>
    </w:tblStylePr>
    <w:tblStylePr w:type="nwCell">
      <w:tblPr/>
      <w:tcPr>
        <w:shd w:val="clear" w:color="auto" w:fill="FFFFFF" w:themeFill="background1"/>
      </w:tcPr>
    </w:tblStylePr>
  </w:style>
  <w:style w:type="table" w:styleId="101">
    <w:name w:val="Medium Grid 2 Accent 5"/>
    <w:basedOn w:val="38"/>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30C0B4" w:themeColor="accent5" w:sz="8" w:space="0"/>
        <w:left w:val="single" w:color="30C0B4" w:themeColor="accent5" w:sz="8" w:space="0"/>
        <w:bottom w:val="single" w:color="30C0B4" w:themeColor="accent5" w:sz="8" w:space="0"/>
        <w:right w:val="single" w:color="30C0B4" w:themeColor="accent5" w:sz="8" w:space="0"/>
        <w:insideH w:val="single" w:color="30C0B4" w:themeColor="accent5" w:sz="8" w:space="0"/>
        <w:insideV w:val="single" w:color="30C0B4" w:themeColor="accent5" w:sz="8" w:space="0"/>
      </w:tblBorders>
      <w:tblCellMar>
        <w:top w:w="0" w:type="dxa"/>
        <w:left w:w="108" w:type="dxa"/>
        <w:bottom w:w="0" w:type="dxa"/>
        <w:right w:w="108" w:type="dxa"/>
      </w:tblCellMar>
    </w:tblPr>
    <w:tcPr>
      <w:shd w:val="clear" w:color="auto" w:fill="C9F1EE" w:themeFill="accent5" w:themeFillTint="3F"/>
    </w:tcPr>
    <w:tblStylePr w:type="firstRow">
      <w:rPr>
        <w:b/>
        <w:bCs/>
        <w:color w:val="000000" w:themeColor="text1"/>
        <w14:textFill>
          <w14:solidFill>
            <w14:schemeClr w14:val="tx1"/>
          </w14:solidFill>
        </w14:textFill>
      </w:rPr>
      <w:tblPr/>
      <w:tcPr>
        <w:shd w:val="clear" w:color="auto" w:fill="E9F9F8"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3F4F1" w:themeFill="accent5" w:themeFillTint="33"/>
      </w:tcPr>
    </w:tblStylePr>
    <w:tblStylePr w:type="band1Vert">
      <w:tblPr/>
      <w:tcPr>
        <w:shd w:val="clear" w:color="auto" w:fill="93E4DD" w:themeFill="accent5" w:themeFillTint="7F"/>
      </w:tcPr>
    </w:tblStylePr>
    <w:tblStylePr w:type="band1Horz">
      <w:tblPr/>
      <w:tcPr>
        <w:tcBorders>
          <w:insideH w:val="single" w:sz="6" w:space="0"/>
          <w:insideV w:val="single" w:sz="6" w:space="0"/>
        </w:tcBorders>
        <w:shd w:val="clear" w:color="auto" w:fill="93E4DD" w:themeFill="accent5" w:themeFillTint="7F"/>
      </w:tcPr>
    </w:tblStylePr>
    <w:tblStylePr w:type="nwCell">
      <w:tblPr/>
      <w:tcPr>
        <w:shd w:val="clear" w:color="auto" w:fill="FFFFFF" w:themeFill="background1"/>
      </w:tcPr>
    </w:tblStylePr>
  </w:style>
  <w:style w:type="table" w:styleId="102">
    <w:name w:val="Medium Grid 2 Accent 6"/>
    <w:basedOn w:val="38"/>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54C5E" w:themeColor="accent6" w:sz="8" w:space="0"/>
        <w:left w:val="single" w:color="E54C5E" w:themeColor="accent6" w:sz="8" w:space="0"/>
        <w:bottom w:val="single" w:color="E54C5E" w:themeColor="accent6" w:sz="8" w:space="0"/>
        <w:right w:val="single" w:color="E54C5E" w:themeColor="accent6" w:sz="8" w:space="0"/>
        <w:insideH w:val="single" w:color="E54C5E" w:themeColor="accent6" w:sz="8" w:space="0"/>
        <w:insideV w:val="single" w:color="E54C5E" w:themeColor="accent6" w:sz="8" w:space="0"/>
      </w:tblBorders>
      <w:tblCellMar>
        <w:top w:w="0" w:type="dxa"/>
        <w:left w:w="108" w:type="dxa"/>
        <w:bottom w:w="0" w:type="dxa"/>
        <w:right w:w="108" w:type="dxa"/>
      </w:tblCellMar>
    </w:tblPr>
    <w:tcPr>
      <w:shd w:val="clear" w:color="auto" w:fill="F8D2D7" w:themeFill="accent6" w:themeFillTint="3F"/>
    </w:tcPr>
    <w:tblStylePr w:type="firstRow">
      <w:rPr>
        <w:b/>
        <w:bCs/>
        <w:color w:val="000000" w:themeColor="text1"/>
        <w14:textFill>
          <w14:solidFill>
            <w14:schemeClr w14:val="tx1"/>
          </w14:solidFill>
        </w14:textFill>
      </w:rPr>
      <w:tblPr/>
      <w:tcPr>
        <w:shd w:val="clear" w:color="auto" w:fill="FCEDEF"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9DBDE" w:themeFill="accent6" w:themeFillTint="33"/>
      </w:tcPr>
    </w:tblStylePr>
    <w:tblStylePr w:type="band1Vert">
      <w:tblPr/>
      <w:tcPr>
        <w:shd w:val="clear" w:color="auto" w:fill="F2A5AE" w:themeFill="accent6" w:themeFillTint="7F"/>
      </w:tcPr>
    </w:tblStylePr>
    <w:tblStylePr w:type="band1Horz">
      <w:tblPr/>
      <w:tcPr>
        <w:tcBorders>
          <w:insideH w:val="single" w:sz="6" w:space="0"/>
          <w:insideV w:val="single" w:sz="6" w:space="0"/>
        </w:tcBorders>
        <w:shd w:val="clear" w:color="auto" w:fill="F2A5AE" w:themeFill="accent6" w:themeFillTint="7F"/>
      </w:tcPr>
    </w:tblStylePr>
    <w:tblStylePr w:type="nwCell">
      <w:tblPr/>
      <w:tcPr>
        <w:shd w:val="clear" w:color="auto" w:fill="FFFFFF" w:themeFill="background1"/>
      </w:tcPr>
    </w:tblStylePr>
  </w:style>
  <w:style w:type="table" w:styleId="103">
    <w:name w:val="Medium Grid 3"/>
    <w:basedOn w:val="38"/>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4">
    <w:name w:val="Medium Grid 3 Accent 1"/>
    <w:basedOn w:val="38"/>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1DCF2"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874CB"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874CB"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874CB"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874CB"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3B9E5"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3B9E5" w:themeFill="accent1" w:themeFillTint="7F"/>
      </w:tcPr>
    </w:tblStylePr>
  </w:style>
  <w:style w:type="table" w:styleId="105">
    <w:name w:val="Medium Grid 3 Accent 2"/>
    <w:basedOn w:val="38"/>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AE0CB"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EE822F"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EE822F"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EE822F"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EE822F"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6C097"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6C097" w:themeFill="accent2" w:themeFillTint="7F"/>
      </w:tcPr>
    </w:tblStylePr>
  </w:style>
  <w:style w:type="table" w:styleId="106">
    <w:name w:val="Medium Grid 3 Accent 3"/>
    <w:basedOn w:val="38"/>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EEFBD"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2BA02"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2BA02"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2BA02"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2BA02"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DDF7B"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DDF7B" w:themeFill="accent3" w:themeFillTint="7F"/>
      </w:tcPr>
    </w:tblStylePr>
  </w:style>
  <w:style w:type="table" w:styleId="107">
    <w:name w:val="Medium Grid 3 Accent 4"/>
    <w:basedOn w:val="38"/>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CEED0"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75BD4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75BD4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75BD4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75BD4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ADEA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ADEA0" w:themeFill="accent4" w:themeFillTint="7F"/>
      </w:tcPr>
    </w:tblStylePr>
  </w:style>
  <w:style w:type="table" w:styleId="108">
    <w:name w:val="Medium Grid 3 Accent 5"/>
    <w:basedOn w:val="38"/>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9F1EE"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30C0B4"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30C0B4"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30C0B4"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30C0B4"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93E4DD"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93E4DD" w:themeFill="accent5" w:themeFillTint="7F"/>
      </w:tcPr>
    </w:tblStylePr>
  </w:style>
  <w:style w:type="table" w:styleId="109">
    <w:name w:val="Medium Grid 3 Accent 6"/>
    <w:basedOn w:val="38"/>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8D2D7"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E54C5E"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E54C5E"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E54C5E"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E54C5E"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2A5AE"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2A5AE" w:themeFill="accent6" w:themeFillTint="7F"/>
      </w:tcPr>
    </w:tblStylePr>
  </w:style>
  <w:style w:type="table" w:styleId="110">
    <w:name w:val="Dark List"/>
    <w:basedOn w:val="38"/>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38"/>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874CB"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1E376A"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2D54A0"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2D54A0" w:themeFill="accent1" w:themeFillShade="BF"/>
      </w:tcPr>
    </w:tblStylePr>
    <w:tblStylePr w:type="band1Vert">
      <w:tblPr/>
      <w:tcPr>
        <w:tcBorders>
          <w:top w:val="nil"/>
          <w:left w:val="nil"/>
          <w:bottom w:val="nil"/>
          <w:right w:val="nil"/>
          <w:insideH w:val="nil"/>
          <w:insideV w:val="nil"/>
        </w:tcBorders>
        <w:shd w:val="clear" w:color="auto" w:fill="2D54A0" w:themeFill="accent1" w:themeFillShade="BF"/>
      </w:tcPr>
    </w:tblStylePr>
    <w:tblStylePr w:type="band1Horz">
      <w:tblPr/>
      <w:tcPr>
        <w:tcBorders>
          <w:top w:val="nil"/>
          <w:left w:val="nil"/>
          <w:bottom w:val="nil"/>
          <w:right w:val="nil"/>
          <w:insideH w:val="nil"/>
          <w:insideV w:val="nil"/>
        </w:tcBorders>
        <w:shd w:val="clear" w:color="auto" w:fill="2D54A0" w:themeFill="accent1" w:themeFillShade="BF"/>
      </w:tcPr>
    </w:tblStylePr>
  </w:style>
  <w:style w:type="table" w:styleId="112">
    <w:name w:val="Dark List Accent 2"/>
    <w:basedOn w:val="38"/>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EE822F"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833F0A"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C55E10"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C55E10" w:themeFill="accent2" w:themeFillShade="BF"/>
      </w:tcPr>
    </w:tblStylePr>
    <w:tblStylePr w:type="band1Vert">
      <w:tblPr/>
      <w:tcPr>
        <w:tcBorders>
          <w:top w:val="nil"/>
          <w:left w:val="nil"/>
          <w:bottom w:val="nil"/>
          <w:right w:val="nil"/>
          <w:insideH w:val="nil"/>
          <w:insideV w:val="nil"/>
        </w:tcBorders>
        <w:shd w:val="clear" w:color="auto" w:fill="C55E10" w:themeFill="accent2" w:themeFillShade="BF"/>
      </w:tcPr>
    </w:tblStylePr>
    <w:tblStylePr w:type="band1Horz">
      <w:tblPr/>
      <w:tcPr>
        <w:tcBorders>
          <w:top w:val="nil"/>
          <w:left w:val="nil"/>
          <w:bottom w:val="nil"/>
          <w:right w:val="nil"/>
          <w:insideH w:val="nil"/>
          <w:insideV w:val="nil"/>
        </w:tcBorders>
        <w:shd w:val="clear" w:color="auto" w:fill="C55E10" w:themeFill="accent2" w:themeFillShade="BF"/>
      </w:tcPr>
    </w:tblStylePr>
  </w:style>
  <w:style w:type="table" w:styleId="113">
    <w:name w:val="Dark List Accent 3"/>
    <w:basedOn w:val="38"/>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2BA02"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785C00"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B58B01"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B58B01" w:themeFill="accent3" w:themeFillShade="BF"/>
      </w:tcPr>
    </w:tblStylePr>
    <w:tblStylePr w:type="band1Vert">
      <w:tblPr/>
      <w:tcPr>
        <w:tcBorders>
          <w:top w:val="nil"/>
          <w:left w:val="nil"/>
          <w:bottom w:val="nil"/>
          <w:right w:val="nil"/>
          <w:insideH w:val="nil"/>
          <w:insideV w:val="nil"/>
        </w:tcBorders>
        <w:shd w:val="clear" w:color="auto" w:fill="B58B01" w:themeFill="accent3" w:themeFillShade="BF"/>
      </w:tcPr>
    </w:tblStylePr>
    <w:tblStylePr w:type="band1Horz">
      <w:tblPr/>
      <w:tcPr>
        <w:tcBorders>
          <w:top w:val="nil"/>
          <w:left w:val="nil"/>
          <w:bottom w:val="nil"/>
          <w:right w:val="nil"/>
          <w:insideH w:val="nil"/>
          <w:insideV w:val="nil"/>
        </w:tcBorders>
        <w:shd w:val="clear" w:color="auto" w:fill="B58B01" w:themeFill="accent3" w:themeFillShade="BF"/>
      </w:tcPr>
    </w:tblStylePr>
  </w:style>
  <w:style w:type="table" w:styleId="114">
    <w:name w:val="Dark List Accent 4"/>
    <w:basedOn w:val="38"/>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75BD4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A5E20"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78D31"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78D31" w:themeFill="accent4" w:themeFillShade="BF"/>
      </w:tcPr>
    </w:tblStylePr>
    <w:tblStylePr w:type="band1Vert">
      <w:tblPr/>
      <w:tcPr>
        <w:tcBorders>
          <w:top w:val="nil"/>
          <w:left w:val="nil"/>
          <w:bottom w:val="nil"/>
          <w:right w:val="nil"/>
          <w:insideH w:val="nil"/>
          <w:insideV w:val="nil"/>
        </w:tcBorders>
        <w:shd w:val="clear" w:color="auto" w:fill="578D31" w:themeFill="accent4" w:themeFillShade="BF"/>
      </w:tcPr>
    </w:tblStylePr>
    <w:tblStylePr w:type="band1Horz">
      <w:tblPr/>
      <w:tcPr>
        <w:tcBorders>
          <w:top w:val="nil"/>
          <w:left w:val="nil"/>
          <w:bottom w:val="nil"/>
          <w:right w:val="nil"/>
          <w:insideH w:val="nil"/>
          <w:insideV w:val="nil"/>
        </w:tcBorders>
        <w:shd w:val="clear" w:color="auto" w:fill="578D31" w:themeFill="accent4" w:themeFillShade="BF"/>
      </w:tcPr>
    </w:tblStylePr>
  </w:style>
  <w:style w:type="table" w:styleId="115">
    <w:name w:val="Dark List Accent 5"/>
    <w:basedOn w:val="38"/>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30C0B4"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175F59"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238F86"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238F86" w:themeFill="accent5" w:themeFillShade="BF"/>
      </w:tcPr>
    </w:tblStylePr>
    <w:tblStylePr w:type="band1Vert">
      <w:tblPr/>
      <w:tcPr>
        <w:tcBorders>
          <w:top w:val="nil"/>
          <w:left w:val="nil"/>
          <w:bottom w:val="nil"/>
          <w:right w:val="nil"/>
          <w:insideH w:val="nil"/>
          <w:insideV w:val="nil"/>
        </w:tcBorders>
        <w:shd w:val="clear" w:color="auto" w:fill="238F86" w:themeFill="accent5" w:themeFillShade="BF"/>
      </w:tcPr>
    </w:tblStylePr>
    <w:tblStylePr w:type="band1Horz">
      <w:tblPr/>
      <w:tcPr>
        <w:tcBorders>
          <w:top w:val="nil"/>
          <w:left w:val="nil"/>
          <w:bottom w:val="nil"/>
          <w:right w:val="nil"/>
          <w:insideH w:val="nil"/>
          <w:insideV w:val="nil"/>
        </w:tcBorders>
        <w:shd w:val="clear" w:color="auto" w:fill="238F86" w:themeFill="accent5" w:themeFillShade="BF"/>
      </w:tcPr>
    </w:tblStylePr>
  </w:style>
  <w:style w:type="table" w:styleId="116">
    <w:name w:val="Dark List Accent 6"/>
    <w:basedOn w:val="38"/>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E54C5E"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841320"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C71C31"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C71C31" w:themeFill="accent6" w:themeFillShade="BF"/>
      </w:tcPr>
    </w:tblStylePr>
    <w:tblStylePr w:type="band1Vert">
      <w:tblPr/>
      <w:tcPr>
        <w:tcBorders>
          <w:top w:val="nil"/>
          <w:left w:val="nil"/>
          <w:bottom w:val="nil"/>
          <w:right w:val="nil"/>
          <w:insideH w:val="nil"/>
          <w:insideV w:val="nil"/>
        </w:tcBorders>
        <w:shd w:val="clear" w:color="auto" w:fill="C71C31" w:themeFill="accent6" w:themeFillShade="BF"/>
      </w:tcPr>
    </w:tblStylePr>
    <w:tblStylePr w:type="band1Horz">
      <w:tblPr/>
      <w:tcPr>
        <w:tcBorders>
          <w:top w:val="nil"/>
          <w:left w:val="nil"/>
          <w:bottom w:val="nil"/>
          <w:right w:val="nil"/>
          <w:insideH w:val="nil"/>
          <w:insideV w:val="nil"/>
        </w:tcBorders>
        <w:shd w:val="clear" w:color="auto" w:fill="C71C31" w:themeFill="accent6" w:themeFillShade="BF"/>
      </w:tcPr>
    </w:tblStylePr>
  </w:style>
  <w:style w:type="table" w:styleId="117">
    <w:name w:val="Colorful Shading"/>
    <w:basedOn w:val="38"/>
    <w:qFormat/>
    <w:uiPriority w:val="71"/>
    <w:pPr>
      <w:spacing w:after="0" w:line="240" w:lineRule="auto"/>
    </w:pPr>
    <w:rPr>
      <w:color w:val="000000" w:themeColor="text1"/>
      <w14:textFill>
        <w14:solidFill>
          <w14:schemeClr w14:val="tx1"/>
        </w14:solidFill>
      </w14:textFill>
    </w:rPr>
    <w:tblPr>
      <w:tblBorders>
        <w:top w:val="single" w:color="EE822F"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1"/>
    <w:basedOn w:val="38"/>
    <w:qFormat/>
    <w:uiPriority w:val="71"/>
    <w:pPr>
      <w:spacing w:after="0" w:line="240" w:lineRule="auto"/>
    </w:pPr>
    <w:rPr>
      <w:color w:val="000000" w:themeColor="text1"/>
      <w14:textFill>
        <w14:solidFill>
          <w14:schemeClr w14:val="tx1"/>
        </w14:solidFill>
      </w14:textFill>
    </w:rPr>
    <w:tblPr>
      <w:tblBorders>
        <w:top w:val="single" w:color="EE822F" w:themeColor="accent2" w:sz="24" w:space="0"/>
        <w:left w:val="single" w:color="4874CB" w:themeColor="accent1" w:sz="4" w:space="0"/>
        <w:bottom w:val="single" w:color="4874CB" w:themeColor="accent1" w:sz="4" w:space="0"/>
        <w:right w:val="single" w:color="4874CB"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1F9" w:themeFill="accent1" w:themeFillTint="19"/>
    </w:tcPr>
    <w:tblStylePr w:type="firstRow">
      <w:rPr>
        <w:b/>
        <w:bCs/>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44380"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44380"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44380" w:themeFill="accent1" w:themeFillShade="99"/>
      </w:tcPr>
    </w:tblStylePr>
    <w:tblStylePr w:type="band1Vert">
      <w:tblPr/>
      <w:tcPr>
        <w:shd w:val="clear" w:color="auto" w:fill="B5C7EA" w:themeFill="accent1" w:themeFillTint="66"/>
      </w:tcPr>
    </w:tblStylePr>
    <w:tblStylePr w:type="band1Horz">
      <w:tblPr/>
      <w:tcPr>
        <w:shd w:val="clear" w:color="auto" w:fill="A3B9E5"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2"/>
    <w:basedOn w:val="38"/>
    <w:qFormat/>
    <w:uiPriority w:val="71"/>
    <w:pPr>
      <w:spacing w:after="0" w:line="240" w:lineRule="auto"/>
    </w:pPr>
    <w:rPr>
      <w:color w:val="000000" w:themeColor="text1"/>
      <w14:textFill>
        <w14:solidFill>
          <w14:schemeClr w14:val="tx1"/>
        </w14:solidFill>
      </w14:textFill>
    </w:rPr>
    <w:tblPr>
      <w:tblBorders>
        <w:top w:val="single" w:color="EE822F" w:themeColor="accent2" w:sz="24" w:space="0"/>
        <w:left w:val="single" w:color="EE822F" w:themeColor="accent2" w:sz="4" w:space="0"/>
        <w:bottom w:val="single" w:color="EE822F" w:themeColor="accent2" w:sz="4" w:space="0"/>
        <w:right w:val="single" w:color="EE822F"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DF2EA" w:themeFill="accent2" w:themeFillTint="19"/>
    </w:tcPr>
    <w:tblStylePr w:type="firstRow">
      <w:rPr>
        <w:b/>
        <w:bCs/>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E4B0C"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E4B0C"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E4B0C" w:themeFill="accent2" w:themeFillShade="99"/>
      </w:tcPr>
    </w:tblStylePr>
    <w:tblStylePr w:type="band1Vert">
      <w:tblPr/>
      <w:tcPr>
        <w:shd w:val="clear" w:color="auto" w:fill="F8CCAB" w:themeFill="accent2" w:themeFillTint="66"/>
      </w:tcPr>
    </w:tblStylePr>
    <w:tblStylePr w:type="band1Horz">
      <w:tblPr/>
      <w:tcPr>
        <w:shd w:val="clear" w:color="auto" w:fill="F6C097"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3"/>
    <w:basedOn w:val="38"/>
    <w:qFormat/>
    <w:uiPriority w:val="71"/>
    <w:pPr>
      <w:spacing w:after="0" w:line="240" w:lineRule="auto"/>
    </w:pPr>
    <w:rPr>
      <w:color w:val="000000" w:themeColor="text1"/>
      <w14:textFill>
        <w14:solidFill>
          <w14:schemeClr w14:val="tx1"/>
        </w14:solidFill>
      </w14:textFill>
    </w:rPr>
    <w:tblPr>
      <w:tblBorders>
        <w:top w:val="single" w:color="75BD42" w:themeColor="accent4" w:sz="24" w:space="0"/>
        <w:left w:val="single" w:color="F2BA02" w:themeColor="accent3" w:sz="4" w:space="0"/>
        <w:bottom w:val="single" w:color="F2BA02" w:themeColor="accent3" w:sz="4" w:space="0"/>
        <w:right w:val="single" w:color="F2BA02"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8E5" w:themeFill="accent3" w:themeFillTint="19"/>
    </w:tcPr>
    <w:tblStylePr w:type="firstRow">
      <w:rPr>
        <w:b/>
        <w:bCs/>
      </w:rPr>
      <w:tblPr/>
      <w:tcPr>
        <w:tcBorders>
          <w:top w:val="nil"/>
          <w:left w:val="nil"/>
          <w:bottom w:val="single" w:color="75BD4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16F01"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16F01"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16F01" w:themeFill="accent3" w:themeFillShade="99"/>
      </w:tcPr>
    </w:tblStylePr>
    <w:tblStylePr w:type="band1Vert">
      <w:tblPr/>
      <w:tcPr>
        <w:shd w:val="clear" w:color="auto" w:fill="FEE595" w:themeFill="accent3" w:themeFillTint="66"/>
      </w:tcPr>
    </w:tblStylePr>
    <w:tblStylePr w:type="band1Horz">
      <w:tblPr/>
      <w:tcPr>
        <w:shd w:val="clear" w:color="auto" w:fill="FDDF7B" w:themeFill="accent3" w:themeFillTint="7F"/>
      </w:tcPr>
    </w:tblStylePr>
  </w:style>
  <w:style w:type="table" w:styleId="121">
    <w:name w:val="Colorful Shading Accent 4"/>
    <w:basedOn w:val="38"/>
    <w:qFormat/>
    <w:uiPriority w:val="71"/>
    <w:pPr>
      <w:spacing w:after="0" w:line="240" w:lineRule="auto"/>
    </w:pPr>
    <w:rPr>
      <w:color w:val="000000" w:themeColor="text1"/>
      <w14:textFill>
        <w14:solidFill>
          <w14:schemeClr w14:val="tx1"/>
        </w14:solidFill>
      </w14:textFill>
    </w:rPr>
    <w:tblPr>
      <w:tblBorders>
        <w:top w:val="single" w:color="F2BA02" w:themeColor="accent3" w:sz="24" w:space="0"/>
        <w:left w:val="single" w:color="75BD42" w:themeColor="accent4" w:sz="4" w:space="0"/>
        <w:bottom w:val="single" w:color="75BD42" w:themeColor="accent4" w:sz="4" w:space="0"/>
        <w:right w:val="single" w:color="75BD4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1F8EC" w:themeFill="accent4" w:themeFillTint="19"/>
    </w:tcPr>
    <w:tblStylePr w:type="firstRow">
      <w:rPr>
        <w:b/>
        <w:bCs/>
      </w:rPr>
      <w:tblPr/>
      <w:tcPr>
        <w:tcBorders>
          <w:top w:val="nil"/>
          <w:left w:val="nil"/>
          <w:bottom w:val="single" w:color="F2BA02"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67127"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67127"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67127" w:themeFill="accent4" w:themeFillShade="99"/>
      </w:tcPr>
    </w:tblStylePr>
    <w:tblStylePr w:type="band1Vert">
      <w:tblPr/>
      <w:tcPr>
        <w:shd w:val="clear" w:color="auto" w:fill="C7E4B3" w:themeFill="accent4" w:themeFillTint="66"/>
      </w:tcPr>
    </w:tblStylePr>
    <w:tblStylePr w:type="band1Horz">
      <w:tblPr/>
      <w:tcPr>
        <w:shd w:val="clear" w:color="auto" w:fill="BADEA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5"/>
    <w:basedOn w:val="38"/>
    <w:qFormat/>
    <w:uiPriority w:val="71"/>
    <w:pPr>
      <w:spacing w:after="0" w:line="240" w:lineRule="auto"/>
    </w:pPr>
    <w:rPr>
      <w:color w:val="000000" w:themeColor="text1"/>
      <w14:textFill>
        <w14:solidFill>
          <w14:schemeClr w14:val="tx1"/>
        </w14:solidFill>
      </w14:textFill>
    </w:rPr>
    <w:tblPr>
      <w:tblBorders>
        <w:top w:val="single" w:color="E54C5E" w:themeColor="accent6" w:sz="24" w:space="0"/>
        <w:left w:val="single" w:color="30C0B4" w:themeColor="accent5" w:sz="4" w:space="0"/>
        <w:bottom w:val="single" w:color="30C0B4" w:themeColor="accent5" w:sz="4" w:space="0"/>
        <w:right w:val="single" w:color="30C0B4"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9F9F8" w:themeFill="accent5" w:themeFillTint="19"/>
    </w:tcPr>
    <w:tblStylePr w:type="firstRow">
      <w:rPr>
        <w:b/>
        <w:bCs/>
      </w:rPr>
      <w:tblPr/>
      <w:tcPr>
        <w:tcBorders>
          <w:top w:val="nil"/>
          <w:left w:val="nil"/>
          <w:bottom w:val="single" w:color="E54C5E"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1C736B"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1C736B"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1C736B" w:themeFill="accent5" w:themeFillShade="99"/>
      </w:tcPr>
    </w:tblStylePr>
    <w:tblStylePr w:type="band1Vert">
      <w:tblPr/>
      <w:tcPr>
        <w:shd w:val="clear" w:color="auto" w:fill="A8E9E3" w:themeFill="accent5" w:themeFillTint="66"/>
      </w:tcPr>
    </w:tblStylePr>
    <w:tblStylePr w:type="band1Horz">
      <w:tblPr/>
      <w:tcPr>
        <w:shd w:val="clear" w:color="auto" w:fill="93E4DD"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6"/>
    <w:basedOn w:val="38"/>
    <w:qFormat/>
    <w:uiPriority w:val="71"/>
    <w:pPr>
      <w:spacing w:after="0" w:line="240" w:lineRule="auto"/>
    </w:pPr>
    <w:rPr>
      <w:color w:val="000000" w:themeColor="text1"/>
      <w14:textFill>
        <w14:solidFill>
          <w14:schemeClr w14:val="tx1"/>
        </w14:solidFill>
      </w14:textFill>
    </w:rPr>
    <w:tblPr>
      <w:tblBorders>
        <w:top w:val="single" w:color="30C0B4" w:themeColor="accent5" w:sz="24" w:space="0"/>
        <w:left w:val="single" w:color="E54C5E" w:themeColor="accent6" w:sz="4" w:space="0"/>
        <w:bottom w:val="single" w:color="E54C5E" w:themeColor="accent6" w:sz="4" w:space="0"/>
        <w:right w:val="single" w:color="E54C5E"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CEDEF" w:themeFill="accent6" w:themeFillTint="19"/>
    </w:tcPr>
    <w:tblStylePr w:type="firstRow">
      <w:rPr>
        <w:b/>
        <w:bCs/>
      </w:rPr>
      <w:tblPr/>
      <w:tcPr>
        <w:tcBorders>
          <w:top w:val="nil"/>
          <w:left w:val="nil"/>
          <w:bottom w:val="single" w:color="30C0B4"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F172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F172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F1727" w:themeFill="accent6" w:themeFillShade="99"/>
      </w:tcPr>
    </w:tblStylePr>
    <w:tblStylePr w:type="band1Vert">
      <w:tblPr/>
      <w:tcPr>
        <w:shd w:val="clear" w:color="auto" w:fill="F4B7BE" w:themeFill="accent6" w:themeFillTint="66"/>
      </w:tcPr>
    </w:tblStylePr>
    <w:tblStylePr w:type="band1Horz">
      <w:tblPr/>
      <w:tcPr>
        <w:shd w:val="clear" w:color="auto" w:fill="F2A5AE"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List"/>
    <w:basedOn w:val="38"/>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511" w:themeFill="accent2" w:themeFillShade="CC"/>
      </w:tcPr>
    </w:tblStylePr>
    <w:tblStylePr w:type="lastRow">
      <w:rPr>
        <w:b/>
        <w:bCs/>
        <w:color w:val="D36511"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5">
    <w:name w:val="Colorful List Accent 1"/>
    <w:basedOn w:val="38"/>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1F9"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511" w:themeFill="accent2" w:themeFillShade="CC"/>
      </w:tcPr>
    </w:tblStylePr>
    <w:tblStylePr w:type="lastRow">
      <w:rPr>
        <w:b/>
        <w:bCs/>
        <w:color w:val="D36511"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DCF2" w:themeFill="accent1" w:themeFillTint="3F"/>
      </w:tcPr>
    </w:tblStylePr>
    <w:tblStylePr w:type="band1Horz">
      <w:tblPr/>
      <w:tcPr>
        <w:shd w:val="clear" w:color="auto" w:fill="DAE3F4" w:themeFill="accent1" w:themeFillTint="33"/>
      </w:tcPr>
    </w:tblStylePr>
  </w:style>
  <w:style w:type="table" w:styleId="126">
    <w:name w:val="Colorful List Accent 2"/>
    <w:basedOn w:val="38"/>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DF2EA"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511" w:themeFill="accent2" w:themeFillShade="CC"/>
      </w:tcPr>
    </w:tblStylePr>
    <w:tblStylePr w:type="lastRow">
      <w:rPr>
        <w:b/>
        <w:bCs/>
        <w:color w:val="D36511"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E0CB" w:themeFill="accent2" w:themeFillTint="3F"/>
      </w:tcPr>
    </w:tblStylePr>
    <w:tblStylePr w:type="band1Horz">
      <w:tblPr/>
      <w:tcPr>
        <w:shd w:val="clear" w:color="auto" w:fill="FBE5D5" w:themeFill="accent2" w:themeFillTint="33"/>
      </w:tcPr>
    </w:tblStylePr>
  </w:style>
  <w:style w:type="table" w:styleId="127">
    <w:name w:val="Colorful List Accent 3"/>
    <w:basedOn w:val="38"/>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8E5"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5D9734" w:themeFill="accent4" w:themeFillShade="CC"/>
      </w:tcPr>
    </w:tblStylePr>
    <w:tblStylePr w:type="lastRow">
      <w:rPr>
        <w:b/>
        <w:bCs/>
        <w:color w:val="5E9735"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EFBD" w:themeFill="accent3" w:themeFillTint="3F"/>
      </w:tcPr>
    </w:tblStylePr>
    <w:tblStylePr w:type="band1Horz">
      <w:tblPr/>
      <w:tcPr>
        <w:shd w:val="clear" w:color="auto" w:fill="FEF2CA" w:themeFill="accent3" w:themeFillTint="33"/>
      </w:tcPr>
    </w:tblStylePr>
  </w:style>
  <w:style w:type="table" w:styleId="128">
    <w:name w:val="Colorful List Accent 4"/>
    <w:basedOn w:val="38"/>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1F8EC"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C19401" w:themeFill="accent3" w:themeFillShade="CC"/>
      </w:tcPr>
    </w:tblStylePr>
    <w:tblStylePr w:type="lastRow">
      <w:rPr>
        <w:b/>
        <w:bCs/>
        <w:color w:val="C29502"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CEED0" w:themeFill="accent4" w:themeFillTint="3F"/>
      </w:tcPr>
    </w:tblStylePr>
    <w:tblStylePr w:type="band1Horz">
      <w:tblPr/>
      <w:tcPr>
        <w:shd w:val="clear" w:color="auto" w:fill="E3F1D9" w:themeFill="accent4" w:themeFillTint="33"/>
      </w:tcPr>
    </w:tblStylePr>
  </w:style>
  <w:style w:type="table" w:styleId="129">
    <w:name w:val="Colorful List Accent 5"/>
    <w:basedOn w:val="38"/>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9F9F8"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51E34" w:themeFill="accent6" w:themeFillShade="CC"/>
      </w:tcPr>
    </w:tblStylePr>
    <w:tblStylePr w:type="lastRow">
      <w:rPr>
        <w:b/>
        <w:bCs/>
        <w:color w:val="D51F34"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9F1EE" w:themeFill="accent5" w:themeFillTint="3F"/>
      </w:tcPr>
    </w:tblStylePr>
    <w:tblStylePr w:type="band1Horz">
      <w:tblPr/>
      <w:tcPr>
        <w:shd w:val="clear" w:color="auto" w:fill="D3F4F1" w:themeFill="accent5" w:themeFillTint="33"/>
      </w:tcPr>
    </w:tblStylePr>
  </w:style>
  <w:style w:type="table" w:styleId="130">
    <w:name w:val="Colorful List Accent 6"/>
    <w:basedOn w:val="38"/>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CEDEF"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26998F" w:themeFill="accent5" w:themeFillShade="CC"/>
      </w:tcPr>
    </w:tblStylePr>
    <w:tblStylePr w:type="lastRow">
      <w:rPr>
        <w:b/>
        <w:bCs/>
        <w:color w:val="269A90"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D2D7" w:themeFill="accent6" w:themeFillTint="3F"/>
      </w:tcPr>
    </w:tblStylePr>
    <w:tblStylePr w:type="band1Horz">
      <w:tblPr/>
      <w:tcPr>
        <w:shd w:val="clear" w:color="auto" w:fill="F9DBDE" w:themeFill="accent6" w:themeFillTint="33"/>
      </w:tcPr>
    </w:tblStylePr>
  </w:style>
  <w:style w:type="table" w:styleId="131">
    <w:name w:val="Colorful Grid"/>
    <w:basedOn w:val="38"/>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2">
    <w:name w:val="Colorful Grid Accent 1"/>
    <w:basedOn w:val="38"/>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3F4" w:themeFill="accent1" w:themeFillTint="33"/>
    </w:tcPr>
    <w:tblStylePr w:type="firstRow">
      <w:rPr>
        <w:b/>
        <w:bCs/>
      </w:rPr>
      <w:tblPr/>
      <w:tcPr>
        <w:shd w:val="clear" w:color="auto" w:fill="B5C7EA" w:themeFill="accent1" w:themeFillTint="66"/>
      </w:tcPr>
    </w:tblStylePr>
    <w:tblStylePr w:type="lastRow">
      <w:rPr>
        <w:b/>
        <w:bCs/>
        <w:color w:val="000000" w:themeColor="text1"/>
        <w14:textFill>
          <w14:solidFill>
            <w14:schemeClr w14:val="tx1"/>
          </w14:solidFill>
        </w14:textFill>
      </w:rPr>
      <w:tblPr/>
      <w:tcPr>
        <w:shd w:val="clear" w:color="auto" w:fill="B5C7EA" w:themeFill="accent1" w:themeFillTint="66"/>
      </w:tcPr>
    </w:tblStylePr>
    <w:tblStylePr w:type="firstCol">
      <w:rPr>
        <w:color w:val="FFFFFF" w:themeColor="background1"/>
        <w14:textFill>
          <w14:solidFill>
            <w14:schemeClr w14:val="bg1"/>
          </w14:solidFill>
        </w14:textFill>
      </w:rPr>
      <w:tblPr/>
      <w:tcPr>
        <w:shd w:val="clear" w:color="auto" w:fill="2D54A0" w:themeFill="accent1" w:themeFillShade="BF"/>
      </w:tcPr>
    </w:tblStylePr>
    <w:tblStylePr w:type="lastCol">
      <w:rPr>
        <w:color w:val="FFFFFF" w:themeColor="background1"/>
        <w14:textFill>
          <w14:solidFill>
            <w14:schemeClr w14:val="bg1"/>
          </w14:solidFill>
        </w14:textFill>
      </w:rPr>
      <w:tblPr/>
      <w:tcPr>
        <w:shd w:val="clear" w:color="auto" w:fill="2D54A0" w:themeFill="accent1" w:themeFillShade="BF"/>
      </w:tcPr>
    </w:tblStylePr>
    <w:tblStylePr w:type="band1Vert">
      <w:tblPr/>
      <w:tcPr>
        <w:shd w:val="clear" w:color="auto" w:fill="A3B9E5" w:themeFill="accent1" w:themeFillTint="7F"/>
      </w:tcPr>
    </w:tblStylePr>
    <w:tblStylePr w:type="band1Horz">
      <w:tblPr/>
      <w:tcPr>
        <w:shd w:val="clear" w:color="auto" w:fill="A3B9E5" w:themeFill="accent1" w:themeFillTint="7F"/>
      </w:tcPr>
    </w:tblStylePr>
  </w:style>
  <w:style w:type="table" w:styleId="133">
    <w:name w:val="Colorful Grid Accent 2"/>
    <w:basedOn w:val="38"/>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BE5D5" w:themeFill="accent2" w:themeFillTint="33"/>
    </w:tcPr>
    <w:tblStylePr w:type="firstRow">
      <w:rPr>
        <w:b/>
        <w:bCs/>
      </w:rPr>
      <w:tblPr/>
      <w:tcPr>
        <w:shd w:val="clear" w:color="auto" w:fill="F8CCAB" w:themeFill="accent2" w:themeFillTint="66"/>
      </w:tcPr>
    </w:tblStylePr>
    <w:tblStylePr w:type="lastRow">
      <w:rPr>
        <w:b/>
        <w:bCs/>
        <w:color w:val="000000" w:themeColor="text1"/>
        <w14:textFill>
          <w14:solidFill>
            <w14:schemeClr w14:val="tx1"/>
          </w14:solidFill>
        </w14:textFill>
      </w:rPr>
      <w:tblPr/>
      <w:tcPr>
        <w:shd w:val="clear" w:color="auto" w:fill="F8CCAB" w:themeFill="accent2" w:themeFillTint="66"/>
      </w:tcPr>
    </w:tblStylePr>
    <w:tblStylePr w:type="firstCol">
      <w:rPr>
        <w:color w:val="FFFFFF" w:themeColor="background1"/>
        <w14:textFill>
          <w14:solidFill>
            <w14:schemeClr w14:val="bg1"/>
          </w14:solidFill>
        </w14:textFill>
      </w:rPr>
      <w:tblPr/>
      <w:tcPr>
        <w:shd w:val="clear" w:color="auto" w:fill="C55E10" w:themeFill="accent2" w:themeFillShade="BF"/>
      </w:tcPr>
    </w:tblStylePr>
    <w:tblStylePr w:type="lastCol">
      <w:rPr>
        <w:color w:val="FFFFFF" w:themeColor="background1"/>
        <w14:textFill>
          <w14:solidFill>
            <w14:schemeClr w14:val="bg1"/>
          </w14:solidFill>
        </w14:textFill>
      </w:rPr>
      <w:tblPr/>
      <w:tcPr>
        <w:shd w:val="clear" w:color="auto" w:fill="C55E10" w:themeFill="accent2" w:themeFillShade="BF"/>
      </w:tcPr>
    </w:tblStylePr>
    <w:tblStylePr w:type="band1Vert">
      <w:tblPr/>
      <w:tcPr>
        <w:shd w:val="clear" w:color="auto" w:fill="F6C097" w:themeFill="accent2" w:themeFillTint="7F"/>
      </w:tcPr>
    </w:tblStylePr>
    <w:tblStylePr w:type="band1Horz">
      <w:tblPr/>
      <w:tcPr>
        <w:shd w:val="clear" w:color="auto" w:fill="F6C097" w:themeFill="accent2" w:themeFillTint="7F"/>
      </w:tcPr>
    </w:tblStylePr>
  </w:style>
  <w:style w:type="table" w:styleId="134">
    <w:name w:val="Colorful Grid Accent 3"/>
    <w:basedOn w:val="38"/>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EF2CA" w:themeFill="accent3" w:themeFillTint="33"/>
    </w:tcPr>
    <w:tblStylePr w:type="firstRow">
      <w:rPr>
        <w:b/>
        <w:bCs/>
      </w:rPr>
      <w:tblPr/>
      <w:tcPr>
        <w:shd w:val="clear" w:color="auto" w:fill="FEE595" w:themeFill="accent3" w:themeFillTint="66"/>
      </w:tcPr>
    </w:tblStylePr>
    <w:tblStylePr w:type="lastRow">
      <w:rPr>
        <w:b/>
        <w:bCs/>
        <w:color w:val="000000" w:themeColor="text1"/>
        <w14:textFill>
          <w14:solidFill>
            <w14:schemeClr w14:val="tx1"/>
          </w14:solidFill>
        </w14:textFill>
      </w:rPr>
      <w:tblPr/>
      <w:tcPr>
        <w:shd w:val="clear" w:color="auto" w:fill="FEE595" w:themeFill="accent3" w:themeFillTint="66"/>
      </w:tcPr>
    </w:tblStylePr>
    <w:tblStylePr w:type="firstCol">
      <w:rPr>
        <w:color w:val="FFFFFF" w:themeColor="background1"/>
        <w14:textFill>
          <w14:solidFill>
            <w14:schemeClr w14:val="bg1"/>
          </w14:solidFill>
        </w14:textFill>
      </w:rPr>
      <w:tblPr/>
      <w:tcPr>
        <w:shd w:val="clear" w:color="auto" w:fill="B58B01" w:themeFill="accent3" w:themeFillShade="BF"/>
      </w:tcPr>
    </w:tblStylePr>
    <w:tblStylePr w:type="lastCol">
      <w:rPr>
        <w:color w:val="FFFFFF" w:themeColor="background1"/>
        <w14:textFill>
          <w14:solidFill>
            <w14:schemeClr w14:val="bg1"/>
          </w14:solidFill>
        </w14:textFill>
      </w:rPr>
      <w:tblPr/>
      <w:tcPr>
        <w:shd w:val="clear" w:color="auto" w:fill="B58B01" w:themeFill="accent3" w:themeFillShade="BF"/>
      </w:tcPr>
    </w:tblStylePr>
    <w:tblStylePr w:type="band1Vert">
      <w:tblPr/>
      <w:tcPr>
        <w:shd w:val="clear" w:color="auto" w:fill="FDDF7B" w:themeFill="accent3" w:themeFillTint="7F"/>
      </w:tcPr>
    </w:tblStylePr>
    <w:tblStylePr w:type="band1Horz">
      <w:tblPr/>
      <w:tcPr>
        <w:shd w:val="clear" w:color="auto" w:fill="FDDF7B" w:themeFill="accent3" w:themeFillTint="7F"/>
      </w:tcPr>
    </w:tblStylePr>
  </w:style>
  <w:style w:type="table" w:styleId="135">
    <w:name w:val="Colorful Grid Accent 4"/>
    <w:basedOn w:val="38"/>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3F1D9" w:themeFill="accent4" w:themeFillTint="33"/>
    </w:tcPr>
    <w:tblStylePr w:type="firstRow">
      <w:rPr>
        <w:b/>
        <w:bCs/>
      </w:rPr>
      <w:tblPr/>
      <w:tcPr>
        <w:shd w:val="clear" w:color="auto" w:fill="C7E4B3" w:themeFill="accent4" w:themeFillTint="66"/>
      </w:tcPr>
    </w:tblStylePr>
    <w:tblStylePr w:type="lastRow">
      <w:rPr>
        <w:b/>
        <w:bCs/>
        <w:color w:val="000000" w:themeColor="text1"/>
        <w14:textFill>
          <w14:solidFill>
            <w14:schemeClr w14:val="tx1"/>
          </w14:solidFill>
        </w14:textFill>
      </w:rPr>
      <w:tblPr/>
      <w:tcPr>
        <w:shd w:val="clear" w:color="auto" w:fill="C7E4B3" w:themeFill="accent4" w:themeFillTint="66"/>
      </w:tcPr>
    </w:tblStylePr>
    <w:tblStylePr w:type="firstCol">
      <w:rPr>
        <w:color w:val="FFFFFF" w:themeColor="background1"/>
        <w14:textFill>
          <w14:solidFill>
            <w14:schemeClr w14:val="bg1"/>
          </w14:solidFill>
        </w14:textFill>
      </w:rPr>
      <w:tblPr/>
      <w:tcPr>
        <w:shd w:val="clear" w:color="auto" w:fill="578D31" w:themeFill="accent4" w:themeFillShade="BF"/>
      </w:tcPr>
    </w:tblStylePr>
    <w:tblStylePr w:type="lastCol">
      <w:rPr>
        <w:color w:val="FFFFFF" w:themeColor="background1"/>
        <w14:textFill>
          <w14:solidFill>
            <w14:schemeClr w14:val="bg1"/>
          </w14:solidFill>
        </w14:textFill>
      </w:rPr>
      <w:tblPr/>
      <w:tcPr>
        <w:shd w:val="clear" w:color="auto" w:fill="578D31" w:themeFill="accent4" w:themeFillShade="BF"/>
      </w:tcPr>
    </w:tblStylePr>
    <w:tblStylePr w:type="band1Vert">
      <w:tblPr/>
      <w:tcPr>
        <w:shd w:val="clear" w:color="auto" w:fill="BADEA0" w:themeFill="accent4" w:themeFillTint="7F"/>
      </w:tcPr>
    </w:tblStylePr>
    <w:tblStylePr w:type="band1Horz">
      <w:tblPr/>
      <w:tcPr>
        <w:shd w:val="clear" w:color="auto" w:fill="BADEA0" w:themeFill="accent4" w:themeFillTint="7F"/>
      </w:tcPr>
    </w:tblStylePr>
  </w:style>
  <w:style w:type="table" w:styleId="136">
    <w:name w:val="Colorful Grid Accent 5"/>
    <w:basedOn w:val="38"/>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3F4F1" w:themeFill="accent5" w:themeFillTint="33"/>
    </w:tcPr>
    <w:tblStylePr w:type="firstRow">
      <w:rPr>
        <w:b/>
        <w:bCs/>
      </w:rPr>
      <w:tblPr/>
      <w:tcPr>
        <w:shd w:val="clear" w:color="auto" w:fill="A8E9E3" w:themeFill="accent5" w:themeFillTint="66"/>
      </w:tcPr>
    </w:tblStylePr>
    <w:tblStylePr w:type="lastRow">
      <w:rPr>
        <w:b/>
        <w:bCs/>
        <w:color w:val="000000" w:themeColor="text1"/>
        <w14:textFill>
          <w14:solidFill>
            <w14:schemeClr w14:val="tx1"/>
          </w14:solidFill>
        </w14:textFill>
      </w:rPr>
      <w:tblPr/>
      <w:tcPr>
        <w:shd w:val="clear" w:color="auto" w:fill="A8E9E3" w:themeFill="accent5" w:themeFillTint="66"/>
      </w:tcPr>
    </w:tblStylePr>
    <w:tblStylePr w:type="firstCol">
      <w:rPr>
        <w:color w:val="FFFFFF" w:themeColor="background1"/>
        <w14:textFill>
          <w14:solidFill>
            <w14:schemeClr w14:val="bg1"/>
          </w14:solidFill>
        </w14:textFill>
      </w:rPr>
      <w:tblPr/>
      <w:tcPr>
        <w:shd w:val="clear" w:color="auto" w:fill="238F86" w:themeFill="accent5" w:themeFillShade="BF"/>
      </w:tcPr>
    </w:tblStylePr>
    <w:tblStylePr w:type="lastCol">
      <w:rPr>
        <w:color w:val="FFFFFF" w:themeColor="background1"/>
        <w14:textFill>
          <w14:solidFill>
            <w14:schemeClr w14:val="bg1"/>
          </w14:solidFill>
        </w14:textFill>
      </w:rPr>
      <w:tblPr/>
      <w:tcPr>
        <w:shd w:val="clear" w:color="auto" w:fill="238F86" w:themeFill="accent5" w:themeFillShade="BF"/>
      </w:tcPr>
    </w:tblStylePr>
    <w:tblStylePr w:type="band1Vert">
      <w:tblPr/>
      <w:tcPr>
        <w:shd w:val="clear" w:color="auto" w:fill="93E4DD" w:themeFill="accent5" w:themeFillTint="7F"/>
      </w:tcPr>
    </w:tblStylePr>
    <w:tblStylePr w:type="band1Horz">
      <w:tblPr/>
      <w:tcPr>
        <w:shd w:val="clear" w:color="auto" w:fill="93E4DD" w:themeFill="accent5" w:themeFillTint="7F"/>
      </w:tcPr>
    </w:tblStylePr>
  </w:style>
  <w:style w:type="table" w:styleId="137">
    <w:name w:val="Colorful Grid Accent 6"/>
    <w:basedOn w:val="38"/>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9DBDE" w:themeFill="accent6" w:themeFillTint="33"/>
    </w:tcPr>
    <w:tblStylePr w:type="firstRow">
      <w:rPr>
        <w:b/>
        <w:bCs/>
      </w:rPr>
      <w:tblPr/>
      <w:tcPr>
        <w:shd w:val="clear" w:color="auto" w:fill="F4B7BE" w:themeFill="accent6" w:themeFillTint="66"/>
      </w:tcPr>
    </w:tblStylePr>
    <w:tblStylePr w:type="lastRow">
      <w:rPr>
        <w:b/>
        <w:bCs/>
        <w:color w:val="000000" w:themeColor="text1"/>
        <w14:textFill>
          <w14:solidFill>
            <w14:schemeClr w14:val="tx1"/>
          </w14:solidFill>
        </w14:textFill>
      </w:rPr>
      <w:tblPr/>
      <w:tcPr>
        <w:shd w:val="clear" w:color="auto" w:fill="F4B7BE" w:themeFill="accent6" w:themeFillTint="66"/>
      </w:tcPr>
    </w:tblStylePr>
    <w:tblStylePr w:type="firstCol">
      <w:rPr>
        <w:color w:val="FFFFFF" w:themeColor="background1"/>
        <w14:textFill>
          <w14:solidFill>
            <w14:schemeClr w14:val="bg1"/>
          </w14:solidFill>
        </w14:textFill>
      </w:rPr>
      <w:tblPr/>
      <w:tcPr>
        <w:shd w:val="clear" w:color="auto" w:fill="C71C31" w:themeFill="accent6" w:themeFillShade="BF"/>
      </w:tcPr>
    </w:tblStylePr>
    <w:tblStylePr w:type="lastCol">
      <w:rPr>
        <w:color w:val="FFFFFF" w:themeColor="background1"/>
        <w14:textFill>
          <w14:solidFill>
            <w14:schemeClr w14:val="bg1"/>
          </w14:solidFill>
        </w14:textFill>
      </w:rPr>
      <w:tblPr/>
      <w:tcPr>
        <w:shd w:val="clear" w:color="auto" w:fill="C71C31" w:themeFill="accent6" w:themeFillShade="BF"/>
      </w:tcPr>
    </w:tblStylePr>
    <w:tblStylePr w:type="band1Vert">
      <w:tblPr/>
      <w:tcPr>
        <w:shd w:val="clear" w:color="auto" w:fill="F2A5AE" w:themeFill="accent6" w:themeFillTint="7F"/>
      </w:tcPr>
    </w:tblStylePr>
    <w:tblStylePr w:type="band1Horz">
      <w:tblPr/>
      <w:tcPr>
        <w:shd w:val="clear" w:color="auto" w:fill="F2A5AE" w:themeFill="accent6" w:themeFillTint="7F"/>
      </w:tcPr>
    </w:tblStylePr>
  </w:style>
  <w:style w:type="character" w:styleId="139">
    <w:name w:val="Strong"/>
    <w:basedOn w:val="138"/>
    <w:qFormat/>
    <w:uiPriority w:val="22"/>
    <w:rPr>
      <w:b/>
      <w:bCs/>
    </w:rPr>
  </w:style>
  <w:style w:type="character" w:styleId="140">
    <w:name w:val="Emphasis"/>
    <w:basedOn w:val="138"/>
    <w:qFormat/>
    <w:uiPriority w:val="20"/>
    <w:rPr>
      <w:i/>
      <w:iCs/>
    </w:rPr>
  </w:style>
  <w:style w:type="character" w:styleId="141">
    <w:name w:val="HTML Code"/>
    <w:basedOn w:val="138"/>
    <w:semiHidden/>
    <w:unhideWhenUsed/>
    <w:qFormat/>
    <w:uiPriority w:val="99"/>
    <w:rPr>
      <w:rFonts w:ascii="Courier New" w:hAnsi="Courier New"/>
      <w:sz w:val="20"/>
    </w:rPr>
  </w:style>
  <w:style w:type="character" w:customStyle="1" w:styleId="142">
    <w:name w:val="Header Char"/>
    <w:basedOn w:val="138"/>
    <w:link w:val="26"/>
    <w:qFormat/>
    <w:uiPriority w:val="99"/>
  </w:style>
  <w:style w:type="character" w:customStyle="1" w:styleId="143">
    <w:name w:val="Footer Char"/>
    <w:basedOn w:val="138"/>
    <w:link w:val="25"/>
    <w:qFormat/>
    <w:uiPriority w:val="99"/>
  </w:style>
  <w:style w:type="paragraph" w:styleId="144">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5">
    <w:name w:val="Heading 1 Char"/>
    <w:basedOn w:val="138"/>
    <w:link w:val="3"/>
    <w:qFormat/>
    <w:uiPriority w:val="9"/>
    <w:rPr>
      <w:rFonts w:ascii="Times New Roman" w:hAnsi="Times New Roman" w:eastAsia="黑体" w:cs="Times New Roman"/>
      <w:color w:val="000000"/>
      <w:kern w:val="44"/>
      <w:sz w:val="32"/>
      <w:szCs w:val="44"/>
      <w:lang w:bidi="ar-SA"/>
    </w:rPr>
  </w:style>
  <w:style w:type="character" w:customStyle="1" w:styleId="146">
    <w:name w:val="Heading 2 Char"/>
    <w:basedOn w:val="138"/>
    <w:qFormat/>
    <w:uiPriority w:val="9"/>
    <w:rPr>
      <w:rFonts w:asciiTheme="majorHAnsi" w:hAnsiTheme="majorHAnsi" w:eastAsiaTheme="majorEastAsia" w:cstheme="majorBidi"/>
      <w:b/>
      <w:bCs/>
      <w:color w:val="4874CB" w:themeColor="accent1"/>
      <w:sz w:val="26"/>
      <w:szCs w:val="26"/>
      <w14:textFill>
        <w14:solidFill>
          <w14:schemeClr w14:val="accent1"/>
        </w14:solidFill>
      </w14:textFill>
    </w:rPr>
  </w:style>
  <w:style w:type="character" w:customStyle="1" w:styleId="147">
    <w:name w:val="Heading 3 Char"/>
    <w:basedOn w:val="138"/>
    <w:qFormat/>
    <w:uiPriority w:val="9"/>
    <w:rPr>
      <w:rFonts w:asciiTheme="majorHAnsi" w:hAnsiTheme="majorHAnsi" w:eastAsiaTheme="majorEastAsia" w:cstheme="majorBidi"/>
      <w:b/>
      <w:bCs/>
      <w:color w:val="4874CB" w:themeColor="accent1"/>
      <w14:textFill>
        <w14:solidFill>
          <w14:schemeClr w14:val="accent1"/>
        </w14:solidFill>
      </w14:textFill>
    </w:rPr>
  </w:style>
  <w:style w:type="character" w:customStyle="1" w:styleId="148">
    <w:name w:val="Title Char"/>
    <w:basedOn w:val="138"/>
    <w:qFormat/>
    <w:uiPriority w:val="10"/>
    <w:rPr>
      <w:rFonts w:asciiTheme="majorHAnsi" w:hAnsiTheme="majorHAnsi" w:eastAsiaTheme="majorEastAsia" w:cstheme="majorBidi"/>
      <w:color w:val="333F50" w:themeColor="text2" w:themeShade="BF"/>
      <w:spacing w:val="5"/>
      <w:kern w:val="28"/>
      <w:sz w:val="52"/>
      <w:szCs w:val="52"/>
    </w:rPr>
  </w:style>
  <w:style w:type="character" w:customStyle="1" w:styleId="149">
    <w:name w:val="Subtitle Char"/>
    <w:basedOn w:val="138"/>
    <w:qFormat/>
    <w:uiPriority w:val="11"/>
    <w:rPr>
      <w:rFonts w:asciiTheme="majorHAnsi" w:hAnsiTheme="majorHAnsi" w:eastAsiaTheme="majorEastAsia" w:cstheme="majorBidi"/>
      <w:i/>
      <w:iCs/>
      <w:color w:val="4874CB" w:themeColor="accent1"/>
      <w:spacing w:val="15"/>
      <w:sz w:val="24"/>
      <w:szCs w:val="24"/>
      <w14:textFill>
        <w14:solidFill>
          <w14:schemeClr w14:val="accent1"/>
        </w14:solidFill>
      </w14:textFill>
    </w:rPr>
  </w:style>
  <w:style w:type="paragraph" w:styleId="150">
    <w:name w:val="List Paragraph"/>
    <w:basedOn w:val="1"/>
    <w:qFormat/>
    <w:uiPriority w:val="34"/>
    <w:pPr>
      <w:ind w:left="720"/>
      <w:contextualSpacing/>
    </w:pPr>
  </w:style>
  <w:style w:type="character" w:customStyle="1" w:styleId="151">
    <w:name w:val="Body Text Char"/>
    <w:basedOn w:val="138"/>
    <w:qFormat/>
    <w:uiPriority w:val="99"/>
  </w:style>
  <w:style w:type="character" w:customStyle="1" w:styleId="152">
    <w:name w:val="Body Text 2 Char"/>
    <w:basedOn w:val="138"/>
    <w:link w:val="32"/>
    <w:qFormat/>
    <w:uiPriority w:val="99"/>
  </w:style>
  <w:style w:type="character" w:customStyle="1" w:styleId="153">
    <w:name w:val="Body Text 3 Char"/>
    <w:basedOn w:val="138"/>
    <w:link w:val="17"/>
    <w:qFormat/>
    <w:uiPriority w:val="99"/>
    <w:rPr>
      <w:sz w:val="16"/>
      <w:szCs w:val="16"/>
    </w:rPr>
  </w:style>
  <w:style w:type="character" w:customStyle="1" w:styleId="154">
    <w:name w:val="Macro Text Char"/>
    <w:basedOn w:val="138"/>
    <w:link w:val="2"/>
    <w:qFormat/>
    <w:uiPriority w:val="99"/>
    <w:rPr>
      <w:rFonts w:ascii="Courier" w:hAnsi="Courier" w:eastAsiaTheme="minorEastAsia" w:cstheme="minorBidi"/>
      <w:sz w:val="20"/>
      <w:szCs w:val="20"/>
      <w:lang w:val="en-US" w:eastAsia="en-US" w:bidi="ar-SA"/>
    </w:rPr>
  </w:style>
  <w:style w:type="paragraph" w:styleId="155">
    <w:name w:val="Quote"/>
    <w:basedOn w:val="1"/>
    <w:next w:val="1"/>
    <w:link w:val="156"/>
    <w:qFormat/>
    <w:uiPriority w:val="29"/>
    <w:rPr>
      <w:i/>
      <w:iCs/>
      <w:color w:val="000000" w:themeColor="text1"/>
      <w14:textFill>
        <w14:solidFill>
          <w14:schemeClr w14:val="tx1"/>
        </w14:solidFill>
      </w14:textFill>
    </w:rPr>
  </w:style>
  <w:style w:type="character" w:customStyle="1" w:styleId="156">
    <w:name w:val="Quote Char"/>
    <w:basedOn w:val="138"/>
    <w:link w:val="155"/>
    <w:qFormat/>
    <w:uiPriority w:val="29"/>
    <w:rPr>
      <w:i/>
      <w:iCs/>
      <w:color w:val="000000" w:themeColor="text1"/>
      <w14:textFill>
        <w14:solidFill>
          <w14:schemeClr w14:val="tx1"/>
        </w14:solidFill>
      </w14:textFill>
    </w:rPr>
  </w:style>
  <w:style w:type="character" w:customStyle="1" w:styleId="157">
    <w:name w:val="Heading 4 Char"/>
    <w:basedOn w:val="138"/>
    <w:link w:val="6"/>
    <w:semiHidden/>
    <w:qFormat/>
    <w:uiPriority w:val="9"/>
    <w:rPr>
      <w:rFonts w:ascii="Times New Roman" w:hAnsi="Times New Roman" w:eastAsia="黑体" w:cs="Times New Roman"/>
      <w:bCs/>
      <w:kern w:val="2"/>
      <w:sz w:val="28"/>
      <w:szCs w:val="28"/>
      <w:lang w:bidi="ar-SA"/>
    </w:rPr>
  </w:style>
  <w:style w:type="character" w:customStyle="1" w:styleId="158">
    <w:name w:val="Heading 5 Char"/>
    <w:basedOn w:val="138"/>
    <w:link w:val="7"/>
    <w:semiHidden/>
    <w:qFormat/>
    <w:uiPriority w:val="9"/>
    <w:rPr>
      <w:rFonts w:ascii="Times New Roman" w:hAnsi="Times New Roman" w:eastAsia="黑体" w:cs="Times New Roman"/>
      <w:bCs/>
      <w:kern w:val="2"/>
      <w:sz w:val="28"/>
      <w:szCs w:val="28"/>
      <w:lang w:bidi="ar-SA"/>
    </w:rPr>
  </w:style>
  <w:style w:type="character" w:customStyle="1" w:styleId="159">
    <w:name w:val="Heading 6 Char"/>
    <w:basedOn w:val="138"/>
    <w:link w:val="8"/>
    <w:semiHidden/>
    <w:qFormat/>
    <w:uiPriority w:val="9"/>
    <w:rPr>
      <w:rFonts w:ascii="Times New Roman" w:hAnsi="Times New Roman" w:eastAsia="黑体" w:cs="Times New Roman"/>
      <w:bCs/>
      <w:kern w:val="2"/>
      <w:sz w:val="28"/>
      <w:szCs w:val="24"/>
      <w:lang w:bidi="ar-SA"/>
    </w:rPr>
  </w:style>
  <w:style w:type="character" w:customStyle="1" w:styleId="160">
    <w:name w:val="Heading 7 Char"/>
    <w:basedOn w:val="138"/>
    <w:link w:val="9"/>
    <w:semiHidden/>
    <w:qFormat/>
    <w:uiPriority w:val="9"/>
    <w:rPr>
      <w:rFonts w:ascii="Times New Roman" w:hAnsi="Times New Roman" w:eastAsia="黑体" w:cs="Times New Roman"/>
      <w:bCs/>
      <w:kern w:val="2"/>
      <w:sz w:val="24"/>
      <w:szCs w:val="24"/>
      <w:lang w:bidi="ar-SA"/>
    </w:rPr>
  </w:style>
  <w:style w:type="character" w:customStyle="1" w:styleId="161">
    <w:name w:val="Heading 8 Char"/>
    <w:basedOn w:val="138"/>
    <w:link w:val="10"/>
    <w:semiHidden/>
    <w:qFormat/>
    <w:uiPriority w:val="9"/>
    <w:rPr>
      <w:rFonts w:ascii="Times New Roman" w:hAnsi="Times New Roman" w:eastAsia="黑体" w:cs="Times New Roman"/>
      <w:kern w:val="2"/>
      <w:sz w:val="24"/>
      <w:szCs w:val="24"/>
      <w:lang w:bidi="ar-SA"/>
    </w:rPr>
  </w:style>
  <w:style w:type="character" w:customStyle="1" w:styleId="162">
    <w:name w:val="Heading 9 Char"/>
    <w:basedOn w:val="138"/>
    <w:link w:val="11"/>
    <w:semiHidden/>
    <w:qFormat/>
    <w:uiPriority w:val="9"/>
    <w:rPr>
      <w:rFonts w:ascii="Times New Roman" w:hAnsi="Times New Roman" w:eastAsia="黑体" w:cs="Times New Roman"/>
      <w:kern w:val="2"/>
      <w:sz w:val="21"/>
      <w:szCs w:val="21"/>
      <w:lang w:bidi="ar-SA"/>
    </w:rPr>
  </w:style>
  <w:style w:type="paragraph" w:styleId="163">
    <w:name w:val="Intense Quote"/>
    <w:basedOn w:val="1"/>
    <w:next w:val="1"/>
    <w:link w:val="164"/>
    <w:qFormat/>
    <w:uiPriority w:val="30"/>
    <w:pPr>
      <w:pBdr>
        <w:bottom w:val="single" w:color="4874CB" w:themeColor="accent1" w:sz="4" w:space="4"/>
      </w:pBdr>
      <w:spacing w:before="200" w:after="280"/>
      <w:ind w:left="936" w:right="936"/>
    </w:pPr>
    <w:rPr>
      <w:b/>
      <w:bCs/>
      <w:i/>
      <w:iCs/>
      <w:color w:val="4874CB" w:themeColor="accent1"/>
      <w14:textFill>
        <w14:solidFill>
          <w14:schemeClr w14:val="accent1"/>
        </w14:solidFill>
      </w14:textFill>
    </w:rPr>
  </w:style>
  <w:style w:type="character" w:customStyle="1" w:styleId="164">
    <w:name w:val="Intense Quote Char"/>
    <w:basedOn w:val="138"/>
    <w:link w:val="163"/>
    <w:qFormat/>
    <w:uiPriority w:val="30"/>
    <w:rPr>
      <w:b/>
      <w:bCs/>
      <w:i/>
      <w:iCs/>
      <w:color w:val="4874CB" w:themeColor="accent1"/>
      <w14:textFill>
        <w14:solidFill>
          <w14:schemeClr w14:val="accent1"/>
        </w14:solidFill>
      </w14:textFill>
    </w:rPr>
  </w:style>
  <w:style w:type="character" w:customStyle="1" w:styleId="165">
    <w:name w:val="Subtle Emphasis"/>
    <w:basedOn w:val="138"/>
    <w:qFormat/>
    <w:uiPriority w:val="19"/>
    <w:rPr>
      <w:i/>
      <w:iCs/>
      <w:color w:val="808080" w:themeColor="text1" w:themeTint="80"/>
      <w14:textFill>
        <w14:solidFill>
          <w14:schemeClr w14:val="tx1">
            <w14:lumMod w14:val="50000"/>
            <w14:lumOff w14:val="50000"/>
          </w14:schemeClr>
        </w14:solidFill>
      </w14:textFill>
    </w:rPr>
  </w:style>
  <w:style w:type="character" w:customStyle="1" w:styleId="166">
    <w:name w:val="Intense Emphasis"/>
    <w:basedOn w:val="138"/>
    <w:qFormat/>
    <w:uiPriority w:val="21"/>
    <w:rPr>
      <w:b/>
      <w:bCs/>
      <w:i/>
      <w:iCs/>
      <w:color w:val="4874CB" w:themeColor="accent1"/>
      <w14:textFill>
        <w14:solidFill>
          <w14:schemeClr w14:val="accent1"/>
        </w14:solidFill>
      </w14:textFill>
    </w:rPr>
  </w:style>
  <w:style w:type="character" w:customStyle="1" w:styleId="167">
    <w:name w:val="Subtle Reference"/>
    <w:basedOn w:val="138"/>
    <w:qFormat/>
    <w:uiPriority w:val="31"/>
    <w:rPr>
      <w:smallCaps/>
      <w:color w:val="EE822F" w:themeColor="accent2"/>
      <w:u w:val="single"/>
      <w14:textFill>
        <w14:solidFill>
          <w14:schemeClr w14:val="accent2"/>
        </w14:solidFill>
      </w14:textFill>
    </w:rPr>
  </w:style>
  <w:style w:type="character" w:customStyle="1" w:styleId="168">
    <w:name w:val="Intense Reference"/>
    <w:basedOn w:val="138"/>
    <w:qFormat/>
    <w:uiPriority w:val="32"/>
    <w:rPr>
      <w:b/>
      <w:bCs/>
      <w:smallCaps/>
      <w:color w:val="EE822F" w:themeColor="accent2"/>
      <w:spacing w:val="5"/>
      <w:u w:val="single"/>
      <w14:textFill>
        <w14:solidFill>
          <w14:schemeClr w14:val="accent2"/>
        </w14:solidFill>
      </w14:textFill>
    </w:rPr>
  </w:style>
  <w:style w:type="character" w:customStyle="1" w:styleId="169">
    <w:name w:val="Book Title"/>
    <w:basedOn w:val="138"/>
    <w:qFormat/>
    <w:uiPriority w:val="33"/>
    <w:rPr>
      <w:b/>
      <w:bCs/>
      <w:smallCaps/>
      <w:spacing w:val="5"/>
    </w:rPr>
  </w:style>
  <w:style w:type="paragraph" w:customStyle="1" w:styleId="170">
    <w:name w:val="TOC Heading"/>
    <w:basedOn w:val="3"/>
    <w:next w:val="1"/>
    <w:semiHidden/>
    <w:unhideWhenUsed/>
    <w:qFormat/>
    <w:uiPriority w:val="39"/>
    <w:pPr>
      <w:outlineLvl w:val="9"/>
    </w:pPr>
  </w:style>
  <w:style w:type="paragraph" w:customStyle="1" w:styleId="171">
    <w:name w:val="附录标题"/>
    <w:next w:val="1"/>
    <w:qFormat/>
    <w:uiPriority w:val="0"/>
    <w:pPr>
      <w:widowControl w:val="0"/>
      <w:adjustRightInd w:val="0"/>
      <w:spacing w:before="100" w:after="100" w:line="360" w:lineRule="auto"/>
      <w:jc w:val="both"/>
      <w:outlineLvl w:val="0"/>
    </w:pPr>
    <w:rPr>
      <w:rFonts w:ascii="Times New Roman" w:hAnsi="Times New Roman" w:eastAsia="宋体" w:cs="Times New Roman"/>
    </w:rPr>
  </w:style>
  <w:style w:type="paragraph" w:customStyle="1" w:styleId="172">
    <w:name w:val="内容块-06-h"/>
    <w:basedOn w:val="1"/>
    <w:next w:val="1"/>
    <w:qFormat/>
    <w:uiPriority w:val="0"/>
    <w:pPr>
      <w:pBdr>
        <w:left w:val="single" w:color="E54C5E" w:themeColor="accent6" w:sz="12" w:space="10"/>
      </w:pBdr>
      <w:ind w:left="227"/>
      <w:textAlignment w:val="center"/>
    </w:pPr>
    <w:rPr>
      <w:rFonts w:asciiTheme="minorEastAsia" w:hAnsiTheme="minorEastAsia"/>
      <w:color w:val="595959" w:themeColor="text1" w:themeTint="A6"/>
      <w:szCs w:val="21"/>
      <w14:textFill>
        <w14:solidFill>
          <w14:schemeClr w14:val="tx1">
            <w14:lumMod w14:val="65000"/>
            <w14:lumOff w14:val="35000"/>
          </w14:schemeClr>
        </w14:solidFill>
      </w14:textFill>
    </w:rPr>
  </w:style>
  <w:style w:type="character" w:customStyle="1" w:styleId="173">
    <w:name w:val="页眉 字符"/>
    <w:link w:val="26"/>
    <w:qFormat/>
    <w:uiPriority w:val="0"/>
  </w:style>
  <w:style w:type="character" w:customStyle="1" w:styleId="174">
    <w:name w:val="页脚 字符"/>
    <w:link w:val="25"/>
    <w:qFormat/>
    <w:uiPriority w:val="0"/>
  </w:style>
  <w:style w:type="paragraph" w:customStyle="1" w:styleId="175">
    <w:name w:val="内容块-13-h"/>
    <w:basedOn w:val="1"/>
    <w:next w:val="1"/>
    <w:qFormat/>
    <w:uiPriority w:val="0"/>
    <w:pPr>
      <w:pBdr>
        <w:top w:val="single" w:color="F2A5AE" w:themeColor="accent6" w:themeTint="7F" w:sz="4" w:space="10"/>
        <w:left w:val="single" w:color="F2A5AE" w:themeColor="accent6" w:themeTint="7F" w:sz="4" w:space="17"/>
        <w:bottom w:val="single" w:color="F2A5AE" w:themeColor="accent6" w:themeTint="7F" w:sz="4" w:space="10"/>
        <w:right w:val="single" w:color="F2A5AE" w:themeColor="accent6" w:themeTint="7F" w:sz="4" w:space="17"/>
      </w:pBdr>
      <w:shd w:val="clear" w:color="auto" w:fill="FDF6F7" w:themeFill="accent6" w:themeFillTint="0C"/>
      <w:ind w:left="363" w:right="363"/>
      <w:textAlignment w:val="center"/>
    </w:pPr>
    <w:rPr>
      <w:szCs w:val="21"/>
    </w:rPr>
  </w:style>
</w:styles>
</file>

<file path=word/_rels/document.xml.rels><?xml version="1.0" encoding="UTF-8" standalone="yes"?>
<Relationships xmlns="http://schemas.openxmlformats.org/package/2006/relationships"><Relationship Id="rId99" Type="http://schemas.openxmlformats.org/officeDocument/2006/relationships/image" Target="media/image88.png"/><Relationship Id="rId98" Type="http://schemas.openxmlformats.org/officeDocument/2006/relationships/image" Target="media/image87.png"/><Relationship Id="rId97" Type="http://schemas.openxmlformats.org/officeDocument/2006/relationships/image" Target="media/image86.png"/><Relationship Id="rId96" Type="http://schemas.openxmlformats.org/officeDocument/2006/relationships/image" Target="media/image85.png"/><Relationship Id="rId95" Type="http://schemas.openxmlformats.org/officeDocument/2006/relationships/image" Target="media/image84.png"/><Relationship Id="rId94" Type="http://schemas.openxmlformats.org/officeDocument/2006/relationships/image" Target="media/image83.png"/><Relationship Id="rId93" Type="http://schemas.openxmlformats.org/officeDocument/2006/relationships/image" Target="media/image82.png"/><Relationship Id="rId92" Type="http://schemas.openxmlformats.org/officeDocument/2006/relationships/image" Target="media/image81.png"/><Relationship Id="rId91" Type="http://schemas.openxmlformats.org/officeDocument/2006/relationships/image" Target="media/image80.png"/><Relationship Id="rId90" Type="http://schemas.openxmlformats.org/officeDocument/2006/relationships/image" Target="media/image79.png"/><Relationship Id="rId9" Type="http://schemas.openxmlformats.org/officeDocument/2006/relationships/footer" Target="footer4.xml"/><Relationship Id="rId89" Type="http://schemas.openxmlformats.org/officeDocument/2006/relationships/image" Target="media/image78.png"/><Relationship Id="rId88" Type="http://schemas.openxmlformats.org/officeDocument/2006/relationships/image" Target="media/image77.png"/><Relationship Id="rId87" Type="http://schemas.openxmlformats.org/officeDocument/2006/relationships/image" Target="media/image76.png"/><Relationship Id="rId86" Type="http://schemas.openxmlformats.org/officeDocument/2006/relationships/image" Target="media/image75.png"/><Relationship Id="rId85" Type="http://schemas.openxmlformats.org/officeDocument/2006/relationships/image" Target="media/image74.png"/><Relationship Id="rId84" Type="http://schemas.openxmlformats.org/officeDocument/2006/relationships/image" Target="media/image73.png"/><Relationship Id="rId83" Type="http://schemas.openxmlformats.org/officeDocument/2006/relationships/image" Target="media/image72.png"/><Relationship Id="rId82" Type="http://schemas.openxmlformats.org/officeDocument/2006/relationships/image" Target="media/image71.png"/><Relationship Id="rId81" Type="http://schemas.openxmlformats.org/officeDocument/2006/relationships/image" Target="media/image70.png"/><Relationship Id="rId80" Type="http://schemas.openxmlformats.org/officeDocument/2006/relationships/image" Target="media/image69.png"/><Relationship Id="rId8" Type="http://schemas.openxmlformats.org/officeDocument/2006/relationships/footer" Target="footer3.xml"/><Relationship Id="rId79" Type="http://schemas.openxmlformats.org/officeDocument/2006/relationships/image" Target="media/image68.png"/><Relationship Id="rId78" Type="http://schemas.openxmlformats.org/officeDocument/2006/relationships/image" Target="media/image67.png"/><Relationship Id="rId77" Type="http://schemas.openxmlformats.org/officeDocument/2006/relationships/image" Target="media/image66.png"/><Relationship Id="rId76" Type="http://schemas.openxmlformats.org/officeDocument/2006/relationships/image" Target="media/image65.png"/><Relationship Id="rId75" Type="http://schemas.openxmlformats.org/officeDocument/2006/relationships/image" Target="media/image64.png"/><Relationship Id="rId74" Type="http://schemas.openxmlformats.org/officeDocument/2006/relationships/image" Target="media/image63.png"/><Relationship Id="rId73" Type="http://schemas.openxmlformats.org/officeDocument/2006/relationships/image" Target="media/image62.png"/><Relationship Id="rId72" Type="http://schemas.openxmlformats.org/officeDocument/2006/relationships/image" Target="media/image61.png"/><Relationship Id="rId71" Type="http://schemas.openxmlformats.org/officeDocument/2006/relationships/image" Target="media/image60.png"/><Relationship Id="rId70" Type="http://schemas.openxmlformats.org/officeDocument/2006/relationships/image" Target="media/image59.png"/><Relationship Id="rId7" Type="http://schemas.openxmlformats.org/officeDocument/2006/relationships/footer" Target="footer2.xml"/><Relationship Id="rId69" Type="http://schemas.openxmlformats.org/officeDocument/2006/relationships/image" Target="media/image58.png"/><Relationship Id="rId68" Type="http://schemas.openxmlformats.org/officeDocument/2006/relationships/image" Target="media/image57.png"/><Relationship Id="rId67" Type="http://schemas.openxmlformats.org/officeDocument/2006/relationships/image" Target="media/image56.png"/><Relationship Id="rId66" Type="http://schemas.openxmlformats.org/officeDocument/2006/relationships/image" Target="media/image55.png"/><Relationship Id="rId65" Type="http://schemas.openxmlformats.org/officeDocument/2006/relationships/image" Target="media/image54.png"/><Relationship Id="rId64" Type="http://schemas.openxmlformats.org/officeDocument/2006/relationships/image" Target="media/image53.png"/><Relationship Id="rId63" Type="http://schemas.openxmlformats.org/officeDocument/2006/relationships/image" Target="media/image52.png"/><Relationship Id="rId62" Type="http://schemas.openxmlformats.org/officeDocument/2006/relationships/image" Target="media/image51.png"/><Relationship Id="rId61" Type="http://schemas.openxmlformats.org/officeDocument/2006/relationships/image" Target="media/image50.png"/><Relationship Id="rId60" Type="http://schemas.openxmlformats.org/officeDocument/2006/relationships/image" Target="media/image49.png"/><Relationship Id="rId6" Type="http://schemas.openxmlformats.org/officeDocument/2006/relationships/footer" Target="footer1.xml"/><Relationship Id="rId59" Type="http://schemas.openxmlformats.org/officeDocument/2006/relationships/image" Target="media/image48.png"/><Relationship Id="rId58" Type="http://schemas.openxmlformats.org/officeDocument/2006/relationships/image" Target="media/image47.png"/><Relationship Id="rId57" Type="http://schemas.openxmlformats.org/officeDocument/2006/relationships/image" Target="media/image46.png"/><Relationship Id="rId56" Type="http://schemas.openxmlformats.org/officeDocument/2006/relationships/image" Target="media/image45.png"/><Relationship Id="rId55" Type="http://schemas.openxmlformats.org/officeDocument/2006/relationships/image" Target="media/image44.png"/><Relationship Id="rId54" Type="http://schemas.openxmlformats.org/officeDocument/2006/relationships/image" Target="media/image43.png"/><Relationship Id="rId53" Type="http://schemas.openxmlformats.org/officeDocument/2006/relationships/image" Target="media/image42.png"/><Relationship Id="rId52" Type="http://schemas.openxmlformats.org/officeDocument/2006/relationships/image" Target="media/image41.png"/><Relationship Id="rId51" Type="http://schemas.openxmlformats.org/officeDocument/2006/relationships/image" Target="media/image40.png"/><Relationship Id="rId50" Type="http://schemas.openxmlformats.org/officeDocument/2006/relationships/image" Target="media/image39.png"/><Relationship Id="rId5" Type="http://schemas.openxmlformats.org/officeDocument/2006/relationships/header" Target="header1.xml"/><Relationship Id="rId49" Type="http://schemas.openxmlformats.org/officeDocument/2006/relationships/image" Target="media/image38.png"/><Relationship Id="rId48" Type="http://schemas.openxmlformats.org/officeDocument/2006/relationships/image" Target="media/image37.png"/><Relationship Id="rId47" Type="http://schemas.openxmlformats.org/officeDocument/2006/relationships/image" Target="media/image36.png"/><Relationship Id="rId46" Type="http://schemas.openxmlformats.org/officeDocument/2006/relationships/image" Target="media/image35.png"/><Relationship Id="rId45" Type="http://schemas.openxmlformats.org/officeDocument/2006/relationships/image" Target="media/image34.png"/><Relationship Id="rId44" Type="http://schemas.openxmlformats.org/officeDocument/2006/relationships/image" Target="media/image33.png"/><Relationship Id="rId43" Type="http://schemas.openxmlformats.org/officeDocument/2006/relationships/image" Target="media/image32.png"/><Relationship Id="rId42" Type="http://schemas.openxmlformats.org/officeDocument/2006/relationships/image" Target="media/image31.png"/><Relationship Id="rId41" Type="http://schemas.openxmlformats.org/officeDocument/2006/relationships/image" Target="media/image30.png"/><Relationship Id="rId40" Type="http://schemas.openxmlformats.org/officeDocument/2006/relationships/image" Target="media/image29.png"/><Relationship Id="rId4" Type="http://schemas.openxmlformats.org/officeDocument/2006/relationships/endnotes" Target="endnotes.xml"/><Relationship Id="rId39" Type="http://schemas.openxmlformats.org/officeDocument/2006/relationships/image" Target="media/image28.png"/><Relationship Id="rId38" Type="http://schemas.openxmlformats.org/officeDocument/2006/relationships/image" Target="media/image27.png"/><Relationship Id="rId37" Type="http://schemas.openxmlformats.org/officeDocument/2006/relationships/image" Target="media/image26.png"/><Relationship Id="rId36" Type="http://schemas.openxmlformats.org/officeDocument/2006/relationships/image" Target="media/image25.png"/><Relationship Id="rId35" Type="http://schemas.openxmlformats.org/officeDocument/2006/relationships/image" Target="media/image24.png"/><Relationship Id="rId34" Type="http://schemas.openxmlformats.org/officeDocument/2006/relationships/image" Target="media/image23.png"/><Relationship Id="rId33" Type="http://schemas.openxmlformats.org/officeDocument/2006/relationships/image" Target="media/image22.png"/><Relationship Id="rId32" Type="http://schemas.openxmlformats.org/officeDocument/2006/relationships/image" Target="media/image21.png"/><Relationship Id="rId31" Type="http://schemas.openxmlformats.org/officeDocument/2006/relationships/image" Target="media/image20.png"/><Relationship Id="rId30" Type="http://schemas.openxmlformats.org/officeDocument/2006/relationships/image" Target="media/image19.png"/><Relationship Id="rId3" Type="http://schemas.openxmlformats.org/officeDocument/2006/relationships/footnotes" Target="footnotes.xml"/><Relationship Id="rId29" Type="http://schemas.openxmlformats.org/officeDocument/2006/relationships/image" Target="media/image18.png"/><Relationship Id="rId28" Type="http://schemas.openxmlformats.org/officeDocument/2006/relationships/image" Target="media/image17.png"/><Relationship Id="rId27" Type="http://schemas.openxmlformats.org/officeDocument/2006/relationships/image" Target="media/image16.png"/><Relationship Id="rId26" Type="http://schemas.openxmlformats.org/officeDocument/2006/relationships/image" Target="media/image15.png"/><Relationship Id="rId25" Type="http://schemas.openxmlformats.org/officeDocument/2006/relationships/image" Target="media/image14.png"/><Relationship Id="rId24" Type="http://schemas.openxmlformats.org/officeDocument/2006/relationships/image" Target="media/image13.png"/><Relationship Id="rId23"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jpeg"/><Relationship Id="rId12" Type="http://schemas.openxmlformats.org/officeDocument/2006/relationships/image" Target="media/image1.png"/><Relationship Id="rId113" Type="http://schemas.openxmlformats.org/officeDocument/2006/relationships/fontTable" Target="fontTable.xml"/><Relationship Id="rId112" Type="http://schemas.openxmlformats.org/officeDocument/2006/relationships/customXml" Target="../customXml/item2.xml"/><Relationship Id="rId111" Type="http://schemas.openxmlformats.org/officeDocument/2006/relationships/numbering" Target="numbering.xml"/><Relationship Id="rId110" Type="http://schemas.openxmlformats.org/officeDocument/2006/relationships/customXml" Target="../customXml/item1.xml"/><Relationship Id="rId11" Type="http://schemas.openxmlformats.org/officeDocument/2006/relationships/theme" Target="theme/theme1.xml"/><Relationship Id="rId109" Type="http://schemas.openxmlformats.org/officeDocument/2006/relationships/image" Target="media/image98.png"/><Relationship Id="rId108" Type="http://schemas.openxmlformats.org/officeDocument/2006/relationships/image" Target="media/image97.png"/><Relationship Id="rId107" Type="http://schemas.openxmlformats.org/officeDocument/2006/relationships/image" Target="media/image96.png"/><Relationship Id="rId106" Type="http://schemas.openxmlformats.org/officeDocument/2006/relationships/image" Target="media/image95.png"/><Relationship Id="rId105" Type="http://schemas.openxmlformats.org/officeDocument/2006/relationships/image" Target="media/image94.png"/><Relationship Id="rId104" Type="http://schemas.openxmlformats.org/officeDocument/2006/relationships/image" Target="media/image93.png"/><Relationship Id="rId103" Type="http://schemas.openxmlformats.org/officeDocument/2006/relationships/image" Target="media/image92.png"/><Relationship Id="rId102" Type="http://schemas.openxmlformats.org/officeDocument/2006/relationships/image" Target="media/image91.png"/><Relationship Id="rId101" Type="http://schemas.openxmlformats.org/officeDocument/2006/relationships/image" Target="media/image90.png"/><Relationship Id="rId100" Type="http://schemas.openxmlformats.org/officeDocument/2006/relationships/image" Target="media/image89.png"/><Relationship Id="rId10" Type="http://schemas.openxmlformats.org/officeDocument/2006/relationships/footer" Target="footer5.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234</Pages>
  <Words>190</Words>
  <Characters>232</Characters>
  <Lines>0</Lines>
  <Paragraphs>0</Paragraphs>
  <TotalTime>13</TotalTime>
  <ScaleCrop>false</ScaleCrop>
  <LinksUpToDate>false</LinksUpToDate>
  <CharactersWithSpaces>241</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v2.1.0 格式与结构修复版（基于 v2.0.0）</dc:description>
  <cp:lastModifiedBy>王亮</cp:lastModifiedBy>
  <dcterms:modified xsi:type="dcterms:W3CDTF">2026-09-27T05:22:48Z</dcterms:modified>
  <cp:revision>1</cp:revision>
  <cp:version>2.1.0</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eyJoZGlkIjoiYWI3ZjY5NzZmOTc1MDNkMWE5OWFlYWEzYTNmM2Y2NjYiLCJ1c2VySWQiOiIxMjM4ODM0NDc0In0=</vt:lpwstr>
  </property>
  <property fmtid="{D5CDD505-2E9C-101B-9397-08002B2CF9AE}" pid="3" name="KSOProductBuildVer">
    <vt:lpwstr>2052-12.1.0.28505</vt:lpwstr>
  </property>
  <property fmtid="{D5CDD505-2E9C-101B-9397-08002B2CF9AE}" pid="4" name="ICV">
    <vt:lpwstr>6FF5D5E91D8E406D9F01BDEC6577D906_13</vt:lpwstr>
  </property>
</Properties>
</file>