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F918DC">
      <w:pPr>
        <w:bidi w:val="0"/>
        <w:rPr>
          <w:rFonts w:hint="eastAsia" w:ascii="宋体" w:hAnsi="宋体" w:eastAsia="宋体" w:cs="宋体"/>
          <w:i w:val="0"/>
          <w:iCs w:val="0"/>
          <w:sz w:val="24"/>
          <w:szCs w:val="24"/>
        </w:rPr>
      </w:pPr>
      <w:bookmarkStart w:id="123" w:name="_GoBack"/>
      <w:bookmarkEnd w:id="123"/>
    </w:p>
    <w:p w14:paraId="7EF77CCF">
      <w:pPr>
        <w:bidi w:val="0"/>
        <w:rPr>
          <w:rFonts w:hint="eastAsia" w:ascii="黑体" w:hAnsi="黑体" w:eastAsia="黑体" w:cs="黑体"/>
          <w:i w:val="0"/>
          <w:iCs w:val="0"/>
          <w:sz w:val="36"/>
          <w:szCs w:val="36"/>
        </w:rPr>
      </w:pPr>
    </w:p>
    <w:p w14:paraId="23518A09">
      <w:pPr>
        <w:spacing w:before="700" w:after="160"/>
        <w:jc w:val="center"/>
        <w:rPr>
          <w:rFonts w:hint="eastAsia" w:ascii="宋体" w:hAnsi="宋体" w:eastAsia="宋体" w:cs="宋体"/>
          <w:b/>
          <w:i w:val="0"/>
          <w:iCs w:val="0"/>
          <w:color w:val="auto"/>
          <w:sz w:val="44"/>
          <w:szCs w:val="44"/>
        </w:rPr>
      </w:pPr>
      <w:r>
        <w:rPr>
          <w:rFonts w:hint="eastAsia" w:ascii="宋体" w:hAnsi="宋体" w:eastAsia="宋体" w:cs="宋体"/>
          <w:b/>
          <w:i w:val="0"/>
          <w:iCs w:val="0"/>
          <w:color w:val="auto"/>
          <w:sz w:val="44"/>
          <w:szCs w:val="44"/>
        </w:rPr>
        <w:t>特变电工股份有限公司</w:t>
      </w:r>
      <w:r>
        <w:rPr>
          <w:rFonts w:hint="eastAsia" w:ascii="宋体" w:hAnsi="宋体" w:eastAsia="宋体" w:cs="宋体"/>
          <w:b/>
          <w:i w:val="0"/>
          <w:iCs w:val="0"/>
          <w:color w:val="auto"/>
          <w:sz w:val="44"/>
          <w:szCs w:val="44"/>
        </w:rPr>
        <w:br w:type="textWrapping"/>
      </w:r>
      <w:r>
        <w:rPr>
          <w:rFonts w:hint="eastAsia" w:ascii="宋体" w:hAnsi="宋体" w:eastAsia="宋体" w:cs="宋体"/>
          <w:b/>
          <w:i w:val="0"/>
          <w:iCs w:val="0"/>
          <w:color w:val="auto"/>
          <w:sz w:val="40"/>
          <w:szCs w:val="40"/>
        </w:rPr>
        <w:t>能碳数字化“双中心”集成平台</w:t>
      </w:r>
    </w:p>
    <w:p w14:paraId="3DC6BEAA">
      <w:pPr>
        <w:spacing w:after="160" w:line="276" w:lineRule="auto"/>
        <w:jc w:val="center"/>
        <w:rPr>
          <w:rFonts w:hint="eastAsia" w:ascii="宋体" w:hAnsi="宋体" w:eastAsia="宋体" w:cs="宋体"/>
          <w:b/>
          <w:i w:val="0"/>
          <w:iCs w:val="0"/>
          <w:color w:val="auto"/>
          <w:sz w:val="24"/>
          <w:szCs w:val="24"/>
          <w:lang w:val="en-US" w:eastAsia="en-US" w:bidi="ar-SA"/>
        </w:rPr>
      </w:pPr>
      <w:r>
        <w:rPr>
          <w:rFonts w:hint="eastAsia" w:ascii="宋体" w:hAnsi="宋体" w:eastAsia="宋体" w:cs="宋体"/>
          <w:b/>
          <w:i w:val="0"/>
          <w:iCs w:val="0"/>
          <w:color w:val="auto"/>
          <w:sz w:val="24"/>
          <w:szCs w:val="24"/>
          <w:lang w:val="en-US" w:eastAsia="en-US" w:bidi="ar-SA"/>
        </w:rPr>
        <w:t>（零碳园区集控中心 + 产品碳足迹集采中心）</w:t>
      </w:r>
    </w:p>
    <w:p w14:paraId="46EEB6C6">
      <w:pPr>
        <w:spacing w:after="160" w:line="276" w:lineRule="auto"/>
        <w:jc w:val="center"/>
        <w:rPr>
          <w:rFonts w:hint="eastAsia" w:ascii="宋体" w:hAnsi="宋体" w:eastAsia="宋体" w:cs="宋体"/>
          <w:b/>
          <w:i w:val="0"/>
          <w:iCs w:val="0"/>
          <w:color w:val="auto"/>
          <w:sz w:val="24"/>
          <w:szCs w:val="24"/>
          <w:lang w:val="en-US" w:eastAsia="en-US" w:bidi="ar-SA"/>
        </w:rPr>
      </w:pPr>
    </w:p>
    <w:p w14:paraId="1D15D4D7">
      <w:pPr>
        <w:spacing w:after="160" w:line="276" w:lineRule="auto"/>
        <w:jc w:val="center"/>
        <w:rPr>
          <w:rFonts w:hint="eastAsia" w:ascii="宋体" w:hAnsi="宋体" w:eastAsia="宋体" w:cs="宋体"/>
          <w:b/>
          <w:i w:val="0"/>
          <w:iCs w:val="0"/>
          <w:color w:val="auto"/>
          <w:sz w:val="24"/>
          <w:szCs w:val="24"/>
          <w:lang w:val="en-US" w:eastAsia="en-US" w:bidi="ar-SA"/>
        </w:rPr>
      </w:pPr>
    </w:p>
    <w:p w14:paraId="0F062925">
      <w:pPr>
        <w:spacing w:after="160" w:line="276" w:lineRule="auto"/>
        <w:jc w:val="center"/>
        <w:rPr>
          <w:rFonts w:hint="eastAsia" w:ascii="宋体" w:hAnsi="宋体" w:eastAsia="宋体" w:cs="宋体"/>
          <w:b/>
          <w:i w:val="0"/>
          <w:iCs w:val="0"/>
          <w:color w:val="0284C7"/>
          <w:sz w:val="24"/>
          <w:szCs w:val="24"/>
          <w:lang w:val="en-US" w:eastAsia="en-US" w:bidi="ar-SA"/>
        </w:rPr>
      </w:pPr>
    </w:p>
    <w:p w14:paraId="6D0AAADB">
      <w:pPr>
        <w:spacing w:after="160" w:line="276" w:lineRule="auto"/>
        <w:jc w:val="center"/>
        <w:rPr>
          <w:rFonts w:hint="eastAsia" w:ascii="宋体" w:hAnsi="宋体" w:eastAsia="宋体" w:cs="宋体"/>
          <w:b/>
          <w:i w:val="0"/>
          <w:iCs w:val="0"/>
          <w:color w:val="0284C7"/>
          <w:sz w:val="24"/>
          <w:szCs w:val="24"/>
          <w:lang w:val="en-US" w:eastAsia="en-US" w:bidi="ar-SA"/>
        </w:rPr>
      </w:pPr>
    </w:p>
    <w:p w14:paraId="55C5CEFC">
      <w:pPr>
        <w:spacing w:after="160" w:line="276" w:lineRule="auto"/>
        <w:jc w:val="center"/>
        <w:rPr>
          <w:rFonts w:hint="eastAsia" w:ascii="宋体" w:hAnsi="宋体" w:eastAsia="宋体" w:cs="宋体"/>
          <w:i w:val="0"/>
          <w:iCs w:val="0"/>
          <w:color w:val="auto"/>
          <w:sz w:val="40"/>
          <w:szCs w:val="40"/>
          <w:lang w:val="en-US" w:eastAsia="en-US" w:bidi="ar-SA"/>
        </w:rPr>
      </w:pPr>
      <w:r>
        <w:rPr>
          <w:rFonts w:hint="eastAsia" w:ascii="宋体" w:hAnsi="宋体" w:eastAsia="宋体" w:cs="宋体"/>
          <w:b/>
          <w:i w:val="0"/>
          <w:iCs w:val="0"/>
          <w:color w:val="auto"/>
          <w:sz w:val="40"/>
          <w:szCs w:val="40"/>
          <w:lang w:val="en-US" w:eastAsia="en-US" w:bidi="ar-SA"/>
        </w:rPr>
        <w:t>产品需求规格说明书 (PRD)</w:t>
      </w:r>
    </w:p>
    <w:p w14:paraId="4F32B0A4">
      <w:pPr>
        <w:bidi w:val="0"/>
        <w:jc w:val="center"/>
        <w:rPr>
          <w:rFonts w:hint="eastAsia" w:ascii="宋体" w:hAnsi="宋体" w:eastAsia="宋体" w:cs="宋体"/>
          <w:i w:val="0"/>
          <w:iCs w:val="0"/>
          <w:sz w:val="24"/>
          <w:szCs w:val="24"/>
        </w:rPr>
      </w:pPr>
    </w:p>
    <w:p w14:paraId="0E6ECEB7">
      <w:pPr>
        <w:bidi w:val="0"/>
        <w:jc w:val="center"/>
        <w:rPr>
          <w:rFonts w:hint="eastAsia" w:ascii="宋体" w:hAnsi="宋体" w:eastAsia="宋体" w:cs="宋体"/>
          <w:i w:val="0"/>
          <w:iCs w:val="0"/>
          <w:sz w:val="24"/>
          <w:szCs w:val="24"/>
        </w:rPr>
      </w:pPr>
    </w:p>
    <w:tbl>
      <w:tblPr>
        <w:tblStyle w:val="38"/>
        <w:tblpPr w:leftFromText="180" w:rightFromText="180" w:vertAnchor="text" w:horzAnchor="page" w:tblpX="3394" w:tblpY="1187"/>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90"/>
        <w:gridCol w:w="3996"/>
      </w:tblGrid>
      <w:tr w14:paraId="54735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90" w:type="dxa"/>
            <w:tcBorders>
              <w:tl2br w:val="nil"/>
            </w:tcBorders>
            <w:shd w:val="clear" w:color="auto" w:fill="FFFFFF"/>
            <w:tcMar>
              <w:top w:w="50" w:type="dxa"/>
              <w:left w:w="70" w:type="dxa"/>
              <w:bottom w:w="50" w:type="dxa"/>
              <w:right w:w="70" w:type="dxa"/>
            </w:tcMar>
            <w:vAlign w:val="center"/>
          </w:tcPr>
          <w:p w14:paraId="4620B388">
            <w:pPr>
              <w:pStyle w:val="19"/>
              <w:bidi w:val="0"/>
              <w:jc w:val="both"/>
              <w:rPr>
                <w:rFonts w:hint="eastAsia"/>
                <w:sz w:val="24"/>
                <w:szCs w:val="24"/>
                <w:lang w:eastAsia="zh-CN"/>
              </w:rPr>
            </w:pPr>
            <w:r>
              <w:rPr>
                <w:rFonts w:hint="eastAsia"/>
                <w:sz w:val="24"/>
                <w:szCs w:val="24"/>
              </w:rPr>
              <w:t>受控编号</w:t>
            </w:r>
            <w:r>
              <w:rPr>
                <w:rFonts w:hint="eastAsia"/>
                <w:sz w:val="24"/>
                <w:szCs w:val="24"/>
                <w:lang w:eastAsia="zh-CN"/>
              </w:rPr>
              <w:t>：</w:t>
            </w:r>
          </w:p>
        </w:tc>
        <w:tc>
          <w:tcPr>
            <w:tcW w:w="3996" w:type="dxa"/>
            <w:shd w:val="clear" w:color="auto" w:fill="FFFFFF"/>
            <w:tcMar>
              <w:top w:w="50" w:type="dxa"/>
              <w:left w:w="70" w:type="dxa"/>
              <w:bottom w:w="50" w:type="dxa"/>
              <w:right w:w="70" w:type="dxa"/>
            </w:tcMar>
            <w:vAlign w:val="center"/>
          </w:tcPr>
          <w:p w14:paraId="7E5D4408">
            <w:pPr>
              <w:pStyle w:val="19"/>
              <w:bidi w:val="0"/>
              <w:ind w:left="0" w:leftChars="0" w:firstLine="0" w:firstLineChars="0"/>
              <w:jc w:val="both"/>
              <w:rPr>
                <w:rFonts w:hint="eastAsia"/>
                <w:sz w:val="24"/>
                <w:szCs w:val="24"/>
                <w:lang w:eastAsia="zh-CN"/>
              </w:rPr>
            </w:pPr>
            <w:r>
              <w:rPr>
                <w:rFonts w:hint="eastAsia"/>
                <w:sz w:val="24"/>
                <w:szCs w:val="24"/>
              </w:rPr>
              <w:t>TBEA-PRD-MASTER</w:t>
            </w:r>
          </w:p>
        </w:tc>
      </w:tr>
      <w:tr w14:paraId="2FB6E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90" w:type="dxa"/>
            <w:shd w:val="clear" w:color="auto" w:fill="FFFFFF"/>
            <w:tcMar>
              <w:top w:w="50" w:type="dxa"/>
              <w:left w:w="70" w:type="dxa"/>
              <w:bottom w:w="50" w:type="dxa"/>
              <w:right w:w="70" w:type="dxa"/>
            </w:tcMar>
            <w:vAlign w:val="center"/>
          </w:tcPr>
          <w:p w14:paraId="384FFEA4">
            <w:pPr>
              <w:pStyle w:val="19"/>
              <w:bidi w:val="0"/>
              <w:jc w:val="both"/>
              <w:rPr>
                <w:rFonts w:hint="eastAsia"/>
                <w:sz w:val="24"/>
                <w:szCs w:val="24"/>
                <w:lang w:eastAsia="zh-CN"/>
              </w:rPr>
            </w:pPr>
            <w:r>
              <w:rPr>
                <w:rFonts w:hint="eastAsia"/>
                <w:sz w:val="24"/>
                <w:szCs w:val="24"/>
              </w:rPr>
              <w:t>文档版本</w:t>
            </w:r>
            <w:r>
              <w:rPr>
                <w:rFonts w:hint="eastAsia"/>
                <w:sz w:val="24"/>
                <w:szCs w:val="24"/>
                <w:lang w:eastAsia="zh-CN"/>
              </w:rPr>
              <w:t>：</w:t>
            </w:r>
          </w:p>
        </w:tc>
        <w:tc>
          <w:tcPr>
            <w:tcW w:w="3996" w:type="dxa"/>
            <w:shd w:val="clear" w:color="auto" w:fill="FFFFFF"/>
            <w:tcMar>
              <w:top w:w="50" w:type="dxa"/>
              <w:left w:w="70" w:type="dxa"/>
              <w:bottom w:w="50" w:type="dxa"/>
              <w:right w:w="70" w:type="dxa"/>
            </w:tcMar>
            <w:vAlign w:val="center"/>
          </w:tcPr>
          <w:p w14:paraId="0C140582">
            <w:pPr>
              <w:pStyle w:val="19"/>
              <w:bidi w:val="0"/>
              <w:ind w:left="0" w:leftChars="0" w:firstLine="0" w:firstLineChars="0"/>
              <w:jc w:val="both"/>
              <w:rPr>
                <w:rFonts w:hint="eastAsia"/>
                <w:sz w:val="24"/>
                <w:szCs w:val="24"/>
              </w:rPr>
            </w:pPr>
            <w:r>
              <w:rPr>
                <w:rFonts w:hint="eastAsia"/>
                <w:sz w:val="24"/>
                <w:szCs w:val="24"/>
              </w:rPr>
              <w:t xml:space="preserve">V1.5.0</w:t>
            </w:r>
            <w:r>
              <w:rPr>
                <w:rFonts w:hint="eastAsia"/>
                <w:sz w:val="24"/>
                <w:szCs w:val="24"/>
                <w:lang w:val="en-US" w:eastAsia="zh-CN"/>
              </w:rPr>
              <w:t/>
            </w:r>
            <w:r>
              <w:rPr>
                <w:rFonts w:hint="eastAsia"/>
                <w:sz w:val="24"/>
                <w:szCs w:val="24"/>
              </w:rPr>
              <w:t/>
            </w:r>
            <w:r>
              <w:rPr>
                <w:rFonts w:hint="eastAsia"/>
                <w:sz w:val="24"/>
                <w:szCs w:val="24"/>
                <w:lang w:val="en-US" w:eastAsia="zh-CN"/>
              </w:rPr>
              <w:t/>
            </w:r>
            <w:r>
              <w:rPr>
                <w:rFonts w:hint="eastAsia"/>
                <w:sz w:val="24"/>
                <w:szCs w:val="24"/>
              </w:rPr>
              <w:t/>
            </w:r>
          </w:p>
        </w:tc>
      </w:tr>
      <w:tr w14:paraId="24EF2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90" w:type="dxa"/>
            <w:shd w:val="clear" w:color="auto" w:fill="FFFFFF"/>
            <w:tcMar>
              <w:top w:w="50" w:type="dxa"/>
              <w:left w:w="70" w:type="dxa"/>
              <w:bottom w:w="50" w:type="dxa"/>
              <w:right w:w="70" w:type="dxa"/>
            </w:tcMar>
            <w:vAlign w:val="center"/>
          </w:tcPr>
          <w:p w14:paraId="21DD9299">
            <w:pPr>
              <w:pStyle w:val="19"/>
              <w:bidi w:val="0"/>
              <w:jc w:val="both"/>
              <w:rPr>
                <w:rFonts w:hint="eastAsia"/>
                <w:sz w:val="24"/>
                <w:szCs w:val="24"/>
                <w:lang w:eastAsia="zh-CN"/>
              </w:rPr>
            </w:pPr>
            <w:r>
              <w:rPr>
                <w:rFonts w:hint="eastAsia"/>
                <w:sz w:val="24"/>
                <w:szCs w:val="24"/>
              </w:rPr>
              <w:t>归属工程</w:t>
            </w:r>
            <w:r>
              <w:rPr>
                <w:rFonts w:hint="eastAsia"/>
                <w:sz w:val="24"/>
                <w:szCs w:val="24"/>
                <w:lang w:eastAsia="zh-CN"/>
              </w:rPr>
              <w:t>：</w:t>
            </w:r>
          </w:p>
        </w:tc>
        <w:tc>
          <w:tcPr>
            <w:tcW w:w="3996" w:type="dxa"/>
            <w:shd w:val="clear" w:color="auto" w:fill="FFFFFF"/>
            <w:tcMar>
              <w:top w:w="50" w:type="dxa"/>
              <w:left w:w="70" w:type="dxa"/>
              <w:bottom w:w="50" w:type="dxa"/>
              <w:right w:w="70" w:type="dxa"/>
            </w:tcMar>
            <w:vAlign w:val="center"/>
          </w:tcPr>
          <w:p w14:paraId="77E4E139">
            <w:pPr>
              <w:pStyle w:val="19"/>
              <w:bidi w:val="0"/>
              <w:ind w:left="0" w:leftChars="0" w:firstLine="0" w:firstLineChars="0"/>
              <w:jc w:val="both"/>
              <w:rPr>
                <w:rFonts w:hint="eastAsia"/>
                <w:sz w:val="24"/>
                <w:szCs w:val="24"/>
              </w:rPr>
            </w:pPr>
            <w:r>
              <w:rPr>
                <w:rFonts w:hint="eastAsia"/>
                <w:sz w:val="24"/>
                <w:szCs w:val="24"/>
              </w:rPr>
              <w:t>特变电工能碳数字化双中心</w:t>
            </w:r>
          </w:p>
        </w:tc>
      </w:tr>
      <w:tr w14:paraId="198A9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90" w:type="dxa"/>
            <w:shd w:val="clear" w:color="auto" w:fill="FFFFFF"/>
            <w:tcMar>
              <w:top w:w="50" w:type="dxa"/>
              <w:left w:w="70" w:type="dxa"/>
              <w:bottom w:w="50" w:type="dxa"/>
              <w:right w:w="70" w:type="dxa"/>
            </w:tcMar>
            <w:vAlign w:val="center"/>
          </w:tcPr>
          <w:p w14:paraId="4324044B">
            <w:pPr>
              <w:pStyle w:val="19"/>
              <w:bidi w:val="0"/>
              <w:jc w:val="both"/>
              <w:rPr>
                <w:rFonts w:hint="eastAsia"/>
                <w:sz w:val="24"/>
                <w:szCs w:val="24"/>
                <w:lang w:eastAsia="zh-CN"/>
              </w:rPr>
            </w:pPr>
            <w:r>
              <w:rPr>
                <w:rFonts w:hint="eastAsia"/>
                <w:sz w:val="24"/>
                <w:szCs w:val="24"/>
              </w:rPr>
              <w:t>发布日期</w:t>
            </w:r>
            <w:r>
              <w:rPr>
                <w:rFonts w:hint="eastAsia"/>
                <w:sz w:val="24"/>
                <w:szCs w:val="24"/>
                <w:lang w:eastAsia="zh-CN"/>
              </w:rPr>
              <w:t>：</w:t>
            </w:r>
          </w:p>
        </w:tc>
        <w:tc>
          <w:tcPr>
            <w:tcW w:w="3996" w:type="dxa"/>
            <w:shd w:val="clear" w:color="auto" w:fill="FFFFFF"/>
            <w:tcMar>
              <w:top w:w="50" w:type="dxa"/>
              <w:left w:w="70" w:type="dxa"/>
              <w:bottom w:w="50" w:type="dxa"/>
              <w:right w:w="70" w:type="dxa"/>
            </w:tcMar>
            <w:vAlign w:val="center"/>
          </w:tcPr>
          <w:p w14:paraId="3C31F347">
            <w:pPr>
              <w:pStyle w:val="19"/>
              <w:bidi w:val="0"/>
              <w:ind w:left="0" w:leftChars="0" w:firstLine="0" w:firstLineChars="0"/>
              <w:jc w:val="both"/>
              <w:rPr>
                <w:rFonts w:hint="eastAsia"/>
                <w:sz w:val="24"/>
                <w:szCs w:val="24"/>
                <w:lang w:eastAsia="zh-CN"/>
              </w:rPr>
            </w:pPr>
            <w:r>
              <w:rPr>
                <w:rFonts w:hint="eastAsia"/>
                <w:sz w:val="24"/>
                <w:szCs w:val="24"/>
              </w:rPr>
              <w:t xml:space="preserve">2026-09-27</w:t>
            </w:r>
            <w:r>
              <w:rPr>
                <w:rFonts w:hint="eastAsia"/>
                <w:sz w:val="24"/>
                <w:szCs w:val="24"/>
                <w:lang w:val="en-US" w:eastAsia="zh-CN"/>
              </w:rPr>
              <w:t/>
            </w:r>
          </w:p>
        </w:tc>
      </w:tr>
    </w:tbl>
    <w:p w14:paraId="0D66CF77">
      <w:pPr>
        <w:spacing w:after="800"/>
        <w:jc w:val="both"/>
        <w:rPr>
          <w:rFonts w:hint="eastAsia" w:ascii="宋体" w:hAnsi="宋体" w:eastAsia="宋体" w:cs="宋体"/>
          <w:b/>
          <w:i w:val="0"/>
          <w:iCs w:val="0"/>
          <w:color w:val="64748B"/>
          <w:sz w:val="24"/>
          <w:szCs w:val="24"/>
        </w:rPr>
      </w:pPr>
    </w:p>
    <w:p w14:paraId="667DAD00">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7E877AE1">
      <w:pPr>
        <w:pStyle w:val="3"/>
        <w:outlineLvl w:val="9"/>
        <w:rPr>
          <w:rFonts w:ascii="Times New Roman" w:hAnsi="Times New Roman" w:eastAsia="黑体" w:cs="Times New Roman"/>
          <w:b w:val="0"/>
          <w:bCs w:val="0"/>
          <w:sz w:val="32"/>
          <w:szCs w:val="44"/>
        </w:rPr>
      </w:pPr>
      <w:r>
        <w:rPr>
          <w:rFonts w:ascii="Times New Roman" w:hAnsi="Times New Roman" w:eastAsia="黑体" w:cs="Times New Roman"/>
          <w:b w:val="0"/>
          <w:bCs w:val="0"/>
          <w:sz w:val="32"/>
          <w:szCs w:val="44"/>
        </w:rPr>
        <w:t>修改记录</w:t>
      </w:r>
    </w:p>
    <w:p w14:paraId="20CAE8E6">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本文档作为特变电工股份有限公司（电装集团）能碳数字化双中心（零碳园区集控中心 + 产品碳足迹集采中心）官方产品需求规格说明书，由产品管理部 (PM)、系统架构研发组 (Dev)、质量保障中心 (QA) 及项目总监共同签署生效。</w:t>
      </w:r>
    </w:p>
    <w:tbl>
      <w:tblPr>
        <w:tblStyle w:val="38"/>
        <w:tblW w:w="9530" w:type="dxa"/>
        <w:jc w:val="center"/>
        <w:tblLayout w:type="autofit"/>
        <w:tblCellMar>
          <w:top w:w="0" w:type="dxa"/>
          <w:left w:w="108" w:type="dxa"/>
          <w:bottom w:w="0" w:type="dxa"/>
          <w:right w:w="108" w:type="dxa"/>
        </w:tblCellMar>
      </w:tblPr>
      <w:tblGrid>
        <w:gridCol w:w="1651"/>
        <w:gridCol w:w="1575"/>
        <w:gridCol w:w="3716"/>
        <w:gridCol w:w="1294"/>
        <w:gridCol w:w="1294"/>
      </w:tblGrid>
      <w:tr w14:paraId="54E38BE5">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162EA0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审签角色</w:t>
            </w:r>
          </w:p>
        </w:tc>
        <w:tc>
          <w:tcPr>
            <w:tcW w:w="157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C75FE8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责任人姓名</w:t>
            </w:r>
          </w:p>
        </w:tc>
        <w:tc>
          <w:tcPr>
            <w:tcW w:w="37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3611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部门/岗位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0D4159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审签结论</w:t>
            </w:r>
          </w:p>
        </w:tc>
        <w:tc>
          <w:tcPr>
            <w:tcW w:w="129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3623A4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签署日期</w:t>
            </w:r>
          </w:p>
        </w:tc>
      </w:tr>
      <w:tr w14:paraId="4A229779">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27B0E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项目总监</w:t>
            </w:r>
          </w:p>
        </w:tc>
        <w:tc>
          <w:tcPr>
            <w:tcW w:w="15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7087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BD09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项目管理部 / 项目总监</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EE48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A064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1EFCFE34">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20584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项目经理</w:t>
            </w:r>
          </w:p>
        </w:tc>
        <w:tc>
          <w:tcPr>
            <w:tcW w:w="15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9EB74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AF0A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产品管理部 / 项目经理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323D20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0DDAF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0D0D534B">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89EB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PM 负责人</w:t>
            </w:r>
          </w:p>
        </w:tc>
        <w:tc>
          <w:tcPr>
            <w:tcW w:w="15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3ABFD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BE0E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产品管理部 / PM 负责人</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2178A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5A9C1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238F11E6">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1BDD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系统架构师</w:t>
            </w:r>
          </w:p>
        </w:tc>
        <w:tc>
          <w:tcPr>
            <w:tcW w:w="15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834B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29DE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系统架构研发组 / 系统架构师</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5FC7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55EC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4AD24036">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4001B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前端负责人</w:t>
            </w:r>
          </w:p>
        </w:tc>
        <w:tc>
          <w:tcPr>
            <w:tcW w:w="15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A602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301F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前端研发组 / 前端负责人</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2D68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121C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0782E462">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47BC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后端负责人</w:t>
            </w:r>
          </w:p>
        </w:tc>
        <w:tc>
          <w:tcPr>
            <w:tcW w:w="15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9611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5385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后端研发组 / 后端负责人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29B6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CDDF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5920D7D6">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C49D6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测试负责人</w:t>
            </w:r>
          </w:p>
        </w:tc>
        <w:tc>
          <w:tcPr>
            <w:tcW w:w="15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FA39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20E0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质量保障中心 / 测试负责人</w:t>
            </w:r>
          </w:p>
        </w:tc>
        <w:tc>
          <w:tcPr>
            <w:tcW w:w="12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25A9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9E42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bl>
    <w:p w14:paraId="4EF97137">
      <w:pPr>
        <w:spacing w:after="60"/>
        <w:rPr>
          <w:rFonts w:hint="eastAsia" w:ascii="宋体" w:hAnsi="宋体" w:eastAsia="宋体" w:cs="宋体"/>
          <w:i w:val="0"/>
          <w:iCs w:val="0"/>
          <w:sz w:val="24"/>
          <w:szCs w:val="24"/>
        </w:rPr>
      </w:pPr>
    </w:p>
    <w:tbl>
      <w:tblPr>
        <w:tblStyle w:val="38"/>
        <w:tblW w:w="9530" w:type="dxa"/>
        <w:jc w:val="center"/>
        <w:tblLayout w:type="autofit"/>
        <w:tblCellMar>
          <w:top w:w="0" w:type="dxa"/>
          <w:left w:w="108" w:type="dxa"/>
          <w:bottom w:w="0" w:type="dxa"/>
          <w:right w:w="108" w:type="dxa"/>
        </w:tblCellMar>
      </w:tblPr>
      <w:tblGrid>
        <w:gridCol w:w="922"/>
        <w:gridCol w:w="1396"/>
        <w:gridCol w:w="5109"/>
        <w:gridCol w:w="980"/>
        <w:gridCol w:w="1123"/>
      </w:tblGrid>
      <w:tr w14:paraId="5976494D">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5630B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版本</w:t>
            </w:r>
          </w:p>
        </w:tc>
        <w:tc>
          <w:tcPr>
            <w:tcW w:w="13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5E1A6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修订日期</w:t>
            </w:r>
          </w:p>
        </w:tc>
        <w:tc>
          <w:tcPr>
            <w:tcW w:w="510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F5AF3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主要修订内容与动因</w:t>
            </w:r>
          </w:p>
        </w:tc>
        <w:tc>
          <w:tcPr>
            <w:tcW w:w="9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91D55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修订人</w:t>
            </w:r>
          </w:p>
        </w:tc>
        <w:tc>
          <w:tcPr>
            <w:tcW w:w="11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E99C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审核人</w:t>
            </w:r>
          </w:p>
        </w:tc>
      </w:tr>
      <w:tr w14:paraId="30E5720D">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56C5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v1.1.0</w:t>
            </w:r>
          </w:p>
        </w:tc>
        <w:tc>
          <w:tcPr>
            <w:tcW w:w="1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7A94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2026-09-08</w:t>
            </w:r>
          </w:p>
        </w:tc>
        <w:tc>
          <w:tcPr>
            <w:tcW w:w="51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A1B8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全面升版：补齐全量数据字典、数学公式、字段校验、控制流逻辑与 Gherkin 验收准则</w:t>
            </w:r>
          </w:p>
        </w:tc>
        <w:tc>
          <w:tcPr>
            <w:tcW w:w="9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5936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王亮</w:t>
            </w:r>
          </w:p>
        </w:tc>
        <w:tc>
          <w:tcPr>
            <w:tcW w:w="11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A920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产品经理</w:t>
            </w:r>
          </w:p>
        </w:tc>
      </w:tr>
      <w:tr w14:paraId="1ABA3C8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4245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v1.2.0</w:t>
            </w:r>
          </w:p>
        </w:tc>
        <w:tc>
          <w:tcPr>
            <w:tcW w:w="1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170F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2026-09-14</w:t>
            </w:r>
          </w:p>
        </w:tc>
        <w:tc>
          <w:tcPr>
            <w:tcW w:w="51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D2AD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新增第六~第十二章框架章节（技术架构、公共模块、安全合规、接口点表、验收基线、里程碑）</w:t>
            </w:r>
          </w:p>
        </w:tc>
        <w:tc>
          <w:tcPr>
            <w:tcW w:w="9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7B30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王亮</w:t>
            </w:r>
          </w:p>
        </w:tc>
        <w:tc>
          <w:tcPr>
            <w:tcW w:w="11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334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产品经理</w:t>
            </w:r>
          </w:p>
        </w:tc>
      </w:tr>
      <w:tr w14:paraId="1B82168F">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8C3D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v1.3.0</w:t>
            </w:r>
          </w:p>
        </w:tc>
        <w:tc>
          <w:tcPr>
            <w:tcW w:w="1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11C3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2026-09-15</w:t>
            </w:r>
          </w:p>
        </w:tc>
        <w:tc>
          <w:tcPr>
            <w:tcW w:w="51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B6FE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细化功能模块分类，完成「指标管控」模块页面需求说明文档，确立模块样板范式</w:t>
            </w:r>
          </w:p>
        </w:tc>
        <w:tc>
          <w:tcPr>
            <w:tcW w:w="9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8A7F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王亮</w:t>
            </w:r>
          </w:p>
        </w:tc>
        <w:tc>
          <w:tcPr>
            <w:tcW w:w="11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F073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产品经理</w:t>
            </w:r>
          </w:p>
        </w:tc>
      </w:tr>
      <w:tr w14:paraId="25704E19">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499246">
            <w:pPr>
              <w:spacing w:before="0" w:after="0" w:line="240" w:lineRule="auto"/>
              <w:ind w:left="0" w:leftChars="0" w:right="0" w:rightChars="0" w:firstLine="0" w:firstLineChars="0"/>
              <w:jc w:val="left"/>
              <w:rPr>
                <w:rFonts w:hint="default"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v1.4.0</w:t>
            </w:r>
          </w:p>
        </w:tc>
        <w:tc>
          <w:tcPr>
            <w:tcW w:w="1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F58AF9">
            <w:pPr>
              <w:spacing w:before="0" w:after="0" w:line="240" w:lineRule="auto"/>
              <w:ind w:left="0" w:leftChars="0" w:right="0" w:rightChars="0" w:firstLine="0" w:firstLineChars="0"/>
              <w:jc w:val="left"/>
              <w:rPr>
                <w:rFonts w:hint="default"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2026-9-23</w:t>
            </w:r>
          </w:p>
        </w:tc>
        <w:tc>
          <w:tcPr>
            <w:tcW w:w="51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7E19B1">
            <w:pPr>
              <w:spacing w:before="0" w:after="0" w:line="240" w:lineRule="auto"/>
              <w:ind w:left="0" w:leftChars="0" w:right="0" w:rightChars="0" w:firstLine="0" w:firstLineChars="0"/>
              <w:jc w:val="left"/>
              <w:rPr>
                <w:rFonts w:hint="default"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根据需求客户变更后的需求修订功能说明和产品截图</w:t>
            </w:r>
          </w:p>
        </w:tc>
        <w:tc>
          <w:tcPr>
            <w:tcW w:w="9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42A04A">
            <w:pPr>
              <w:spacing w:before="0" w:after="0" w:line="240" w:lineRule="auto"/>
              <w:ind w:left="0" w:leftChars="0" w:right="0" w:rightChars="0" w:firstLine="0" w:firstLineChars="0"/>
              <w:jc w:val="left"/>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王亮</w:t>
            </w:r>
          </w:p>
        </w:tc>
        <w:tc>
          <w:tcPr>
            <w:tcW w:w="11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18D6CB">
            <w:pPr>
              <w:spacing w:before="0" w:after="0" w:line="240" w:lineRule="auto"/>
              <w:ind w:left="0" w:leftChars="0" w:right="0" w:rightChars="0" w:firstLine="0" w:firstLineChars="0"/>
              <w:jc w:val="left"/>
              <w:rPr>
                <w:rFonts w:hint="default"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产品经理</w:t>
            </w:r>
          </w:p>
        </w:tc>
      </w:tr>
      <w:tr w14:paraId="713390C2">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1625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v1.5.0</w:t>
            </w:r>
          </w:p>
        </w:tc>
        <w:tc>
          <w:tcPr>
            <w:tcW w:w="1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1C3F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2026-09-27</w:t>
            </w:r>
          </w:p>
        </w:tc>
        <w:tc>
          <w:tcPr>
            <w:tcW w:w="51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F924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第三章《产品碳足迹集采中心功能需求规格》全章补强：16 个模块 × 八段式共 128 段逐段校订，路由 / 字段字典 / 判定阈值按平台原型界面截图坐实，补入数据权限条款、判定阈值与基准来源、取值示例与精度容差，补 Gherkin 场景与标准错误码，公式体例统一为 Unicode 符号；修正章首导言失效交叉引用；第十二章验收基线模块数同步修正</w:t>
            </w:r>
          </w:p>
        </w:tc>
        <w:tc>
          <w:tcPr>
            <w:tcW w:w="9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3753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王亮</w:t>
            </w:r>
          </w:p>
        </w:tc>
        <w:tc>
          <w:tcPr>
            <w:tcW w:w="11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6D4D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产品经理</w:t>
            </w:r>
          </w:p>
        </w:tc>
      </w:tr>
      <w:tr w14:paraId="597F699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DA5778">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0434B7">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51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552724">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9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E76146">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1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DC0D5D">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r>
    </w:tbl>
    <w:p w14:paraId="25AAF9E9">
      <w:pPr>
        <w:spacing w:after="60"/>
        <w:rPr>
          <w:rFonts w:hint="eastAsia" w:ascii="宋体" w:hAnsi="宋体" w:eastAsia="宋体" w:cs="宋体"/>
          <w:i w:val="0"/>
          <w:iCs w:val="0"/>
          <w:sz w:val="24"/>
          <w:szCs w:val="24"/>
        </w:rPr>
      </w:pPr>
    </w:p>
    <w:p w14:paraId="050F4913">
      <w:pPr>
        <w:widowControl w:val="0"/>
        <w:numPr>
          <w:ilvl w:val="0"/>
          <w:numId w:val="7"/>
        </w:numPr>
        <w:adjustRightInd w:val="0"/>
        <w:spacing w:before="320" w:after="200" w:line="300" w:lineRule="auto"/>
        <w:ind w:left="0" w:leftChars="0" w:firstLine="0" w:firstLineChars="0"/>
        <w:jc w:val="both"/>
        <w:outlineLvl w:val="9"/>
        <w:rPr>
          <w:rFonts w:ascii="Times New Roman" w:hAnsi="Times New Roman" w:eastAsia="黑体" w:cs="Times New Roman"/>
          <w:b w:val="0"/>
          <w:bCs w:val="0"/>
          <w:color w:val="000000"/>
          <w:kern w:val="44"/>
          <w:sz w:val="32"/>
          <w:szCs w:val="44"/>
          <w:lang w:bidi="ar-SA"/>
        </w:rPr>
        <w:sectPr>
          <w:headerReference r:id="rId5" w:type="default"/>
          <w:footerReference r:id="rId6" w:type="default"/>
          <w:pgSz w:w="11906" w:h="16838"/>
          <w:pgMar w:top="1296" w:right="1296" w:bottom="1296" w:left="1296" w:header="720" w:footer="720" w:gutter="0"/>
          <w:pgBorders>
            <w:top w:val="none" w:sz="0" w:space="0"/>
            <w:left w:val="none" w:sz="0" w:space="0"/>
            <w:bottom w:val="none" w:sz="0" w:space="0"/>
            <w:right w:val="none" w:sz="0" w:space="0"/>
          </w:pgBorders>
          <w:cols w:space="720" w:num="1"/>
          <w:titlePg/>
          <w:docGrid w:linePitch="360" w:charSpace="0"/>
        </w:sectPr>
      </w:pPr>
    </w:p>
    <w:sdt>
      <w:sdtPr>
        <w:rPr>
          <w:rFonts w:ascii="宋体" w:hAnsi="宋体" w:eastAsia="宋体" w:cstheme="minorBidi"/>
          <w:sz w:val="21"/>
          <w:szCs w:val="22"/>
          <w:lang w:val="en-US" w:eastAsia="en-US" w:bidi="ar-SA"/>
        </w:rPr>
        <w:id w:val="147473365"/>
        <w15:color w:val="DBDBDB"/>
        <w:docPartObj>
          <w:docPartGallery w:val="Table of Contents"/>
          <w:docPartUnique/>
        </w:docPartObj>
      </w:sdtPr>
      <w:sdtEndPr>
        <w:rPr>
          <w:rFonts w:asciiTheme="minorHAnsi" w:hAnsiTheme="minorHAnsi" w:eastAsiaTheme="minorEastAsia" w:cstheme="minorBidi"/>
          <w:sz w:val="22"/>
          <w:szCs w:val="22"/>
          <w:lang w:val="en-US" w:eastAsia="en-US" w:bidi="ar-SA"/>
        </w:rPr>
      </w:sdtEndPr>
      <w:sdtContent>
        <w:p w14:paraId="37FB5115">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5AD03D8">
          <w:pPr>
            <w:pStyle w:val="27"/>
            <w:tabs>
              <w:tab w:val="right" w:leader="dot" w:pos="9314"/>
            </w:tabs>
          </w:pPr>
          <w:r>
            <w:rPr>
              <w:rFonts w:asciiTheme="minorHAnsi" w:hAnsiTheme="minorHAnsi" w:eastAsiaTheme="minorEastAsia" w:cstheme="minorBidi"/>
              <w:sz w:val="22"/>
              <w:szCs w:val="22"/>
              <w:lang w:val="en-US" w:eastAsia="en-US" w:bidi="ar-SA"/>
            </w:rPr>
            <w:fldChar w:fldCharType="begin"/>
          </w:r>
          <w:r>
            <w:rPr>
              <w:rFonts w:asciiTheme="minorHAnsi" w:hAnsiTheme="minorHAnsi" w:eastAsiaTheme="minorEastAsia" w:cstheme="minorBidi"/>
              <w:sz w:val="22"/>
              <w:szCs w:val="22"/>
              <w:lang w:val="en-US" w:eastAsia="en-US" w:bidi="ar-SA"/>
            </w:rPr>
            <w:instrText xml:space="preserve">TOC \o "1-2" \h \u </w:instrText>
          </w:r>
          <w:r>
            <w:rPr>
              <w:rFonts w:asciiTheme="minorHAnsi" w:hAnsiTheme="minorHAnsi" w:eastAsiaTheme="minorEastAsia" w:cstheme="minorBidi"/>
              <w:sz w:val="22"/>
              <w:szCs w:val="22"/>
              <w:lang w:val="en-US" w:eastAsia="en-US" w:bidi="ar-SA"/>
            </w:rPr>
            <w:fldChar w:fldCharType="separate"/>
          </w: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_Toc18767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第一章 </w:t>
          </w:r>
          <w:r>
            <w:rPr>
              <w:rFonts w:ascii="Times New Roman" w:hAnsi="Times New Roman" w:eastAsia="黑体" w:cs="Times New Roman"/>
              <w:bCs w:val="0"/>
              <w:szCs w:val="44"/>
            </w:rPr>
            <w:t>顶层业务架构与标准规范</w:t>
          </w:r>
          <w:r>
            <w:tab/>
          </w:r>
          <w:r>
            <w:fldChar w:fldCharType="begin"/>
          </w:r>
          <w:r>
            <w:instrText xml:space="preserve"> PAGEREF _Toc18767 \h </w:instrText>
          </w:r>
          <w:r>
            <w:fldChar w:fldCharType="separate"/>
          </w:r>
          <w:r>
            <w:t>1</w:t>
          </w:r>
          <w:r>
            <w:fldChar w:fldCharType="end"/>
          </w:r>
          <w:r>
            <w:rPr>
              <w:rFonts w:asciiTheme="minorHAnsi" w:hAnsiTheme="minorHAnsi" w:eastAsiaTheme="minorEastAsia" w:cstheme="minorBidi"/>
              <w:szCs w:val="22"/>
              <w:lang w:val="en-US" w:eastAsia="en-US" w:bidi="ar-SA"/>
            </w:rPr>
            <w:fldChar w:fldCharType="end"/>
          </w:r>
        </w:p>
        <w:p w14:paraId="3C9680A6">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_Toc19855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项目背景与建设目标</w:t>
          </w:r>
          <w:r>
            <w:tab/>
          </w:r>
          <w:r>
            <w:fldChar w:fldCharType="begin"/>
          </w:r>
          <w:r>
            <w:instrText xml:space="preserve"> PAGEREF _Toc19855 \h </w:instrText>
          </w:r>
          <w:r>
            <w:fldChar w:fldCharType="separate"/>
          </w:r>
          <w:r>
            <w:t>1</w:t>
          </w:r>
          <w:r>
            <w:fldChar w:fldCharType="end"/>
          </w:r>
          <w:r>
            <w:rPr>
              <w:rFonts w:asciiTheme="minorHAnsi" w:hAnsiTheme="minorHAnsi" w:eastAsiaTheme="minorEastAsia" w:cstheme="minorBidi"/>
              <w:szCs w:val="22"/>
              <w:lang w:val="en-US" w:eastAsia="en-US" w:bidi="ar-SA"/>
            </w:rPr>
            <w:fldChar w:fldCharType="end"/>
          </w:r>
        </w:p>
        <w:p w14:paraId="0918EBB8">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_Toc11274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项目建设背景</w:t>
          </w:r>
          <w:r>
            <w:tab/>
          </w:r>
          <w:r>
            <w:fldChar w:fldCharType="begin"/>
          </w:r>
          <w:r>
            <w:instrText xml:space="preserve"> PAGEREF _Toc11274 \h </w:instrText>
          </w:r>
          <w:r>
            <w:fldChar w:fldCharType="separate"/>
          </w:r>
          <w:r>
            <w:t>1</w:t>
          </w:r>
          <w:r>
            <w:fldChar w:fldCharType="end"/>
          </w:r>
          <w:r>
            <w:rPr>
              <w:rFonts w:asciiTheme="minorHAnsi" w:hAnsiTheme="minorHAnsi" w:eastAsiaTheme="minorEastAsia" w:cstheme="minorBidi"/>
              <w:szCs w:val="22"/>
              <w:lang w:val="en-US" w:eastAsia="en-US" w:bidi="ar-SA"/>
            </w:rPr>
            <w:fldChar w:fldCharType="end"/>
          </w:r>
        </w:p>
        <w:p w14:paraId="69DFB7E7">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_Toc28818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建设目标</w:t>
          </w:r>
          <w:r>
            <w:tab/>
          </w:r>
          <w:r>
            <w:fldChar w:fldCharType="begin"/>
          </w:r>
          <w:r>
            <w:instrText xml:space="preserve"> PAGEREF _Toc28818 \h </w:instrText>
          </w:r>
          <w:r>
            <w:fldChar w:fldCharType="separate"/>
          </w:r>
          <w:r>
            <w:t>2</w:t>
          </w:r>
          <w:r>
            <w:fldChar w:fldCharType="end"/>
          </w:r>
          <w:r>
            <w:rPr>
              <w:rFonts w:asciiTheme="minorHAnsi" w:hAnsiTheme="minorHAnsi" w:eastAsiaTheme="minorEastAsia" w:cstheme="minorBidi"/>
              <w:szCs w:val="22"/>
              <w:lang w:val="en-US" w:eastAsia="en-US" w:bidi="ar-SA"/>
            </w:rPr>
            <w:fldChar w:fldCharType="end"/>
          </w:r>
        </w:p>
        <w:p w14:paraId="574E96CB">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_Toc24061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建设范围</w:t>
          </w:r>
          <w:r>
            <w:tab/>
          </w:r>
          <w:r>
            <w:fldChar w:fldCharType="begin"/>
          </w:r>
          <w:r>
            <w:instrText xml:space="preserve"> PAGEREF _Toc24061 \h </w:instrText>
          </w:r>
          <w:r>
            <w:fldChar w:fldCharType="separate"/>
          </w:r>
          <w:r>
            <w:t>2</w:t>
          </w:r>
          <w:r>
            <w:fldChar w:fldCharType="end"/>
          </w:r>
          <w:r>
            <w:rPr>
              <w:rFonts w:asciiTheme="minorHAnsi" w:hAnsiTheme="minorHAnsi" w:eastAsiaTheme="minorEastAsia" w:cstheme="minorBidi"/>
              <w:szCs w:val="22"/>
              <w:lang w:val="en-US" w:eastAsia="en-US" w:bidi="ar-SA"/>
            </w:rPr>
            <w:fldChar w:fldCharType="end"/>
          </w:r>
        </w:p>
        <w:p w14:paraId="143DB75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_Toc5095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双中心总体架构与协同机制</w:t>
          </w:r>
          <w:r>
            <w:tab/>
          </w:r>
          <w:r>
            <w:fldChar w:fldCharType="begin"/>
          </w:r>
          <w:r>
            <w:instrText xml:space="preserve"> PAGEREF _Toc5095 \h </w:instrText>
          </w:r>
          <w:r>
            <w:fldChar w:fldCharType="separate"/>
          </w:r>
          <w:r>
            <w:t>3</w:t>
          </w:r>
          <w:r>
            <w:fldChar w:fldCharType="end"/>
          </w:r>
          <w:r>
            <w:rPr>
              <w:rFonts w:asciiTheme="minorHAnsi" w:hAnsiTheme="minorHAnsi" w:eastAsiaTheme="minorEastAsia" w:cstheme="minorBidi"/>
              <w:szCs w:val="22"/>
              <w:lang w:val="en-US" w:eastAsia="en-US" w:bidi="ar-SA"/>
            </w:rPr>
            <w:fldChar w:fldCharType="end"/>
          </w:r>
        </w:p>
        <w:p w14:paraId="5A5108FE">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_Toc10778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端—边—云三层物联网架构</w:t>
          </w:r>
          <w:r>
            <w:tab/>
          </w:r>
          <w:r>
            <w:fldChar w:fldCharType="begin"/>
          </w:r>
          <w:r>
            <w:instrText xml:space="preserve"> PAGEREF _Toc10778 \h </w:instrText>
          </w:r>
          <w:r>
            <w:fldChar w:fldCharType="separate"/>
          </w:r>
          <w:r>
            <w:t>3</w:t>
          </w:r>
          <w:r>
            <w:fldChar w:fldCharType="end"/>
          </w:r>
          <w:r>
            <w:rPr>
              <w:rFonts w:asciiTheme="minorHAnsi" w:hAnsiTheme="minorHAnsi" w:eastAsiaTheme="minorEastAsia" w:cstheme="minorBidi"/>
              <w:szCs w:val="22"/>
              <w:lang w:val="en-US" w:eastAsia="en-US" w:bidi="ar-SA"/>
            </w:rPr>
            <w:fldChar w:fldCharType="end"/>
          </w:r>
        </w:p>
        <w:p w14:paraId="64112015">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_Toc26715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双中心定位与协同</w:t>
          </w:r>
          <w:r>
            <w:tab/>
          </w:r>
          <w:r>
            <w:fldChar w:fldCharType="begin"/>
          </w:r>
          <w:r>
            <w:instrText xml:space="preserve"> PAGEREF _Toc26715 \h </w:instrText>
          </w:r>
          <w:r>
            <w:fldChar w:fldCharType="separate"/>
          </w:r>
          <w:r>
            <w:t>4</w:t>
          </w:r>
          <w:r>
            <w:fldChar w:fldCharType="end"/>
          </w:r>
          <w:r>
            <w:rPr>
              <w:rFonts w:asciiTheme="minorHAnsi" w:hAnsiTheme="minorHAnsi" w:eastAsiaTheme="minorEastAsia" w:cstheme="minorBidi"/>
              <w:szCs w:val="22"/>
              <w:lang w:val="en-US" w:eastAsia="en-US" w:bidi="ar-SA"/>
            </w:rPr>
            <w:fldChar w:fldCharType="end"/>
          </w:r>
        </w:p>
        <w:p w14:paraId="444BAB13">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_Toc28925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四、 </w:t>
          </w:r>
          <w:r>
            <w:rPr>
              <w:rFonts w:ascii="Times New Roman" w:hAnsi="Times New Roman" w:eastAsia="黑体" w:cs="Times New Roman"/>
              <w:bCs w:val="0"/>
              <w:szCs w:val="32"/>
            </w:rPr>
            <w:t>角色画像与权限边界</w:t>
          </w:r>
          <w:r>
            <w:tab/>
          </w:r>
          <w:r>
            <w:fldChar w:fldCharType="begin"/>
          </w:r>
          <w:r>
            <w:instrText xml:space="preserve"> PAGEREF _Toc28925 \h </w:instrText>
          </w:r>
          <w:r>
            <w:fldChar w:fldCharType="separate"/>
          </w:r>
          <w:r>
            <w:t>5</w:t>
          </w:r>
          <w:r>
            <w:fldChar w:fldCharType="end"/>
          </w:r>
          <w:r>
            <w:rPr>
              <w:rFonts w:asciiTheme="minorHAnsi" w:hAnsiTheme="minorHAnsi" w:eastAsiaTheme="minorEastAsia" w:cstheme="minorBidi"/>
              <w:szCs w:val="22"/>
              <w:lang w:val="en-US" w:eastAsia="en-US" w:bidi="ar-SA"/>
            </w:rPr>
            <w:fldChar w:fldCharType="end"/>
          </w:r>
        </w:p>
        <w:p w14:paraId="557F3EBE">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_Toc31509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五、 </w:t>
          </w:r>
          <w:r>
            <w:rPr>
              <w:rFonts w:ascii="Times New Roman" w:hAnsi="Times New Roman" w:eastAsia="黑体" w:cs="Times New Roman"/>
              <w:bCs w:val="0"/>
              <w:szCs w:val="32"/>
            </w:rPr>
            <w:t>文档编制范式：统一八段式模块模板</w:t>
          </w:r>
          <w:r>
            <w:tab/>
          </w:r>
          <w:r>
            <w:fldChar w:fldCharType="begin"/>
          </w:r>
          <w:r>
            <w:instrText xml:space="preserve"> PAGEREF _Toc31509 \h </w:instrText>
          </w:r>
          <w:r>
            <w:fldChar w:fldCharType="separate"/>
          </w:r>
          <w:r>
            <w:t>5</w:t>
          </w:r>
          <w:r>
            <w:fldChar w:fldCharType="end"/>
          </w:r>
          <w:r>
            <w:rPr>
              <w:rFonts w:asciiTheme="minorHAnsi" w:hAnsiTheme="minorHAnsi" w:eastAsiaTheme="minorEastAsia" w:cstheme="minorBidi"/>
              <w:szCs w:val="22"/>
              <w:lang w:val="en-US" w:eastAsia="en-US" w:bidi="ar-SA"/>
            </w:rPr>
            <w:fldChar w:fldCharType="end"/>
          </w:r>
        </w:p>
        <w:p w14:paraId="4057069F">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_Toc26178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第二章 </w:t>
          </w:r>
          <w:r>
            <w:rPr>
              <w:rFonts w:ascii="Times New Roman" w:hAnsi="Times New Roman" w:eastAsia="黑体" w:cs="Times New Roman"/>
              <w:bCs w:val="0"/>
              <w:szCs w:val="44"/>
            </w:rPr>
            <w:t>零碳园区集控中心功能需求规格</w:t>
          </w:r>
          <w:r>
            <w:tab/>
          </w:r>
          <w:r>
            <w:fldChar w:fldCharType="begin"/>
          </w:r>
          <w:r>
            <w:instrText xml:space="preserve"> PAGEREF _Toc26178 \h </w:instrText>
          </w:r>
          <w:r>
            <w:fldChar w:fldCharType="separate"/>
          </w:r>
          <w:r>
            <w:t>7</w:t>
          </w:r>
          <w:r>
            <w:fldChar w:fldCharType="end"/>
          </w:r>
          <w:r>
            <w:rPr>
              <w:rFonts w:asciiTheme="minorHAnsi" w:hAnsiTheme="minorHAnsi" w:eastAsiaTheme="minorEastAsia" w:cstheme="minorBidi"/>
              <w:szCs w:val="22"/>
              <w:lang w:val="en-US" w:eastAsia="en-US" w:bidi="ar-SA"/>
            </w:rPr>
            <w:fldChar w:fldCharType="end"/>
          </w:r>
        </w:p>
        <w:p w14:paraId="40F0B4F1">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_Toc26638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集控中心大屏</w:t>
          </w:r>
          <w:r>
            <w:tab/>
          </w:r>
          <w:r>
            <w:fldChar w:fldCharType="begin"/>
          </w:r>
          <w:r>
            <w:instrText xml:space="preserve"> PAGEREF _Toc26638 \h </w:instrText>
          </w:r>
          <w:r>
            <w:fldChar w:fldCharType="separate"/>
          </w:r>
          <w:r>
            <w:t>7</w:t>
          </w:r>
          <w:r>
            <w:fldChar w:fldCharType="end"/>
          </w:r>
          <w:r>
            <w:rPr>
              <w:rFonts w:asciiTheme="minorHAnsi" w:hAnsiTheme="minorHAnsi" w:eastAsiaTheme="minorEastAsia" w:cstheme="minorBidi"/>
              <w:szCs w:val="22"/>
              <w:lang w:val="en-US" w:eastAsia="en-US" w:bidi="ar-SA"/>
            </w:rPr>
            <w:fldChar w:fldCharType="end"/>
          </w:r>
        </w:p>
        <w:p w14:paraId="7961CD38">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_Toc14753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全景环幕大屏 46:9</w:t>
          </w:r>
          <w:r>
            <w:tab/>
          </w:r>
          <w:r>
            <w:fldChar w:fldCharType="begin"/>
          </w:r>
          <w:r>
            <w:instrText xml:space="preserve"> PAGEREF _Toc14753 \h </w:instrText>
          </w:r>
          <w:r>
            <w:fldChar w:fldCharType="separate"/>
          </w:r>
          <w:r>
            <w:t>7</w:t>
          </w:r>
          <w:r>
            <w:fldChar w:fldCharType="end"/>
          </w:r>
          <w:r>
            <w:rPr>
              <w:rFonts w:asciiTheme="minorHAnsi" w:hAnsiTheme="minorHAnsi" w:eastAsiaTheme="minorEastAsia" w:cstheme="minorBidi"/>
              <w:szCs w:val="22"/>
              <w:lang w:val="en-US" w:eastAsia="en-US" w:bidi="ar-SA"/>
            </w:rPr>
            <w:fldChar w:fldCharType="end"/>
          </w:r>
        </w:p>
        <w:p w14:paraId="70E01BC0">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_Toc7478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综合集控大屏 16:9</w:t>
          </w:r>
          <w:r>
            <w:tab/>
          </w:r>
          <w:r>
            <w:fldChar w:fldCharType="begin"/>
          </w:r>
          <w:r>
            <w:instrText xml:space="preserve"> PAGEREF _Toc7478 \h </w:instrText>
          </w:r>
          <w:r>
            <w:fldChar w:fldCharType="separate"/>
          </w:r>
          <w:r>
            <w:t>12</w:t>
          </w:r>
          <w:r>
            <w:fldChar w:fldCharType="end"/>
          </w:r>
          <w:r>
            <w:rPr>
              <w:rFonts w:asciiTheme="minorHAnsi" w:hAnsiTheme="minorHAnsi" w:eastAsiaTheme="minorEastAsia" w:cstheme="minorBidi"/>
              <w:szCs w:val="22"/>
              <w:lang w:val="en-US" w:eastAsia="en-US" w:bidi="ar-SA"/>
            </w:rPr>
            <w:fldChar w:fldCharType="end"/>
          </w:r>
        </w:p>
        <w:p w14:paraId="182FA1F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_Toc4603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集中监管</w:t>
          </w:r>
          <w:r>
            <w:tab/>
          </w:r>
          <w:r>
            <w:fldChar w:fldCharType="begin"/>
          </w:r>
          <w:r>
            <w:instrText xml:space="preserve"> PAGEREF _Toc4603 \h </w:instrText>
          </w:r>
          <w:r>
            <w:fldChar w:fldCharType="separate"/>
          </w:r>
          <w:r>
            <w:t>16</w:t>
          </w:r>
          <w:r>
            <w:fldChar w:fldCharType="end"/>
          </w:r>
          <w:r>
            <w:rPr>
              <w:rFonts w:asciiTheme="minorHAnsi" w:hAnsiTheme="minorHAnsi" w:eastAsiaTheme="minorEastAsia" w:cstheme="minorBidi"/>
              <w:szCs w:val="22"/>
              <w:lang w:val="en-US" w:eastAsia="en-US" w:bidi="ar-SA"/>
            </w:rPr>
            <w:fldChar w:fldCharType="end"/>
          </w:r>
        </w:p>
        <w:p w14:paraId="5A66AC8E">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_Toc7125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指标管控</w:t>
          </w:r>
          <w:r>
            <w:tab/>
          </w:r>
          <w:r>
            <w:fldChar w:fldCharType="begin"/>
          </w:r>
          <w:r>
            <w:instrText xml:space="preserve"> PAGEREF _Toc7125 \h </w:instrText>
          </w:r>
          <w:r>
            <w:fldChar w:fldCharType="separate"/>
          </w:r>
          <w:r>
            <w:t>16</w:t>
          </w:r>
          <w:r>
            <w:fldChar w:fldCharType="end"/>
          </w:r>
          <w:r>
            <w:rPr>
              <w:rFonts w:asciiTheme="minorHAnsi" w:hAnsiTheme="minorHAnsi" w:eastAsiaTheme="minorEastAsia" w:cstheme="minorBidi"/>
              <w:szCs w:val="22"/>
              <w:lang w:val="en-US" w:eastAsia="en-US" w:bidi="ar-SA"/>
            </w:rPr>
            <w:fldChar w:fldCharType="end"/>
          </w:r>
        </w:p>
        <w:p w14:paraId="0C00F45F">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_Toc12727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数据变化详情</w:t>
          </w:r>
          <w:r>
            <w:tab/>
          </w:r>
          <w:r>
            <w:fldChar w:fldCharType="begin"/>
          </w:r>
          <w:r>
            <w:instrText xml:space="preserve"> PAGEREF _Toc12727 \h </w:instrText>
          </w:r>
          <w:r>
            <w:fldChar w:fldCharType="separate"/>
          </w:r>
          <w:r>
            <w:t>27</w:t>
          </w:r>
          <w:r>
            <w:fldChar w:fldCharType="end"/>
          </w:r>
          <w:r>
            <w:rPr>
              <w:rFonts w:asciiTheme="minorHAnsi" w:hAnsiTheme="minorHAnsi" w:eastAsiaTheme="minorEastAsia" w:cstheme="minorBidi"/>
              <w:szCs w:val="22"/>
              <w:lang w:val="en-US" w:eastAsia="en-US" w:bidi="ar-SA"/>
            </w:rPr>
            <w:fldChar w:fldCharType="end"/>
          </w:r>
        </w:p>
        <w:p w14:paraId="5C3CF16B">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_Toc20975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用能监测</w:t>
          </w:r>
          <w:r>
            <w:tab/>
          </w:r>
          <w:r>
            <w:fldChar w:fldCharType="begin"/>
          </w:r>
          <w:r>
            <w:instrText xml:space="preserve"> PAGEREF _Toc20975 \h </w:instrText>
          </w:r>
          <w:r>
            <w:fldChar w:fldCharType="separate"/>
          </w:r>
          <w:r>
            <w:t>31</w:t>
          </w:r>
          <w:r>
            <w:fldChar w:fldCharType="end"/>
          </w:r>
          <w:r>
            <w:rPr>
              <w:rFonts w:asciiTheme="minorHAnsi" w:hAnsiTheme="minorHAnsi" w:eastAsiaTheme="minorEastAsia" w:cstheme="minorBidi"/>
              <w:szCs w:val="22"/>
              <w:lang w:val="en-US" w:eastAsia="en-US" w:bidi="ar-SA"/>
            </w:rPr>
            <w:fldChar w:fldCharType="end"/>
          </w:r>
        </w:p>
        <w:p w14:paraId="7FF41D0D">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_Toc5921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4. </w:t>
          </w:r>
          <w:r>
            <w:rPr>
              <w:rFonts w:ascii="Times New Roman" w:hAnsi="Times New Roman" w:eastAsia="黑体" w:cs="Times New Roman"/>
              <w:bCs w:val="0"/>
              <w:szCs w:val="24"/>
            </w:rPr>
            <w:t>重点</w:t>
          </w:r>
          <w:r>
            <w:rPr>
              <w:rFonts w:hint="eastAsia" w:cs="Times New Roman"/>
              <w:bCs w:val="0"/>
              <w:szCs w:val="24"/>
              <w:lang w:val="en-US" w:eastAsia="zh-CN"/>
            </w:rPr>
            <w:t>用能设备</w:t>
          </w:r>
          <w:r>
            <w:tab/>
          </w:r>
          <w:r>
            <w:fldChar w:fldCharType="begin"/>
          </w:r>
          <w:r>
            <w:instrText xml:space="preserve"> PAGEREF _Toc5921 \h </w:instrText>
          </w:r>
          <w:r>
            <w:fldChar w:fldCharType="separate"/>
          </w:r>
          <w:r>
            <w:t>35</w:t>
          </w:r>
          <w:r>
            <w:fldChar w:fldCharType="end"/>
          </w:r>
          <w:r>
            <w:rPr>
              <w:rFonts w:asciiTheme="minorHAnsi" w:hAnsiTheme="minorHAnsi" w:eastAsiaTheme="minorEastAsia" w:cstheme="minorBidi"/>
              <w:szCs w:val="22"/>
              <w:lang w:val="en-US" w:eastAsia="en-US" w:bidi="ar-SA"/>
            </w:rPr>
            <w:fldChar w:fldCharType="end"/>
          </w:r>
        </w:p>
        <w:p w14:paraId="1C08DBF8">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_Toc13224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5. </w:t>
          </w:r>
          <w:r>
            <w:rPr>
              <w:rFonts w:ascii="Times New Roman" w:hAnsi="Times New Roman" w:eastAsia="黑体" w:cs="Times New Roman"/>
              <w:bCs w:val="0"/>
              <w:szCs w:val="24"/>
            </w:rPr>
            <w:t>工业微电网监测</w:t>
          </w:r>
          <w:r>
            <w:tab/>
          </w:r>
          <w:r>
            <w:fldChar w:fldCharType="begin"/>
          </w:r>
          <w:r>
            <w:instrText xml:space="preserve"> PAGEREF _Toc13224 \h </w:instrText>
          </w:r>
          <w:r>
            <w:fldChar w:fldCharType="separate"/>
          </w:r>
          <w:r>
            <w:t>39</w:t>
          </w:r>
          <w:r>
            <w:fldChar w:fldCharType="end"/>
          </w:r>
          <w:r>
            <w:rPr>
              <w:rFonts w:asciiTheme="minorHAnsi" w:hAnsiTheme="minorHAnsi" w:eastAsiaTheme="minorEastAsia" w:cstheme="minorBidi"/>
              <w:szCs w:val="22"/>
              <w:lang w:val="en-US" w:eastAsia="en-US" w:bidi="ar-SA"/>
            </w:rPr>
            <w:fldChar w:fldCharType="end"/>
          </w:r>
        </w:p>
        <w:p w14:paraId="1B036521">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_Toc16557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6. </w:t>
          </w:r>
          <w:r>
            <w:rPr>
              <w:rFonts w:ascii="Times New Roman" w:hAnsi="Times New Roman" w:eastAsia="黑体" w:cs="Times New Roman"/>
              <w:bCs w:val="0"/>
              <w:szCs w:val="24"/>
            </w:rPr>
            <w:t>能源碳排放监测</w:t>
          </w:r>
          <w:r>
            <w:tab/>
          </w:r>
          <w:r>
            <w:fldChar w:fldCharType="begin"/>
          </w:r>
          <w:r>
            <w:instrText xml:space="preserve"> PAGEREF _Toc16557 \h </w:instrText>
          </w:r>
          <w:r>
            <w:fldChar w:fldCharType="separate"/>
          </w:r>
          <w:r>
            <w:t>42</w:t>
          </w:r>
          <w:r>
            <w:fldChar w:fldCharType="end"/>
          </w:r>
          <w:r>
            <w:rPr>
              <w:rFonts w:asciiTheme="minorHAnsi" w:hAnsiTheme="minorHAnsi" w:eastAsiaTheme="minorEastAsia" w:cstheme="minorBidi"/>
              <w:szCs w:val="22"/>
              <w:lang w:val="en-US" w:eastAsia="en-US" w:bidi="ar-SA"/>
            </w:rPr>
            <w:fldChar w:fldCharType="end"/>
          </w:r>
        </w:p>
        <w:p w14:paraId="53CB8693">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_Toc15620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lang w:val="en-US" w:eastAsia="zh-CN"/>
            </w:rPr>
            <w:t xml:space="preserve">7. </w:t>
          </w:r>
          <w:r>
            <w:rPr>
              <w:rFonts w:hint="eastAsia" w:ascii="Times New Roman" w:hAnsi="Times New Roman" w:eastAsia="黑体" w:cs="Times New Roman"/>
              <w:bCs w:val="0"/>
              <w:szCs w:val="24"/>
              <w:lang w:val="en-US" w:eastAsia="zh-CN"/>
            </w:rPr>
            <w:t>自定义指标监测</w:t>
          </w:r>
          <w:r>
            <w:tab/>
          </w:r>
          <w:r>
            <w:fldChar w:fldCharType="begin"/>
          </w:r>
          <w:r>
            <w:instrText xml:space="preserve"> PAGEREF _Toc15620 \h </w:instrText>
          </w:r>
          <w:r>
            <w:fldChar w:fldCharType="separate"/>
          </w:r>
          <w:r>
            <w:t>46</w:t>
          </w:r>
          <w:r>
            <w:fldChar w:fldCharType="end"/>
          </w:r>
          <w:r>
            <w:rPr>
              <w:rFonts w:asciiTheme="minorHAnsi" w:hAnsiTheme="minorHAnsi" w:eastAsiaTheme="minorEastAsia" w:cstheme="minorBidi"/>
              <w:szCs w:val="22"/>
              <w:lang w:val="en-US" w:eastAsia="en-US" w:bidi="ar-SA"/>
            </w:rPr>
            <w:fldChar w:fldCharType="end"/>
          </w:r>
        </w:p>
        <w:p w14:paraId="71DDAA3A">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_Toc15423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能耗能效分析</w:t>
          </w:r>
          <w:r>
            <w:tab/>
          </w:r>
          <w:r>
            <w:fldChar w:fldCharType="begin"/>
          </w:r>
          <w:r>
            <w:instrText xml:space="preserve"> PAGEREF _Toc15423 \h </w:instrText>
          </w:r>
          <w:r>
            <w:fldChar w:fldCharType="separate"/>
          </w:r>
          <w:r>
            <w:t>47</w:t>
          </w:r>
          <w:r>
            <w:fldChar w:fldCharType="end"/>
          </w:r>
          <w:r>
            <w:rPr>
              <w:rFonts w:asciiTheme="minorHAnsi" w:hAnsiTheme="minorHAnsi" w:eastAsiaTheme="minorEastAsia" w:cstheme="minorBidi"/>
              <w:szCs w:val="22"/>
              <w:lang w:val="en-US" w:eastAsia="en-US" w:bidi="ar-SA"/>
            </w:rPr>
            <w:fldChar w:fldCharType="end"/>
          </w:r>
        </w:p>
        <w:p w14:paraId="02BC09BD">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_Toc1657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用能结构分析</w:t>
          </w:r>
          <w:r>
            <w:tab/>
          </w:r>
          <w:r>
            <w:fldChar w:fldCharType="begin"/>
          </w:r>
          <w:r>
            <w:instrText xml:space="preserve"> PAGEREF _Toc1657 \h </w:instrText>
          </w:r>
          <w:r>
            <w:fldChar w:fldCharType="separate"/>
          </w:r>
          <w:r>
            <w:t>48</w:t>
          </w:r>
          <w:r>
            <w:fldChar w:fldCharType="end"/>
          </w:r>
          <w:r>
            <w:rPr>
              <w:rFonts w:asciiTheme="minorHAnsi" w:hAnsiTheme="minorHAnsi" w:eastAsiaTheme="minorEastAsia" w:cstheme="minorBidi"/>
              <w:szCs w:val="22"/>
              <w:lang w:val="en-US" w:eastAsia="en-US" w:bidi="ar-SA"/>
            </w:rPr>
            <w:fldChar w:fldCharType="end"/>
          </w:r>
        </w:p>
        <w:p w14:paraId="1FD22D2B">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_Toc8696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单位产品能耗</w:t>
          </w:r>
          <w:r>
            <w:tab/>
          </w:r>
          <w:r>
            <w:fldChar w:fldCharType="begin"/>
          </w:r>
          <w:r>
            <w:instrText xml:space="preserve"> PAGEREF _Toc8696 \h </w:instrText>
          </w:r>
          <w:r>
            <w:fldChar w:fldCharType="separate"/>
          </w:r>
          <w:r>
            <w:t>51</w:t>
          </w:r>
          <w:r>
            <w:fldChar w:fldCharType="end"/>
          </w:r>
          <w:r>
            <w:rPr>
              <w:rFonts w:asciiTheme="minorHAnsi" w:hAnsiTheme="minorHAnsi" w:eastAsiaTheme="minorEastAsia" w:cstheme="minorBidi"/>
              <w:szCs w:val="22"/>
              <w:lang w:val="en-US" w:eastAsia="en-US" w:bidi="ar-SA"/>
            </w:rPr>
            <w:fldChar w:fldCharType="end"/>
          </w:r>
        </w:p>
        <w:p w14:paraId="4AADD58C">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_Toc11046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单位产值能耗</w:t>
          </w:r>
          <w:r>
            <w:tab/>
          </w:r>
          <w:r>
            <w:fldChar w:fldCharType="begin"/>
          </w:r>
          <w:r>
            <w:instrText xml:space="preserve"> PAGEREF _Toc11046 \h </w:instrText>
          </w:r>
          <w:r>
            <w:fldChar w:fldCharType="separate"/>
          </w:r>
          <w:r>
            <w:t>55</w:t>
          </w:r>
          <w:r>
            <w:fldChar w:fldCharType="end"/>
          </w:r>
          <w:r>
            <w:rPr>
              <w:rFonts w:asciiTheme="minorHAnsi" w:hAnsiTheme="minorHAnsi" w:eastAsiaTheme="minorEastAsia" w:cstheme="minorBidi"/>
              <w:szCs w:val="22"/>
              <w:lang w:val="en-US" w:eastAsia="en-US" w:bidi="ar-SA"/>
            </w:rPr>
            <w:fldChar w:fldCharType="end"/>
          </w:r>
        </w:p>
        <w:p w14:paraId="13AE9471">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_Toc24077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4. </w:t>
          </w:r>
          <w:r>
            <w:rPr>
              <w:rFonts w:ascii="Times New Roman" w:hAnsi="Times New Roman" w:eastAsia="黑体" w:cs="Times New Roman"/>
              <w:bCs w:val="0"/>
              <w:szCs w:val="24"/>
            </w:rPr>
            <w:t>对标管理</w:t>
          </w:r>
          <w:r>
            <w:tab/>
          </w:r>
          <w:r>
            <w:fldChar w:fldCharType="begin"/>
          </w:r>
          <w:r>
            <w:instrText xml:space="preserve"> PAGEREF _Toc24077 \h </w:instrText>
          </w:r>
          <w:r>
            <w:fldChar w:fldCharType="separate"/>
          </w:r>
          <w:r>
            <w:t>58</w:t>
          </w:r>
          <w:r>
            <w:fldChar w:fldCharType="end"/>
          </w:r>
          <w:r>
            <w:rPr>
              <w:rFonts w:asciiTheme="minorHAnsi" w:hAnsiTheme="minorHAnsi" w:eastAsiaTheme="minorEastAsia" w:cstheme="minorBidi"/>
              <w:szCs w:val="22"/>
              <w:lang w:val="en-US" w:eastAsia="en-US" w:bidi="ar-SA"/>
            </w:rPr>
            <w:fldChar w:fldCharType="end"/>
          </w:r>
        </w:p>
        <w:p w14:paraId="611D8C3A">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_Toc30127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四、 </w:t>
          </w:r>
          <w:r>
            <w:rPr>
              <w:rFonts w:ascii="Times New Roman" w:hAnsi="Times New Roman" w:eastAsia="黑体" w:cs="Times New Roman"/>
              <w:bCs w:val="0"/>
              <w:szCs w:val="32"/>
            </w:rPr>
            <w:t>零碳项目评估</w:t>
          </w:r>
          <w:r>
            <w:tab/>
          </w:r>
          <w:r>
            <w:fldChar w:fldCharType="begin"/>
          </w:r>
          <w:r>
            <w:instrText xml:space="preserve"> PAGEREF _Toc30127 \h </w:instrText>
          </w:r>
          <w:r>
            <w:fldChar w:fldCharType="separate"/>
          </w:r>
          <w:r>
            <w:t>62</w:t>
          </w:r>
          <w:r>
            <w:fldChar w:fldCharType="end"/>
          </w:r>
          <w:r>
            <w:rPr>
              <w:rFonts w:asciiTheme="minorHAnsi" w:hAnsiTheme="minorHAnsi" w:eastAsiaTheme="minorEastAsia" w:cstheme="minorBidi"/>
              <w:szCs w:val="22"/>
              <w:lang w:val="en-US" w:eastAsia="en-US" w:bidi="ar-SA"/>
            </w:rPr>
            <w:fldChar w:fldCharType="end"/>
          </w:r>
        </w:p>
        <w:p w14:paraId="7A99169E">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_Toc2741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项目档案管理</w:t>
          </w:r>
          <w:r>
            <w:tab/>
          </w:r>
          <w:r>
            <w:fldChar w:fldCharType="begin"/>
          </w:r>
          <w:r>
            <w:instrText xml:space="preserve"> PAGEREF _Toc2741 \h </w:instrText>
          </w:r>
          <w:r>
            <w:fldChar w:fldCharType="separate"/>
          </w:r>
          <w:r>
            <w:t>63</w:t>
          </w:r>
          <w:r>
            <w:fldChar w:fldCharType="end"/>
          </w:r>
          <w:r>
            <w:rPr>
              <w:rFonts w:asciiTheme="minorHAnsi" w:hAnsiTheme="minorHAnsi" w:eastAsiaTheme="minorEastAsia" w:cstheme="minorBidi"/>
              <w:szCs w:val="22"/>
              <w:lang w:val="en-US" w:eastAsia="en-US" w:bidi="ar-SA"/>
            </w:rPr>
            <w:fldChar w:fldCharType="end"/>
          </w:r>
        </w:p>
        <w:p w14:paraId="5A8442C2">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_Toc12557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实时监控</w:t>
          </w:r>
          <w:r>
            <w:tab/>
          </w:r>
          <w:r>
            <w:fldChar w:fldCharType="begin"/>
          </w:r>
          <w:r>
            <w:instrText xml:space="preserve"> PAGEREF _Toc12557 \h </w:instrText>
          </w:r>
          <w:r>
            <w:fldChar w:fldCharType="separate"/>
          </w:r>
          <w:r>
            <w:t>66</w:t>
          </w:r>
          <w:r>
            <w:fldChar w:fldCharType="end"/>
          </w:r>
          <w:r>
            <w:rPr>
              <w:rFonts w:asciiTheme="minorHAnsi" w:hAnsiTheme="minorHAnsi" w:eastAsiaTheme="minorEastAsia" w:cstheme="minorBidi"/>
              <w:szCs w:val="22"/>
              <w:lang w:val="en-US" w:eastAsia="en-US" w:bidi="ar-SA"/>
            </w:rPr>
            <w:fldChar w:fldCharType="end"/>
          </w:r>
        </w:p>
        <w:p w14:paraId="2D7826A3">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_Toc25143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项目运行评估</w:t>
          </w:r>
          <w:r>
            <w:tab/>
          </w:r>
          <w:r>
            <w:fldChar w:fldCharType="begin"/>
          </w:r>
          <w:r>
            <w:instrText xml:space="preserve"> PAGEREF _Toc25143 \h </w:instrText>
          </w:r>
          <w:r>
            <w:fldChar w:fldCharType="separate"/>
          </w:r>
          <w:r>
            <w:t>69</w:t>
          </w:r>
          <w:r>
            <w:fldChar w:fldCharType="end"/>
          </w:r>
          <w:r>
            <w:rPr>
              <w:rFonts w:asciiTheme="minorHAnsi" w:hAnsiTheme="minorHAnsi" w:eastAsiaTheme="minorEastAsia" w:cstheme="minorBidi"/>
              <w:szCs w:val="22"/>
              <w:lang w:val="en-US" w:eastAsia="en-US" w:bidi="ar-SA"/>
            </w:rPr>
            <w:fldChar w:fldCharType="end"/>
          </w:r>
        </w:p>
        <w:p w14:paraId="4F6B235B">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_Toc9430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4. </w:t>
          </w:r>
          <w:r>
            <w:rPr>
              <w:rFonts w:ascii="Times New Roman" w:hAnsi="Times New Roman" w:eastAsia="黑体" w:cs="Times New Roman"/>
              <w:bCs w:val="0"/>
              <w:szCs w:val="24"/>
            </w:rPr>
            <w:t>零碳工厂自评估</w:t>
          </w:r>
          <w:r>
            <w:tab/>
          </w:r>
          <w:r>
            <w:fldChar w:fldCharType="begin"/>
          </w:r>
          <w:r>
            <w:instrText xml:space="preserve"> PAGEREF _Toc9430 \h </w:instrText>
          </w:r>
          <w:r>
            <w:fldChar w:fldCharType="separate"/>
          </w:r>
          <w:r>
            <w:t>72</w:t>
          </w:r>
          <w:r>
            <w:fldChar w:fldCharType="end"/>
          </w:r>
          <w:r>
            <w:rPr>
              <w:rFonts w:asciiTheme="minorHAnsi" w:hAnsiTheme="minorHAnsi" w:eastAsiaTheme="minorEastAsia" w:cstheme="minorBidi"/>
              <w:szCs w:val="22"/>
              <w:lang w:val="en-US" w:eastAsia="en-US" w:bidi="ar-SA"/>
            </w:rPr>
            <w:fldChar w:fldCharType="end"/>
          </w:r>
        </w:p>
        <w:p w14:paraId="622F6AA1">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_Toc21137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五、 </w:t>
          </w:r>
          <w:r>
            <w:rPr>
              <w:rFonts w:ascii="Times New Roman" w:hAnsi="Times New Roman" w:eastAsia="黑体" w:cs="Times New Roman"/>
              <w:bCs w:val="0"/>
              <w:szCs w:val="32"/>
            </w:rPr>
            <w:t>统计报表</w:t>
          </w:r>
          <w:r>
            <w:tab/>
          </w:r>
          <w:r>
            <w:fldChar w:fldCharType="begin"/>
          </w:r>
          <w:r>
            <w:instrText xml:space="preserve"> PAGEREF _Toc21137 \h </w:instrText>
          </w:r>
          <w:r>
            <w:fldChar w:fldCharType="separate"/>
          </w:r>
          <w:r>
            <w:t>76</w:t>
          </w:r>
          <w:r>
            <w:fldChar w:fldCharType="end"/>
          </w:r>
          <w:r>
            <w:rPr>
              <w:rFonts w:asciiTheme="minorHAnsi" w:hAnsiTheme="minorHAnsi" w:eastAsiaTheme="minorEastAsia" w:cstheme="minorBidi"/>
              <w:szCs w:val="22"/>
              <w:lang w:val="en-US" w:eastAsia="en-US" w:bidi="ar-SA"/>
            </w:rPr>
            <w:fldChar w:fldCharType="end"/>
          </w:r>
        </w:p>
        <w:p w14:paraId="00255C67">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_Toc16583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用能报表</w:t>
          </w:r>
          <w:r>
            <w:tab/>
          </w:r>
          <w:r>
            <w:fldChar w:fldCharType="begin"/>
          </w:r>
          <w:r>
            <w:instrText xml:space="preserve"> PAGEREF _Toc16583 \h </w:instrText>
          </w:r>
          <w:r>
            <w:fldChar w:fldCharType="separate"/>
          </w:r>
          <w:r>
            <w:t>76</w:t>
          </w:r>
          <w:r>
            <w:fldChar w:fldCharType="end"/>
          </w:r>
          <w:r>
            <w:rPr>
              <w:rFonts w:asciiTheme="minorHAnsi" w:hAnsiTheme="minorHAnsi" w:eastAsiaTheme="minorEastAsia" w:cstheme="minorBidi"/>
              <w:szCs w:val="22"/>
              <w:lang w:val="en-US" w:eastAsia="en-US" w:bidi="ar-SA"/>
            </w:rPr>
            <w:fldChar w:fldCharType="end"/>
          </w:r>
        </w:p>
        <w:p w14:paraId="44AD34BF">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_Toc18272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成本报表</w:t>
          </w:r>
          <w:r>
            <w:tab/>
          </w:r>
          <w:r>
            <w:fldChar w:fldCharType="begin"/>
          </w:r>
          <w:r>
            <w:instrText xml:space="preserve"> PAGEREF _Toc18272 \h </w:instrText>
          </w:r>
          <w:r>
            <w:fldChar w:fldCharType="separate"/>
          </w:r>
          <w:r>
            <w:t>79</w:t>
          </w:r>
          <w:r>
            <w:fldChar w:fldCharType="end"/>
          </w:r>
          <w:r>
            <w:rPr>
              <w:rFonts w:asciiTheme="minorHAnsi" w:hAnsiTheme="minorHAnsi" w:eastAsiaTheme="minorEastAsia" w:cstheme="minorBidi"/>
              <w:szCs w:val="22"/>
              <w:lang w:val="en-US" w:eastAsia="en-US" w:bidi="ar-SA"/>
            </w:rPr>
            <w:fldChar w:fldCharType="end"/>
          </w:r>
        </w:p>
        <w:p w14:paraId="2A068CFF">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_Toc22933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单耗报表</w:t>
          </w:r>
          <w:r>
            <w:tab/>
          </w:r>
          <w:r>
            <w:fldChar w:fldCharType="begin"/>
          </w:r>
          <w:r>
            <w:instrText xml:space="preserve"> PAGEREF _Toc22933 \h </w:instrText>
          </w:r>
          <w:r>
            <w:fldChar w:fldCharType="separate"/>
          </w:r>
          <w:r>
            <w:t>82</w:t>
          </w:r>
          <w:r>
            <w:fldChar w:fldCharType="end"/>
          </w:r>
          <w:r>
            <w:rPr>
              <w:rFonts w:asciiTheme="minorHAnsi" w:hAnsiTheme="minorHAnsi" w:eastAsiaTheme="minorEastAsia" w:cstheme="minorBidi"/>
              <w:szCs w:val="22"/>
              <w:lang w:val="en-US" w:eastAsia="en-US" w:bidi="ar-SA"/>
            </w:rPr>
            <w:fldChar w:fldCharType="end"/>
          </w:r>
        </w:p>
        <w:p w14:paraId="768A9101">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_Toc9191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六、 </w:t>
          </w:r>
          <w:r>
            <w:rPr>
              <w:rFonts w:hint="eastAsia" w:cs="Times New Roman"/>
              <w:bCs w:val="0"/>
              <w:szCs w:val="32"/>
              <w:lang w:val="en-US" w:eastAsia="zh-CN"/>
            </w:rPr>
            <w:t>企业基础信息</w:t>
          </w:r>
          <w:r>
            <w:tab/>
          </w:r>
          <w:r>
            <w:fldChar w:fldCharType="begin"/>
          </w:r>
          <w:r>
            <w:instrText xml:space="preserve"> PAGEREF _Toc9191 \h </w:instrText>
          </w:r>
          <w:r>
            <w:fldChar w:fldCharType="separate"/>
          </w:r>
          <w:r>
            <w:t>85</w:t>
          </w:r>
          <w:r>
            <w:fldChar w:fldCharType="end"/>
          </w:r>
          <w:r>
            <w:rPr>
              <w:rFonts w:asciiTheme="minorHAnsi" w:hAnsiTheme="minorHAnsi" w:eastAsiaTheme="minorEastAsia" w:cstheme="minorBidi"/>
              <w:szCs w:val="22"/>
              <w:lang w:val="en-US" w:eastAsia="en-US" w:bidi="ar-SA"/>
            </w:rPr>
            <w:fldChar w:fldCharType="end"/>
          </w:r>
        </w:p>
        <w:p w14:paraId="6D9B6159">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_Toc10576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hint="eastAsia" w:cs="Times New Roman"/>
              <w:bCs w:val="0"/>
              <w:szCs w:val="24"/>
              <w:lang w:val="en-US" w:eastAsia="zh-CN"/>
            </w:rPr>
            <w:t>企业基础信息</w:t>
          </w:r>
          <w:r>
            <w:tab/>
          </w:r>
          <w:r>
            <w:fldChar w:fldCharType="begin"/>
          </w:r>
          <w:r>
            <w:instrText xml:space="preserve"> PAGEREF _Toc10576 \h </w:instrText>
          </w:r>
          <w:r>
            <w:fldChar w:fldCharType="separate"/>
          </w:r>
          <w:r>
            <w:t>85</w:t>
          </w:r>
          <w:r>
            <w:fldChar w:fldCharType="end"/>
          </w:r>
          <w:r>
            <w:rPr>
              <w:rFonts w:asciiTheme="minorHAnsi" w:hAnsiTheme="minorHAnsi" w:eastAsiaTheme="minorEastAsia" w:cstheme="minorBidi"/>
              <w:szCs w:val="22"/>
              <w:lang w:val="en-US" w:eastAsia="en-US" w:bidi="ar-SA"/>
            </w:rPr>
            <w:fldChar w:fldCharType="end"/>
          </w:r>
        </w:p>
        <w:p w14:paraId="334B4B45">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_Toc30311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hint="eastAsia"/>
              <w:bCs w:val="0"/>
              <w:szCs w:val="24"/>
              <w:lang w:val="en-US" w:eastAsia="zh-CN"/>
            </w:rPr>
            <w:t>零碳工厂信息</w:t>
          </w:r>
          <w:r>
            <w:tab/>
          </w:r>
          <w:r>
            <w:fldChar w:fldCharType="begin"/>
          </w:r>
          <w:r>
            <w:instrText xml:space="preserve"> PAGEREF _Toc30311 \h </w:instrText>
          </w:r>
          <w:r>
            <w:fldChar w:fldCharType="separate"/>
          </w:r>
          <w:r>
            <w:t>89</w:t>
          </w:r>
          <w:r>
            <w:fldChar w:fldCharType="end"/>
          </w:r>
          <w:r>
            <w:rPr>
              <w:rFonts w:asciiTheme="minorHAnsi" w:hAnsiTheme="minorHAnsi" w:eastAsiaTheme="minorEastAsia" w:cstheme="minorBidi"/>
              <w:szCs w:val="22"/>
              <w:lang w:val="en-US" w:eastAsia="en-US" w:bidi="ar-SA"/>
            </w:rPr>
            <w:fldChar w:fldCharType="end"/>
          </w:r>
        </w:p>
        <w:p w14:paraId="3CD046B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_Toc6112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第三章 </w:t>
          </w:r>
          <w:r>
            <w:rPr>
              <w:rFonts w:ascii="Times New Roman" w:hAnsi="Times New Roman" w:eastAsia="黑体" w:cs="Times New Roman"/>
              <w:bCs w:val="0"/>
              <w:szCs w:val="44"/>
            </w:rPr>
            <w:t>产品碳足迹集采中心功能需求规格</w:t>
          </w:r>
          <w:r>
            <w:tab/>
          </w:r>
          <w:r>
            <w:fldChar w:fldCharType="begin"/>
          </w:r>
          <w:r>
            <w:instrText xml:space="preserve"> PAGEREF _Toc6112 \h </w:instrText>
          </w:r>
          <w:r>
            <w:fldChar w:fldCharType="separate"/>
          </w:r>
          <w:r>
            <w:t>94</w:t>
          </w:r>
          <w:r>
            <w:fldChar w:fldCharType="end"/>
          </w:r>
          <w:r>
            <w:rPr>
              <w:rFonts w:asciiTheme="minorHAnsi" w:hAnsiTheme="minorHAnsi" w:eastAsiaTheme="minorEastAsia" w:cstheme="minorBidi"/>
              <w:szCs w:val="22"/>
              <w:lang w:val="en-US" w:eastAsia="en-US" w:bidi="ar-SA"/>
            </w:rPr>
            <w:fldChar w:fldCharType="end"/>
          </w:r>
        </w:p>
        <w:p w14:paraId="5A14850C">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_Toc30505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对外示范窗口</w:t>
          </w:r>
          <w:r>
            <w:tab/>
          </w:r>
          <w:r>
            <w:fldChar w:fldCharType="begin"/>
          </w:r>
          <w:r>
            <w:instrText xml:space="preserve"> PAGEREF _Toc30505 \h </w:instrText>
          </w:r>
          <w:r>
            <w:fldChar w:fldCharType="separate"/>
          </w:r>
          <w:r>
            <w:t>94</w:t>
          </w:r>
          <w:r>
            <w:fldChar w:fldCharType="end"/>
          </w:r>
          <w:r>
            <w:rPr>
              <w:rFonts w:asciiTheme="minorHAnsi" w:hAnsiTheme="minorHAnsi" w:eastAsiaTheme="minorEastAsia" w:cstheme="minorBidi"/>
              <w:szCs w:val="22"/>
              <w:lang w:val="en-US" w:eastAsia="en-US" w:bidi="ar-SA"/>
            </w:rPr>
            <w:fldChar w:fldCharType="end"/>
          </w:r>
        </w:p>
        <w:p w14:paraId="2613C692">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_Toc13410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1. </w:t>
          </w:r>
          <w:r>
            <w:rPr>
              <w:rFonts w:ascii="Times New Roman" w:hAnsi="Times New Roman" w:eastAsia="黑体" w:cs="Times New Roman"/>
              <w:bCs w:val="0"/>
              <w:szCs w:val="24"/>
            </w:rPr>
            <w:t>碳足迹总览驾驶舱</w:t>
          </w:r>
          <w:r>
            <w:tab/>
          </w:r>
          <w:r>
            <w:fldChar w:fldCharType="begin"/>
          </w:r>
          <w:r>
            <w:instrText xml:space="preserve"> PAGEREF _Toc13410 \h </w:instrText>
          </w:r>
          <w:r>
            <w:fldChar w:fldCharType="separate"/>
          </w:r>
          <w:r>
            <w:t>94</w:t>
          </w:r>
          <w:r>
            <w:fldChar w:fldCharType="end"/>
          </w:r>
          <w:r>
            <w:rPr>
              <w:rFonts w:asciiTheme="minorHAnsi" w:hAnsiTheme="minorHAnsi" w:eastAsiaTheme="minorEastAsia" w:cstheme="minorBidi"/>
              <w:szCs w:val="22"/>
              <w:lang w:val="en-US" w:eastAsia="en-US" w:bidi="ar-SA"/>
            </w:rPr>
            <w:fldChar w:fldCharType="end"/>
          </w:r>
        </w:p>
        <w:p w14:paraId="56B0AAB5">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_Toc14569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多维分析</w:t>
          </w:r>
          <w:r>
            <w:tab/>
          </w:r>
          <w:r>
            <w:fldChar w:fldCharType="begin"/>
          </w:r>
          <w:r>
            <w:instrText xml:space="preserve"> PAGEREF _Toc14569 \h </w:instrText>
          </w:r>
          <w:r>
            <w:fldChar w:fldCharType="separate"/>
          </w:r>
          <w:r>
            <w:t>97</w:t>
          </w:r>
          <w:r>
            <w:fldChar w:fldCharType="end"/>
          </w:r>
          <w:r>
            <w:rPr>
              <w:rFonts w:asciiTheme="minorHAnsi" w:hAnsiTheme="minorHAnsi" w:eastAsiaTheme="minorEastAsia" w:cstheme="minorBidi"/>
              <w:szCs w:val="22"/>
              <w:lang w:val="en-US" w:eastAsia="en-US" w:bidi="ar-SA"/>
            </w:rPr>
            <w:fldChar w:fldCharType="end"/>
          </w:r>
        </w:p>
        <w:p w14:paraId="540ED7F5">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_Toc20078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横向对比</w:t>
          </w:r>
          <w:r>
            <w:tab/>
          </w:r>
          <w:r>
            <w:fldChar w:fldCharType="begin"/>
          </w:r>
          <w:r>
            <w:instrText xml:space="preserve"> PAGEREF _Toc20078 \h </w:instrText>
          </w:r>
          <w:r>
            <w:fldChar w:fldCharType="separate"/>
          </w:r>
          <w:r>
            <w:t>98</w:t>
          </w:r>
          <w:r>
            <w:fldChar w:fldCharType="end"/>
          </w:r>
          <w:r>
            <w:rPr>
              <w:rFonts w:asciiTheme="minorHAnsi" w:hAnsiTheme="minorHAnsi" w:eastAsiaTheme="minorEastAsia" w:cstheme="minorBidi"/>
              <w:szCs w:val="22"/>
              <w:lang w:val="en-US" w:eastAsia="en-US" w:bidi="ar-SA"/>
            </w:rPr>
            <w:fldChar w:fldCharType="end"/>
          </w:r>
        </w:p>
        <w:p w14:paraId="75F5EEF5">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_Toc23937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纵向</w:t>
          </w:r>
          <w:r>
            <w:rPr>
              <w:rFonts w:hint="eastAsia" w:cs="Times New Roman"/>
              <w:bCs w:val="0"/>
              <w:szCs w:val="24"/>
              <w:lang w:val="en-US" w:eastAsia="zh-CN"/>
            </w:rPr>
            <w:t>对比</w:t>
          </w:r>
          <w:r>
            <w:tab/>
          </w:r>
          <w:r>
            <w:fldChar w:fldCharType="begin"/>
          </w:r>
          <w:r>
            <w:instrText xml:space="preserve"> PAGEREF _Toc23937 \h </w:instrText>
          </w:r>
          <w:r>
            <w:fldChar w:fldCharType="separate"/>
          </w:r>
          <w:r>
            <w:t>101</w:t>
          </w:r>
          <w:r>
            <w:fldChar w:fldCharType="end"/>
          </w:r>
          <w:r>
            <w:rPr>
              <w:rFonts w:asciiTheme="minorHAnsi" w:hAnsiTheme="minorHAnsi" w:eastAsiaTheme="minorEastAsia" w:cstheme="minorBidi"/>
              <w:szCs w:val="22"/>
              <w:lang w:val="en-US" w:eastAsia="en-US" w:bidi="ar-SA"/>
            </w:rPr>
            <w:fldChar w:fldCharType="end"/>
          </w:r>
        </w:p>
        <w:p w14:paraId="37508159">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_Toc22158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实景数据库与碳足迹核算</w:t>
          </w:r>
          <w:r>
            <w:tab/>
          </w:r>
          <w:r>
            <w:fldChar w:fldCharType="begin"/>
          </w:r>
          <w:r>
            <w:instrText xml:space="preserve"> PAGEREF _Toc22158 \h </w:instrText>
          </w:r>
          <w:r>
            <w:fldChar w:fldCharType="separate"/>
          </w:r>
          <w:r>
            <w:t>104</w:t>
          </w:r>
          <w:r>
            <w:fldChar w:fldCharType="end"/>
          </w:r>
          <w:r>
            <w:rPr>
              <w:rFonts w:asciiTheme="minorHAnsi" w:hAnsiTheme="minorHAnsi" w:eastAsiaTheme="minorEastAsia" w:cstheme="minorBidi"/>
              <w:szCs w:val="22"/>
              <w:lang w:val="en-US" w:eastAsia="en-US" w:bidi="ar-SA"/>
            </w:rPr>
            <w:fldChar w:fldCharType="end"/>
          </w:r>
        </w:p>
        <w:p w14:paraId="3C819A43">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_Toc30983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实景数据库</w:t>
          </w:r>
          <w:r>
            <w:tab/>
          </w:r>
          <w:r>
            <w:fldChar w:fldCharType="begin"/>
          </w:r>
          <w:r>
            <w:instrText xml:space="preserve"> PAGEREF _Toc30983 \h </w:instrText>
          </w:r>
          <w:r>
            <w:fldChar w:fldCharType="separate"/>
          </w:r>
          <w:r>
            <w:t>104</w:t>
          </w:r>
          <w:r>
            <w:fldChar w:fldCharType="end"/>
          </w:r>
          <w:r>
            <w:rPr>
              <w:rFonts w:asciiTheme="minorHAnsi" w:hAnsiTheme="minorHAnsi" w:eastAsiaTheme="minorEastAsia" w:cstheme="minorBidi"/>
              <w:szCs w:val="22"/>
              <w:lang w:val="en-US" w:eastAsia="en-US" w:bidi="ar-SA"/>
            </w:rPr>
            <w:fldChar w:fldCharType="end"/>
          </w:r>
        </w:p>
        <w:p w14:paraId="43B2E28B">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_Toc10094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碳足迹核算</w:t>
          </w:r>
          <w:r>
            <w:tab/>
          </w:r>
          <w:r>
            <w:fldChar w:fldCharType="begin"/>
          </w:r>
          <w:r>
            <w:instrText xml:space="preserve"> PAGEREF _Toc10094 \h </w:instrText>
          </w:r>
          <w:r>
            <w:fldChar w:fldCharType="separate"/>
          </w:r>
          <w:r>
            <w:t>108</w:t>
          </w:r>
          <w:r>
            <w:fldChar w:fldCharType="end"/>
          </w:r>
          <w:r>
            <w:rPr>
              <w:rFonts w:asciiTheme="minorHAnsi" w:hAnsiTheme="minorHAnsi" w:eastAsiaTheme="minorEastAsia" w:cstheme="minorBidi"/>
              <w:szCs w:val="22"/>
              <w:lang w:val="en-US" w:eastAsia="en-US" w:bidi="ar-SA"/>
            </w:rPr>
            <w:fldChar w:fldCharType="end"/>
          </w:r>
        </w:p>
        <w:p w14:paraId="7DE37ED6">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_Toc24248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碳足迹报告</w:t>
          </w:r>
          <w:r>
            <w:tab/>
          </w:r>
          <w:r>
            <w:fldChar w:fldCharType="begin"/>
          </w:r>
          <w:r>
            <w:instrText xml:space="preserve"> PAGEREF _Toc24248 \h </w:instrText>
          </w:r>
          <w:r>
            <w:fldChar w:fldCharType="separate"/>
          </w:r>
          <w:r>
            <w:t>113</w:t>
          </w:r>
          <w:r>
            <w:fldChar w:fldCharType="end"/>
          </w:r>
          <w:r>
            <w:rPr>
              <w:rFonts w:asciiTheme="minorHAnsi" w:hAnsiTheme="minorHAnsi" w:eastAsiaTheme="minorEastAsia" w:cstheme="minorBidi"/>
              <w:szCs w:val="22"/>
              <w:lang w:val="en-US" w:eastAsia="en-US" w:bidi="ar-SA"/>
            </w:rPr>
            <w:fldChar w:fldCharType="end"/>
          </w:r>
        </w:p>
        <w:p w14:paraId="76F5003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_Toc9612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四、 </w:t>
          </w:r>
          <w:r>
            <w:rPr>
              <w:rFonts w:ascii="Times New Roman" w:hAnsi="Times New Roman" w:eastAsia="黑体" w:cs="Times New Roman"/>
              <w:bCs w:val="0"/>
              <w:szCs w:val="32"/>
            </w:rPr>
            <w:t>CBAM 管理</w:t>
          </w:r>
          <w:r>
            <w:tab/>
          </w:r>
          <w:r>
            <w:fldChar w:fldCharType="begin"/>
          </w:r>
          <w:r>
            <w:instrText xml:space="preserve"> PAGEREF _Toc9612 \h </w:instrText>
          </w:r>
          <w:r>
            <w:fldChar w:fldCharType="separate"/>
          </w:r>
          <w:r>
            <w:t>115</w:t>
          </w:r>
          <w:r>
            <w:fldChar w:fldCharType="end"/>
          </w:r>
          <w:r>
            <w:rPr>
              <w:rFonts w:asciiTheme="minorHAnsi" w:hAnsiTheme="minorHAnsi" w:eastAsiaTheme="minorEastAsia" w:cstheme="minorBidi"/>
              <w:szCs w:val="22"/>
              <w:lang w:val="en-US" w:eastAsia="en-US" w:bidi="ar-SA"/>
            </w:rPr>
            <w:fldChar w:fldCharType="end"/>
          </w:r>
        </w:p>
        <w:p w14:paraId="2D798BC4">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_Toc11881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合规管理</w:t>
          </w:r>
          <w:r>
            <w:tab/>
          </w:r>
          <w:r>
            <w:fldChar w:fldCharType="begin"/>
          </w:r>
          <w:r>
            <w:instrText xml:space="preserve"> PAGEREF _Toc11881 \h </w:instrText>
          </w:r>
          <w:r>
            <w:fldChar w:fldCharType="separate"/>
          </w:r>
          <w:r>
            <w:t>116</w:t>
          </w:r>
          <w:r>
            <w:fldChar w:fldCharType="end"/>
          </w:r>
          <w:r>
            <w:rPr>
              <w:rFonts w:asciiTheme="minorHAnsi" w:hAnsiTheme="minorHAnsi" w:eastAsiaTheme="minorEastAsia" w:cstheme="minorBidi"/>
              <w:szCs w:val="22"/>
              <w:lang w:val="en-US" w:eastAsia="en-US" w:bidi="ar-SA"/>
            </w:rPr>
            <w:fldChar w:fldCharType="end"/>
          </w:r>
        </w:p>
        <w:p w14:paraId="02B2E7C7">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_Toc20854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申报模拟</w:t>
          </w:r>
          <w:r>
            <w:tab/>
          </w:r>
          <w:r>
            <w:fldChar w:fldCharType="begin"/>
          </w:r>
          <w:r>
            <w:instrText xml:space="preserve"> PAGEREF _Toc20854 \h </w:instrText>
          </w:r>
          <w:r>
            <w:fldChar w:fldCharType="separate"/>
          </w:r>
          <w:r>
            <w:t>119</w:t>
          </w:r>
          <w:r>
            <w:fldChar w:fldCharType="end"/>
          </w:r>
          <w:r>
            <w:rPr>
              <w:rFonts w:asciiTheme="minorHAnsi" w:hAnsiTheme="minorHAnsi" w:eastAsiaTheme="minorEastAsia" w:cstheme="minorBidi"/>
              <w:szCs w:val="22"/>
              <w:lang w:val="en-US" w:eastAsia="en-US" w:bidi="ar-SA"/>
            </w:rPr>
            <w:fldChar w:fldCharType="end"/>
          </w:r>
        </w:p>
        <w:p w14:paraId="05F9280A">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_Toc28246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知识库</w:t>
          </w:r>
          <w:r>
            <w:tab/>
          </w:r>
          <w:r>
            <w:fldChar w:fldCharType="begin"/>
          </w:r>
          <w:r>
            <w:instrText xml:space="preserve"> PAGEREF _Toc28246 \h </w:instrText>
          </w:r>
          <w:r>
            <w:fldChar w:fldCharType="separate"/>
          </w:r>
          <w:r>
            <w:t>123</w:t>
          </w:r>
          <w:r>
            <w:fldChar w:fldCharType="end"/>
          </w:r>
          <w:r>
            <w:rPr>
              <w:rFonts w:asciiTheme="minorHAnsi" w:hAnsiTheme="minorHAnsi" w:eastAsiaTheme="minorEastAsia" w:cstheme="minorBidi"/>
              <w:szCs w:val="22"/>
              <w:lang w:val="en-US" w:eastAsia="en-US" w:bidi="ar-SA"/>
            </w:rPr>
            <w:fldChar w:fldCharType="end"/>
          </w:r>
        </w:p>
        <w:p w14:paraId="3B4BB8A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_Toc2256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五、 </w:t>
          </w:r>
          <w:r>
            <w:rPr>
              <w:rFonts w:ascii="Times New Roman" w:hAnsi="Times New Roman" w:eastAsia="黑体" w:cs="Times New Roman"/>
              <w:bCs w:val="0"/>
              <w:szCs w:val="32"/>
            </w:rPr>
            <w:t>第三方认证管理</w:t>
          </w:r>
          <w:r>
            <w:tab/>
          </w:r>
          <w:r>
            <w:fldChar w:fldCharType="begin"/>
          </w:r>
          <w:r>
            <w:instrText xml:space="preserve"> PAGEREF _Toc2256 \h </w:instrText>
          </w:r>
          <w:r>
            <w:fldChar w:fldCharType="separate"/>
          </w:r>
          <w:r>
            <w:t>126</w:t>
          </w:r>
          <w:r>
            <w:fldChar w:fldCharType="end"/>
          </w:r>
          <w:r>
            <w:rPr>
              <w:rFonts w:asciiTheme="minorHAnsi" w:hAnsiTheme="minorHAnsi" w:eastAsiaTheme="minorEastAsia" w:cstheme="minorBidi"/>
              <w:szCs w:val="22"/>
              <w:lang w:val="en-US" w:eastAsia="en-US" w:bidi="ar-SA"/>
            </w:rPr>
            <w:fldChar w:fldCharType="end"/>
          </w:r>
        </w:p>
        <w:p w14:paraId="63128943">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_Toc7298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1. </w:t>
          </w:r>
          <w:r>
            <w:rPr>
              <w:rFonts w:ascii="Times New Roman" w:hAnsi="Times New Roman" w:eastAsia="黑体" w:cs="Times New Roman"/>
              <w:bCs w:val="0"/>
              <w:szCs w:val="24"/>
            </w:rPr>
            <w:t>认证资料维护</w:t>
          </w:r>
          <w:r>
            <w:tab/>
          </w:r>
          <w:r>
            <w:fldChar w:fldCharType="begin"/>
          </w:r>
          <w:r>
            <w:instrText xml:space="preserve"> PAGEREF _Toc7298 \h </w:instrText>
          </w:r>
          <w:r>
            <w:fldChar w:fldCharType="separate"/>
          </w:r>
          <w:r>
            <w:t>126</w:t>
          </w:r>
          <w:r>
            <w:fldChar w:fldCharType="end"/>
          </w:r>
          <w:r>
            <w:rPr>
              <w:rFonts w:asciiTheme="minorHAnsi" w:hAnsiTheme="minorHAnsi" w:eastAsiaTheme="minorEastAsia" w:cstheme="minorBidi"/>
              <w:szCs w:val="22"/>
              <w:lang w:val="en-US" w:eastAsia="en-US" w:bidi="ar-SA"/>
            </w:rPr>
            <w:fldChar w:fldCharType="end"/>
          </w:r>
        </w:p>
        <w:p w14:paraId="112469AF">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_Toc21692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lang w:val="en-US" w:eastAsia="zh-CN"/>
            </w:rPr>
            <w:t xml:space="preserve">2. </w:t>
          </w:r>
          <w:r>
            <w:rPr>
              <w:rFonts w:hint="eastAsia" w:cs="Times New Roman"/>
              <w:bCs w:val="0"/>
              <w:szCs w:val="24"/>
              <w:lang w:val="en-US" w:eastAsia="zh-CN"/>
            </w:rPr>
            <w:t>认证申请</w:t>
          </w:r>
          <w:r>
            <w:tab/>
          </w:r>
          <w:r>
            <w:fldChar w:fldCharType="begin"/>
          </w:r>
          <w:r>
            <w:instrText xml:space="preserve"> PAGEREF _Toc21692 \h </w:instrText>
          </w:r>
          <w:r>
            <w:fldChar w:fldCharType="separate"/>
          </w:r>
          <w:r>
            <w:t>130</w:t>
          </w:r>
          <w:r>
            <w:fldChar w:fldCharType="end"/>
          </w:r>
          <w:r>
            <w:rPr>
              <w:rFonts w:asciiTheme="minorHAnsi" w:hAnsiTheme="minorHAnsi" w:eastAsiaTheme="minorEastAsia" w:cstheme="minorBidi"/>
              <w:szCs w:val="22"/>
              <w:lang w:val="en-US" w:eastAsia="en-US" w:bidi="ar-SA"/>
            </w:rPr>
            <w:fldChar w:fldCharType="end"/>
          </w:r>
        </w:p>
        <w:p w14:paraId="154DF359">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_Toc15371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lang w:val="en-US" w:eastAsia="zh-CN"/>
            </w:rPr>
            <w:t xml:space="preserve">3. </w:t>
          </w:r>
          <w:r>
            <w:rPr>
              <w:rFonts w:hint="eastAsia" w:cs="Times New Roman"/>
              <w:bCs w:val="0"/>
              <w:szCs w:val="24"/>
              <w:lang w:val="en-US" w:eastAsia="zh-CN"/>
            </w:rPr>
            <w:t>认证结果管理</w:t>
          </w:r>
          <w:r>
            <w:tab/>
          </w:r>
          <w:r>
            <w:fldChar w:fldCharType="begin"/>
          </w:r>
          <w:r>
            <w:instrText xml:space="preserve"> PAGEREF _Toc15371 \h </w:instrText>
          </w:r>
          <w:r>
            <w:fldChar w:fldCharType="separate"/>
          </w:r>
          <w:r>
            <w:t>134</w:t>
          </w:r>
          <w:r>
            <w:fldChar w:fldCharType="end"/>
          </w:r>
          <w:r>
            <w:rPr>
              <w:rFonts w:asciiTheme="minorHAnsi" w:hAnsiTheme="minorHAnsi" w:eastAsiaTheme="minorEastAsia" w:cstheme="minorBidi"/>
              <w:szCs w:val="22"/>
              <w:lang w:val="en-US" w:eastAsia="en-US" w:bidi="ar-SA"/>
            </w:rPr>
            <w:fldChar w:fldCharType="end"/>
          </w:r>
        </w:p>
        <w:p w14:paraId="1CE5D6D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_Toc22621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六、 </w:t>
          </w:r>
          <w:r>
            <w:rPr>
              <w:rFonts w:ascii="Times New Roman" w:hAnsi="Times New Roman" w:eastAsia="黑体" w:cs="Times New Roman"/>
              <w:bCs w:val="0"/>
              <w:szCs w:val="32"/>
            </w:rPr>
            <w:t>因子库管理</w:t>
          </w:r>
          <w:r>
            <w:tab/>
          </w:r>
          <w:r>
            <w:fldChar w:fldCharType="begin"/>
          </w:r>
          <w:r>
            <w:instrText xml:space="preserve"> PAGEREF _Toc22621 \h </w:instrText>
          </w:r>
          <w:r>
            <w:fldChar w:fldCharType="separate"/>
          </w:r>
          <w:r>
            <w:t>138</w:t>
          </w:r>
          <w:r>
            <w:fldChar w:fldCharType="end"/>
          </w:r>
          <w:r>
            <w:rPr>
              <w:rFonts w:asciiTheme="minorHAnsi" w:hAnsiTheme="minorHAnsi" w:eastAsiaTheme="minorEastAsia" w:cstheme="minorBidi"/>
              <w:szCs w:val="22"/>
              <w:lang w:val="en-US" w:eastAsia="en-US" w:bidi="ar-SA"/>
            </w:rPr>
            <w:fldChar w:fldCharType="end"/>
          </w:r>
        </w:p>
        <w:p w14:paraId="185C7D85">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_Toc17942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1. </w:t>
          </w:r>
          <w:r>
            <w:rPr>
              <w:rFonts w:ascii="Times New Roman" w:hAnsi="Times New Roman" w:eastAsia="黑体" w:cs="Times New Roman"/>
              <w:bCs w:val="0"/>
              <w:szCs w:val="24"/>
            </w:rPr>
            <w:t>原材料碳排因子</w:t>
          </w:r>
          <w:r>
            <w:tab/>
          </w:r>
          <w:r>
            <w:fldChar w:fldCharType="begin"/>
          </w:r>
          <w:r>
            <w:instrText xml:space="preserve"> PAGEREF _Toc17942 \h </w:instrText>
          </w:r>
          <w:r>
            <w:fldChar w:fldCharType="separate"/>
          </w:r>
          <w:r>
            <w:t>138</w:t>
          </w:r>
          <w:r>
            <w:fldChar w:fldCharType="end"/>
          </w:r>
          <w:r>
            <w:rPr>
              <w:rFonts w:asciiTheme="minorHAnsi" w:hAnsiTheme="minorHAnsi" w:eastAsiaTheme="minorEastAsia" w:cstheme="minorBidi"/>
              <w:szCs w:val="22"/>
              <w:lang w:val="en-US" w:eastAsia="en-US" w:bidi="ar-SA"/>
            </w:rPr>
            <w:fldChar w:fldCharType="end"/>
          </w:r>
        </w:p>
        <w:p w14:paraId="6938E55D">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_Toc18568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2. </w:t>
          </w:r>
          <w:r>
            <w:rPr>
              <w:rFonts w:hint="eastAsia" w:cs="Times New Roman"/>
              <w:bCs w:val="0"/>
              <w:szCs w:val="24"/>
              <w:lang w:val="en-US" w:eastAsia="zh-CN"/>
            </w:rPr>
            <w:t>电力碳排因子</w:t>
          </w:r>
          <w:r>
            <w:tab/>
          </w:r>
          <w:r>
            <w:fldChar w:fldCharType="begin"/>
          </w:r>
          <w:r>
            <w:instrText xml:space="preserve"> PAGEREF _Toc18568 \h </w:instrText>
          </w:r>
          <w:r>
            <w:fldChar w:fldCharType="separate"/>
          </w:r>
          <w:r>
            <w:t>144</w:t>
          </w:r>
          <w:r>
            <w:fldChar w:fldCharType="end"/>
          </w:r>
          <w:r>
            <w:rPr>
              <w:rFonts w:asciiTheme="minorHAnsi" w:hAnsiTheme="minorHAnsi" w:eastAsiaTheme="minorEastAsia" w:cstheme="minorBidi"/>
              <w:szCs w:val="22"/>
              <w:lang w:val="en-US" w:eastAsia="en-US" w:bidi="ar-SA"/>
            </w:rPr>
            <w:fldChar w:fldCharType="end"/>
          </w:r>
        </w:p>
        <w:p w14:paraId="785769B8">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_Toc25421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3. </w:t>
          </w:r>
          <w:r>
            <w:rPr>
              <w:rFonts w:hint="eastAsia" w:cs="Times New Roman"/>
              <w:bCs w:val="0"/>
              <w:szCs w:val="24"/>
              <w:lang w:val="en-US" w:eastAsia="zh-CN"/>
            </w:rPr>
            <w:t>能源活动碳排因子</w:t>
          </w:r>
          <w:r>
            <w:tab/>
          </w:r>
          <w:r>
            <w:fldChar w:fldCharType="begin"/>
          </w:r>
          <w:r>
            <w:instrText xml:space="preserve"> PAGEREF _Toc25421 \h </w:instrText>
          </w:r>
          <w:r>
            <w:fldChar w:fldCharType="separate"/>
          </w:r>
          <w:r>
            <w:t>148</w:t>
          </w:r>
          <w:r>
            <w:fldChar w:fldCharType="end"/>
          </w:r>
          <w:r>
            <w:rPr>
              <w:rFonts w:asciiTheme="minorHAnsi" w:hAnsiTheme="minorHAnsi" w:eastAsiaTheme="minorEastAsia" w:cstheme="minorBidi"/>
              <w:szCs w:val="22"/>
              <w:lang w:val="en-US" w:eastAsia="en-US" w:bidi="ar-SA"/>
            </w:rPr>
            <w:fldChar w:fldCharType="end"/>
          </w:r>
        </w:p>
        <w:p w14:paraId="138DBEE6">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_Toc24030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4. </w:t>
          </w:r>
          <w:r>
            <w:rPr>
              <w:rFonts w:hint="eastAsia" w:cs="Times New Roman"/>
              <w:bCs w:val="0"/>
              <w:szCs w:val="24"/>
              <w:lang w:val="en-US" w:eastAsia="zh-CN"/>
            </w:rPr>
            <w:t>折标煤系数库</w:t>
          </w:r>
          <w:r>
            <w:tab/>
          </w:r>
          <w:r>
            <w:fldChar w:fldCharType="begin"/>
          </w:r>
          <w:r>
            <w:instrText xml:space="preserve"> PAGEREF _Toc24030 \h </w:instrText>
          </w:r>
          <w:r>
            <w:fldChar w:fldCharType="separate"/>
          </w:r>
          <w:r>
            <w:t>152</w:t>
          </w:r>
          <w:r>
            <w:fldChar w:fldCharType="end"/>
          </w:r>
          <w:r>
            <w:rPr>
              <w:rFonts w:asciiTheme="minorHAnsi" w:hAnsiTheme="minorHAnsi" w:eastAsiaTheme="minorEastAsia" w:cstheme="minorBidi"/>
              <w:szCs w:val="22"/>
              <w:lang w:val="en-US" w:eastAsia="en-US" w:bidi="ar-SA"/>
            </w:rPr>
            <w:fldChar w:fldCharType="end"/>
          </w:r>
        </w:p>
        <w:p w14:paraId="375F257A">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_Toc14842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第四章 </w:t>
          </w:r>
          <w:r>
            <w:rPr>
              <w:rFonts w:hint="eastAsia"/>
              <w:bCs w:val="0"/>
              <w:szCs w:val="44"/>
              <w:lang w:val="en-US" w:eastAsia="zh-CN"/>
            </w:rPr>
            <w:t>系统管理、基础参数设置</w:t>
          </w:r>
          <w:r>
            <w:tab/>
          </w:r>
          <w:r>
            <w:fldChar w:fldCharType="begin"/>
          </w:r>
          <w:r>
            <w:instrText xml:space="preserve"> PAGEREF _Toc14842 \h </w:instrText>
          </w:r>
          <w:r>
            <w:fldChar w:fldCharType="separate"/>
          </w:r>
          <w:r>
            <w:t>156</w:t>
          </w:r>
          <w:r>
            <w:fldChar w:fldCharType="end"/>
          </w:r>
          <w:r>
            <w:rPr>
              <w:rFonts w:asciiTheme="minorHAnsi" w:hAnsiTheme="minorHAnsi" w:eastAsiaTheme="minorEastAsia" w:cstheme="minorBidi"/>
              <w:szCs w:val="22"/>
              <w:lang w:val="en-US" w:eastAsia="en-US" w:bidi="ar-SA"/>
            </w:rPr>
            <w:fldChar w:fldCharType="end"/>
          </w:r>
        </w:p>
        <w:p w14:paraId="669B61C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_Toc31977 </w:instrText>
          </w:r>
          <w:r>
            <w:rPr>
              <w:rFonts w:asciiTheme="minorHAnsi" w:hAnsiTheme="minorHAnsi" w:eastAsiaTheme="minorEastAsia" w:cstheme="minorBidi"/>
              <w:szCs w:val="22"/>
              <w:lang w:val="en-US" w:eastAsia="en-US" w:bidi="ar-SA"/>
            </w:rPr>
            <w:fldChar w:fldCharType="separate"/>
          </w:r>
          <w:r>
            <w:rPr>
              <w:rFonts w:hint="eastAsia" w:ascii="Times New Roman" w:hAnsi="Times New Roman" w:eastAsia="黑体" w:cs="Times New Roman"/>
              <w:bCs w:val="0"/>
              <w:szCs w:val="32"/>
              <w:lang w:val="en-US" w:eastAsia="zh-CN"/>
            </w:rPr>
            <w:t>一、 权限管控</w:t>
          </w:r>
          <w:r>
            <w:tab/>
          </w:r>
          <w:r>
            <w:fldChar w:fldCharType="begin"/>
          </w:r>
          <w:r>
            <w:instrText xml:space="preserve"> PAGEREF _Toc31977 \h </w:instrText>
          </w:r>
          <w:r>
            <w:fldChar w:fldCharType="separate"/>
          </w:r>
          <w:r>
            <w:t>156</w:t>
          </w:r>
          <w:r>
            <w:fldChar w:fldCharType="end"/>
          </w:r>
          <w:r>
            <w:rPr>
              <w:rFonts w:asciiTheme="minorHAnsi" w:hAnsiTheme="minorHAnsi" w:eastAsiaTheme="minorEastAsia" w:cstheme="minorBidi"/>
              <w:szCs w:val="22"/>
              <w:lang w:val="en-US" w:eastAsia="en-US" w:bidi="ar-SA"/>
            </w:rPr>
            <w:fldChar w:fldCharType="end"/>
          </w:r>
        </w:p>
        <w:p w14:paraId="651A3B2C">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_Toc15939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1. </w:t>
          </w:r>
          <w:r>
            <w:rPr>
              <w:rFonts w:hint="eastAsia" w:cs="Times New Roman"/>
              <w:bCs w:val="0"/>
              <w:szCs w:val="24"/>
              <w:lang w:val="en-US" w:eastAsia="zh-CN"/>
            </w:rPr>
            <w:t>组织管理</w:t>
          </w:r>
          <w:r>
            <w:tab/>
          </w:r>
          <w:r>
            <w:fldChar w:fldCharType="begin"/>
          </w:r>
          <w:r>
            <w:instrText xml:space="preserve"> PAGEREF _Toc15939 \h </w:instrText>
          </w:r>
          <w:r>
            <w:fldChar w:fldCharType="separate"/>
          </w:r>
          <w:r>
            <w:t>156</w:t>
          </w:r>
          <w:r>
            <w:fldChar w:fldCharType="end"/>
          </w:r>
          <w:r>
            <w:rPr>
              <w:rFonts w:asciiTheme="minorHAnsi" w:hAnsiTheme="minorHAnsi" w:eastAsiaTheme="minorEastAsia" w:cstheme="minorBidi"/>
              <w:szCs w:val="22"/>
              <w:lang w:val="en-US" w:eastAsia="en-US" w:bidi="ar-SA"/>
            </w:rPr>
            <w:fldChar w:fldCharType="end"/>
          </w:r>
        </w:p>
        <w:p w14:paraId="39792BFC">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_Toc27635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2. </w:t>
          </w:r>
          <w:r>
            <w:rPr>
              <w:rFonts w:hint="eastAsia" w:cs="Times New Roman"/>
              <w:bCs w:val="0"/>
              <w:szCs w:val="24"/>
              <w:lang w:val="en-US" w:eastAsia="zh-CN"/>
            </w:rPr>
            <w:t>用户管理</w:t>
          </w:r>
          <w:r>
            <w:tab/>
          </w:r>
          <w:r>
            <w:fldChar w:fldCharType="begin"/>
          </w:r>
          <w:r>
            <w:instrText xml:space="preserve"> PAGEREF _Toc27635 \h </w:instrText>
          </w:r>
          <w:r>
            <w:fldChar w:fldCharType="separate"/>
          </w:r>
          <w:r>
            <w:t>158</w:t>
          </w:r>
          <w:r>
            <w:fldChar w:fldCharType="end"/>
          </w:r>
          <w:r>
            <w:rPr>
              <w:rFonts w:asciiTheme="minorHAnsi" w:hAnsiTheme="minorHAnsi" w:eastAsiaTheme="minorEastAsia" w:cstheme="minorBidi"/>
              <w:szCs w:val="22"/>
              <w:lang w:val="en-US" w:eastAsia="en-US" w:bidi="ar-SA"/>
            </w:rPr>
            <w:fldChar w:fldCharType="end"/>
          </w:r>
        </w:p>
        <w:p w14:paraId="1164396E">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_Toc7452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3. </w:t>
          </w:r>
          <w:r>
            <w:rPr>
              <w:rFonts w:hint="eastAsia" w:cs="Times New Roman"/>
              <w:bCs w:val="0"/>
              <w:szCs w:val="24"/>
              <w:lang w:val="en-US" w:eastAsia="zh-CN"/>
            </w:rPr>
            <w:t>角色与权限</w:t>
          </w:r>
          <w:r>
            <w:tab/>
          </w:r>
          <w:r>
            <w:fldChar w:fldCharType="begin"/>
          </w:r>
          <w:r>
            <w:instrText xml:space="preserve"> PAGEREF _Toc7452 \h </w:instrText>
          </w:r>
          <w:r>
            <w:fldChar w:fldCharType="separate"/>
          </w:r>
          <w:r>
            <w:t>161</w:t>
          </w:r>
          <w:r>
            <w:fldChar w:fldCharType="end"/>
          </w:r>
          <w:r>
            <w:rPr>
              <w:rFonts w:asciiTheme="minorHAnsi" w:hAnsiTheme="minorHAnsi" w:eastAsiaTheme="minorEastAsia" w:cstheme="minorBidi"/>
              <w:szCs w:val="22"/>
              <w:lang w:val="en-US" w:eastAsia="en-US" w:bidi="ar-SA"/>
            </w:rPr>
            <w:fldChar w:fldCharType="end"/>
          </w:r>
        </w:p>
        <w:p w14:paraId="58869181">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_Toc27816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4. </w:t>
          </w:r>
          <w:r>
            <w:rPr>
              <w:rFonts w:hint="eastAsia" w:cs="Times New Roman"/>
              <w:bCs w:val="0"/>
              <w:szCs w:val="24"/>
              <w:lang w:val="en-US" w:eastAsia="zh-CN"/>
            </w:rPr>
            <w:t>菜单与功能</w:t>
          </w:r>
          <w:r>
            <w:tab/>
          </w:r>
          <w:r>
            <w:fldChar w:fldCharType="begin"/>
          </w:r>
          <w:r>
            <w:instrText xml:space="preserve"> PAGEREF _Toc27816 \h </w:instrText>
          </w:r>
          <w:r>
            <w:fldChar w:fldCharType="separate"/>
          </w:r>
          <w:r>
            <w:t>163</w:t>
          </w:r>
          <w:r>
            <w:fldChar w:fldCharType="end"/>
          </w:r>
          <w:r>
            <w:rPr>
              <w:rFonts w:asciiTheme="minorHAnsi" w:hAnsiTheme="minorHAnsi" w:eastAsiaTheme="minorEastAsia" w:cstheme="minorBidi"/>
              <w:szCs w:val="22"/>
              <w:lang w:val="en-US" w:eastAsia="en-US" w:bidi="ar-SA"/>
            </w:rPr>
            <w:fldChar w:fldCharType="end"/>
          </w:r>
        </w:p>
        <w:p w14:paraId="6EC652B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_Toc24546 </w:instrText>
          </w:r>
          <w:r>
            <w:rPr>
              <w:rFonts w:asciiTheme="minorHAnsi" w:hAnsiTheme="minorHAnsi" w:eastAsiaTheme="minorEastAsia" w:cstheme="minorBidi"/>
              <w:szCs w:val="22"/>
              <w:lang w:val="en-US" w:eastAsia="en-US" w:bidi="ar-SA"/>
            </w:rPr>
            <w:fldChar w:fldCharType="separate"/>
          </w:r>
          <w:r>
            <w:rPr>
              <w:rFonts w:hint="eastAsia" w:ascii="Times New Roman" w:hAnsi="Times New Roman" w:eastAsia="黑体" w:cs="Times New Roman"/>
              <w:bCs w:val="0"/>
              <w:szCs w:val="32"/>
              <w:lang w:val="en-US" w:eastAsia="zh-CN"/>
            </w:rPr>
            <w:t>二、 能碳基础因子管理</w:t>
          </w:r>
          <w:r>
            <w:tab/>
          </w:r>
          <w:r>
            <w:fldChar w:fldCharType="begin"/>
          </w:r>
          <w:r>
            <w:instrText xml:space="preserve"> PAGEREF _Toc24546 \h </w:instrText>
          </w:r>
          <w:r>
            <w:fldChar w:fldCharType="separate"/>
          </w:r>
          <w:r>
            <w:t>165</w:t>
          </w:r>
          <w:r>
            <w:fldChar w:fldCharType="end"/>
          </w:r>
          <w:r>
            <w:rPr>
              <w:rFonts w:asciiTheme="minorHAnsi" w:hAnsiTheme="minorHAnsi" w:eastAsiaTheme="minorEastAsia" w:cstheme="minorBidi"/>
              <w:szCs w:val="22"/>
              <w:lang w:val="en-US" w:eastAsia="en-US" w:bidi="ar-SA"/>
            </w:rPr>
            <w:fldChar w:fldCharType="end"/>
          </w:r>
        </w:p>
        <w:p w14:paraId="6C7142D2">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_Toc32713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1. </w:t>
          </w:r>
          <w:r>
            <w:rPr>
              <w:rFonts w:hint="eastAsia"/>
              <w:bCs w:val="0"/>
              <w:lang w:val="en-US" w:eastAsia="zh-CN"/>
            </w:rPr>
            <w:t>电</w:t>
          </w:r>
          <w:r>
            <w:rPr>
              <w:rFonts w:hint="eastAsia" w:cs="Times New Roman"/>
              <w:bCs w:val="0"/>
              <w:szCs w:val="24"/>
              <w:lang w:val="en-US" w:eastAsia="zh-CN"/>
            </w:rPr>
            <w:t>力碳排因子</w:t>
          </w:r>
          <w:r>
            <w:tab/>
          </w:r>
          <w:r>
            <w:fldChar w:fldCharType="begin"/>
          </w:r>
          <w:r>
            <w:instrText xml:space="preserve"> PAGEREF _Toc32713 \h </w:instrText>
          </w:r>
          <w:r>
            <w:fldChar w:fldCharType="separate"/>
          </w:r>
          <w:r>
            <w:t>165</w:t>
          </w:r>
          <w:r>
            <w:fldChar w:fldCharType="end"/>
          </w:r>
          <w:r>
            <w:rPr>
              <w:rFonts w:asciiTheme="minorHAnsi" w:hAnsiTheme="minorHAnsi" w:eastAsiaTheme="minorEastAsia" w:cstheme="minorBidi"/>
              <w:szCs w:val="22"/>
              <w:lang w:val="en-US" w:eastAsia="en-US" w:bidi="ar-SA"/>
            </w:rPr>
            <w:fldChar w:fldCharType="end"/>
          </w:r>
        </w:p>
        <w:p w14:paraId="02125303">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_Toc5571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2. </w:t>
          </w:r>
          <w:r>
            <w:rPr>
              <w:rFonts w:hint="eastAsia" w:cs="Times New Roman"/>
              <w:bCs w:val="0"/>
              <w:szCs w:val="24"/>
              <w:lang w:val="en-US" w:eastAsia="zh-CN"/>
            </w:rPr>
            <w:t>能源活动碳排因子</w:t>
          </w:r>
          <w:r>
            <w:tab/>
          </w:r>
          <w:r>
            <w:fldChar w:fldCharType="begin"/>
          </w:r>
          <w:r>
            <w:instrText xml:space="preserve"> PAGEREF _Toc5571 \h </w:instrText>
          </w:r>
          <w:r>
            <w:fldChar w:fldCharType="separate"/>
          </w:r>
          <w:r>
            <w:t>167</w:t>
          </w:r>
          <w:r>
            <w:fldChar w:fldCharType="end"/>
          </w:r>
          <w:r>
            <w:rPr>
              <w:rFonts w:asciiTheme="minorHAnsi" w:hAnsiTheme="minorHAnsi" w:eastAsiaTheme="minorEastAsia" w:cstheme="minorBidi"/>
              <w:szCs w:val="22"/>
              <w:lang w:val="en-US" w:eastAsia="en-US" w:bidi="ar-SA"/>
            </w:rPr>
            <w:fldChar w:fldCharType="end"/>
          </w:r>
        </w:p>
        <w:p w14:paraId="1F40D9FD">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_Toc2938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3. </w:t>
          </w:r>
          <w:r>
            <w:rPr>
              <w:rFonts w:hint="eastAsia" w:cs="Times New Roman"/>
              <w:bCs w:val="0"/>
              <w:szCs w:val="24"/>
              <w:lang w:val="en-US" w:eastAsia="zh-CN"/>
            </w:rPr>
            <w:t>折标煤系数库</w:t>
          </w:r>
          <w:r>
            <w:tab/>
          </w:r>
          <w:r>
            <w:fldChar w:fldCharType="begin"/>
          </w:r>
          <w:r>
            <w:instrText xml:space="preserve"> PAGEREF _Toc2938 \h </w:instrText>
          </w:r>
          <w:r>
            <w:fldChar w:fldCharType="separate"/>
          </w:r>
          <w:r>
            <w:t>169</w:t>
          </w:r>
          <w:r>
            <w:fldChar w:fldCharType="end"/>
          </w:r>
          <w:r>
            <w:rPr>
              <w:rFonts w:asciiTheme="minorHAnsi" w:hAnsiTheme="minorHAnsi" w:eastAsiaTheme="minorEastAsia" w:cstheme="minorBidi"/>
              <w:szCs w:val="22"/>
              <w:lang w:val="en-US" w:eastAsia="en-US" w:bidi="ar-SA"/>
            </w:rPr>
            <w:fldChar w:fldCharType="end"/>
          </w:r>
        </w:p>
        <w:p w14:paraId="6494708C">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_Toc31062 </w:instrText>
          </w:r>
          <w:r>
            <w:rPr>
              <w:rFonts w:asciiTheme="minorHAnsi" w:hAnsiTheme="minorHAnsi" w:eastAsiaTheme="minorEastAsia" w:cstheme="minorBidi"/>
              <w:szCs w:val="22"/>
              <w:lang w:val="en-US" w:eastAsia="en-US" w:bidi="ar-SA"/>
            </w:rPr>
            <w:fldChar w:fldCharType="separate"/>
          </w:r>
          <w:r>
            <w:rPr>
              <w:rFonts w:hint="eastAsia" w:ascii="Times New Roman" w:hAnsi="Times New Roman" w:eastAsia="黑体" w:cs="Times New Roman"/>
              <w:bCs w:val="0"/>
              <w:szCs w:val="32"/>
              <w:lang w:val="en-US" w:eastAsia="zh-CN"/>
            </w:rPr>
            <w:t>三、 费价模型</w:t>
          </w:r>
          <w:r>
            <w:tab/>
          </w:r>
          <w:r>
            <w:fldChar w:fldCharType="begin"/>
          </w:r>
          <w:r>
            <w:instrText xml:space="preserve"> PAGEREF _Toc31062 \h </w:instrText>
          </w:r>
          <w:r>
            <w:fldChar w:fldCharType="separate"/>
          </w:r>
          <w:r>
            <w:t>171</w:t>
          </w:r>
          <w:r>
            <w:fldChar w:fldCharType="end"/>
          </w:r>
          <w:r>
            <w:rPr>
              <w:rFonts w:asciiTheme="minorHAnsi" w:hAnsiTheme="minorHAnsi" w:eastAsiaTheme="minorEastAsia" w:cstheme="minorBidi"/>
              <w:szCs w:val="22"/>
              <w:lang w:val="en-US" w:eastAsia="en-US" w:bidi="ar-SA"/>
            </w:rPr>
            <w:fldChar w:fldCharType="end"/>
          </w:r>
        </w:p>
        <w:p w14:paraId="18630ECF">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_Toc8429 </w:instrText>
          </w:r>
          <w:r>
            <w:rPr>
              <w:rFonts w:asciiTheme="minorHAnsi" w:hAnsiTheme="minorHAnsi" w:eastAsiaTheme="minorEastAsia" w:cstheme="minorBidi"/>
              <w:szCs w:val="22"/>
              <w:lang w:val="en-US" w:eastAsia="en-US" w:bidi="ar-SA"/>
            </w:rPr>
            <w:fldChar w:fldCharType="separate"/>
          </w:r>
          <w:r>
            <w:rPr>
              <w:rFonts w:hint="eastAsia" w:ascii="Times New Roman" w:hAnsi="Times New Roman" w:eastAsia="黑体" w:cs="Times New Roman"/>
              <w:bCs w:val="0"/>
              <w:szCs w:val="32"/>
              <w:lang w:val="en-US" w:eastAsia="zh-CN"/>
            </w:rPr>
            <w:t>四、 生产设备维护</w:t>
          </w:r>
          <w:r>
            <w:tab/>
          </w:r>
          <w:r>
            <w:fldChar w:fldCharType="begin"/>
          </w:r>
          <w:r>
            <w:instrText xml:space="preserve"> PAGEREF _Toc8429 \h </w:instrText>
          </w:r>
          <w:r>
            <w:fldChar w:fldCharType="separate"/>
          </w:r>
          <w:r>
            <w:t>175</w:t>
          </w:r>
          <w:r>
            <w:fldChar w:fldCharType="end"/>
          </w:r>
          <w:r>
            <w:rPr>
              <w:rFonts w:asciiTheme="minorHAnsi" w:hAnsiTheme="minorHAnsi" w:eastAsiaTheme="minorEastAsia" w:cstheme="minorBidi"/>
              <w:szCs w:val="22"/>
              <w:lang w:val="en-US" w:eastAsia="en-US" w:bidi="ar-SA"/>
            </w:rPr>
            <w:fldChar w:fldCharType="end"/>
          </w:r>
        </w:p>
        <w:p w14:paraId="52F46149">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_Toc31767 </w:instrText>
          </w:r>
          <w:r>
            <w:rPr>
              <w:rFonts w:asciiTheme="minorHAnsi" w:hAnsiTheme="minorHAnsi" w:eastAsiaTheme="minorEastAsia" w:cstheme="minorBidi"/>
              <w:szCs w:val="22"/>
              <w:lang w:val="en-US" w:eastAsia="en-US" w:bidi="ar-SA"/>
            </w:rPr>
            <w:fldChar w:fldCharType="separate"/>
          </w:r>
          <w:r>
            <w:rPr>
              <w:rFonts w:hint="default"/>
              <w:bCs w:val="0"/>
              <w:lang w:val="en-US" w:eastAsia="zh-CN"/>
            </w:rPr>
            <w:t xml:space="preserve">1. </w:t>
          </w:r>
          <w:r>
            <w:rPr>
              <w:rFonts w:hint="eastAsia"/>
              <w:bCs w:val="0"/>
              <w:lang w:val="en-US" w:eastAsia="zh-CN"/>
            </w:rPr>
            <w:t>重点用能设备</w:t>
          </w:r>
          <w:r>
            <w:tab/>
          </w:r>
          <w:r>
            <w:fldChar w:fldCharType="begin"/>
          </w:r>
          <w:r>
            <w:instrText xml:space="preserve"> PAGEREF _Toc31767 \h </w:instrText>
          </w:r>
          <w:r>
            <w:fldChar w:fldCharType="separate"/>
          </w:r>
          <w:r>
            <w:t>175</w:t>
          </w:r>
          <w:r>
            <w:fldChar w:fldCharType="end"/>
          </w:r>
          <w:r>
            <w:rPr>
              <w:rFonts w:asciiTheme="minorHAnsi" w:hAnsiTheme="minorHAnsi" w:eastAsiaTheme="minorEastAsia" w:cstheme="minorBidi"/>
              <w:szCs w:val="22"/>
              <w:lang w:val="en-US" w:eastAsia="en-US" w:bidi="ar-SA"/>
            </w:rPr>
            <w:fldChar w:fldCharType="end"/>
          </w:r>
        </w:p>
        <w:p w14:paraId="06DC4D8C">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_Toc17529 </w:instrText>
          </w:r>
          <w:r>
            <w:rPr>
              <w:rFonts w:asciiTheme="minorHAnsi" w:hAnsiTheme="minorHAnsi" w:eastAsiaTheme="minorEastAsia" w:cstheme="minorBidi"/>
              <w:szCs w:val="22"/>
              <w:lang w:val="en-US" w:eastAsia="en-US" w:bidi="ar-SA"/>
            </w:rPr>
            <w:fldChar w:fldCharType="separate"/>
          </w:r>
          <w:r>
            <w:rPr>
              <w:rFonts w:hint="default"/>
              <w:bCs w:val="0"/>
              <w:lang w:val="en-US" w:eastAsia="zh-CN"/>
            </w:rPr>
            <w:t xml:space="preserve">2. </w:t>
          </w:r>
          <w:r>
            <w:rPr>
              <w:rFonts w:hint="eastAsia"/>
              <w:bCs w:val="0"/>
              <w:lang w:val="en-US" w:eastAsia="zh-CN"/>
            </w:rPr>
            <w:t>光伏设备管理</w:t>
          </w:r>
          <w:r>
            <w:tab/>
          </w:r>
          <w:r>
            <w:fldChar w:fldCharType="begin"/>
          </w:r>
          <w:r>
            <w:instrText xml:space="preserve"> PAGEREF _Toc17529 \h </w:instrText>
          </w:r>
          <w:r>
            <w:fldChar w:fldCharType="separate"/>
          </w:r>
          <w:r>
            <w:t>177</w:t>
          </w:r>
          <w:r>
            <w:fldChar w:fldCharType="end"/>
          </w:r>
          <w:r>
            <w:rPr>
              <w:rFonts w:asciiTheme="minorHAnsi" w:hAnsiTheme="minorHAnsi" w:eastAsiaTheme="minorEastAsia" w:cstheme="minorBidi"/>
              <w:szCs w:val="22"/>
              <w:lang w:val="en-US" w:eastAsia="en-US" w:bidi="ar-SA"/>
            </w:rPr>
            <w:fldChar w:fldCharType="end"/>
          </w:r>
        </w:p>
        <w:p w14:paraId="6B98C861">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_Toc11939 </w:instrText>
          </w:r>
          <w:r>
            <w:rPr>
              <w:rFonts w:asciiTheme="minorHAnsi" w:hAnsiTheme="minorHAnsi" w:eastAsiaTheme="minorEastAsia" w:cstheme="minorBidi"/>
              <w:szCs w:val="22"/>
              <w:lang w:val="en-US" w:eastAsia="en-US" w:bidi="ar-SA"/>
            </w:rPr>
            <w:fldChar w:fldCharType="separate"/>
          </w:r>
          <w:r>
            <w:rPr>
              <w:rFonts w:hint="eastAsia" w:ascii="Times New Roman" w:hAnsi="Times New Roman" w:eastAsia="黑体" w:cs="Times New Roman"/>
              <w:bCs w:val="0"/>
              <w:szCs w:val="32"/>
              <w:lang w:val="en-US" w:eastAsia="zh-CN"/>
            </w:rPr>
            <w:t>五、 生产数据维护</w:t>
          </w:r>
          <w:r>
            <w:tab/>
          </w:r>
          <w:r>
            <w:fldChar w:fldCharType="begin"/>
          </w:r>
          <w:r>
            <w:instrText xml:space="preserve"> PAGEREF _Toc11939 \h </w:instrText>
          </w:r>
          <w:r>
            <w:fldChar w:fldCharType="separate"/>
          </w:r>
          <w:r>
            <w:t>179</w:t>
          </w:r>
          <w:r>
            <w:fldChar w:fldCharType="end"/>
          </w:r>
          <w:r>
            <w:rPr>
              <w:rFonts w:asciiTheme="minorHAnsi" w:hAnsiTheme="minorHAnsi" w:eastAsiaTheme="minorEastAsia" w:cstheme="minorBidi"/>
              <w:szCs w:val="22"/>
              <w:lang w:val="en-US" w:eastAsia="en-US" w:bidi="ar-SA"/>
            </w:rPr>
            <w:fldChar w:fldCharType="end"/>
          </w:r>
        </w:p>
        <w:p w14:paraId="116E8C18">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_Toc29538 </w:instrText>
          </w:r>
          <w:r>
            <w:rPr>
              <w:rFonts w:asciiTheme="minorHAnsi" w:hAnsiTheme="minorHAnsi" w:eastAsiaTheme="minorEastAsia" w:cstheme="minorBidi"/>
              <w:szCs w:val="22"/>
              <w:lang w:val="en-US" w:eastAsia="en-US" w:bidi="ar-SA"/>
            </w:rPr>
            <w:fldChar w:fldCharType="separate"/>
          </w:r>
          <w:r>
            <w:rPr>
              <w:rFonts w:hint="default"/>
              <w:bCs w:val="0"/>
              <w:lang w:val="en-US" w:eastAsia="zh-CN"/>
            </w:rPr>
            <w:t xml:space="preserve">1. </w:t>
          </w:r>
          <w:r>
            <w:rPr>
              <w:rFonts w:hint="eastAsia"/>
              <w:bCs w:val="0"/>
              <w:lang w:val="en-US" w:eastAsia="zh-CN"/>
            </w:rPr>
            <w:t>产品类型管理</w:t>
          </w:r>
          <w:r>
            <w:tab/>
          </w:r>
          <w:r>
            <w:fldChar w:fldCharType="begin"/>
          </w:r>
          <w:r>
            <w:instrText xml:space="preserve"> PAGEREF _Toc29538 \h </w:instrText>
          </w:r>
          <w:r>
            <w:fldChar w:fldCharType="separate"/>
          </w:r>
          <w:r>
            <w:t>179</w:t>
          </w:r>
          <w:r>
            <w:fldChar w:fldCharType="end"/>
          </w:r>
          <w:r>
            <w:rPr>
              <w:rFonts w:asciiTheme="minorHAnsi" w:hAnsiTheme="minorHAnsi" w:eastAsiaTheme="minorEastAsia" w:cstheme="minorBidi"/>
              <w:szCs w:val="22"/>
              <w:lang w:val="en-US" w:eastAsia="en-US" w:bidi="ar-SA"/>
            </w:rPr>
            <w:fldChar w:fldCharType="end"/>
          </w:r>
        </w:p>
        <w:p w14:paraId="1504C70D">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_Toc29667 </w:instrText>
          </w:r>
          <w:r>
            <w:rPr>
              <w:rFonts w:asciiTheme="minorHAnsi" w:hAnsiTheme="minorHAnsi" w:eastAsiaTheme="minorEastAsia" w:cstheme="minorBidi"/>
              <w:szCs w:val="22"/>
              <w:lang w:val="en-US" w:eastAsia="en-US" w:bidi="ar-SA"/>
            </w:rPr>
            <w:fldChar w:fldCharType="separate"/>
          </w:r>
          <w:r>
            <w:rPr>
              <w:rFonts w:hint="default"/>
              <w:bCs w:val="0"/>
              <w:lang w:val="en-US" w:eastAsia="zh-CN"/>
            </w:rPr>
            <w:t xml:space="preserve">2. </w:t>
          </w:r>
          <w:r>
            <w:rPr>
              <w:rFonts w:hint="eastAsia"/>
              <w:bCs w:val="0"/>
              <w:lang w:val="en-US" w:eastAsia="zh-CN"/>
            </w:rPr>
            <w:t>产品型号管理</w:t>
          </w:r>
          <w:r>
            <w:tab/>
          </w:r>
          <w:r>
            <w:fldChar w:fldCharType="begin"/>
          </w:r>
          <w:r>
            <w:instrText xml:space="preserve"> PAGEREF _Toc29667 \h </w:instrText>
          </w:r>
          <w:r>
            <w:fldChar w:fldCharType="separate"/>
          </w:r>
          <w:r>
            <w:t>181</w:t>
          </w:r>
          <w:r>
            <w:fldChar w:fldCharType="end"/>
          </w:r>
          <w:r>
            <w:rPr>
              <w:rFonts w:asciiTheme="minorHAnsi" w:hAnsiTheme="minorHAnsi" w:eastAsiaTheme="minorEastAsia" w:cstheme="minorBidi"/>
              <w:szCs w:val="22"/>
              <w:lang w:val="en-US" w:eastAsia="en-US" w:bidi="ar-SA"/>
            </w:rPr>
            <w:fldChar w:fldCharType="end"/>
          </w:r>
        </w:p>
        <w:p w14:paraId="04ADDE34">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_Toc15573 </w:instrText>
          </w:r>
          <w:r>
            <w:rPr>
              <w:rFonts w:asciiTheme="minorHAnsi" w:hAnsiTheme="minorHAnsi" w:eastAsiaTheme="minorEastAsia" w:cstheme="minorBidi"/>
              <w:szCs w:val="22"/>
              <w:lang w:val="en-US" w:eastAsia="en-US" w:bidi="ar-SA"/>
            </w:rPr>
            <w:fldChar w:fldCharType="separate"/>
          </w:r>
          <w:r>
            <w:rPr>
              <w:rFonts w:hint="default"/>
              <w:bCs w:val="0"/>
              <w:lang w:val="en-US" w:eastAsia="zh-CN"/>
            </w:rPr>
            <w:t xml:space="preserve">3. </w:t>
          </w:r>
          <w:r>
            <w:rPr>
              <w:rFonts w:hint="eastAsia"/>
              <w:bCs w:val="0"/>
              <w:lang w:val="en-US" w:eastAsia="zh-CN"/>
            </w:rPr>
            <w:t>基础数据管理</w:t>
          </w:r>
          <w:r>
            <w:tab/>
          </w:r>
          <w:r>
            <w:fldChar w:fldCharType="begin"/>
          </w:r>
          <w:r>
            <w:instrText xml:space="preserve"> PAGEREF _Toc15573 \h </w:instrText>
          </w:r>
          <w:r>
            <w:fldChar w:fldCharType="separate"/>
          </w:r>
          <w:r>
            <w:t>184</w:t>
          </w:r>
          <w:r>
            <w:fldChar w:fldCharType="end"/>
          </w:r>
          <w:r>
            <w:rPr>
              <w:rFonts w:asciiTheme="minorHAnsi" w:hAnsiTheme="minorHAnsi" w:eastAsiaTheme="minorEastAsia" w:cstheme="minorBidi"/>
              <w:szCs w:val="22"/>
              <w:lang w:val="en-US" w:eastAsia="en-US" w:bidi="ar-SA"/>
            </w:rPr>
            <w:fldChar w:fldCharType="end"/>
          </w:r>
        </w:p>
        <w:p w14:paraId="5BFC0AA4">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_Toc7820 </w:instrText>
          </w:r>
          <w:r>
            <w:rPr>
              <w:rFonts w:asciiTheme="minorHAnsi" w:hAnsiTheme="minorHAnsi" w:eastAsiaTheme="minorEastAsia" w:cstheme="minorBidi"/>
              <w:szCs w:val="22"/>
              <w:lang w:val="en-US" w:eastAsia="en-US" w:bidi="ar-SA"/>
            </w:rPr>
            <w:fldChar w:fldCharType="separate"/>
          </w:r>
          <w:r>
            <w:rPr>
              <w:rFonts w:hint="default"/>
              <w:bCs w:val="0"/>
              <w:lang w:val="en-US" w:eastAsia="zh-CN"/>
            </w:rPr>
            <w:t xml:space="preserve">4. </w:t>
          </w:r>
          <w:r>
            <w:rPr>
              <w:rFonts w:hint="eastAsia"/>
              <w:bCs w:val="0"/>
              <w:lang w:val="en-US" w:eastAsia="zh-CN"/>
            </w:rPr>
            <w:t>生产工序管理</w:t>
          </w:r>
          <w:r>
            <w:tab/>
          </w:r>
          <w:r>
            <w:fldChar w:fldCharType="begin"/>
          </w:r>
          <w:r>
            <w:instrText xml:space="preserve"> PAGEREF _Toc7820 \h </w:instrText>
          </w:r>
          <w:r>
            <w:fldChar w:fldCharType="separate"/>
          </w:r>
          <w:r>
            <w:t>186</w:t>
          </w:r>
          <w:r>
            <w:fldChar w:fldCharType="end"/>
          </w:r>
          <w:r>
            <w:rPr>
              <w:rFonts w:asciiTheme="minorHAnsi" w:hAnsiTheme="minorHAnsi" w:eastAsiaTheme="minorEastAsia" w:cstheme="minorBidi"/>
              <w:szCs w:val="22"/>
              <w:lang w:val="en-US" w:eastAsia="en-US" w:bidi="ar-SA"/>
            </w:rPr>
            <w:fldChar w:fldCharType="end"/>
          </w:r>
        </w:p>
        <w:p w14:paraId="6065F5F4">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_Toc12273 </w:instrText>
          </w:r>
          <w:r>
            <w:rPr>
              <w:rFonts w:asciiTheme="minorHAnsi" w:hAnsiTheme="minorHAnsi" w:eastAsiaTheme="minorEastAsia" w:cstheme="minorBidi"/>
              <w:szCs w:val="22"/>
              <w:lang w:val="en-US" w:eastAsia="en-US" w:bidi="ar-SA"/>
            </w:rPr>
            <w:fldChar w:fldCharType="separate"/>
          </w:r>
          <w:r>
            <w:rPr>
              <w:rFonts w:hint="eastAsia" w:ascii="Times New Roman" w:hAnsi="Times New Roman" w:eastAsia="黑体" w:cs="Times New Roman"/>
              <w:bCs w:val="0"/>
              <w:szCs w:val="32"/>
              <w:lang w:val="en-US" w:eastAsia="zh-CN"/>
            </w:rPr>
            <w:t>六、 日志管理</w:t>
          </w:r>
          <w:r>
            <w:tab/>
          </w:r>
          <w:r>
            <w:fldChar w:fldCharType="begin"/>
          </w:r>
          <w:r>
            <w:instrText xml:space="preserve"> PAGEREF _Toc12273 \h </w:instrText>
          </w:r>
          <w:r>
            <w:fldChar w:fldCharType="separate"/>
          </w:r>
          <w:r>
            <w:t>188</w:t>
          </w:r>
          <w:r>
            <w:fldChar w:fldCharType="end"/>
          </w:r>
          <w:r>
            <w:rPr>
              <w:rFonts w:asciiTheme="minorHAnsi" w:hAnsiTheme="minorHAnsi" w:eastAsiaTheme="minorEastAsia" w:cstheme="minorBidi"/>
              <w:szCs w:val="22"/>
              <w:lang w:val="en-US" w:eastAsia="en-US" w:bidi="ar-SA"/>
            </w:rPr>
            <w:fldChar w:fldCharType="end"/>
          </w:r>
        </w:p>
        <w:p w14:paraId="24E11A7A">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_Toc21402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第五章 </w:t>
          </w:r>
          <w:r>
            <w:rPr>
              <w:rFonts w:ascii="Times New Roman" w:hAnsi="Times New Roman" w:eastAsia="黑体" w:cs="Times New Roman"/>
              <w:bCs w:val="0"/>
              <w:szCs w:val="44"/>
            </w:rPr>
            <w:t>系统底座、接口契约与 QA 质量验收</w:t>
          </w:r>
          <w:r>
            <w:tab/>
          </w:r>
          <w:r>
            <w:fldChar w:fldCharType="begin"/>
          </w:r>
          <w:r>
            <w:instrText xml:space="preserve"> PAGEREF _Toc21402 \h </w:instrText>
          </w:r>
          <w:r>
            <w:fldChar w:fldCharType="separate"/>
          </w:r>
          <w:r>
            <w:t>190</w:t>
          </w:r>
          <w:r>
            <w:fldChar w:fldCharType="end"/>
          </w:r>
          <w:r>
            <w:rPr>
              <w:rFonts w:asciiTheme="minorHAnsi" w:hAnsiTheme="minorHAnsi" w:eastAsiaTheme="minorEastAsia" w:cstheme="minorBidi"/>
              <w:szCs w:val="22"/>
              <w:lang w:val="en-US" w:eastAsia="en-US" w:bidi="ar-SA"/>
            </w:rPr>
            <w:fldChar w:fldCharType="end"/>
          </w:r>
        </w:p>
        <w:p w14:paraId="59A052B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_Toc11975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六级组织架构与穿透鉴权体系</w:t>
          </w:r>
          <w:r>
            <w:tab/>
          </w:r>
          <w:r>
            <w:fldChar w:fldCharType="begin"/>
          </w:r>
          <w:r>
            <w:instrText xml:space="preserve"> PAGEREF _Toc11975 \h </w:instrText>
          </w:r>
          <w:r>
            <w:fldChar w:fldCharType="separate"/>
          </w:r>
          <w:r>
            <w:t>190</w:t>
          </w:r>
          <w:r>
            <w:fldChar w:fldCharType="end"/>
          </w:r>
          <w:r>
            <w:rPr>
              <w:rFonts w:asciiTheme="minorHAnsi" w:hAnsiTheme="minorHAnsi" w:eastAsiaTheme="minorEastAsia" w:cstheme="minorBidi"/>
              <w:szCs w:val="22"/>
              <w:lang w:val="en-US" w:eastAsia="en-US" w:bidi="ar-SA"/>
            </w:rPr>
            <w:fldChar w:fldCharType="end"/>
          </w:r>
        </w:p>
        <w:p w14:paraId="7E7EB5CC">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_Toc8628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外部系统集成与 API 契约</w:t>
          </w:r>
          <w:r>
            <w:tab/>
          </w:r>
          <w:r>
            <w:fldChar w:fldCharType="begin"/>
          </w:r>
          <w:r>
            <w:instrText xml:space="preserve"> PAGEREF _Toc8628 \h </w:instrText>
          </w:r>
          <w:r>
            <w:fldChar w:fldCharType="separate"/>
          </w:r>
          <w:r>
            <w:t>191</w:t>
          </w:r>
          <w:r>
            <w:fldChar w:fldCharType="end"/>
          </w:r>
          <w:r>
            <w:rPr>
              <w:rFonts w:asciiTheme="minorHAnsi" w:hAnsiTheme="minorHAnsi" w:eastAsiaTheme="minorEastAsia" w:cstheme="minorBidi"/>
              <w:szCs w:val="22"/>
              <w:lang w:val="en-US" w:eastAsia="en-US" w:bidi="ar-SA"/>
            </w:rPr>
            <w:fldChar w:fldCharType="end"/>
          </w:r>
        </w:p>
        <w:p w14:paraId="29D0718F">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_Toc30400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质量保障体系与全量验收测试用例矩阵</w:t>
          </w:r>
          <w:r>
            <w:tab/>
          </w:r>
          <w:r>
            <w:fldChar w:fldCharType="begin"/>
          </w:r>
          <w:r>
            <w:instrText xml:space="preserve"> PAGEREF _Toc30400 \h </w:instrText>
          </w:r>
          <w:r>
            <w:fldChar w:fldCharType="separate"/>
          </w:r>
          <w:r>
            <w:t>192</w:t>
          </w:r>
          <w:r>
            <w:fldChar w:fldCharType="end"/>
          </w:r>
          <w:r>
            <w:rPr>
              <w:rFonts w:asciiTheme="minorHAnsi" w:hAnsiTheme="minorHAnsi" w:eastAsiaTheme="minorEastAsia" w:cstheme="minorBidi"/>
              <w:szCs w:val="22"/>
              <w:lang w:val="en-US" w:eastAsia="en-US" w:bidi="ar-SA"/>
            </w:rPr>
            <w:fldChar w:fldCharType="end"/>
          </w:r>
        </w:p>
        <w:p w14:paraId="2DFB833C">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_Toc31896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第六章 </w:t>
          </w:r>
          <w:r>
            <w:rPr>
              <w:rFonts w:ascii="Times New Roman" w:hAnsi="Times New Roman" w:eastAsia="黑体" w:cs="Times New Roman"/>
              <w:bCs w:val="0"/>
              <w:szCs w:val="44"/>
            </w:rPr>
            <w:t>工程治理、状态机与合规保障体系</w:t>
          </w:r>
          <w:r>
            <w:tab/>
          </w:r>
          <w:r>
            <w:fldChar w:fldCharType="begin"/>
          </w:r>
          <w:r>
            <w:instrText xml:space="preserve"> PAGEREF _Toc31896 \h </w:instrText>
          </w:r>
          <w:r>
            <w:fldChar w:fldCharType="separate"/>
          </w:r>
          <w:r>
            <w:t>194</w:t>
          </w:r>
          <w:r>
            <w:fldChar w:fldCharType="end"/>
          </w:r>
          <w:r>
            <w:rPr>
              <w:rFonts w:asciiTheme="minorHAnsi" w:hAnsiTheme="minorHAnsi" w:eastAsiaTheme="minorEastAsia" w:cstheme="minorBidi"/>
              <w:szCs w:val="22"/>
              <w:lang w:val="en-US" w:eastAsia="en-US" w:bidi="ar-SA"/>
            </w:rPr>
            <w:fldChar w:fldCharType="end"/>
          </w:r>
        </w:p>
        <w:p w14:paraId="74DB3B93">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_Toc28871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数据治理与商密合规</w:t>
          </w:r>
          <w:r>
            <w:tab/>
          </w:r>
          <w:r>
            <w:fldChar w:fldCharType="begin"/>
          </w:r>
          <w:r>
            <w:instrText xml:space="preserve"> PAGEREF _Toc28871 \h </w:instrText>
          </w:r>
          <w:r>
            <w:fldChar w:fldCharType="separate"/>
          </w:r>
          <w:r>
            <w:t>194</w:t>
          </w:r>
          <w:r>
            <w:fldChar w:fldCharType="end"/>
          </w:r>
          <w:r>
            <w:rPr>
              <w:rFonts w:asciiTheme="minorHAnsi" w:hAnsiTheme="minorHAnsi" w:eastAsiaTheme="minorEastAsia" w:cstheme="minorBidi"/>
              <w:szCs w:val="22"/>
              <w:lang w:val="en-US" w:eastAsia="en-US" w:bidi="ar-SA"/>
            </w:rPr>
            <w:fldChar w:fldCharType="end"/>
          </w:r>
        </w:p>
        <w:p w14:paraId="23522F2C">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_Toc1283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数据冲突仲裁与降级补传治理机制（Reconciliation）</w:t>
          </w:r>
          <w:r>
            <w:tab/>
          </w:r>
          <w:r>
            <w:fldChar w:fldCharType="begin"/>
          </w:r>
          <w:r>
            <w:instrText xml:space="preserve"> PAGEREF _Toc1283 \h </w:instrText>
          </w:r>
          <w:r>
            <w:fldChar w:fldCharType="separate"/>
          </w:r>
          <w:r>
            <w:t>194</w:t>
          </w:r>
          <w:r>
            <w:fldChar w:fldCharType="end"/>
          </w:r>
          <w:r>
            <w:rPr>
              <w:rFonts w:asciiTheme="minorHAnsi" w:hAnsiTheme="minorHAnsi" w:eastAsiaTheme="minorEastAsia" w:cstheme="minorBidi"/>
              <w:szCs w:val="22"/>
              <w:lang w:val="en-US" w:eastAsia="en-US" w:bidi="ar-SA"/>
            </w:rPr>
            <w:fldChar w:fldCharType="end"/>
          </w:r>
        </w:p>
        <w:p w14:paraId="2F54936F">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_Toc12326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1. </w:t>
          </w:r>
          <w:r>
            <w:rPr>
              <w:rFonts w:ascii="Times New Roman" w:hAnsi="Times New Roman" w:eastAsia="黑体" w:cs="Times New Roman"/>
              <w:bCs w:val="0"/>
              <w:szCs w:val="24"/>
            </w:rPr>
            <w:t>时序补传冲突消解（断网恢复场景）</w:t>
          </w:r>
          <w:r>
            <w:tab/>
          </w:r>
          <w:r>
            <w:fldChar w:fldCharType="begin"/>
          </w:r>
          <w:r>
            <w:instrText xml:space="preserve"> PAGEREF _Toc12326 \h </w:instrText>
          </w:r>
          <w:r>
            <w:fldChar w:fldCharType="separate"/>
          </w:r>
          <w:r>
            <w:t>194</w:t>
          </w:r>
          <w:r>
            <w:fldChar w:fldCharType="end"/>
          </w:r>
          <w:r>
            <w:rPr>
              <w:rFonts w:asciiTheme="minorHAnsi" w:hAnsiTheme="minorHAnsi" w:eastAsiaTheme="minorEastAsia" w:cstheme="minorBidi"/>
              <w:szCs w:val="22"/>
              <w:lang w:val="en-US" w:eastAsia="en-US" w:bidi="ar-SA"/>
            </w:rPr>
            <w:fldChar w:fldCharType="end"/>
          </w:r>
        </w:p>
        <w:p w14:paraId="48C92E56">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_Toc2219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2. </w:t>
          </w:r>
          <w:r>
            <w:rPr>
              <w:rFonts w:ascii="Times New Roman" w:hAnsi="Times New Roman" w:eastAsia="黑体" w:cs="Times New Roman"/>
              <w:bCs w:val="0"/>
              <w:szCs w:val="24"/>
            </w:rPr>
            <w:t>BOM 差异对账仲裁（ERP 恢复场景）</w:t>
          </w:r>
          <w:r>
            <w:tab/>
          </w:r>
          <w:r>
            <w:fldChar w:fldCharType="begin"/>
          </w:r>
          <w:r>
            <w:instrText xml:space="preserve"> PAGEREF _Toc2219 \h </w:instrText>
          </w:r>
          <w:r>
            <w:fldChar w:fldCharType="separate"/>
          </w:r>
          <w:r>
            <w:t>195</w:t>
          </w:r>
          <w:r>
            <w:fldChar w:fldCharType="end"/>
          </w:r>
          <w:r>
            <w:rPr>
              <w:rFonts w:asciiTheme="minorHAnsi" w:hAnsiTheme="minorHAnsi" w:eastAsiaTheme="minorEastAsia" w:cstheme="minorBidi"/>
              <w:szCs w:val="22"/>
              <w:lang w:val="en-US" w:eastAsia="en-US" w:bidi="ar-SA"/>
            </w:rPr>
            <w:fldChar w:fldCharType="end"/>
          </w:r>
        </w:p>
        <w:p w14:paraId="107A3B2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_Toc31999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关键业务长流程状态机图谱</w:t>
          </w:r>
          <w:r>
            <w:tab/>
          </w:r>
          <w:r>
            <w:fldChar w:fldCharType="begin"/>
          </w:r>
          <w:r>
            <w:instrText xml:space="preserve"> PAGEREF _Toc31999 \h </w:instrText>
          </w:r>
          <w:r>
            <w:fldChar w:fldCharType="separate"/>
          </w:r>
          <w:r>
            <w:t>196</w:t>
          </w:r>
          <w:r>
            <w:fldChar w:fldCharType="end"/>
          </w:r>
          <w:r>
            <w:rPr>
              <w:rFonts w:asciiTheme="minorHAnsi" w:hAnsiTheme="minorHAnsi" w:eastAsiaTheme="minorEastAsia" w:cstheme="minorBidi"/>
              <w:szCs w:val="22"/>
              <w:lang w:val="en-US" w:eastAsia="en-US" w:bidi="ar-SA"/>
            </w:rPr>
            <w:fldChar w:fldCharType="end"/>
          </w:r>
        </w:p>
        <w:p w14:paraId="57D6ED49">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_Toc17227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四、 </w:t>
          </w:r>
          <w:r>
            <w:rPr>
              <w:rFonts w:ascii="Times New Roman" w:hAnsi="Times New Roman" w:eastAsia="黑体" w:cs="Times New Roman"/>
              <w:bCs w:val="0"/>
              <w:szCs w:val="32"/>
            </w:rPr>
            <w:t>术语表与缩略语大全</w:t>
          </w:r>
          <w:r>
            <w:tab/>
          </w:r>
          <w:r>
            <w:fldChar w:fldCharType="begin"/>
          </w:r>
          <w:r>
            <w:instrText xml:space="preserve"> PAGEREF _Toc17227 \h </w:instrText>
          </w:r>
          <w:r>
            <w:fldChar w:fldCharType="separate"/>
          </w:r>
          <w:r>
            <w:t>197</w:t>
          </w:r>
          <w:r>
            <w:fldChar w:fldCharType="end"/>
          </w:r>
          <w:r>
            <w:rPr>
              <w:rFonts w:asciiTheme="minorHAnsi" w:hAnsiTheme="minorHAnsi" w:eastAsiaTheme="minorEastAsia" w:cstheme="minorBidi"/>
              <w:szCs w:val="22"/>
              <w:lang w:val="en-US" w:eastAsia="en-US" w:bidi="ar-SA"/>
            </w:rPr>
            <w:fldChar w:fldCharType="end"/>
          </w:r>
        </w:p>
        <w:p w14:paraId="57AE7DAD">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_Toc28606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五、 </w:t>
          </w:r>
          <w:r>
            <w:rPr>
              <w:rFonts w:ascii="Times New Roman" w:hAnsi="Times New Roman" w:eastAsia="黑体" w:cs="Times New Roman"/>
              <w:bCs w:val="0"/>
              <w:szCs w:val="32"/>
            </w:rPr>
            <w:t>标准化错误码字典与异常分级</w:t>
          </w:r>
          <w:r>
            <w:tab/>
          </w:r>
          <w:r>
            <w:fldChar w:fldCharType="begin"/>
          </w:r>
          <w:r>
            <w:instrText xml:space="preserve"> PAGEREF _Toc28606 \h </w:instrText>
          </w:r>
          <w:r>
            <w:fldChar w:fldCharType="separate"/>
          </w:r>
          <w:r>
            <w:t>198</w:t>
          </w:r>
          <w:r>
            <w:fldChar w:fldCharType="end"/>
          </w:r>
          <w:r>
            <w:rPr>
              <w:rFonts w:asciiTheme="minorHAnsi" w:hAnsiTheme="minorHAnsi" w:eastAsiaTheme="minorEastAsia" w:cstheme="minorBidi"/>
              <w:szCs w:val="22"/>
              <w:lang w:val="en-US" w:eastAsia="en-US" w:bidi="ar-SA"/>
            </w:rPr>
            <w:fldChar w:fldCharType="end"/>
          </w:r>
        </w:p>
        <w:p w14:paraId="5ED97F05">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_Toc28882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六、 </w:t>
          </w:r>
          <w:r>
            <w:rPr>
              <w:rFonts w:ascii="Times New Roman" w:hAnsi="Times New Roman" w:eastAsia="黑体" w:cs="Times New Roman"/>
              <w:bCs w:val="0"/>
              <w:szCs w:val="32"/>
            </w:rPr>
            <w:t>决策治理责任矩阵</w:t>
          </w:r>
          <w:r>
            <w:tab/>
          </w:r>
          <w:r>
            <w:fldChar w:fldCharType="begin"/>
          </w:r>
          <w:r>
            <w:instrText xml:space="preserve"> PAGEREF _Toc28882 \h </w:instrText>
          </w:r>
          <w:r>
            <w:fldChar w:fldCharType="separate"/>
          </w:r>
          <w:r>
            <w:t>200</w:t>
          </w:r>
          <w:r>
            <w:fldChar w:fldCharType="end"/>
          </w:r>
          <w:r>
            <w:rPr>
              <w:rFonts w:asciiTheme="minorHAnsi" w:hAnsiTheme="minorHAnsi" w:eastAsiaTheme="minorEastAsia" w:cstheme="minorBidi"/>
              <w:szCs w:val="22"/>
              <w:lang w:val="en-US" w:eastAsia="en-US" w:bidi="ar-SA"/>
            </w:rPr>
            <w:fldChar w:fldCharType="end"/>
          </w:r>
        </w:p>
        <w:p w14:paraId="388FD799">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_Toc3327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第七章 </w:t>
          </w:r>
          <w:r>
            <w:rPr>
              <w:rFonts w:ascii="Times New Roman" w:hAnsi="Times New Roman" w:eastAsia="黑体" w:cs="Times New Roman"/>
              <w:bCs w:val="0"/>
              <w:szCs w:val="44"/>
            </w:rPr>
            <w:t>非功能需求与性能指标</w:t>
          </w:r>
          <w:r>
            <w:tab/>
          </w:r>
          <w:r>
            <w:fldChar w:fldCharType="begin"/>
          </w:r>
          <w:r>
            <w:instrText xml:space="preserve"> PAGEREF _Toc3327 \h </w:instrText>
          </w:r>
          <w:r>
            <w:fldChar w:fldCharType="separate"/>
          </w:r>
          <w:r>
            <w:t>201</w:t>
          </w:r>
          <w:r>
            <w:fldChar w:fldCharType="end"/>
          </w:r>
          <w:r>
            <w:rPr>
              <w:rFonts w:asciiTheme="minorHAnsi" w:hAnsiTheme="minorHAnsi" w:eastAsiaTheme="minorEastAsia" w:cstheme="minorBidi"/>
              <w:szCs w:val="22"/>
              <w:lang w:val="en-US" w:eastAsia="en-US" w:bidi="ar-SA"/>
            </w:rPr>
            <w:fldChar w:fldCharType="end"/>
          </w:r>
        </w:p>
        <w:p w14:paraId="252295B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_Toc555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性能指标基线</w:t>
          </w:r>
          <w:r>
            <w:tab/>
          </w:r>
          <w:r>
            <w:fldChar w:fldCharType="begin"/>
          </w:r>
          <w:r>
            <w:instrText xml:space="preserve"> PAGEREF _Toc555 \h </w:instrText>
          </w:r>
          <w:r>
            <w:fldChar w:fldCharType="separate"/>
          </w:r>
          <w:r>
            <w:t>201</w:t>
          </w:r>
          <w:r>
            <w:fldChar w:fldCharType="end"/>
          </w:r>
          <w:r>
            <w:rPr>
              <w:rFonts w:asciiTheme="minorHAnsi" w:hAnsiTheme="minorHAnsi" w:eastAsiaTheme="minorEastAsia" w:cstheme="minorBidi"/>
              <w:szCs w:val="22"/>
              <w:lang w:val="en-US" w:eastAsia="en-US" w:bidi="ar-SA"/>
            </w:rPr>
            <w:fldChar w:fldCharType="end"/>
          </w:r>
        </w:p>
        <w:p w14:paraId="6DE30790">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_Toc3514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可靠性与可观测性基线</w:t>
          </w:r>
          <w:r>
            <w:tab/>
          </w:r>
          <w:r>
            <w:fldChar w:fldCharType="begin"/>
          </w:r>
          <w:r>
            <w:instrText xml:space="preserve"> PAGEREF _Toc3514 \h </w:instrText>
          </w:r>
          <w:r>
            <w:fldChar w:fldCharType="separate"/>
          </w:r>
          <w:r>
            <w:t>201</w:t>
          </w:r>
          <w:r>
            <w:fldChar w:fldCharType="end"/>
          </w:r>
          <w:r>
            <w:rPr>
              <w:rFonts w:asciiTheme="minorHAnsi" w:hAnsiTheme="minorHAnsi" w:eastAsiaTheme="minorEastAsia" w:cstheme="minorBidi"/>
              <w:szCs w:val="22"/>
              <w:lang w:val="en-US" w:eastAsia="en-US" w:bidi="ar-SA"/>
            </w:rPr>
            <w:fldChar w:fldCharType="end"/>
          </w:r>
        </w:p>
        <w:p w14:paraId="1492B7C0">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_Toc4420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第八章 </w:t>
          </w:r>
          <w:r>
            <w:rPr>
              <w:rFonts w:ascii="Times New Roman" w:hAnsi="Times New Roman" w:eastAsia="黑体" w:cs="Times New Roman"/>
              <w:bCs w:val="0"/>
              <w:szCs w:val="44"/>
            </w:rPr>
            <w:t>技术架构与系统选型</w:t>
          </w:r>
          <w:r>
            <w:tab/>
          </w:r>
          <w:r>
            <w:fldChar w:fldCharType="begin"/>
          </w:r>
          <w:r>
            <w:instrText xml:space="preserve"> PAGEREF _Toc4420 \h </w:instrText>
          </w:r>
          <w:r>
            <w:fldChar w:fldCharType="separate"/>
          </w:r>
          <w:r>
            <w:t>202</w:t>
          </w:r>
          <w:r>
            <w:fldChar w:fldCharType="end"/>
          </w:r>
          <w:r>
            <w:rPr>
              <w:rFonts w:asciiTheme="minorHAnsi" w:hAnsiTheme="minorHAnsi" w:eastAsiaTheme="minorEastAsia" w:cstheme="minorBidi"/>
              <w:szCs w:val="22"/>
              <w:lang w:val="en-US" w:eastAsia="en-US" w:bidi="ar-SA"/>
            </w:rPr>
            <w:fldChar w:fldCharType="end"/>
          </w:r>
        </w:p>
        <w:p w14:paraId="3455F726">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_Toc7602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原型实现技术栈</w:t>
          </w:r>
          <w:r>
            <w:tab/>
          </w:r>
          <w:r>
            <w:fldChar w:fldCharType="begin"/>
          </w:r>
          <w:r>
            <w:instrText xml:space="preserve"> PAGEREF _Toc7602 \h </w:instrText>
          </w:r>
          <w:r>
            <w:fldChar w:fldCharType="separate"/>
          </w:r>
          <w:r>
            <w:t>202</w:t>
          </w:r>
          <w:r>
            <w:fldChar w:fldCharType="end"/>
          </w:r>
          <w:r>
            <w:rPr>
              <w:rFonts w:asciiTheme="minorHAnsi" w:hAnsiTheme="minorHAnsi" w:eastAsiaTheme="minorEastAsia" w:cstheme="minorBidi"/>
              <w:szCs w:val="22"/>
              <w:lang w:val="en-US" w:eastAsia="en-US" w:bidi="ar-SA"/>
            </w:rPr>
            <w:fldChar w:fldCharType="end"/>
          </w:r>
        </w:p>
        <w:p w14:paraId="76E4F5E1">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_Toc22068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关键架构决策（ADR）</w:t>
          </w:r>
          <w:r>
            <w:tab/>
          </w:r>
          <w:r>
            <w:fldChar w:fldCharType="begin"/>
          </w:r>
          <w:r>
            <w:instrText xml:space="preserve"> PAGEREF _Toc22068 \h </w:instrText>
          </w:r>
          <w:r>
            <w:fldChar w:fldCharType="separate"/>
          </w:r>
          <w:r>
            <w:t>202</w:t>
          </w:r>
          <w:r>
            <w:fldChar w:fldCharType="end"/>
          </w:r>
          <w:r>
            <w:rPr>
              <w:rFonts w:asciiTheme="minorHAnsi" w:hAnsiTheme="minorHAnsi" w:eastAsiaTheme="minorEastAsia" w:cstheme="minorBidi"/>
              <w:szCs w:val="22"/>
              <w:lang w:val="en-US" w:eastAsia="en-US" w:bidi="ar-SA"/>
            </w:rPr>
            <w:fldChar w:fldCharType="end"/>
          </w:r>
        </w:p>
        <w:p w14:paraId="4444240E">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_Toc27258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技术决策裁决记录与残留待确认项</w:t>
          </w:r>
          <w:r>
            <w:tab/>
          </w:r>
          <w:r>
            <w:fldChar w:fldCharType="begin"/>
          </w:r>
          <w:r>
            <w:instrText xml:space="preserve"> PAGEREF _Toc27258 \h </w:instrText>
          </w:r>
          <w:r>
            <w:fldChar w:fldCharType="separate"/>
          </w:r>
          <w:r>
            <w:t>203</w:t>
          </w:r>
          <w:r>
            <w:fldChar w:fldCharType="end"/>
          </w:r>
          <w:r>
            <w:rPr>
              <w:rFonts w:asciiTheme="minorHAnsi" w:hAnsiTheme="minorHAnsi" w:eastAsiaTheme="minorEastAsia" w:cstheme="minorBidi"/>
              <w:szCs w:val="22"/>
              <w:lang w:val="en-US" w:eastAsia="en-US" w:bidi="ar-SA"/>
            </w:rPr>
            <w:fldChar w:fldCharType="end"/>
          </w:r>
        </w:p>
        <w:p w14:paraId="6CE8E5C5">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_Toc11956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第九章 </w:t>
          </w:r>
          <w:r>
            <w:rPr>
              <w:rFonts w:ascii="Times New Roman" w:hAnsi="Times New Roman" w:eastAsia="黑体" w:cs="Times New Roman"/>
              <w:bCs w:val="0"/>
              <w:szCs w:val="44"/>
            </w:rPr>
            <w:t>系统级公共模块需求</w:t>
          </w:r>
          <w:r>
            <w:tab/>
          </w:r>
          <w:r>
            <w:fldChar w:fldCharType="begin"/>
          </w:r>
          <w:r>
            <w:instrText xml:space="preserve"> PAGEREF _Toc11956 \h </w:instrText>
          </w:r>
          <w:r>
            <w:fldChar w:fldCharType="separate"/>
          </w:r>
          <w:r>
            <w:t>203</w:t>
          </w:r>
          <w:r>
            <w:fldChar w:fldCharType="end"/>
          </w:r>
          <w:r>
            <w:rPr>
              <w:rFonts w:asciiTheme="minorHAnsi" w:hAnsiTheme="minorHAnsi" w:eastAsiaTheme="minorEastAsia" w:cstheme="minorBidi"/>
              <w:szCs w:val="22"/>
              <w:lang w:val="en-US" w:eastAsia="en-US" w:bidi="ar-SA"/>
            </w:rPr>
            <w:fldChar w:fldCharType="end"/>
          </w:r>
        </w:p>
        <w:p w14:paraId="0F205F54">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_Toc28561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公共模块清单</w:t>
          </w:r>
          <w:r>
            <w:tab/>
          </w:r>
          <w:r>
            <w:fldChar w:fldCharType="begin"/>
          </w:r>
          <w:r>
            <w:instrText xml:space="preserve"> PAGEREF _Toc28561 \h </w:instrText>
          </w:r>
          <w:r>
            <w:fldChar w:fldCharType="separate"/>
          </w:r>
          <w:r>
            <w:t>203</w:t>
          </w:r>
          <w:r>
            <w:fldChar w:fldCharType="end"/>
          </w:r>
          <w:r>
            <w:rPr>
              <w:rFonts w:asciiTheme="minorHAnsi" w:hAnsiTheme="minorHAnsi" w:eastAsiaTheme="minorEastAsia" w:cstheme="minorBidi"/>
              <w:szCs w:val="22"/>
              <w:lang w:val="en-US" w:eastAsia="en-US" w:bidi="ar-SA"/>
            </w:rPr>
            <w:fldChar w:fldCharType="end"/>
          </w:r>
        </w:p>
        <w:p w14:paraId="0ED47526">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_Toc4683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告警中枢分级与响应契约</w:t>
          </w:r>
          <w:r>
            <w:tab/>
          </w:r>
          <w:r>
            <w:fldChar w:fldCharType="begin"/>
          </w:r>
          <w:r>
            <w:instrText xml:space="preserve"> PAGEREF _Toc4683 \h </w:instrText>
          </w:r>
          <w:r>
            <w:fldChar w:fldCharType="separate"/>
          </w:r>
          <w:r>
            <w:t>204</w:t>
          </w:r>
          <w:r>
            <w:fldChar w:fldCharType="end"/>
          </w:r>
          <w:r>
            <w:rPr>
              <w:rFonts w:asciiTheme="minorHAnsi" w:hAnsiTheme="minorHAnsi" w:eastAsiaTheme="minorEastAsia" w:cstheme="minorBidi"/>
              <w:szCs w:val="22"/>
              <w:lang w:val="en-US" w:eastAsia="en-US" w:bidi="ar-SA"/>
            </w:rPr>
            <w:fldChar w:fldCharType="end"/>
          </w:r>
        </w:p>
        <w:p w14:paraId="4B28A4DF">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_Toc4190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第十章 </w:t>
          </w:r>
          <w:r>
            <w:rPr>
              <w:rFonts w:ascii="Times New Roman" w:hAnsi="Times New Roman" w:eastAsia="黑体" w:cs="Times New Roman"/>
              <w:bCs w:val="0"/>
              <w:szCs w:val="44"/>
            </w:rPr>
            <w:t>安全与合规需求</w:t>
          </w:r>
          <w:r>
            <w:tab/>
          </w:r>
          <w:r>
            <w:fldChar w:fldCharType="begin"/>
          </w:r>
          <w:r>
            <w:instrText xml:space="preserve"> PAGEREF _Toc4190 \h </w:instrText>
          </w:r>
          <w:r>
            <w:fldChar w:fldCharType="separate"/>
          </w:r>
          <w:r>
            <w:t>205</w:t>
          </w:r>
          <w:r>
            <w:fldChar w:fldCharType="end"/>
          </w:r>
          <w:r>
            <w:rPr>
              <w:rFonts w:asciiTheme="minorHAnsi" w:hAnsiTheme="minorHAnsi" w:eastAsiaTheme="minorEastAsia" w:cstheme="minorBidi"/>
              <w:szCs w:val="22"/>
              <w:lang w:val="en-US" w:eastAsia="en-US" w:bidi="ar-SA"/>
            </w:rPr>
            <w:fldChar w:fldCharType="end"/>
          </w:r>
        </w:p>
        <w:p w14:paraId="505D5FD6">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_Toc24788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网络安全防护体系</w:t>
          </w:r>
          <w:r>
            <w:tab/>
          </w:r>
          <w:r>
            <w:fldChar w:fldCharType="begin"/>
          </w:r>
          <w:r>
            <w:instrText xml:space="preserve"> PAGEREF _Toc24788 \h </w:instrText>
          </w:r>
          <w:r>
            <w:fldChar w:fldCharType="separate"/>
          </w:r>
          <w:r>
            <w:t>205</w:t>
          </w:r>
          <w:r>
            <w:fldChar w:fldCharType="end"/>
          </w:r>
          <w:r>
            <w:rPr>
              <w:rFonts w:asciiTheme="minorHAnsi" w:hAnsiTheme="minorHAnsi" w:eastAsiaTheme="minorEastAsia" w:cstheme="minorBidi"/>
              <w:szCs w:val="22"/>
              <w:lang w:val="en-US" w:eastAsia="en-US" w:bidi="ar-SA"/>
            </w:rPr>
            <w:fldChar w:fldCharType="end"/>
          </w:r>
        </w:p>
        <w:p w14:paraId="26509082">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_Toc22294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数据出境与合规</w:t>
          </w:r>
          <w:r>
            <w:tab/>
          </w:r>
          <w:r>
            <w:fldChar w:fldCharType="begin"/>
          </w:r>
          <w:r>
            <w:instrText xml:space="preserve"> PAGEREF _Toc22294 \h </w:instrText>
          </w:r>
          <w:r>
            <w:fldChar w:fldCharType="separate"/>
          </w:r>
          <w:r>
            <w:t>205</w:t>
          </w:r>
          <w:r>
            <w:fldChar w:fldCharType="end"/>
          </w:r>
          <w:r>
            <w:rPr>
              <w:rFonts w:asciiTheme="minorHAnsi" w:hAnsiTheme="minorHAnsi" w:eastAsiaTheme="minorEastAsia" w:cstheme="minorBidi"/>
              <w:szCs w:val="22"/>
              <w:lang w:val="en-US" w:eastAsia="en-US" w:bidi="ar-SA"/>
            </w:rPr>
            <w:fldChar w:fldCharType="end"/>
          </w:r>
        </w:p>
        <w:p w14:paraId="32B29E70">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_Toc9806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3. </w:t>
          </w:r>
          <w:r>
            <w:rPr>
              <w:rFonts w:ascii="Times New Roman" w:hAnsi="Times New Roman" w:eastAsia="黑体" w:cs="Times New Roman"/>
              <w:bCs w:val="0"/>
              <w:szCs w:val="24"/>
            </w:rPr>
            <w:t>CBAM 数据出境安全合规前置方案</w:t>
          </w:r>
          <w:r>
            <w:tab/>
          </w:r>
          <w:r>
            <w:fldChar w:fldCharType="begin"/>
          </w:r>
          <w:r>
            <w:instrText xml:space="preserve"> PAGEREF _Toc9806 \h </w:instrText>
          </w:r>
          <w:r>
            <w:fldChar w:fldCharType="separate"/>
          </w:r>
          <w:r>
            <w:t>205</w:t>
          </w:r>
          <w:r>
            <w:fldChar w:fldCharType="end"/>
          </w:r>
          <w:r>
            <w:rPr>
              <w:rFonts w:asciiTheme="minorHAnsi" w:hAnsiTheme="minorHAnsi" w:eastAsiaTheme="minorEastAsia" w:cstheme="minorBidi"/>
              <w:szCs w:val="22"/>
              <w:lang w:val="en-US" w:eastAsia="en-US" w:bidi="ar-SA"/>
            </w:rPr>
            <w:fldChar w:fldCharType="end"/>
          </w:r>
        </w:p>
        <w:p w14:paraId="2A7A7D4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_Toc10200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安全合规遗留待确认项清单</w:t>
          </w:r>
          <w:r>
            <w:tab/>
          </w:r>
          <w:r>
            <w:fldChar w:fldCharType="begin"/>
          </w:r>
          <w:r>
            <w:instrText xml:space="preserve"> PAGEREF _Toc10200 \h </w:instrText>
          </w:r>
          <w:r>
            <w:fldChar w:fldCharType="separate"/>
          </w:r>
          <w:r>
            <w:t>206</w:t>
          </w:r>
          <w:r>
            <w:fldChar w:fldCharType="end"/>
          </w:r>
          <w:r>
            <w:rPr>
              <w:rFonts w:asciiTheme="minorHAnsi" w:hAnsiTheme="minorHAnsi" w:eastAsiaTheme="minorEastAsia" w:cstheme="minorBidi"/>
              <w:szCs w:val="22"/>
              <w:lang w:val="en-US" w:eastAsia="en-US" w:bidi="ar-SA"/>
            </w:rPr>
            <w:fldChar w:fldCharType="end"/>
          </w:r>
        </w:p>
        <w:p w14:paraId="430068E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_Toc1560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第十一章 </w:t>
          </w:r>
          <w:r>
            <w:rPr>
              <w:rFonts w:ascii="Times New Roman" w:hAnsi="Times New Roman" w:eastAsia="黑体" w:cs="Times New Roman"/>
              <w:bCs w:val="0"/>
              <w:szCs w:val="44"/>
            </w:rPr>
            <w:t>外部系统集成与数据采集点表</w:t>
          </w:r>
          <w:r>
            <w:tab/>
          </w:r>
          <w:r>
            <w:fldChar w:fldCharType="begin"/>
          </w:r>
          <w:r>
            <w:instrText xml:space="preserve"> PAGEREF _Toc1560 \h </w:instrText>
          </w:r>
          <w:r>
            <w:fldChar w:fldCharType="separate"/>
          </w:r>
          <w:r>
            <w:t>206</w:t>
          </w:r>
          <w:r>
            <w:fldChar w:fldCharType="end"/>
          </w:r>
          <w:r>
            <w:rPr>
              <w:rFonts w:asciiTheme="minorHAnsi" w:hAnsiTheme="minorHAnsi" w:eastAsiaTheme="minorEastAsia" w:cstheme="minorBidi"/>
              <w:szCs w:val="22"/>
              <w:lang w:val="en-US" w:eastAsia="en-US" w:bidi="ar-SA"/>
            </w:rPr>
            <w:fldChar w:fldCharType="end"/>
          </w:r>
        </w:p>
        <w:p w14:paraId="4F8D52D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_Toc29044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集成接口</w:t>
          </w:r>
          <w:r>
            <w:tab/>
          </w:r>
          <w:r>
            <w:fldChar w:fldCharType="begin"/>
          </w:r>
          <w:r>
            <w:instrText xml:space="preserve"> PAGEREF _Toc29044 \h </w:instrText>
          </w:r>
          <w:r>
            <w:fldChar w:fldCharType="separate"/>
          </w:r>
          <w:r>
            <w:t>207</w:t>
          </w:r>
          <w:r>
            <w:fldChar w:fldCharType="end"/>
          </w:r>
          <w:r>
            <w:rPr>
              <w:rFonts w:asciiTheme="minorHAnsi" w:hAnsiTheme="minorHAnsi" w:eastAsiaTheme="minorEastAsia" w:cstheme="minorBidi"/>
              <w:szCs w:val="22"/>
              <w:lang w:val="en-US" w:eastAsia="en-US" w:bidi="ar-SA"/>
            </w:rPr>
            <w:fldChar w:fldCharType="end"/>
          </w:r>
        </w:p>
        <w:p w14:paraId="0FBB832C">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_Toc20731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采集点表（核心点位）</w:t>
          </w:r>
          <w:r>
            <w:tab/>
          </w:r>
          <w:r>
            <w:fldChar w:fldCharType="begin"/>
          </w:r>
          <w:r>
            <w:instrText xml:space="preserve"> PAGEREF _Toc20731 \h </w:instrText>
          </w:r>
          <w:r>
            <w:fldChar w:fldCharType="separate"/>
          </w:r>
          <w:r>
            <w:t>207</w:t>
          </w:r>
          <w:r>
            <w:fldChar w:fldCharType="end"/>
          </w:r>
          <w:r>
            <w:rPr>
              <w:rFonts w:asciiTheme="minorHAnsi" w:hAnsiTheme="minorHAnsi" w:eastAsiaTheme="minorEastAsia" w:cstheme="minorBidi"/>
              <w:szCs w:val="22"/>
              <w:lang w:val="en-US" w:eastAsia="en-US" w:bidi="ar-SA"/>
            </w:rPr>
            <w:fldChar w:fldCharType="end"/>
          </w:r>
        </w:p>
        <w:p w14:paraId="5C76A0B6">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_Toc29125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外部数据源与授权</w:t>
          </w:r>
          <w:r>
            <w:tab/>
          </w:r>
          <w:r>
            <w:fldChar w:fldCharType="begin"/>
          </w:r>
          <w:r>
            <w:instrText xml:space="preserve"> PAGEREF _Toc29125 \h </w:instrText>
          </w:r>
          <w:r>
            <w:fldChar w:fldCharType="separate"/>
          </w:r>
          <w:r>
            <w:t>208</w:t>
          </w:r>
          <w:r>
            <w:fldChar w:fldCharType="end"/>
          </w:r>
          <w:r>
            <w:rPr>
              <w:rFonts w:asciiTheme="minorHAnsi" w:hAnsiTheme="minorHAnsi" w:eastAsiaTheme="minorEastAsia" w:cstheme="minorBidi"/>
              <w:szCs w:val="22"/>
              <w:lang w:val="en-US" w:eastAsia="en-US" w:bidi="ar-SA"/>
            </w:rPr>
            <w:fldChar w:fldCharType="end"/>
          </w:r>
        </w:p>
        <w:p w14:paraId="5009D0EA">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_Toc9404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第十二章 </w:t>
          </w:r>
          <w:r>
            <w:rPr>
              <w:rFonts w:ascii="Times New Roman" w:hAnsi="Times New Roman" w:eastAsia="黑体" w:cs="Times New Roman"/>
              <w:bCs w:val="0"/>
              <w:szCs w:val="44"/>
            </w:rPr>
            <w:t>测试与验收基线</w:t>
          </w:r>
          <w:r>
            <w:tab/>
          </w:r>
          <w:r>
            <w:fldChar w:fldCharType="begin"/>
          </w:r>
          <w:r>
            <w:instrText xml:space="preserve"> PAGEREF _Toc9404 \h </w:instrText>
          </w:r>
          <w:r>
            <w:fldChar w:fldCharType="separate"/>
          </w:r>
          <w:r>
            <w:t>209</w:t>
          </w:r>
          <w:r>
            <w:fldChar w:fldCharType="end"/>
          </w:r>
          <w:r>
            <w:rPr>
              <w:rFonts w:asciiTheme="minorHAnsi" w:hAnsiTheme="minorHAnsi" w:eastAsiaTheme="minorEastAsia" w:cstheme="minorBidi"/>
              <w:szCs w:val="22"/>
              <w:lang w:val="en-US" w:eastAsia="en-US" w:bidi="ar-SA"/>
            </w:rPr>
            <w:fldChar w:fldCharType="end"/>
          </w:r>
        </w:p>
        <w:p w14:paraId="07B8BD5D">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_Toc4485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验收准则</w:t>
          </w:r>
          <w:r>
            <w:tab/>
          </w:r>
          <w:r>
            <w:fldChar w:fldCharType="begin"/>
          </w:r>
          <w:r>
            <w:instrText xml:space="preserve"> PAGEREF _Toc4485 \h </w:instrText>
          </w:r>
          <w:r>
            <w:fldChar w:fldCharType="separate"/>
          </w:r>
          <w:r>
            <w:t>209</w:t>
          </w:r>
          <w:r>
            <w:fldChar w:fldCharType="end"/>
          </w:r>
          <w:r>
            <w:rPr>
              <w:rFonts w:asciiTheme="minorHAnsi" w:hAnsiTheme="minorHAnsi" w:eastAsiaTheme="minorEastAsia" w:cstheme="minorBidi"/>
              <w:szCs w:val="22"/>
              <w:lang w:val="en-US" w:eastAsia="en-US" w:bidi="ar-SA"/>
            </w:rPr>
            <w:fldChar w:fldCharType="end"/>
          </w:r>
        </w:p>
        <w:p w14:paraId="5F6ED749">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_Toc10509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破坏性测试矩阵（EQP / BVA）</w:t>
          </w:r>
          <w:r>
            <w:tab/>
          </w:r>
          <w:r>
            <w:fldChar w:fldCharType="begin"/>
          </w:r>
          <w:r>
            <w:instrText xml:space="preserve"> PAGEREF _Toc10509 \h </w:instrText>
          </w:r>
          <w:r>
            <w:fldChar w:fldCharType="separate"/>
          </w:r>
          <w:r>
            <w:t>209</w:t>
          </w:r>
          <w:r>
            <w:fldChar w:fldCharType="end"/>
          </w:r>
          <w:r>
            <w:rPr>
              <w:rFonts w:asciiTheme="minorHAnsi" w:hAnsiTheme="minorHAnsi" w:eastAsiaTheme="minorEastAsia" w:cstheme="minorBidi"/>
              <w:szCs w:val="22"/>
              <w:lang w:val="en-US" w:eastAsia="en-US" w:bidi="ar-SA"/>
            </w:rPr>
            <w:fldChar w:fldCharType="end"/>
          </w:r>
        </w:p>
        <w:p w14:paraId="1A7C5B7D">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_Toc15357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全系统验收基线</w:t>
          </w:r>
          <w:r>
            <w:tab/>
          </w:r>
          <w:r>
            <w:fldChar w:fldCharType="begin"/>
          </w:r>
          <w:r>
            <w:instrText xml:space="preserve"> PAGEREF _Toc15357 \h </w:instrText>
          </w:r>
          <w:r>
            <w:fldChar w:fldCharType="separate"/>
          </w:r>
          <w:r>
            <w:t>209</w:t>
          </w:r>
          <w:r>
            <w:fldChar w:fldCharType="end"/>
          </w:r>
          <w:r>
            <w:rPr>
              <w:rFonts w:asciiTheme="minorHAnsi" w:hAnsiTheme="minorHAnsi" w:eastAsiaTheme="minorEastAsia" w:cstheme="minorBidi"/>
              <w:szCs w:val="22"/>
              <w:lang w:val="en-US" w:eastAsia="en-US" w:bidi="ar-SA"/>
            </w:rPr>
            <w:fldChar w:fldCharType="end"/>
          </w:r>
        </w:p>
        <w:p w14:paraId="26B77CE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_Toc23816 </w:instrText>
          </w:r>
          <w:r>
            <w:rPr>
              <w:rFonts w:asciiTheme="minorHAnsi" w:hAnsiTheme="minorHAnsi" w:eastAsiaTheme="minorEastAsia" w:cstheme="minorBidi"/>
              <w:szCs w:val="22"/>
              <w:lang w:val="en-US" w:eastAsia="en-US" w:bidi="ar-SA"/>
            </w:rPr>
            <w:fldChar w:fldCharType="separate"/>
          </w:r>
          <w:r>
            <w:rPr>
              <w:rFonts w:ascii="Times New Roman" w:hAnsi="Times New Roman" w:eastAsia="黑体" w:cs="Times New Roman"/>
              <w:bCs w:val="0"/>
              <w:szCs w:val="24"/>
            </w:rPr>
            <w:t>附录 A：现行国标 / 行标 / 欧标 法规映射表</w:t>
          </w:r>
          <w:r>
            <w:tab/>
          </w:r>
          <w:r>
            <w:fldChar w:fldCharType="begin"/>
          </w:r>
          <w:r>
            <w:instrText xml:space="preserve"> PAGEREF _Toc23816 \h </w:instrText>
          </w:r>
          <w:r>
            <w:fldChar w:fldCharType="separate"/>
          </w:r>
          <w:r>
            <w:t>210</w:t>
          </w:r>
          <w:r>
            <w:fldChar w:fldCharType="end"/>
          </w:r>
          <w:r>
            <w:rPr>
              <w:rFonts w:asciiTheme="minorHAnsi" w:hAnsiTheme="minorHAnsi" w:eastAsiaTheme="minorEastAsia" w:cstheme="minorBidi"/>
              <w:szCs w:val="22"/>
              <w:lang w:val="en-US" w:eastAsia="en-US" w:bidi="ar-SA"/>
            </w:rPr>
            <w:fldChar w:fldCharType="end"/>
          </w:r>
        </w:p>
        <w:p w14:paraId="50D93F0F">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_Toc30980 </w:instrText>
          </w:r>
          <w:r>
            <w:rPr>
              <w:rFonts w:asciiTheme="minorHAnsi" w:hAnsiTheme="minorHAnsi" w:eastAsiaTheme="minorEastAsia" w:cstheme="minorBidi"/>
              <w:szCs w:val="22"/>
              <w:lang w:val="en-US" w:eastAsia="en-US" w:bidi="ar-SA"/>
            </w:rPr>
            <w:fldChar w:fldCharType="separate"/>
          </w:r>
          <w:r>
            <w:rPr>
              <w:rFonts w:ascii="Times New Roman" w:hAnsi="Times New Roman" w:eastAsia="黑体" w:cs="Times New Roman"/>
              <w:bCs w:val="0"/>
              <w:szCs w:val="24"/>
            </w:rPr>
            <w:t>附录 B：反模式与反例对照治理清单</w:t>
          </w:r>
          <w:r>
            <w:tab/>
          </w:r>
          <w:r>
            <w:fldChar w:fldCharType="begin"/>
          </w:r>
          <w:r>
            <w:instrText xml:space="preserve"> PAGEREF _Toc30980 \h </w:instrText>
          </w:r>
          <w:r>
            <w:fldChar w:fldCharType="separate"/>
          </w:r>
          <w:r>
            <w:t>210</w:t>
          </w:r>
          <w:r>
            <w:fldChar w:fldCharType="end"/>
          </w:r>
          <w:r>
            <w:rPr>
              <w:rFonts w:asciiTheme="minorHAnsi" w:hAnsiTheme="minorHAnsi" w:eastAsiaTheme="minorEastAsia" w:cstheme="minorBidi"/>
              <w:szCs w:val="22"/>
              <w:lang w:val="en-US" w:eastAsia="en-US" w:bidi="ar-SA"/>
            </w:rPr>
            <w:fldChar w:fldCharType="end"/>
          </w:r>
        </w:p>
        <w:p w14:paraId="15ED4686">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_Toc16807 </w:instrText>
          </w:r>
          <w:r>
            <w:rPr>
              <w:rFonts w:asciiTheme="minorHAnsi" w:hAnsiTheme="minorHAnsi" w:eastAsiaTheme="minorEastAsia" w:cstheme="minorBidi"/>
              <w:szCs w:val="22"/>
              <w:lang w:val="en-US" w:eastAsia="en-US" w:bidi="ar-SA"/>
            </w:rPr>
            <w:fldChar w:fldCharType="separate"/>
          </w:r>
          <w:r>
            <w:rPr>
              <w:rFonts w:ascii="Times New Roman" w:hAnsi="Times New Roman" w:eastAsia="黑体" w:cs="Times New Roman"/>
              <w:bCs w:val="0"/>
              <w:szCs w:val="24"/>
            </w:rPr>
            <w:t>附录 C：企业组织结构树</w:t>
          </w:r>
          <w:r>
            <w:tab/>
          </w:r>
          <w:r>
            <w:fldChar w:fldCharType="begin"/>
          </w:r>
          <w:r>
            <w:instrText xml:space="preserve"> PAGEREF _Toc16807 \h </w:instrText>
          </w:r>
          <w:r>
            <w:fldChar w:fldCharType="separate"/>
          </w:r>
          <w:r>
            <w:t>211</w:t>
          </w:r>
          <w:r>
            <w:fldChar w:fldCharType="end"/>
          </w:r>
          <w:r>
            <w:rPr>
              <w:rFonts w:asciiTheme="minorHAnsi" w:hAnsiTheme="minorHAnsi" w:eastAsiaTheme="minorEastAsia" w:cstheme="minorBidi"/>
              <w:szCs w:val="22"/>
              <w:lang w:val="en-US" w:eastAsia="en-US" w:bidi="ar-SA"/>
            </w:rPr>
            <w:fldChar w:fldCharType="end"/>
          </w:r>
        </w:p>
        <w:p w14:paraId="4DC89B10">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_Toc1064 </w:instrText>
          </w:r>
          <w:r>
            <w:rPr>
              <w:rFonts w:asciiTheme="minorHAnsi" w:hAnsiTheme="minorHAnsi" w:eastAsiaTheme="minorEastAsia" w:cstheme="minorBidi"/>
              <w:szCs w:val="22"/>
              <w:lang w:val="en-US" w:eastAsia="en-US" w:bidi="ar-SA"/>
            </w:rPr>
            <w:fldChar w:fldCharType="separate"/>
          </w:r>
          <w:r>
            <w:rPr>
              <w:rFonts w:ascii="Times New Roman" w:hAnsi="Times New Roman" w:eastAsia="黑体" w:cs="Times New Roman"/>
              <w:bCs w:val="0"/>
              <w:szCs w:val="24"/>
            </w:rPr>
            <w:t>附录 D：园区组织结构树</w:t>
          </w:r>
          <w:r>
            <w:tab/>
          </w:r>
          <w:r>
            <w:fldChar w:fldCharType="begin"/>
          </w:r>
          <w:r>
            <w:instrText xml:space="preserve"> PAGEREF _Toc1064 \h </w:instrText>
          </w:r>
          <w:r>
            <w:fldChar w:fldCharType="separate"/>
          </w:r>
          <w:r>
            <w:t>212</w:t>
          </w:r>
          <w:r>
            <w:fldChar w:fldCharType="end"/>
          </w:r>
          <w:r>
            <w:rPr>
              <w:rFonts w:asciiTheme="minorHAnsi" w:hAnsiTheme="minorHAnsi" w:eastAsiaTheme="minorEastAsia" w:cstheme="minorBidi"/>
              <w:szCs w:val="22"/>
              <w:lang w:val="en-US" w:eastAsia="en-US" w:bidi="ar-SA"/>
            </w:rPr>
            <w:fldChar w:fldCharType="end"/>
          </w:r>
        </w:p>
        <w:p w14:paraId="6A7B460D">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_Toc20691 </w:instrText>
          </w:r>
          <w:r>
            <w:rPr>
              <w:rFonts w:asciiTheme="minorHAnsi" w:hAnsiTheme="minorHAnsi" w:eastAsiaTheme="minorEastAsia" w:cstheme="minorBidi"/>
              <w:szCs w:val="22"/>
              <w:lang w:val="en-US" w:eastAsia="en-US" w:bidi="ar-SA"/>
            </w:rPr>
            <w:fldChar w:fldCharType="separate"/>
          </w:r>
          <w:r>
            <w:rPr>
              <w:rFonts w:ascii="Times New Roman" w:hAnsi="Times New Roman" w:eastAsia="黑体" w:cs="Times New Roman"/>
              <w:bCs w:val="0"/>
              <w:szCs w:val="24"/>
            </w:rPr>
            <w:t>附录 E：角色与权限矩阵</w:t>
          </w:r>
          <w:r>
            <w:tab/>
          </w:r>
          <w:r>
            <w:fldChar w:fldCharType="begin"/>
          </w:r>
          <w:r>
            <w:instrText xml:space="preserve"> PAGEREF _Toc20691 \h </w:instrText>
          </w:r>
          <w:r>
            <w:fldChar w:fldCharType="separate"/>
          </w:r>
          <w:r>
            <w:t>213</w:t>
          </w:r>
          <w:r>
            <w:fldChar w:fldCharType="end"/>
          </w:r>
          <w:r>
            <w:rPr>
              <w:rFonts w:asciiTheme="minorHAnsi" w:hAnsiTheme="minorHAnsi" w:eastAsiaTheme="minorEastAsia" w:cstheme="minorBidi"/>
              <w:szCs w:val="22"/>
              <w:lang w:val="en-US" w:eastAsia="en-US" w:bidi="ar-SA"/>
            </w:rPr>
            <w:fldChar w:fldCharType="end"/>
          </w:r>
        </w:p>
        <w:p w14:paraId="48282ACD">
          <w:pPr>
            <w:rPr>
              <w:rFonts w:asciiTheme="minorHAnsi" w:hAnsiTheme="minorHAnsi" w:eastAsiaTheme="minorEastAsia" w:cstheme="minorBidi"/>
              <w:sz w:val="22"/>
              <w:szCs w:val="22"/>
              <w:lang w:val="en-US" w:eastAsia="en-US" w:bidi="ar-SA"/>
            </w:rPr>
          </w:pPr>
          <w:r>
            <w:rPr>
              <w:rFonts w:asciiTheme="minorHAnsi" w:hAnsiTheme="minorHAnsi" w:eastAsiaTheme="minorEastAsia" w:cstheme="minorBidi"/>
              <w:szCs w:val="22"/>
              <w:lang w:val="en-US" w:eastAsia="en-US" w:bidi="ar-SA"/>
            </w:rPr>
            <w:fldChar w:fldCharType="end"/>
          </w:r>
        </w:p>
      </w:sdtContent>
    </w:sdt>
    <w:p w14:paraId="48E832F0">
      <w:pPr>
        <w:rPr>
          <w:rFonts w:asciiTheme="minorHAnsi" w:hAnsiTheme="minorHAnsi" w:eastAsiaTheme="minorEastAsia" w:cstheme="minorBidi"/>
          <w:sz w:val="22"/>
          <w:szCs w:val="22"/>
          <w:lang w:val="en-US" w:eastAsia="en-US" w:bidi="ar-SA"/>
        </w:rPr>
      </w:pPr>
    </w:p>
    <w:p w14:paraId="294A731F">
      <w:pPr>
        <w:ind w:left="0" w:leftChars="0" w:firstLine="0" w:firstLineChars="0"/>
        <w:rPr>
          <w:rFonts w:eastAsia="黑体"/>
          <w:b w:val="0"/>
          <w:bCs w:val="0"/>
          <w:sz w:val="32"/>
          <w:szCs w:val="44"/>
        </w:rPr>
        <w:sectPr>
          <w:footerReference r:id="rId8" w:type="first"/>
          <w:footerReference r:id="rId7" w:type="default"/>
          <w:pgSz w:w="11906" w:h="16838"/>
          <w:pgMar w:top="1296" w:right="1296" w:bottom="1296" w:left="1296" w:header="720" w:footer="720" w:gutter="0"/>
          <w:pgBorders>
            <w:top w:val="none" w:sz="0" w:space="0"/>
            <w:left w:val="none" w:sz="0" w:space="0"/>
            <w:bottom w:val="none" w:sz="0" w:space="0"/>
            <w:right w:val="none" w:sz="0" w:space="0"/>
          </w:pgBorders>
          <w:pgNumType w:fmt="decimal" w:start="1"/>
          <w:cols w:space="720" w:num="1"/>
          <w:titlePg/>
          <w:docGrid w:linePitch="360" w:charSpace="0"/>
        </w:sectPr>
      </w:pPr>
    </w:p>
    <w:p w14:paraId="1972F910">
      <w:pPr>
        <w:pStyle w:val="3"/>
        <w:numPr>
          <w:ilvl w:val="0"/>
          <w:numId w:val="7"/>
        </w:numPr>
        <w:ind w:left="0" w:leftChars="0" w:firstLine="0" w:firstLineChars="0"/>
        <w:rPr>
          <w:rFonts w:eastAsia="黑体"/>
          <w:b w:val="0"/>
          <w:bCs w:val="0"/>
          <w:sz w:val="32"/>
          <w:szCs w:val="44"/>
        </w:rPr>
      </w:pPr>
      <w:bookmarkStart w:id="0" w:name="_Toc18767"/>
      <w:r>
        <w:rPr>
          <w:rFonts w:ascii="Times New Roman" w:hAnsi="Times New Roman" w:eastAsia="黑体" w:cs="Times New Roman"/>
          <w:b w:val="0"/>
          <w:bCs w:val="0"/>
          <w:sz w:val="32"/>
          <w:szCs w:val="44"/>
        </w:rPr>
        <w:t>顶层业务架构与标准规范</w:t>
      </w:r>
      <w:bookmarkEnd w:id="0"/>
    </w:p>
    <w:p w14:paraId="34822E17">
      <w:pPr>
        <w:pStyle w:val="4"/>
        <w:numPr>
          <w:ilvl w:val="0"/>
          <w:numId w:val="8"/>
        </w:numPr>
        <w:topLinePunct w:val="0"/>
        <w:ind w:left="0" w:leftChars="0" w:firstLine="0" w:firstLineChars="0"/>
        <w:outlineLvl w:val="0"/>
        <w:rPr>
          <w:rFonts w:hint="eastAsia" w:eastAsia="黑体"/>
          <w:b w:val="0"/>
          <w:bCs w:val="0"/>
          <w:sz w:val="30"/>
          <w:szCs w:val="32"/>
        </w:rPr>
      </w:pPr>
      <w:bookmarkStart w:id="1" w:name="_Toc19855"/>
      <w:r>
        <w:rPr>
          <w:rFonts w:ascii="Times New Roman" w:hAnsi="Times New Roman" w:eastAsia="黑体" w:cs="Times New Roman"/>
          <w:b w:val="0"/>
          <w:bCs w:val="0"/>
          <w:sz w:val="30"/>
          <w:szCs w:val="32"/>
        </w:rPr>
        <w:t>项目背景与建设目标</w:t>
      </w:r>
      <w:bookmarkEnd w:id="1"/>
    </w:p>
    <w:p w14:paraId="09B42206">
      <w:pPr>
        <w:pStyle w:val="5"/>
        <w:widowControl/>
        <w:numPr>
          <w:ilvl w:val="0"/>
          <w:numId w:val="9"/>
        </w:numPr>
        <w:ind w:left="0" w:leftChars="0" w:firstLine="0" w:firstLineChars="0"/>
        <w:outlineLvl w:val="1"/>
        <w:rPr>
          <w:rFonts w:eastAsia="黑体"/>
          <w:b w:val="0"/>
          <w:bCs w:val="0"/>
          <w:sz w:val="30"/>
          <w:szCs w:val="24"/>
        </w:rPr>
      </w:pPr>
      <w:bookmarkStart w:id="2" w:name="_Toc11274"/>
      <w:r>
        <w:rPr>
          <w:rFonts w:ascii="Times New Roman" w:hAnsi="Times New Roman" w:eastAsia="黑体" w:cs="Times New Roman"/>
          <w:b w:val="0"/>
          <w:bCs w:val="0"/>
          <w:sz w:val="30"/>
          <w:szCs w:val="24"/>
        </w:rPr>
        <w:t>项目建设背景</w:t>
      </w:r>
      <w:bookmarkEnd w:id="2"/>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宏观战略与集团"十五五"低碳发展要求。</w:t>
      </w:r>
      <w:r>
        <w:rPr>
          <w:rFonts w:ascii="Times New Roman" w:hAnsi="Times New Roman" w:eastAsia="宋体" w:cs="Times New Roman"/>
          <w:i w:val="0"/>
          <w:color w:val="1F2937"/>
          <w:sz w:val="24"/>
          <w:szCs w:val="24"/>
        </w:rPr>
        <w:t xml:space="preserve"> 在国家"碳达峰、碳中和"战略深入推进的宏观背景下，工业装备制造业正加速向全生命周期绿色化、数字化转型。特变电工电装集团作为我国输变电高端装备制造领域的龙头企业，坚决贯彻集团绿色低碳发展统一部署。根据集团"十五五"战略规划纲要，到 2028 年，电装集团须全面形成以"零碳园区、零碳工厂、零碳产品"为主线的绿色高质量发展模式，确保零碳园区全面建成并成为集团新的核心产业增长极。在此目标引领下，构建一套覆盖自身运营并向上下游产业链纵深辐射、具备高公信力与高效协同能力的碳足迹数字化管理生态系统，已成为支撑集团战略落地的关键路径。</w:t>
      </w:r>
    </w:p>
    <w:p w14:paraId="79E049F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国际贸易绿色壁垒与合规实质性倒逼。</w:t>
      </w:r>
      <w:r>
        <w:rPr>
          <w:rFonts w:ascii="Times New Roman" w:hAnsi="Times New Roman" w:eastAsia="宋体" w:cs="Times New Roman"/>
          <w:i w:val="0"/>
          <w:color w:val="1F2937"/>
          <w:sz w:val="24"/>
          <w:szCs w:val="24"/>
        </w:rPr>
        <w:t xml:space="preserve"> 随着全球绿色供应链竞争加剧，欧盟碳边境调节机制（CBAM）已进入实质性操作阶段，针对输变电产品及其原材料（钢、铝等）的直接与间接排放溯源监管日益严苛。电装集团产品大量服务于国内外重点工程及海外基础设施建设，亟需建立符合国际核算标准（如 ISO 14067、GHG Protocol 等）、支持全流程证据链追溯与多维溯源的产品碳足迹认证体系，打破国际绿色贸易壁垒，巩固全球竞争优势。</w:t>
      </w:r>
    </w:p>
    <w:p w14:paraId="7273705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数字化能碳运营现状与核心痛点。</w:t>
      </w:r>
      <w:r>
        <w:rPr>
          <w:rFonts w:ascii="Times New Roman" w:hAnsi="Times New Roman" w:eastAsia="宋体" w:cs="Times New Roman"/>
          <w:i w:val="0"/>
          <w:color w:val="1F2937"/>
          <w:sz w:val="24"/>
          <w:szCs w:val="24"/>
        </w:rPr>
        <w:t xml:space="preserve"> 当前，电装集团绿色转型已进入深水区，但数字化支撑与集约化管控层面仍存在显著瓶颈：</w:t>
      </w:r>
    </w:p>
    <w:p w14:paraId="3F1DADA6">
      <w:pPr>
        <w:pStyle w:val="19"/>
        <w:widowControl/>
        <w:numPr>
          <w:ilvl w:val="0"/>
          <w:numId w:val="10"/>
        </w:numPr>
        <w:ind w:left="420" w:leftChars="0" w:hanging="420" w:firstLineChars="0"/>
        <w:rPr>
          <w:rFonts w:eastAsia="宋体"/>
          <w:i w:val="0"/>
          <w:sz w:val="24"/>
          <w:szCs w:val="24"/>
        </w:rPr>
      </w:pPr>
      <w:r>
        <w:rPr>
          <w:rFonts w:ascii="Times New Roman" w:hAnsi="Times New Roman" w:eastAsia="宋体" w:cs="Times New Roman"/>
          <w:b/>
          <w:i w:val="0"/>
          <w:color w:val="1E3A8A"/>
          <w:sz w:val="24"/>
          <w:szCs w:val="24"/>
        </w:rPr>
        <w:t>能碳数据底座割裂，缺乏统一监管抓手</w:t>
      </w:r>
      <w:r>
        <w:rPr>
          <w:rFonts w:ascii="Times New Roman" w:hAnsi="Times New Roman" w:eastAsia="宋体" w:cs="Times New Roman"/>
          <w:i w:val="0"/>
          <w:color w:val="1F2937"/>
          <w:sz w:val="24"/>
          <w:szCs w:val="24"/>
        </w:rPr>
        <w:t>：集团下辖 18 个生产基地/园区所处区域广泛、生产工艺与用能结构各异，各单位能源计量统计口径、数据精度及碳排放管控标准不一致，数据孤岛严重，总部层面难以实现"一本账"穿透式监管和精准横向对标。</w:t>
      </w:r>
    </w:p>
    <w:p w14:paraId="43D93B0B">
      <w:pPr>
        <w:pStyle w:val="19"/>
        <w:widowControl/>
        <w:numPr>
          <w:ilvl w:val="0"/>
          <w:numId w:val="10"/>
        </w:numPr>
        <w:ind w:left="420" w:leftChars="0" w:hanging="420" w:firstLineChars="0"/>
        <w:rPr>
          <w:rFonts w:eastAsia="宋体"/>
          <w:i w:val="0"/>
          <w:sz w:val="24"/>
          <w:szCs w:val="24"/>
        </w:rPr>
      </w:pPr>
      <w:r>
        <w:rPr>
          <w:rFonts w:ascii="Times New Roman" w:hAnsi="Times New Roman" w:eastAsia="宋体" w:cs="Times New Roman"/>
          <w:b/>
          <w:i w:val="0"/>
          <w:color w:val="1E3A8A"/>
          <w:sz w:val="24"/>
          <w:szCs w:val="24"/>
        </w:rPr>
        <w:t>零碳评价无标可依，成效难以量化评估</w:t>
      </w:r>
      <w:r>
        <w:rPr>
          <w:rFonts w:ascii="Times New Roman" w:hAnsi="Times New Roman" w:eastAsia="宋体" w:cs="Times New Roman"/>
          <w:i w:val="0"/>
          <w:color w:val="1F2937"/>
          <w:sz w:val="24"/>
          <w:szCs w:val="24"/>
        </w:rPr>
        <w:t>：零碳园区建设缺乏统一、标准化的指标评价框架与动态打分体系，各单位降碳举措分散、效果参差不齐，难以形成可复制、可推广的绿色制造示范模式。</w:t>
      </w:r>
    </w:p>
    <w:p w14:paraId="34FE40E1">
      <w:pPr>
        <w:pStyle w:val="19"/>
        <w:widowControl/>
        <w:numPr>
          <w:ilvl w:val="0"/>
          <w:numId w:val="10"/>
        </w:numPr>
        <w:ind w:left="420" w:leftChars="0" w:hanging="420" w:firstLineChars="0"/>
        <w:rPr>
          <w:rFonts w:eastAsia="宋体"/>
          <w:i w:val="0"/>
          <w:sz w:val="24"/>
          <w:szCs w:val="24"/>
        </w:rPr>
      </w:pPr>
      <w:r>
        <w:rPr>
          <w:rFonts w:ascii="Times New Roman" w:hAnsi="Times New Roman" w:eastAsia="宋体" w:cs="Times New Roman"/>
          <w:b/>
          <w:i w:val="0"/>
          <w:color w:val="1E3A8A"/>
          <w:sz w:val="24"/>
          <w:szCs w:val="24"/>
        </w:rPr>
        <w:t>碳足迹核算成本高、周期长、证据链缺失</w:t>
      </w:r>
      <w:r>
        <w:rPr>
          <w:rFonts w:ascii="Times New Roman" w:hAnsi="Times New Roman" w:eastAsia="宋体" w:cs="Times New Roman"/>
          <w:i w:val="0"/>
          <w:color w:val="1F2937"/>
          <w:sz w:val="24"/>
          <w:szCs w:val="24"/>
        </w:rPr>
        <w:t>：传统的碳足迹核算高度依赖离线调研与第三方机构人工驻场，数据收集周期动辄数月，认证成本居高不下；且过程数据缺乏原始采样凭证与不可篡改的时间戳支撑，权威性易受质疑。</w:t>
      </w:r>
    </w:p>
    <w:p w14:paraId="712E0970">
      <w:pPr>
        <w:pStyle w:val="19"/>
        <w:widowControl/>
        <w:numPr>
          <w:ilvl w:val="0"/>
          <w:numId w:val="10"/>
        </w:numPr>
        <w:ind w:left="420" w:leftChars="0" w:hanging="420" w:firstLineChars="0"/>
        <w:rPr>
          <w:rFonts w:eastAsia="宋体"/>
          <w:i w:val="0"/>
          <w:sz w:val="24"/>
          <w:szCs w:val="24"/>
        </w:rPr>
      </w:pPr>
      <w:r>
        <w:rPr>
          <w:rFonts w:ascii="Times New Roman" w:hAnsi="Times New Roman" w:eastAsia="宋体" w:cs="Times New Roman"/>
          <w:b/>
          <w:i w:val="0"/>
          <w:color w:val="1E3A8A"/>
          <w:sz w:val="24"/>
          <w:szCs w:val="24"/>
        </w:rPr>
        <w:t>云边端协同能力薄弱，缺乏实时闭环调控</w:t>
      </w:r>
      <w:r>
        <w:rPr>
          <w:rFonts w:ascii="Times New Roman" w:hAnsi="Times New Roman" w:eastAsia="宋体" w:cs="Times New Roman"/>
          <w:i w:val="0"/>
          <w:color w:val="1F2937"/>
          <w:sz w:val="24"/>
          <w:szCs w:val="24"/>
        </w:rPr>
        <w:t>：现有系统多停留在"事后统计与静态展示"，边缘侧缺乏智能化数据采集、边缘计算与闭环控制机制，无法实现供能、储能、用能多要素的微秒级与秒级协同优化。</w:t>
      </w:r>
    </w:p>
    <w:p w14:paraId="4134183C">
      <w:pPr>
        <w:pStyle w:val="5"/>
        <w:widowControl/>
        <w:numPr>
          <w:ilvl w:val="0"/>
          <w:numId w:val="9"/>
        </w:numPr>
        <w:ind w:left="0" w:leftChars="0" w:firstLine="0" w:firstLineChars="0"/>
        <w:outlineLvl w:val="1"/>
        <w:rPr>
          <w:rFonts w:eastAsia="黑体"/>
          <w:b w:val="0"/>
          <w:bCs w:val="0"/>
          <w:sz w:val="30"/>
          <w:szCs w:val="24"/>
        </w:rPr>
      </w:pPr>
      <w:bookmarkStart w:id="3" w:name="_Toc28818"/>
      <w:r>
        <w:rPr>
          <w:rFonts w:ascii="Times New Roman" w:hAnsi="Times New Roman" w:eastAsia="黑体" w:cs="Times New Roman"/>
          <w:b w:val="0"/>
          <w:bCs w:val="0"/>
          <w:sz w:val="30"/>
          <w:szCs w:val="24"/>
        </w:rPr>
        <w:t>建设目标</w:t>
      </w:r>
      <w:bookmarkEnd w:id="3"/>
    </w:p>
    <w:p w14:paraId="57D95C52">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项目旨在通过"软硬件一体、云边端协同、管服一体化"的整体建设路径，研发构建"工厂—产业单位—总部"三级贯通的零碳集控运营系统与产品碳足迹集采管理认证一体化平台，实现对能源与碳排放"精准化计量、精细化管控、智能化决策、可视化呈现"。</w:t>
      </w:r>
    </w:p>
    <w:p w14:paraId="177F112A">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管理层级落地目标：</w:t>
      </w:r>
    </w:p>
    <w:tbl>
      <w:tblPr>
        <w:tblStyle w:val="38"/>
        <w:tblW w:w="9784" w:type="dxa"/>
        <w:jc w:val="center"/>
        <w:tblLayout w:type="autofit"/>
        <w:tblCellMar>
          <w:top w:w="0" w:type="dxa"/>
          <w:left w:w="108" w:type="dxa"/>
          <w:bottom w:w="0" w:type="dxa"/>
          <w:right w:w="108" w:type="dxa"/>
        </w:tblCellMar>
      </w:tblPr>
      <w:tblGrid>
        <w:gridCol w:w="1415"/>
        <w:gridCol w:w="2235"/>
        <w:gridCol w:w="6134"/>
      </w:tblGrid>
      <w:tr w14:paraId="723DC6FB">
        <w:tblPrEx>
          <w:tblCellMar>
            <w:top w:w="0" w:type="dxa"/>
            <w:left w:w="108" w:type="dxa"/>
            <w:bottom w:w="0" w:type="dxa"/>
            <w:right w:w="108" w:type="dxa"/>
          </w:tblCellMar>
        </w:tblPrEx>
        <w:trPr>
          <w:trHeight w:val="0" w:hRule="atLeast"/>
          <w:tblHeader/>
          <w:jc w:val="center"/>
        </w:trPr>
        <w:tc>
          <w:tcPr>
            <w:tcW w:w="141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6B01E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管理层级</w:t>
            </w:r>
          </w:p>
        </w:tc>
        <w:tc>
          <w:tcPr>
            <w:tcW w:w="22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7FF9D8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角色定位</w:t>
            </w:r>
          </w:p>
        </w:tc>
        <w:tc>
          <w:tcPr>
            <w:tcW w:w="613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F1148A">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核心落地目标</w:t>
            </w:r>
          </w:p>
        </w:tc>
      </w:tr>
      <w:tr w14:paraId="73ADFA66">
        <w:tblPrEx>
          <w:tblCellMar>
            <w:top w:w="0" w:type="dxa"/>
            <w:left w:w="108" w:type="dxa"/>
            <w:bottom w:w="0" w:type="dxa"/>
            <w:right w:w="108" w:type="dxa"/>
          </w:tblCellMar>
        </w:tblPrEx>
        <w:trPr>
          <w:trHeight w:val="0" w:hRule="atLeast"/>
          <w:jc w:val="center"/>
        </w:trPr>
        <w:tc>
          <w:tcPr>
            <w:tcW w:w="14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08EBC9">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集团总部层</w:t>
            </w:r>
          </w:p>
        </w:tc>
        <w:tc>
          <w:tcPr>
            <w:tcW w:w="22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7F00D8">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监管与决策中心</w:t>
            </w:r>
          </w:p>
        </w:tc>
        <w:tc>
          <w:tcPr>
            <w:tcW w:w="61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EDC4B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打造集团能碳数据"驾驶舱"与统管枢纽，全面接入并统一管理 18 个园区的能碳运行态势；建立健全集团级能效对标体系与零碳园区评估模型，实现能耗异常穿透分析、减碳潜能挖掘与绿色转型成效的权威对外呈现</w:t>
            </w:r>
          </w:p>
        </w:tc>
      </w:tr>
      <w:tr w14:paraId="32A84555">
        <w:tblPrEx>
          <w:tblCellMar>
            <w:top w:w="0" w:type="dxa"/>
            <w:left w:w="108" w:type="dxa"/>
            <w:bottom w:w="0" w:type="dxa"/>
            <w:right w:w="108" w:type="dxa"/>
          </w:tblCellMar>
        </w:tblPrEx>
        <w:trPr>
          <w:trHeight w:val="0" w:hRule="atLeast"/>
          <w:jc w:val="center"/>
        </w:trPr>
        <w:tc>
          <w:tcPr>
            <w:tcW w:w="14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D374B5">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产业单位层</w:t>
            </w:r>
          </w:p>
        </w:tc>
        <w:tc>
          <w:tcPr>
            <w:tcW w:w="22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B6C687">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协同与治理中心</w:t>
            </w:r>
          </w:p>
        </w:tc>
        <w:tc>
          <w:tcPr>
            <w:tcW w:w="61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A6AE4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固化标准化的碳足迹数据采集、因子匹配与全过程核算流程，构建面向变压器、电缆、高低压开关等重点装备的行业级实景数据库（LCI），指导下属各生产经营单位科学编制降碳规划并精准落地技改措施</w:t>
            </w:r>
          </w:p>
        </w:tc>
      </w:tr>
      <w:tr w14:paraId="5B899D87">
        <w:tblPrEx>
          <w:tblCellMar>
            <w:top w:w="0" w:type="dxa"/>
            <w:left w:w="108" w:type="dxa"/>
            <w:bottom w:w="0" w:type="dxa"/>
            <w:right w:w="108" w:type="dxa"/>
          </w:tblCellMar>
        </w:tblPrEx>
        <w:trPr>
          <w:trHeight w:val="0" w:hRule="atLeast"/>
          <w:jc w:val="center"/>
        </w:trPr>
        <w:tc>
          <w:tcPr>
            <w:tcW w:w="14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7147F7">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工厂车间层</w:t>
            </w:r>
          </w:p>
        </w:tc>
        <w:tc>
          <w:tcPr>
            <w:tcW w:w="22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9B44E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执行与核算中心</w:t>
            </w:r>
          </w:p>
        </w:tc>
        <w:tc>
          <w:tcPr>
            <w:tcW w:w="61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1D80F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沉淀标准因子集、计算模型规范及一键式认证申报模板等数字化工具包，配合边缘网关与控制器实现产线级与设备级数据自动采集，支撑各工厂快速响应客户低碳招投标与第三方合规认证需求，核算效率提升 50% 以上</w:t>
            </w:r>
          </w:p>
        </w:tc>
      </w:tr>
    </w:tbl>
    <w:p w14:paraId="13E36B75">
      <w:pPr>
        <w:spacing w:after="60"/>
        <w:rPr>
          <w:rFonts w:hint="eastAsia" w:ascii="宋体" w:hAnsi="宋体" w:eastAsia="宋体" w:cs="宋体"/>
          <w:i w:val="0"/>
          <w:iCs w:val="0"/>
          <w:sz w:val="24"/>
          <w:szCs w:val="24"/>
        </w:rPr>
      </w:pPr>
    </w:p>
    <w:p w14:paraId="6F95DF3F">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系统核心能力目标：</w:t>
      </w:r>
    </w:p>
    <w:p w14:paraId="5AE3C436">
      <w:pPr>
        <w:pStyle w:val="19"/>
        <w:widowControl/>
        <w:numPr>
          <w:ilvl w:val="0"/>
          <w:numId w:val="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计量精准化</w:t>
      </w:r>
      <w:r>
        <w:rPr>
          <w:rFonts w:ascii="Times New Roman" w:hAnsi="Times New Roman" w:eastAsia="宋体" w:cs="Times New Roman"/>
          <w:i w:val="0"/>
          <w:color w:val="1F2937"/>
          <w:sz w:val="24"/>
          <w:szCs w:val="24"/>
        </w:rPr>
        <w:t>：依托工业物联网架构与边缘调控一体机，打通产线 DCS、SCADA、能源表计等系统，消除数据盲区与统计偏差，实现核心能碳指标毫秒级/秒级高精度感知。</w:t>
      </w:r>
    </w:p>
    <w:p w14:paraId="6A130B1A">
      <w:pPr>
        <w:pStyle w:val="19"/>
        <w:widowControl/>
        <w:numPr>
          <w:ilvl w:val="0"/>
          <w:numId w:val="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管控精细化</w:t>
      </w:r>
      <w:r>
        <w:rPr>
          <w:rFonts w:ascii="Times New Roman" w:hAnsi="Times New Roman" w:eastAsia="宋体" w:cs="Times New Roman"/>
          <w:i w:val="0"/>
          <w:color w:val="1F2937"/>
          <w:sz w:val="24"/>
          <w:szCs w:val="24"/>
        </w:rPr>
        <w:t>：建立覆盖原材料输入、生产加工、组装测试到包装出厂的装备产品全生命周期（Cradle-to-Gate）碳足迹追踪链路，形成不可篡改的碳排放数据追溯链。</w:t>
      </w:r>
    </w:p>
    <w:p w14:paraId="1340333D">
      <w:pPr>
        <w:pStyle w:val="19"/>
        <w:widowControl/>
        <w:numPr>
          <w:ilvl w:val="0"/>
          <w:numId w:val="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决策智能化</w:t>
      </w:r>
      <w:r>
        <w:rPr>
          <w:rFonts w:ascii="Times New Roman" w:hAnsi="Times New Roman" w:eastAsia="宋体" w:cs="Times New Roman"/>
          <w:i w:val="0"/>
          <w:color w:val="1F2937"/>
          <w:sz w:val="24"/>
          <w:szCs w:val="24"/>
        </w:rPr>
        <w:t>：深度融合行业机理与 AI 优化算法，实现用能负荷精准预测、峰谷分时响应、多能互补协同调度与碳减排路径智能推荐。</w:t>
      </w:r>
    </w:p>
    <w:p w14:paraId="64915C65">
      <w:pPr>
        <w:pStyle w:val="19"/>
        <w:widowControl/>
        <w:numPr>
          <w:ilvl w:val="0"/>
          <w:numId w:val="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呈现全景化</w:t>
      </w:r>
      <w:r>
        <w:rPr>
          <w:rFonts w:ascii="Times New Roman" w:hAnsi="Times New Roman" w:eastAsia="宋体" w:cs="Times New Roman"/>
          <w:i w:val="0"/>
          <w:color w:val="1F2937"/>
          <w:sz w:val="24"/>
          <w:szCs w:val="24"/>
        </w:rPr>
        <w:t>：打造集管控、运营、汇报于一体的 3D/多维数字化大屏，以生动图表与动态全景呈现集团双碳目标推进路径。</w:t>
      </w:r>
    </w:p>
    <w:p w14:paraId="4E5072BD">
      <w:pPr>
        <w:pStyle w:val="4"/>
        <w:numPr>
          <w:ilvl w:val="0"/>
          <w:numId w:val="8"/>
        </w:numPr>
        <w:topLinePunct w:val="0"/>
        <w:ind w:left="0" w:leftChars="0" w:firstLine="0" w:firstLineChars="0"/>
        <w:outlineLvl w:val="0"/>
        <w:rPr>
          <w:rFonts w:hint="eastAsia" w:eastAsia="黑体"/>
          <w:b w:val="0"/>
          <w:bCs w:val="0"/>
          <w:sz w:val="30"/>
          <w:szCs w:val="32"/>
        </w:rPr>
      </w:pPr>
      <w:bookmarkStart w:id="4" w:name="_Toc24061"/>
      <w:r>
        <w:rPr>
          <w:rFonts w:ascii="Times New Roman" w:hAnsi="Times New Roman" w:eastAsia="黑体" w:cs="Times New Roman"/>
          <w:b w:val="0"/>
          <w:bCs w:val="0"/>
          <w:sz w:val="30"/>
          <w:szCs w:val="32"/>
        </w:rPr>
        <w:t>建设范围</w:t>
      </w:r>
      <w:bookmarkEnd w:id="4"/>
    </w:p>
    <w:p w14:paraId="4DD8C535">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本项目建设范围涵盖技术服务（标准与咨询）、软件研发、系统集成与数据治理、实施交付、硬件研制及供货部署五大板块，全面实现软硬件交钥匙工程。</w:t>
      </w:r>
    </w:p>
    <w:p w14:paraId="5F72605A">
      <w:pPr>
        <w:pStyle w:val="19"/>
        <w:widowControl/>
        <w:numPr>
          <w:ilvl w:val="0"/>
          <w:numId w:val="0"/>
        </w:numPr>
        <w:rPr>
          <w:rFonts w:eastAsia="宋体"/>
          <w:b/>
          <w:i w:val="0"/>
          <w:color w:val="0284C7"/>
          <w:sz w:val="24"/>
          <w:szCs w:val="24"/>
        </w:rPr>
      </w:pPr>
      <w:r>
        <w:rPr>
          <w:rFonts w:ascii="Times New Roman" w:hAnsi="Times New Roman" w:eastAsia="宋体" w:cs="Times New Roman"/>
          <w:b/>
          <w:i w:val="0"/>
          <w:color w:val="1E3A8A"/>
          <w:sz w:val="24"/>
          <w:szCs w:val="24"/>
        </w:rPr>
        <w:t>技术服务范围</w:t>
      </w:r>
    </w:p>
    <w:p w14:paraId="09A7A047">
      <w:pPr>
        <w:pStyle w:val="19"/>
        <w:widowControl/>
        <w:numPr>
          <w:ilvl w:val="0"/>
          <w:numId w:val="1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能碳与园区管理标准构建：深入结合输变电制造行业工艺特征，完成特变电工电装集团零碳园区集控中心管理标准研制；梳理零碳园区、零碳工厂评价指标体系，形成分级评价准则与对标评估方案。</w:t>
      </w:r>
    </w:p>
    <w:p w14:paraId="36FE872B">
      <w:pPr>
        <w:pStyle w:val="19"/>
        <w:widowControl/>
        <w:numPr>
          <w:ilvl w:val="0"/>
          <w:numId w:val="1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产品碳足迹规范与管理体系：编制输变电装备（涵盖变压器、线缆、开关设备）碳足迹核算导则与管控规范，明确生命周期边界（系统边界、分配原则、截止准则等），研究符合 CBAM 政策及主流国际标准（ISO 14067）的实景数据采集与证据链管理体系。</w:t>
      </w:r>
    </w:p>
    <w:p w14:paraId="5F752E06">
      <w:pPr>
        <w:pStyle w:val="19"/>
        <w:widowControl/>
        <w:numPr>
          <w:ilvl w:val="0"/>
          <w:numId w:val="1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标准数据字典与接口规范梳理：制定集团统一度量衡的能碳物联数据字典、多源异构系统数据交互协议规范，梳理并设计集控中心与集采中心的核心 API 标准接口规范。</w:t>
      </w:r>
    </w:p>
    <w:p w14:paraId="47723DC3">
      <w:pPr>
        <w:pStyle w:val="19"/>
        <w:widowControl/>
        <w:numPr>
          <w:ilvl w:val="0"/>
          <w:numId w:val="1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装备制造专属因子库体系梳理：系统化完成变压器、线缆、开关等主营产品的上下游物料基础背景数据库梳理，梳理电力消耗、化石燃料、原材料专属因子集，支撑平台快速算碳。</w:t>
      </w:r>
    </w:p>
    <w:p w14:paraId="552E296F">
      <w:pPr>
        <w:pStyle w:val="4"/>
        <w:numPr>
          <w:ilvl w:val="0"/>
          <w:numId w:val="8"/>
        </w:numPr>
        <w:topLinePunct w:val="0"/>
        <w:ind w:left="0" w:leftChars="0" w:firstLine="0" w:firstLineChars="0"/>
        <w:outlineLvl w:val="0"/>
        <w:rPr>
          <w:rFonts w:hint="eastAsia" w:eastAsia="黑体"/>
          <w:b w:val="0"/>
          <w:bCs w:val="0"/>
          <w:sz w:val="30"/>
          <w:szCs w:val="32"/>
        </w:rPr>
      </w:pPr>
      <w:bookmarkStart w:id="5" w:name="_Toc5095"/>
      <w:r>
        <w:rPr>
          <w:rFonts w:ascii="Times New Roman" w:hAnsi="Times New Roman" w:eastAsia="黑体" w:cs="Times New Roman"/>
          <w:b w:val="0"/>
          <w:bCs w:val="0"/>
          <w:sz w:val="30"/>
          <w:szCs w:val="32"/>
        </w:rPr>
        <w:t>双中心总体架构与协同机制</w:t>
      </w:r>
      <w:bookmarkEnd w:id="5"/>
    </w:p>
    <w:p w14:paraId="7EB70714">
      <w:pPr>
        <w:jc w:val="center"/>
        <w:rPr>
          <w:rFonts w:hint="eastAsia" w:eastAsia="黑体"/>
          <w:lang w:eastAsia="zh-CN"/>
        </w:rPr>
      </w:pPr>
      <w:r>
        <w:drawing>
          <wp:inline distT="0" distB="0" distL="114300" distR="114300">
            <wp:extent cx="5904865" cy="3961130"/>
            <wp:effectExtent l="0" t="0" r="635" b="1270"/>
            <wp:docPr id="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
                    <pic:cNvPicPr>
                      <a:picLocks noChangeAspect="1"/>
                    </pic:cNvPicPr>
                  </pic:nvPicPr>
                  <pic:blipFill>
                    <a:blip r:embed="rId12"/>
                    <a:stretch>
                      <a:fillRect/>
                    </a:stretch>
                  </pic:blipFill>
                  <pic:spPr>
                    <a:xfrm>
                      <a:off x="0" y="0"/>
                      <a:ext cx="5904865" cy="3961130"/>
                    </a:xfrm>
                    <a:prstGeom prst="rect">
                      <a:avLst/>
                    </a:prstGeom>
                    <a:noFill/>
                    <a:ln>
                      <a:noFill/>
                    </a:ln>
                  </pic:spPr>
                </pic:pic>
              </a:graphicData>
            </a:graphic>
          </wp:inline>
        </w:drawing>
      </w:r>
    </w:p>
    <w:p w14:paraId="04121F5F">
      <w:pPr>
        <w:pStyle w:val="5"/>
        <w:widowControl/>
        <w:numPr>
          <w:ilvl w:val="0"/>
          <w:numId w:val="13"/>
        </w:numPr>
        <w:ind w:left="0" w:leftChars="0" w:firstLine="0" w:firstLineChars="0"/>
        <w:outlineLvl w:val="1"/>
        <w:rPr>
          <w:rFonts w:eastAsia="黑体"/>
          <w:b w:val="0"/>
          <w:bCs w:val="0"/>
          <w:sz w:val="30"/>
          <w:szCs w:val="24"/>
        </w:rPr>
      </w:pPr>
      <w:bookmarkStart w:id="6" w:name="_Toc10778"/>
      <w:r>
        <w:rPr>
          <w:rFonts w:ascii="Times New Roman" w:hAnsi="Times New Roman" w:eastAsia="黑体" w:cs="Times New Roman"/>
          <w:b w:val="0"/>
          <w:bCs w:val="0"/>
          <w:sz w:val="30"/>
          <w:szCs w:val="24"/>
        </w:rPr>
        <w:t>端—边—云三层物联网架构</w:t>
      </w:r>
      <w:bookmarkEnd w:id="6"/>
    </w:p>
    <w:tbl>
      <w:tblPr>
        <w:tblStyle w:val="38"/>
        <w:tblW w:w="9784" w:type="dxa"/>
        <w:jc w:val="center"/>
        <w:tblLayout w:type="autofit"/>
        <w:tblCellMar>
          <w:top w:w="0" w:type="dxa"/>
          <w:left w:w="108" w:type="dxa"/>
          <w:bottom w:w="0" w:type="dxa"/>
          <w:right w:w="108" w:type="dxa"/>
        </w:tblCellMar>
      </w:tblPr>
      <w:tblGrid>
        <w:gridCol w:w="1545"/>
        <w:gridCol w:w="1596"/>
        <w:gridCol w:w="2453"/>
        <w:gridCol w:w="4190"/>
      </w:tblGrid>
      <w:tr w14:paraId="68413DA6">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5F4AEB">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层级</w:t>
            </w:r>
          </w:p>
        </w:tc>
        <w:tc>
          <w:tcPr>
            <w:tcW w:w="15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E335A9">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部署形态</w:t>
            </w:r>
          </w:p>
        </w:tc>
        <w:tc>
          <w:tcPr>
            <w:tcW w:w="245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165037">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核心职责</w:t>
            </w:r>
          </w:p>
        </w:tc>
        <w:tc>
          <w:tcPr>
            <w:tcW w:w="41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CDAFA6">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关键组件</w:t>
            </w:r>
          </w:p>
        </w:tc>
      </w:tr>
      <w:tr w14:paraId="173368F5">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98DD86">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端层（感知执行层）</w:t>
            </w:r>
          </w:p>
        </w:tc>
        <w:tc>
          <w:tcPr>
            <w:tcW w:w="15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B4648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园区现场</w:t>
            </w:r>
          </w:p>
        </w:tc>
        <w:tc>
          <w:tcPr>
            <w:tcW w:w="24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5647F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能源介质与工艺参数物理量采集、设备状态感知与调控执行</w:t>
            </w:r>
          </w:p>
        </w:tc>
        <w:tc>
          <w:tcPr>
            <w:tcW w:w="41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C83D5B">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数字电表、涡街/孔板流量计、温度压力变送器、智能仪表、变频器、储能 BMS</w:t>
            </w:r>
          </w:p>
        </w:tc>
      </w:tr>
      <w:tr w14:paraId="245C57AC">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802441">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边层（边缘计算层）</w:t>
            </w:r>
          </w:p>
        </w:tc>
        <w:tc>
          <w:tcPr>
            <w:tcW w:w="15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0B34C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园区机房/车间</w:t>
            </w:r>
          </w:p>
        </w:tc>
        <w:tc>
          <w:tcPr>
            <w:tcW w:w="24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AF333">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协议转换、边缘计算、断点续传、本地闭环控制与告警预判</w:t>
            </w:r>
          </w:p>
        </w:tc>
        <w:tc>
          <w:tcPr>
            <w:tcW w:w="41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7308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边缘调控一体机、IoT 采集网关、协议适配引擎（Modbus-TCP / MQTT / OPC-UA）、本地 SQLite 缓存</w:t>
            </w:r>
          </w:p>
        </w:tc>
      </w:tr>
      <w:tr w14:paraId="5DCCD43B">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BFA74E">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云层（平台应用层）</w:t>
            </w:r>
          </w:p>
        </w:tc>
        <w:tc>
          <w:tcPr>
            <w:tcW w:w="15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B827C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集团私有云</w:t>
            </w:r>
          </w:p>
        </w:tc>
        <w:tc>
          <w:tcPr>
            <w:tcW w:w="24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CD27E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时序数据存储、指标核算、业务应用、跨域协同与对报告输出</w:t>
            </w:r>
          </w:p>
        </w:tc>
        <w:tc>
          <w:tcPr>
            <w:tcW w:w="41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48545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时序数仓（TDengine 3.x）、业务主库（PostgreSQL）、指标计算引擎、双中心应用集群</w:t>
            </w:r>
          </w:p>
        </w:tc>
      </w:tr>
    </w:tbl>
    <w:p w14:paraId="065DF3F5">
      <w:pPr>
        <w:spacing w:after="60"/>
        <w:rPr>
          <w:rFonts w:hint="eastAsia" w:ascii="宋体" w:hAnsi="宋体" w:eastAsia="宋体" w:cs="宋体"/>
          <w:i w:val="0"/>
          <w:iCs w:val="0"/>
          <w:sz w:val="24"/>
          <w:szCs w:val="24"/>
        </w:rPr>
      </w:pPr>
    </w:p>
    <w:p w14:paraId="7B48DB1C">
      <w:pPr>
        <w:pStyle w:val="5"/>
        <w:widowControl/>
        <w:numPr>
          <w:ilvl w:val="0"/>
          <w:numId w:val="13"/>
        </w:numPr>
        <w:ind w:left="0" w:leftChars="0" w:firstLine="0" w:firstLineChars="0"/>
        <w:outlineLvl w:val="1"/>
        <w:rPr>
          <w:rFonts w:eastAsia="黑体"/>
          <w:b w:val="0"/>
          <w:bCs w:val="0"/>
          <w:sz w:val="30"/>
          <w:szCs w:val="24"/>
        </w:rPr>
      </w:pPr>
      <w:bookmarkStart w:id="7" w:name="_Toc26715"/>
      <w:r>
        <w:rPr>
          <w:rFonts w:ascii="Times New Roman" w:hAnsi="Times New Roman" w:eastAsia="黑体" w:cs="Times New Roman"/>
          <w:b w:val="0"/>
          <w:bCs w:val="0"/>
          <w:sz w:val="30"/>
          <w:szCs w:val="24"/>
        </w:rPr>
        <w:t>双中心定位与协同</w:t>
      </w:r>
      <w:bookmarkEnd w:id="7"/>
    </w:p>
    <w:p w14:paraId="5F0AEBAD">
      <w:pPr>
        <w:pStyle w:val="19"/>
        <w:widowControl/>
        <w:numPr>
          <w:ilvl w:val="0"/>
          <w:numId w:val="0"/>
        </w:numPr>
        <w:jc w:val="center"/>
        <w:rPr>
          <w:rFonts w:eastAsia="宋体"/>
          <w:b/>
          <w:i w:val="0"/>
          <w:color w:val="0284C7"/>
          <w:sz w:val="24"/>
          <w:szCs w:val="24"/>
        </w:rPr>
      </w:pPr>
      <w:r>
        <w:rPr>
          <w:rFonts w:hint="eastAsia" w:eastAsia="黑体"/>
          <w:lang w:eastAsia="zh-CN"/>
        </w:rPr>
        <w:drawing>
          <wp:inline distT="0" distB="0" distL="114300" distR="114300">
            <wp:extent cx="5588000" cy="3547110"/>
            <wp:effectExtent l="0" t="0" r="12700" b="15240"/>
            <wp:docPr id="5" name="图片 5" descr="55464558cab95a28eca7e08813969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5464558cab95a28eca7e088139696a7"/>
                    <pic:cNvPicPr>
                      <a:picLocks noChangeAspect="1"/>
                    </pic:cNvPicPr>
                  </pic:nvPicPr>
                  <pic:blipFill>
                    <a:blip r:embed="rId13"/>
                    <a:stretch>
                      <a:fillRect/>
                    </a:stretch>
                  </pic:blipFill>
                  <pic:spPr>
                    <a:xfrm>
                      <a:off x="0" y="0"/>
                      <a:ext cx="5588000" cy="3547110"/>
                    </a:xfrm>
                    <a:prstGeom prst="rect">
                      <a:avLst/>
                    </a:prstGeom>
                  </pic:spPr>
                </pic:pic>
              </a:graphicData>
            </a:graphic>
          </wp:inline>
        </w:drawing>
      </w:r>
    </w:p>
    <w:p w14:paraId="1042B3C7">
      <w:pPr>
        <w:pStyle w:val="19"/>
        <w:widowControl/>
        <w:numPr>
          <w:ilvl w:val="0"/>
          <w:numId w:val="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零碳园区集控中心</w:t>
      </w:r>
      <w:r>
        <w:rPr>
          <w:rFonts w:ascii="Times New Roman" w:hAnsi="Times New Roman" w:eastAsia="宋体" w:cs="Times New Roman"/>
          <w:i w:val="0"/>
          <w:color w:val="1F2937"/>
          <w:sz w:val="24"/>
          <w:szCs w:val="24"/>
        </w:rPr>
        <w:t>：面向"组织—能源—碳排放"的运行态管控，承担集团 18 园区能碳数据的统一采集、指标核算、对标分析与零碳评价，是集团能碳运行"驾驶舱"。</w:t>
      </w:r>
    </w:p>
    <w:p w14:paraId="3D146E8C">
      <w:pPr>
        <w:pStyle w:val="19"/>
        <w:widowControl/>
        <w:numPr>
          <w:ilvl w:val="0"/>
          <w:numId w:val="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产品碳足迹集采中心</w:t>
      </w:r>
      <w:r>
        <w:rPr>
          <w:rFonts w:ascii="Times New Roman" w:hAnsi="Times New Roman" w:eastAsia="宋体" w:cs="Times New Roman"/>
          <w:i w:val="0"/>
          <w:color w:val="1F2937"/>
          <w:sz w:val="24"/>
          <w:szCs w:val="24"/>
        </w:rPr>
        <w:t>：面向"物料—工序—产品"的核算态管控，承担产品全生命周期 LCA 建模、因子匹配、认证签发与 CBAM 申报，是集团绿色贸易合规"通行证"。</w:t>
      </w:r>
    </w:p>
    <w:p w14:paraId="158CBB5E">
      <w:pPr>
        <w:pStyle w:val="19"/>
        <w:widowControl/>
        <w:numPr>
          <w:ilvl w:val="0"/>
          <w:numId w:val="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协同赋能机制</w:t>
      </w:r>
      <w:r>
        <w:rPr>
          <w:rFonts w:ascii="Times New Roman" w:hAnsi="Times New Roman" w:eastAsia="宋体" w:cs="Times New Roman"/>
          <w:i w:val="0"/>
          <w:color w:val="1F2937"/>
          <w:sz w:val="24"/>
          <w:szCs w:val="24"/>
        </w:rPr>
        <w:t>：集控中心的能耗与工序实测数据是集采中心 LCA 制造加工阶段的核心输入；集采中心的单位产品碳足迹结果回流集控中心，作为零碳工厂自评估与对标管理的关键指标，形成"运行态数据反哺核算态模型、核算态结果约束运行态改进"的双向闭环。</w:t>
      </w:r>
    </w:p>
    <w:p w14:paraId="5C6B96EF">
      <w:pPr>
        <w:pStyle w:val="19"/>
        <w:widowControl/>
        <w:numPr>
          <w:ilvl w:val="0"/>
          <w:numId w:val="0"/>
        </w:numPr>
        <w:rPr>
          <w:rFonts w:ascii="Times New Roman" w:hAnsi="Times New Roman" w:eastAsia="宋体" w:cs="Times New Roman"/>
          <w:i w:val="0"/>
          <w:color w:val="1F2937"/>
          <w:sz w:val="24"/>
          <w:szCs w:val="24"/>
        </w:rPr>
      </w:pPr>
    </w:p>
    <w:p w14:paraId="58D108F6">
      <w:pPr>
        <w:pStyle w:val="19"/>
        <w:widowControl/>
        <w:numPr>
          <w:ilvl w:val="0"/>
          <w:numId w:val="0"/>
        </w:numPr>
        <w:rPr>
          <w:rFonts w:ascii="Times New Roman" w:hAnsi="Times New Roman" w:eastAsia="宋体" w:cs="Times New Roman"/>
          <w:i w:val="0"/>
          <w:color w:val="1F2937"/>
          <w:sz w:val="24"/>
          <w:szCs w:val="24"/>
        </w:rPr>
      </w:pPr>
    </w:p>
    <w:p w14:paraId="10A754AB">
      <w:pPr>
        <w:pStyle w:val="19"/>
        <w:widowControl/>
        <w:numPr>
          <w:ilvl w:val="0"/>
          <w:numId w:val="0"/>
        </w:numPr>
        <w:rPr>
          <w:rFonts w:ascii="Times New Roman" w:hAnsi="Times New Roman" w:eastAsia="宋体" w:cs="Times New Roman"/>
          <w:i w:val="0"/>
          <w:color w:val="1F2937"/>
          <w:sz w:val="24"/>
          <w:szCs w:val="24"/>
        </w:rPr>
      </w:pPr>
    </w:p>
    <w:p w14:paraId="6C5F8055">
      <w:pPr>
        <w:pStyle w:val="19"/>
        <w:widowControl/>
        <w:numPr>
          <w:ilvl w:val="0"/>
          <w:numId w:val="0"/>
        </w:numPr>
        <w:rPr>
          <w:rFonts w:ascii="Times New Roman" w:hAnsi="Times New Roman" w:eastAsia="宋体" w:cs="Times New Roman"/>
          <w:i w:val="0"/>
          <w:color w:val="1F2937"/>
          <w:sz w:val="24"/>
          <w:szCs w:val="24"/>
        </w:rPr>
      </w:pPr>
    </w:p>
    <w:p w14:paraId="60406835">
      <w:pPr>
        <w:pStyle w:val="19"/>
        <w:widowControl/>
        <w:numPr>
          <w:ilvl w:val="0"/>
          <w:numId w:val="0"/>
        </w:numPr>
        <w:rPr>
          <w:rFonts w:hint="eastAsia" w:ascii="黑体" w:hAnsi="黑体" w:eastAsia="黑体" w:cs="黑体"/>
          <w:b w:val="0"/>
          <w:bCs w:val="0"/>
          <w:i w:val="0"/>
          <w:color w:val="1F2937"/>
          <w:sz w:val="30"/>
          <w:szCs w:val="30"/>
          <w:lang w:val="en-US" w:eastAsia="zh-CN"/>
        </w:rPr>
      </w:pPr>
      <w:r>
        <w:rPr>
          <w:rFonts w:hint="eastAsia" w:ascii="黑体" w:hAnsi="黑体" w:eastAsia="黑体" w:cs="黑体"/>
          <w:b w:val="0"/>
          <w:bCs w:val="0"/>
          <w:i w:val="0"/>
          <w:color w:val="1F2937"/>
          <w:sz w:val="30"/>
          <w:szCs w:val="30"/>
          <w:lang w:val="en-US" w:eastAsia="zh-CN"/>
        </w:rPr>
        <w:t>系统数据流转</w:t>
      </w:r>
    </w:p>
    <w:p w14:paraId="18B8B3AF">
      <w:pPr>
        <w:pStyle w:val="19"/>
        <w:widowControl/>
        <w:numPr>
          <w:ilvl w:val="0"/>
          <w:numId w:val="0"/>
        </w:numPr>
        <w:rPr>
          <w:rFonts w:eastAsia="宋体"/>
          <w:b/>
          <w:i w:val="0"/>
          <w:color w:val="0284C7"/>
          <w:sz w:val="24"/>
          <w:szCs w:val="24"/>
        </w:rPr>
      </w:pPr>
      <w:r>
        <w:drawing>
          <wp:inline distT="0" distB="0" distL="114300" distR="114300">
            <wp:extent cx="5904865" cy="2928620"/>
            <wp:effectExtent l="0" t="0" r="635" b="5080"/>
            <wp:docPr id="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8"/>
                    <pic:cNvPicPr>
                      <a:picLocks noChangeAspect="1"/>
                    </pic:cNvPicPr>
                  </pic:nvPicPr>
                  <pic:blipFill>
                    <a:blip r:embed="rId14"/>
                    <a:stretch>
                      <a:fillRect/>
                    </a:stretch>
                  </pic:blipFill>
                  <pic:spPr>
                    <a:xfrm>
                      <a:off x="0" y="0"/>
                      <a:ext cx="5904865" cy="2928620"/>
                    </a:xfrm>
                    <a:prstGeom prst="rect">
                      <a:avLst/>
                    </a:prstGeom>
                    <a:noFill/>
                    <a:ln>
                      <a:noFill/>
                    </a:ln>
                  </pic:spPr>
                </pic:pic>
              </a:graphicData>
            </a:graphic>
          </wp:inline>
        </w:drawing>
      </w:r>
    </w:p>
    <w:p w14:paraId="2464998B">
      <w:pPr>
        <w:pStyle w:val="4"/>
        <w:numPr>
          <w:ilvl w:val="0"/>
          <w:numId w:val="8"/>
        </w:numPr>
        <w:topLinePunct w:val="0"/>
        <w:ind w:left="0" w:leftChars="0" w:firstLine="0" w:firstLineChars="0"/>
        <w:outlineLvl w:val="0"/>
        <w:rPr>
          <w:rFonts w:hint="eastAsia" w:eastAsia="黑体"/>
          <w:b w:val="0"/>
          <w:bCs w:val="0"/>
          <w:sz w:val="30"/>
          <w:szCs w:val="32"/>
        </w:rPr>
      </w:pPr>
      <w:bookmarkStart w:id="8" w:name="_Toc28925"/>
      <w:r>
        <w:rPr>
          <w:rFonts w:ascii="Times New Roman" w:hAnsi="Times New Roman" w:eastAsia="黑体" w:cs="Times New Roman"/>
          <w:b w:val="0"/>
          <w:bCs w:val="0"/>
          <w:sz w:val="30"/>
          <w:szCs w:val="32"/>
        </w:rPr>
        <w:t>角色画像与权限边界</w:t>
      </w:r>
      <w:bookmarkEnd w:id="8"/>
    </w:p>
    <w:tbl>
      <w:tblPr>
        <w:tblStyle w:val="38"/>
        <w:tblW w:w="10096" w:type="dxa"/>
        <w:jc w:val="center"/>
        <w:tblLayout w:type="autofit"/>
        <w:tblCellMar>
          <w:top w:w="0" w:type="dxa"/>
          <w:left w:w="108" w:type="dxa"/>
          <w:bottom w:w="0" w:type="dxa"/>
          <w:right w:w="108" w:type="dxa"/>
        </w:tblCellMar>
      </w:tblPr>
      <w:tblGrid>
        <w:gridCol w:w="817"/>
        <w:gridCol w:w="1265"/>
        <w:gridCol w:w="1886"/>
        <w:gridCol w:w="3096"/>
        <w:gridCol w:w="3032"/>
      </w:tblGrid>
      <w:tr w14:paraId="495E0E11">
        <w:tblPrEx>
          <w:tblCellMar>
            <w:top w:w="0" w:type="dxa"/>
            <w:left w:w="108" w:type="dxa"/>
            <w:bottom w:w="0" w:type="dxa"/>
            <w:right w:w="108" w:type="dxa"/>
          </w:tblCellMar>
        </w:tblPrEx>
        <w:trPr>
          <w:trHeight w:val="0" w:hRule="atLeast"/>
          <w:tblHeade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44AB8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编号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86210C">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角色名称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B866AA9">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代表岗位</w:t>
            </w:r>
          </w:p>
        </w:tc>
        <w:tc>
          <w:tcPr>
            <w:tcW w:w="30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C6FEE2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核心业务诉求</w:t>
            </w:r>
          </w:p>
        </w:tc>
        <w:tc>
          <w:tcPr>
            <w:tcW w:w="303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4EAFE1">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系统权限边界</w:t>
            </w:r>
          </w:p>
        </w:tc>
      </w:tr>
      <w:tr w14:paraId="192EDA35">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6D03C8">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2BAD7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集团决策层</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324F73">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董事长/分管副总裁</w:t>
            </w:r>
          </w:p>
        </w:tc>
        <w:tc>
          <w:tcPr>
            <w:tcW w:w="30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3D4DB1">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掌控全集团综合能耗趋势与国际碳关税合规态势</w:t>
            </w:r>
          </w:p>
        </w:tc>
        <w:tc>
          <w:tcPr>
            <w:tcW w:w="30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BA9D3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全系统只读大盘、战略批示、特批反冲</w:t>
            </w:r>
          </w:p>
        </w:tc>
      </w:tr>
      <w:tr w14:paraId="039A1B12">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2E0C0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08CA1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园区能碳专员</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215FF3">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各基地动力处长/能源主管</w:t>
            </w:r>
          </w:p>
        </w:tc>
        <w:tc>
          <w:tcPr>
            <w:tcW w:w="30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5173A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穿透式排查工序用能跑冒滴漏，错峰用电降本</w:t>
            </w:r>
          </w:p>
        </w:tc>
        <w:tc>
          <w:tcPr>
            <w:tcW w:w="30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AA8496">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所辖基地读写与全量导出</w:t>
            </w:r>
          </w:p>
        </w:tc>
      </w:tr>
      <w:tr w14:paraId="2E721EFB">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554AC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6F8AA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车间填报员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82615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车间统计员/动力值班员</w:t>
            </w:r>
          </w:p>
        </w:tc>
        <w:tc>
          <w:tcPr>
            <w:tcW w:w="30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FF5E8">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高密快速录入离线产量、能耗、相册与大事记</w:t>
            </w:r>
          </w:p>
        </w:tc>
        <w:tc>
          <w:tcPr>
            <w:tcW w:w="30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B462F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数据表录入/修改/纠错</w:t>
            </w:r>
          </w:p>
        </w:tc>
      </w:tr>
      <w:tr w14:paraId="39F5DAB6">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502A0A">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1A25C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碳核算工程师</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A1D0C1">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碳资产部/产品技术部</w:t>
            </w:r>
          </w:p>
        </w:tc>
        <w:tc>
          <w:tcPr>
            <w:tcW w:w="30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7F67A2">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展开产品 BOM 树，匹配本土实测因子，导出报告</w:t>
            </w:r>
          </w:p>
        </w:tc>
        <w:tc>
          <w:tcPr>
            <w:tcW w:w="30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26609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建模、因子库、碳标签</w:t>
            </w:r>
          </w:p>
        </w:tc>
      </w:tr>
      <w:tr w14:paraId="75A5F1F0">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14967F">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9D838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报关与关税专家</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9B2DF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国际贸易部/关务岗</w:t>
            </w:r>
          </w:p>
        </w:tc>
        <w:tc>
          <w:tcPr>
            <w:tcW w:w="30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C32B9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测算 CBAM 碳关税、生成合规申报包</w:t>
            </w:r>
          </w:p>
        </w:tc>
        <w:tc>
          <w:tcPr>
            <w:tcW w:w="30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376AE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申报、税号白名单、申报包导出</w:t>
            </w:r>
          </w:p>
        </w:tc>
      </w:tr>
      <w:tr w14:paraId="2A6D16A4">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123B5">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P6</w:t>
            </w:r>
          </w:p>
        </w:tc>
        <w:tc>
          <w:tcPr>
            <w:tcW w:w="12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6C5F22">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外部独立审计机构</w:t>
            </w:r>
          </w:p>
        </w:tc>
        <w:tc>
          <w:tcPr>
            <w:tcW w:w="18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0CA1D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SGS / TÜV 南德 / 中国方圆</w:t>
            </w:r>
          </w:p>
        </w:tc>
        <w:tc>
          <w:tcPr>
            <w:tcW w:w="30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6ADCA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在线核验碳足迹证据链与原始凭证</w:t>
            </w:r>
          </w:p>
        </w:tc>
        <w:tc>
          <w:tcPr>
            <w:tcW w:w="30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00100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只读沙箱：指定报告与凭证原件，禁止导出全量</w:t>
            </w:r>
          </w:p>
        </w:tc>
      </w:tr>
    </w:tbl>
    <w:p w14:paraId="5560C252">
      <w:pPr>
        <w:pStyle w:val="4"/>
        <w:numPr>
          <w:ilvl w:val="0"/>
          <w:numId w:val="8"/>
        </w:numPr>
        <w:topLinePunct w:val="0"/>
        <w:ind w:left="0" w:leftChars="0" w:firstLine="0" w:firstLineChars="0"/>
        <w:outlineLvl w:val="0"/>
        <w:rPr>
          <w:rFonts w:hint="eastAsia" w:eastAsia="黑体"/>
          <w:b w:val="0"/>
          <w:bCs w:val="0"/>
          <w:sz w:val="30"/>
          <w:szCs w:val="32"/>
        </w:rPr>
      </w:pPr>
      <w:bookmarkStart w:id="9" w:name="_Toc31509"/>
      <w:r>
        <w:rPr>
          <w:rFonts w:ascii="Times New Roman" w:hAnsi="Times New Roman" w:eastAsia="黑体" w:cs="Times New Roman"/>
          <w:b w:val="0"/>
          <w:bCs w:val="0"/>
          <w:sz w:val="30"/>
          <w:szCs w:val="32"/>
        </w:rPr>
        <w:t>文档编制范式：统一八段式模块模板</w:t>
      </w:r>
      <w:bookmarkEnd w:id="9"/>
    </w:p>
    <w:tbl>
      <w:tblPr>
        <w:tblStyle w:val="38"/>
        <w:tblW w:w="9530" w:type="dxa"/>
        <w:jc w:val="center"/>
        <w:tblLayout w:type="autofit"/>
        <w:tblCellMar>
          <w:top w:w="0" w:type="dxa"/>
          <w:left w:w="108" w:type="dxa"/>
          <w:bottom w:w="0" w:type="dxa"/>
          <w:right w:w="108" w:type="dxa"/>
        </w:tblCellMar>
      </w:tblPr>
      <w:tblGrid>
        <w:gridCol w:w="802"/>
        <w:gridCol w:w="2190"/>
        <w:gridCol w:w="4285"/>
        <w:gridCol w:w="2253"/>
      </w:tblGrid>
      <w:tr w14:paraId="183A7D12">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046D29">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段序</w:t>
            </w:r>
          </w:p>
        </w:tc>
        <w:tc>
          <w:tcPr>
            <w:tcW w:w="21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56BAB4">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段落名称</w:t>
            </w:r>
          </w:p>
        </w:tc>
        <w:tc>
          <w:tcPr>
            <w:tcW w:w="42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AADD0B">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编制要求</w:t>
            </w:r>
          </w:p>
        </w:tc>
        <w:tc>
          <w:tcPr>
            <w:tcW w:w="225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CF50CB">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缺失判定</w:t>
            </w:r>
          </w:p>
        </w:tc>
      </w:tr>
      <w:tr w14:paraId="7FDBD26E">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ABB61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1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8B298B">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定位与架构角色</w:t>
            </w:r>
          </w:p>
        </w:tc>
        <w:tc>
          <w:tcPr>
            <w:tcW w:w="42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304AC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明确模块功能定位、承载角色 Persona、页面路由/入口、上下游依赖与输出物</w:t>
            </w:r>
          </w:p>
        </w:tc>
        <w:tc>
          <w:tcPr>
            <w:tcW w:w="22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89981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缺失即视为模块不完整，不得进入研发准入</w:t>
            </w:r>
          </w:p>
        </w:tc>
      </w:tr>
      <w:tr w14:paraId="246F9DB3">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9A74BD">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1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C4C441">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业务场景与用户故事</w:t>
            </w:r>
          </w:p>
        </w:tc>
        <w:tc>
          <w:tcPr>
            <w:tcW w:w="42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0BF45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业务场景一句话描述 + INVEST 合规用户故事（As a / I want / So that）</w:t>
            </w:r>
          </w:p>
        </w:tc>
        <w:tc>
          <w:tcPr>
            <w:tcW w:w="22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32BCF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缺失用户故事视为需求来源不可追溯</w:t>
            </w:r>
          </w:p>
        </w:tc>
      </w:tr>
      <w:tr w14:paraId="2B6C0941">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5BB87D">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1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39343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功能规格与交互契约</w:t>
            </w:r>
          </w:p>
        </w:tc>
        <w:tc>
          <w:tcPr>
            <w:tcW w:w="42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DD16E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页面布局分区说明 + 交互规则逐条枚举，含筛选器、联动、钻取与刷新策略</w:t>
            </w:r>
          </w:p>
        </w:tc>
        <w:tc>
          <w:tcPr>
            <w:tcW w:w="22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034C9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缺失交互契约视为不可开发</w:t>
            </w:r>
          </w:p>
        </w:tc>
      </w:tr>
      <w:tr w14:paraId="22C7F418">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02DE11">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1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2715A2">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页面字段字典与数据契约</w:t>
            </w:r>
          </w:p>
        </w:tc>
        <w:tc>
          <w:tcPr>
            <w:tcW w:w="42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04C98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字段级表格：序号 / 字段中文名称 / 数据类型 / 工程单位 / 校验与约束规则</w:t>
            </w:r>
          </w:p>
        </w:tc>
        <w:tc>
          <w:tcPr>
            <w:tcW w:w="22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CBFD2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字段无校验规则视为不可测试</w:t>
            </w:r>
          </w:p>
        </w:tc>
      </w:tr>
      <w:tr w14:paraId="5280F496">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CD0AE">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1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0F740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核心数学模型与算法公式</w:t>
            </w:r>
          </w:p>
        </w:tc>
        <w:tc>
          <w:tcPr>
            <w:tcW w:w="42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BE051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公式卡片：核算公式 + 逻辑说明 + 变量定义与取值约定</w:t>
            </w:r>
          </w:p>
        </w:tc>
        <w:tc>
          <w:tcPr>
            <w:tcW w:w="22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25A73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涉及计算而无公式视为不可验收</w:t>
            </w:r>
          </w:p>
        </w:tc>
      </w:tr>
      <w:tr w14:paraId="78F6B4A3">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25CA58">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1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1442CB">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展示、对标与判定口径</w:t>
            </w:r>
          </w:p>
        </w:tc>
        <w:tc>
          <w:tcPr>
            <w:tcW w:w="42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CB3F5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指标粒度、对比口径（同比/环比）、三色判定阈值、排名与达标规则</w:t>
            </w:r>
          </w:p>
        </w:tc>
        <w:tc>
          <w:tcPr>
            <w:tcW w:w="22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DCE3E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缺失判定口径视为结果不可解释</w:t>
            </w:r>
          </w:p>
        </w:tc>
      </w:tr>
      <w:tr w14:paraId="51D27E2F">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BF1CB5">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1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33C1F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边界条件、异常处理与防错规则</w:t>
            </w:r>
          </w:p>
        </w:tc>
        <w:tc>
          <w:tcPr>
            <w:tcW w:w="42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6E941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除零、空值、越权、超时、并发、离线等异常的标准错误码与界面表现</w:t>
            </w:r>
          </w:p>
        </w:tc>
        <w:tc>
          <w:tcPr>
            <w:tcW w:w="22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03828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缺失异常规则视为生产事故隐患</w:t>
            </w:r>
          </w:p>
        </w:tc>
      </w:tr>
      <w:tr w14:paraId="182582CC">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78744D">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1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DA37B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QA 自动化验收准则（Gherkin BDD）</w:t>
            </w:r>
          </w:p>
        </w:tc>
        <w:tc>
          <w:tcPr>
            <w:tcW w:w="42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818F1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 When / Then 三段式可自动化执行的验收用例</w:t>
            </w:r>
          </w:p>
        </w:tc>
        <w:tc>
          <w:tcPr>
            <w:tcW w:w="22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3DD6D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缺失验收准则不得进入测试准入</w:t>
            </w:r>
          </w:p>
        </w:tc>
      </w:tr>
    </w:tbl>
    <w:p w14:paraId="4808555E">
      <w:pPr>
        <w:rPr>
          <w:rFonts w:hint="eastAsia" w:ascii="宋体" w:hAnsi="宋体" w:eastAsia="宋体" w:cs="宋体"/>
          <w:b/>
          <w:i w:val="0"/>
          <w:iCs w:val="0"/>
          <w:color w:val="1E3A8A"/>
          <w:sz w:val="24"/>
          <w:szCs w:val="24"/>
        </w:rPr>
      </w:pPr>
      <w:r>
        <w:rPr>
          <w:rFonts w:hint="eastAsia" w:ascii="宋体" w:hAnsi="宋体" w:eastAsia="宋体" w:cs="宋体"/>
          <w:b/>
          <w:i w:val="0"/>
          <w:iCs w:val="0"/>
          <w:color w:val="1E3A8A"/>
          <w:sz w:val="24"/>
          <w:szCs w:val="24"/>
        </w:rPr>
        <w:br w:type="page"/>
      </w:r>
    </w:p>
    <w:p w14:paraId="123E3550">
      <w:pPr>
        <w:pStyle w:val="3"/>
        <w:widowControl/>
        <w:numPr>
          <w:ilvl w:val="0"/>
          <w:numId w:val="7"/>
        </w:numPr>
        <w:ind w:left="0" w:leftChars="0" w:firstLine="0" w:firstLineChars="0"/>
        <w:rPr>
          <w:rFonts w:eastAsia="黑体"/>
          <w:b w:val="0"/>
          <w:bCs w:val="0"/>
          <w:sz w:val="32"/>
          <w:szCs w:val="44"/>
        </w:rPr>
      </w:pPr>
      <w:bookmarkStart w:id="10" w:name="_Toc26178"/>
      <w:r>
        <w:rPr>
          <w:rFonts w:ascii="Times New Roman" w:hAnsi="Times New Roman" w:eastAsia="黑体" w:cs="Times New Roman"/>
          <w:b w:val="0"/>
          <w:bCs w:val="0"/>
          <w:sz w:val="32"/>
          <w:szCs w:val="44"/>
        </w:rPr>
        <w:t>零碳园区集控中心功能需求规格</w:t>
      </w:r>
      <w:bookmarkEnd w:id="10"/>
    </w:p>
    <w:p w14:paraId="0B06A0C1">
      <w:pPr>
        <w:pStyle w:val="19"/>
        <w:widowControl/>
        <w:ind w:left="0" w:leftChars="0" w:firstLine="0" w:firstLineChars="0"/>
        <w:rPr>
          <w:rFonts w:ascii="Times New Roman" w:hAnsi="Times New Roman" w:eastAsia="宋体" w:cs="Times New Roman"/>
          <w:b w:val="0"/>
          <w:bCs w:val="0"/>
          <w:i w:val="0"/>
          <w:color w:val="1F2937"/>
          <w:sz w:val="24"/>
          <w:szCs w:val="24"/>
        </w:rPr>
      </w:pPr>
      <w:r>
        <w:rPr>
          <w:rFonts w:hint="eastAsia" w:ascii="宋体" w:hAnsi="宋体" w:eastAsia="宋体" w:cs="宋体"/>
          <w:i w:val="0"/>
          <w:iCs w:val="0"/>
        </w:rPr>
        <w:drawing>
          <wp:inline distT="0" distB="0" distL="114300" distR="114300">
            <wp:extent cx="6210300" cy="3079115"/>
            <wp:effectExtent l="0" t="0" r="0" b="698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5"/>
                    <a:stretch>
                      <a:fillRect/>
                    </a:stretch>
                  </pic:blipFill>
                  <pic:spPr>
                    <a:xfrm>
                      <a:off x="0" y="0"/>
                      <a:ext cx="6210300" cy="3079115"/>
                    </a:xfrm>
                    <a:prstGeom prst="rect">
                      <a:avLst/>
                    </a:prstGeom>
                    <a:noFill/>
                    <a:ln>
                      <a:noFill/>
                    </a:ln>
                  </pic:spPr>
                </pic:pic>
              </a:graphicData>
            </a:graphic>
          </wp:inline>
        </w:drawing>
      </w:r>
    </w:p>
    <w:p w14:paraId="21C483D5">
      <w:pPr>
        <w:pStyle w:val="19"/>
        <w:widowControl/>
        <w:rPr>
          <w:rFonts w:hint="eastAsia" w:ascii="Times New Roman" w:hAnsi="Times New Roman" w:eastAsia="宋体" w:cs="Times New Roman"/>
          <w:b w:val="0"/>
          <w:bCs w:val="0"/>
          <w:i w:val="0"/>
          <w:sz w:val="24"/>
          <w:szCs w:val="24"/>
          <w:lang w:eastAsia="zh-CN"/>
        </w:rPr>
      </w:pPr>
      <w:r>
        <w:rPr>
          <w:rFonts w:ascii="Times New Roman" w:hAnsi="Times New Roman" w:eastAsia="宋体" w:cs="Times New Roman"/>
          <w:b w:val="0"/>
          <w:bCs w:val="0"/>
          <w:i w:val="0"/>
          <w:color w:val="1F2937"/>
          <w:sz w:val="24"/>
          <w:szCs w:val="24"/>
        </w:rPr>
        <w:t>本章严格</w:t>
      </w:r>
      <w:r>
        <w:rPr>
          <w:rFonts w:hint="eastAsia" w:ascii="Times New Roman" w:hAnsi="Times New Roman" w:eastAsia="宋体" w:cs="Times New Roman"/>
          <w:b w:val="0"/>
          <w:bCs w:val="0"/>
          <w:i w:val="0"/>
          <w:color w:val="1F2937"/>
          <w:sz w:val="24"/>
          <w:szCs w:val="24"/>
          <w:lang w:eastAsia="zh-CN"/>
        </w:rPr>
        <w:t>匹配</w:t>
      </w:r>
      <w:r>
        <w:rPr>
          <w:rFonts w:ascii="Times New Roman" w:hAnsi="Times New Roman" w:eastAsia="宋体" w:cs="Times New Roman"/>
          <w:b w:val="0"/>
          <w:bCs w:val="0"/>
          <w:i w:val="0"/>
          <w:color w:val="1F2937"/>
          <w:sz w:val="24"/>
          <w:szCs w:val="24"/>
        </w:rPr>
        <w:t>系统切换至【零碳园区集控中心】</w:t>
      </w:r>
      <w:r>
        <w:rPr>
          <w:rFonts w:hint="eastAsia" w:ascii="Times New Roman" w:hAnsi="Times New Roman" w:eastAsia="宋体" w:cs="Times New Roman"/>
          <w:b w:val="0"/>
          <w:bCs w:val="0"/>
          <w:i w:val="0"/>
          <w:color w:val="1F2937"/>
          <w:sz w:val="24"/>
          <w:szCs w:val="24"/>
          <w:lang w:eastAsia="zh-CN"/>
        </w:rPr>
        <w:t>后</w:t>
      </w:r>
      <w:r>
        <w:rPr>
          <w:rFonts w:ascii="Times New Roman" w:hAnsi="Times New Roman" w:eastAsia="宋体" w:cs="Times New Roman"/>
          <w:b w:val="0"/>
          <w:bCs w:val="0"/>
          <w:i w:val="0"/>
          <w:color w:val="1F2937"/>
          <w:sz w:val="24"/>
          <w:szCs w:val="24"/>
        </w:rPr>
        <w:t>的6大一级主导航</w:t>
      </w:r>
      <w:r>
        <w:rPr>
          <w:rFonts w:hint="eastAsia" w:ascii="Times New Roman" w:hAnsi="Times New Roman" w:eastAsia="宋体" w:cs="Times New Roman"/>
          <w:b w:val="0"/>
          <w:bCs w:val="0"/>
          <w:i w:val="0"/>
          <w:color w:val="1F2937"/>
          <w:sz w:val="24"/>
          <w:szCs w:val="24"/>
          <w:lang w:eastAsia="zh-CN"/>
        </w:rPr>
        <w:t>分层</w:t>
      </w:r>
      <w:r>
        <w:rPr>
          <w:rFonts w:ascii="Times New Roman" w:hAnsi="Times New Roman" w:eastAsia="宋体" w:cs="Times New Roman"/>
          <w:b w:val="0"/>
          <w:bCs w:val="0"/>
          <w:i w:val="0"/>
          <w:color w:val="1F2937"/>
          <w:sz w:val="24"/>
          <w:szCs w:val="24"/>
        </w:rPr>
        <w:t>展开，全面覆盖集中监控大屏、集中监管、能耗能效分析、零碳项目评估、统计报表与基础管理六大</w:t>
      </w:r>
      <w:r>
        <w:rPr>
          <w:rFonts w:hint="eastAsia" w:cs="Times New Roman"/>
          <w:b w:val="0"/>
          <w:bCs w:val="0"/>
          <w:i w:val="0"/>
          <w:color w:val="1F2937"/>
          <w:sz w:val="24"/>
          <w:szCs w:val="24"/>
          <w:lang w:eastAsia="zh-CN"/>
        </w:rPr>
        <w:t>业务</w:t>
      </w:r>
      <w:r>
        <w:rPr>
          <w:rFonts w:ascii="Times New Roman" w:hAnsi="Times New Roman" w:eastAsia="宋体" w:cs="Times New Roman"/>
          <w:b w:val="0"/>
          <w:bCs w:val="0"/>
          <w:i w:val="0"/>
          <w:color w:val="1F2937"/>
          <w:sz w:val="24"/>
          <w:szCs w:val="24"/>
        </w:rPr>
        <w:t>板块。</w:t>
      </w:r>
      <w:r>
        <w:rPr>
          <w:rFonts w:hint="eastAsia" w:ascii="Times New Roman" w:hAnsi="Times New Roman" w:eastAsia="宋体" w:cs="Times New Roman"/>
          <w:b w:val="0"/>
          <w:bCs w:val="0"/>
          <w:i w:val="0"/>
          <w:color w:val="1F2937"/>
          <w:sz w:val="24"/>
          <w:szCs w:val="24"/>
          <w:lang w:eastAsia="zh-CN"/>
        </w:rPr>
        <w:t>本章节的功能权限矩阵收录于附录E，</w:t>
      </w:r>
      <w:r>
        <w:rPr>
          <w:rFonts w:ascii="Times New Roman" w:hAnsi="Times New Roman" w:eastAsia="宋体" w:cs="Times New Roman"/>
          <w:b w:val="0"/>
          <w:bCs w:val="0"/>
          <w:i w:val="0"/>
          <w:color w:val="1F2937"/>
          <w:sz w:val="24"/>
          <w:szCs w:val="24"/>
        </w:rPr>
        <w:t>验收用例</w:t>
      </w:r>
      <w:r>
        <w:rPr>
          <w:rFonts w:hint="eastAsia" w:ascii="Times New Roman" w:hAnsi="Times New Roman" w:eastAsia="宋体" w:cs="Times New Roman"/>
          <w:b w:val="0"/>
          <w:bCs w:val="0"/>
          <w:i w:val="0"/>
          <w:color w:val="1F2937"/>
          <w:sz w:val="24"/>
          <w:szCs w:val="24"/>
          <w:lang w:eastAsia="zh-CN"/>
        </w:rPr>
        <w:t>放在</w:t>
      </w:r>
      <w:r>
        <w:rPr>
          <w:rFonts w:ascii="Times New Roman" w:hAnsi="Times New Roman" w:eastAsia="宋体" w:cs="Times New Roman"/>
          <w:b w:val="0"/>
          <w:bCs w:val="0"/>
          <w:i w:val="0"/>
          <w:color w:val="1F2937"/>
          <w:sz w:val="24"/>
          <w:szCs w:val="24"/>
        </w:rPr>
        <w:t>第十一章，</w:t>
      </w:r>
      <w:r>
        <w:rPr>
          <w:rFonts w:hint="eastAsia" w:ascii="Times New Roman" w:hAnsi="Times New Roman" w:eastAsia="宋体" w:cs="Times New Roman"/>
          <w:b w:val="0"/>
          <w:bCs w:val="0"/>
          <w:i w:val="0"/>
          <w:color w:val="1F2937"/>
          <w:sz w:val="24"/>
          <w:szCs w:val="24"/>
          <w:lang w:eastAsia="zh-CN"/>
        </w:rPr>
        <w:t>相关错误码可查阅第五章“标准化错误码字典”。</w:t>
      </w:r>
    </w:p>
    <w:p w14:paraId="0EEEF575">
      <w:pPr>
        <w:pStyle w:val="4"/>
        <w:numPr>
          <w:ilvl w:val="0"/>
          <w:numId w:val="15"/>
        </w:numPr>
        <w:topLinePunct w:val="0"/>
        <w:ind w:left="0" w:leftChars="0" w:firstLine="0" w:firstLineChars="0"/>
        <w:outlineLvl w:val="0"/>
        <w:rPr>
          <w:rFonts w:hint="eastAsia" w:eastAsia="黑体"/>
          <w:b w:val="0"/>
          <w:bCs w:val="0"/>
          <w:sz w:val="30"/>
          <w:szCs w:val="32"/>
        </w:rPr>
      </w:pPr>
      <w:bookmarkStart w:id="11" w:name="_Toc26638"/>
      <w:r>
        <w:rPr>
          <w:rFonts w:ascii="Times New Roman" w:hAnsi="Times New Roman" w:eastAsia="黑体" w:cs="Times New Roman"/>
          <w:b w:val="0"/>
          <w:bCs w:val="0"/>
          <w:sz w:val="30"/>
          <w:szCs w:val="32"/>
        </w:rPr>
        <w:t>集控中心大屏</w:t>
      </w:r>
      <w:bookmarkEnd w:id="11"/>
    </w:p>
    <w:p w14:paraId="6FAAACEE">
      <w:pPr>
        <w:pStyle w:val="5"/>
        <w:numPr>
          <w:ilvl w:val="0"/>
          <w:numId w:val="16"/>
        </w:numPr>
        <w:ind w:left="0" w:leftChars="0" w:firstLine="0" w:firstLineChars="0"/>
        <w:outlineLvl w:val="1"/>
        <w:rPr>
          <w:rFonts w:eastAsia="黑体"/>
          <w:b w:val="0"/>
          <w:bCs w:val="0"/>
          <w:sz w:val="30"/>
          <w:szCs w:val="24"/>
        </w:rPr>
      </w:pPr>
      <w:bookmarkStart w:id="12" w:name="_Toc14753"/>
      <w:r>
        <w:rPr>
          <w:rFonts w:ascii="Times New Roman" w:hAnsi="Times New Roman" w:eastAsia="黑体" w:cs="Times New Roman"/>
          <w:b w:val="0"/>
          <w:bCs w:val="0"/>
          <w:sz w:val="30"/>
          <w:szCs w:val="24"/>
        </w:rPr>
        <w:t>全景环幕大屏 46:9</w:t>
      </w:r>
      <w:bookmarkEnd w:id="12"/>
    </w:p>
    <w:p w14:paraId="0122400A">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eastAsia="zh-CN" w:bidi="ar-SA"/>
        </w:rPr>
      </w:pPr>
      <w:r>
        <w:rPr>
          <w:rFonts w:hint="eastAsia" w:ascii="Times New Roman" w:hAnsi="Times New Roman" w:eastAsia="黑体" w:cs="Times New Roman"/>
          <w:b w:val="0"/>
          <w:bCs/>
          <w:kern w:val="2"/>
          <w:sz w:val="28"/>
          <w:szCs w:val="28"/>
          <w:lang w:eastAsia="zh-CN" w:bidi="ar-SA"/>
        </w:rPr>
        <w:drawing>
          <wp:inline distT="0" distB="0" distL="114300" distR="114300">
            <wp:extent cx="6035040" cy="1131570"/>
            <wp:effectExtent l="0" t="0" r="3810" b="11430"/>
            <wp:docPr id="3" name="图片 3" descr="6547531b2aabc72f6817ed220ea5b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547531b2aabc72f6817ed220ea5bdc7"/>
                    <pic:cNvPicPr>
                      <a:picLocks noChangeAspect="1"/>
                    </pic:cNvPicPr>
                  </pic:nvPicPr>
                  <pic:blipFill>
                    <a:blip r:embed="rId16"/>
                    <a:stretch>
                      <a:fillRect/>
                    </a:stretch>
                  </pic:blipFill>
                  <pic:spPr>
                    <a:xfrm>
                      <a:off x="0" y="0"/>
                      <a:ext cx="6035040" cy="1131570"/>
                    </a:xfrm>
                    <a:prstGeom prst="rect">
                      <a:avLst/>
                    </a:prstGeom>
                  </pic:spPr>
                </pic:pic>
              </a:graphicData>
            </a:graphic>
          </wp:inline>
        </w:drawing>
      </w:r>
    </w:p>
    <w:p w14:paraId="378743A9">
      <w:pPr>
        <w:jc w:val="center"/>
        <w:rPr>
          <w:rFonts w:hint="default" w:eastAsia="黑体"/>
          <w:b w:val="0"/>
          <w:bCs/>
          <w:sz w:val="28"/>
          <w:szCs w:val="28"/>
          <w:lang w:val="en-US" w:eastAsia="zh-CN"/>
        </w:rPr>
      </w:pPr>
      <w:r>
        <w:rPr>
          <w:rFonts w:hint="eastAsia" w:eastAsia="黑体"/>
          <w:b w:val="0"/>
          <w:bCs/>
          <w:sz w:val="28"/>
          <w:szCs w:val="28"/>
          <w:lang w:val="en-US" w:eastAsia="zh-CN"/>
        </w:rPr>
        <w:t>集控中心大屏展示</w:t>
      </w:r>
    </w:p>
    <w:p w14:paraId="3ECF291B">
      <w:pPr>
        <w:rPr>
          <w:rFonts w:hint="eastAsia" w:eastAsia="黑体"/>
          <w:b w:val="0"/>
          <w:bCs/>
          <w:sz w:val="28"/>
          <w:szCs w:val="28"/>
          <w:lang w:eastAsia="zh-CN"/>
        </w:rPr>
      </w:pPr>
      <w:r>
        <w:rPr>
          <w:rFonts w:hint="eastAsia" w:eastAsia="黑体"/>
          <w:b w:val="0"/>
          <w:bCs/>
          <w:sz w:val="28"/>
          <w:szCs w:val="28"/>
          <w:lang w:eastAsia="zh-CN"/>
        </w:rPr>
        <w:drawing>
          <wp:inline distT="0" distB="0" distL="114300" distR="114300">
            <wp:extent cx="6094730" cy="884555"/>
            <wp:effectExtent l="0" t="0" r="1270" b="10795"/>
            <wp:docPr id="4" name="图片 4" descr="0bdadf2d4ce88726b5dd957ae0dd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bdadf2d4ce88726b5dd957ae0dd2024"/>
                    <pic:cNvPicPr>
                      <a:picLocks noChangeAspect="1"/>
                    </pic:cNvPicPr>
                  </pic:nvPicPr>
                  <pic:blipFill>
                    <a:blip r:embed="rId17"/>
                    <a:stretch>
                      <a:fillRect/>
                    </a:stretch>
                  </pic:blipFill>
                  <pic:spPr>
                    <a:xfrm>
                      <a:off x="0" y="0"/>
                      <a:ext cx="6094730" cy="884555"/>
                    </a:xfrm>
                    <a:prstGeom prst="rect">
                      <a:avLst/>
                    </a:prstGeom>
                  </pic:spPr>
                </pic:pic>
              </a:graphicData>
            </a:graphic>
          </wp:inline>
        </w:drawing>
      </w:r>
    </w:p>
    <w:p w14:paraId="3707B6F1">
      <w:pPr>
        <w:jc w:val="center"/>
        <w:rPr>
          <w:rFonts w:hint="default" w:eastAsia="黑体"/>
          <w:b w:val="0"/>
          <w:bCs/>
          <w:sz w:val="28"/>
          <w:szCs w:val="28"/>
          <w:lang w:val="en-US" w:eastAsia="zh-CN"/>
        </w:rPr>
      </w:pPr>
      <w:r>
        <w:rPr>
          <w:rFonts w:hint="eastAsia" w:eastAsia="黑体"/>
          <w:b w:val="0"/>
          <w:bCs/>
          <w:sz w:val="28"/>
          <w:szCs w:val="28"/>
          <w:lang w:val="en-US" w:eastAsia="zh-CN"/>
        </w:rPr>
        <w:t>集采中心大屏展示</w:t>
      </w:r>
    </w:p>
    <w:p w14:paraId="6EBDB885">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CEDBC1B">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：集团级对外示范与战略汇报窗口，以 46:9 超宽环幕形态宏观通览全集团园区能源大盘、实时功率流、微电网出力与降碳成效。</w:t>
      </w:r>
    </w:p>
    <w:p w14:paraId="384C81F0">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：P1 集团决策层（主视角）；面向省部级领导、全球大客户参观场景。</w:t>
      </w:r>
    </w:p>
    <w:p w14:paraId="55C278F6">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/monitor/screen/panoramic </w:t>
      </w:r>
      <w:r>
        <w:rPr>
          <w:rFonts w:ascii="Times New Roman" w:hAnsi="Times New Roman" w:eastAsia="宋体" w:cs="Times New Roman"/>
          <w:i w:val="0"/>
          <w:color w:val="1F2937"/>
          <w:sz w:val="24"/>
          <w:szCs w:val="24"/>
        </w:rPr>
        <w:t>；适配 46:9 超宽拼接环幕，支持 4K/8K 分辨率自适应缩放。</w:t>
      </w:r>
    </w:p>
    <w:p w14:paraId="5DE42AC1">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：IoT 采集网关遥测流、指标管控核算结果、微电网监测数据、组织架构主数据。</w:t>
      </w:r>
    </w:p>
    <w:p w14:paraId="570C7D2C">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：对外演示态数据快照；全屏轮播切换指令。</w:t>
      </w:r>
    </w:p>
    <w:p w14:paraId="304935FD">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983E235">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：面向集团董事长、省部级领导及全球大客户参观特变电工指挥大厅时，宏观通览全集团 15 大园区及 21 家实体工厂的能源大盘、实时功率流、微电网出力与降碳成效。</w:t>
      </w:r>
    </w:p>
    <w:p w14:paraId="05114668">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01AA18B">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集团高层决策者 (Persona P1)</w:t>
      </w:r>
      <w:r>
        <w:rPr>
          <w:rFonts w:ascii="Times New Roman" w:hAnsi="Times New Roman" w:eastAsia="宋体" w:cs="Times New Roman"/>
          <w:i w:val="0"/>
          <w:color w:val="1F2937"/>
          <w:sz w:val="24"/>
          <w:szCs w:val="24"/>
        </w:rPr>
        <w:t>，</w:t>
      </w:r>
    </w:p>
    <w:p w14:paraId="689AD6AF">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在集控中心环幕大屏上一屏穿透全集团实时能耗折标总量、万元产值能耗变动、微电网光储充实时出力与全国制造基地空间分布</w:t>
      </w:r>
      <w:r>
        <w:rPr>
          <w:rFonts w:ascii="Times New Roman" w:hAnsi="Times New Roman" w:eastAsia="宋体" w:cs="Times New Roman"/>
          <w:i w:val="0"/>
          <w:color w:val="1F2937"/>
          <w:sz w:val="24"/>
          <w:szCs w:val="24"/>
        </w:rPr>
        <w:t>，</w:t>
      </w:r>
    </w:p>
    <w:p w14:paraId="51948574">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我能掌握集团能碳战略执行进度，对外彰显特变电工世界级绿色智造硬实力</w:t>
      </w:r>
      <w:r>
        <w:rPr>
          <w:rFonts w:ascii="Times New Roman" w:hAnsi="Times New Roman" w:eastAsia="宋体" w:cs="Times New Roman"/>
          <w:i w:val="0"/>
          <w:color w:val="1F2937"/>
          <w:sz w:val="24"/>
          <w:szCs w:val="24"/>
        </w:rPr>
        <w:t>。</w:t>
      </w:r>
    </w:p>
    <w:p w14:paraId="301F7043">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89EAF6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三栏式布局流：</w:t>
      </w:r>
    </w:p>
    <w:tbl>
      <w:tblPr>
        <w:tblStyle w:val="38"/>
        <w:tblW w:w="9530" w:type="dxa"/>
        <w:jc w:val="center"/>
        <w:tblLayout w:type="autofit"/>
        <w:tblCellMar>
          <w:top w:w="0" w:type="dxa"/>
          <w:left w:w="108" w:type="dxa"/>
          <w:bottom w:w="0" w:type="dxa"/>
          <w:right w:w="108" w:type="dxa"/>
        </w:tblCellMar>
      </w:tblPr>
      <w:tblGrid>
        <w:gridCol w:w="1555"/>
        <w:gridCol w:w="928"/>
        <w:gridCol w:w="7047"/>
      </w:tblGrid>
      <w:tr w14:paraId="4CCD060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930EBA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分区</w:t>
            </w:r>
          </w:p>
        </w:tc>
        <w:tc>
          <w:tcPr>
            <w:tcW w:w="92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E33B7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占比</w:t>
            </w:r>
          </w:p>
        </w:tc>
        <w:tc>
          <w:tcPr>
            <w:tcW w:w="704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05DF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核心内容</w:t>
            </w:r>
          </w:p>
        </w:tc>
      </w:tr>
      <w:tr w14:paraId="3096D7A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6F14EC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左侧大盘</w:t>
            </w:r>
          </w:p>
        </w:tc>
        <w:tc>
          <w:tcPr>
            <w:tcW w:w="92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EEDE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25%</w:t>
            </w:r>
          </w:p>
        </w:tc>
        <w:tc>
          <w:tcPr>
            <w:tcW w:w="70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1A67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集团综合折标能耗总看板、万元产值综合单耗卡片、8 大能源介质消费占比圆环图、24 小时全集团用电负荷连续走势</w:t>
            </w:r>
          </w:p>
        </w:tc>
      </w:tr>
      <w:tr w14:paraId="218FF76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12D3E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中央 3D 数字孪生地图</w:t>
            </w:r>
          </w:p>
        </w:tc>
        <w:tc>
          <w:tcPr>
            <w:tcW w:w="92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F39AC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w:t>
            </w:r>
          </w:p>
        </w:tc>
        <w:tc>
          <w:tcPr>
            <w:tcW w:w="704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D1FA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Three.js + D3-Geo 3D 浮雕中国立体地图、15 大园区与 21 家生产基地地理航标、5 家主力工厂切片胶囊 Tab</w:t>
            </w:r>
          </w:p>
        </w:tc>
      </w:tr>
      <w:tr w14:paraId="05A873B2">
        <w:tblPrEx>
          <w:tblCellMar>
            <w:top w:w="0" w:type="dxa"/>
            <w:left w:w="108" w:type="dxa"/>
            <w:bottom w:w="0" w:type="dxa"/>
            <w:right w:w="108" w:type="dxa"/>
          </w:tblCellMar>
        </w:tblPrEx>
        <w:trPr>
          <w:jc w:val="center"/>
        </w:trPr>
        <w:tc>
          <w:tcPr>
            <w:tcW w:w="15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469B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右侧微网与告警</w:t>
            </w:r>
          </w:p>
        </w:tc>
        <w:tc>
          <w:tcPr>
            <w:tcW w:w="92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9F8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25%</w:t>
            </w:r>
          </w:p>
        </w:tc>
        <w:tc>
          <w:tcPr>
            <w:tcW w:w="70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92F4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微电网实时出力矩阵、重点工序能效对标看板、实时运行事件流</w:t>
            </w:r>
          </w:p>
        </w:tc>
      </w:tr>
    </w:tbl>
    <w:p w14:paraId="77C84767">
      <w:pPr>
        <w:spacing w:after="60"/>
        <w:rPr>
          <w:rFonts w:hint="eastAsia" w:ascii="宋体" w:hAnsi="宋体" w:eastAsia="宋体" w:cs="宋体"/>
          <w:i w:val="0"/>
          <w:iCs w:val="0"/>
          <w:sz w:val="24"/>
          <w:szCs w:val="24"/>
        </w:rPr>
      </w:pPr>
    </w:p>
    <w:p w14:paraId="06147B9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关键交互规则：</w:t>
      </w:r>
    </w:p>
    <w:p w14:paraId="2074DBA7">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左侧大盘</w:t>
      </w:r>
      <w:r>
        <w:rPr>
          <w:rFonts w:ascii="Times New Roman" w:hAnsi="Times New Roman" w:eastAsia="宋体" w:cs="Times New Roman"/>
          <w:i w:val="0"/>
          <w:color w:val="1F2937"/>
          <w:sz w:val="24"/>
          <w:szCs w:val="24"/>
        </w:rPr>
        <w:t xml:space="preserve">：集团综合折标能耗总看板展示当前年度/月度累计能耗（形如 </w:t>
      </w:r>
      <w:r>
        <w:rPr>
          <w:rFonts w:ascii="Times New Roman" w:hAnsi="Times New Roman" w:eastAsia="宋体" w:cs="Times New Roman"/>
          <w:b w:val="0"/>
          <w:i w:val="0"/>
          <w:color w:val="0284C7"/>
          <w:sz w:val="24"/>
          <w:szCs w:val="24"/>
        </w:rPr>
        <w:t xml:space="preserve"> 48,290 tce </w:t>
      </w:r>
      <w:r>
        <w:rPr>
          <w:rFonts w:ascii="Times New Roman" w:hAnsi="Times New Roman" w:eastAsia="宋体" w:cs="Times New Roman"/>
          <w:i w:val="0"/>
          <w:color w:val="1F2937"/>
          <w:sz w:val="24"/>
          <w:szCs w:val="24"/>
        </w:rPr>
        <w:t xml:space="preserve">）与同比降幅；万元产值综合单耗卡片展示 </w:t>
      </w:r>
      <w:r>
        <w:rPr>
          <w:rFonts w:ascii="Times New Roman" w:hAnsi="Times New Roman" w:eastAsia="宋体" w:cs="Times New Roman"/>
          <w:b w:val="0"/>
          <w:i w:val="0"/>
          <w:color w:val="0284C7"/>
          <w:sz w:val="24"/>
          <w:szCs w:val="24"/>
        </w:rPr>
        <w:t xml:space="preserve"> 0.0526 tce/万元 </w:t>
      </w:r>
      <w:r>
        <w:rPr>
          <w:rFonts w:ascii="Times New Roman" w:hAnsi="Times New Roman" w:eastAsia="宋体" w:cs="Times New Roman"/>
          <w:i w:val="0"/>
          <w:color w:val="1F2937"/>
          <w:sz w:val="24"/>
          <w:szCs w:val="24"/>
        </w:rPr>
        <w:t xml:space="preserve">（同比 </w:t>
      </w:r>
      <w:r>
        <w:rPr>
          <w:rFonts w:ascii="Times New Roman" w:hAnsi="Times New Roman" w:eastAsia="宋体" w:cs="Times New Roman"/>
          <w:b w:val="0"/>
          <w:i w:val="0"/>
          <w:color w:val="0284C7"/>
          <w:sz w:val="24"/>
          <w:szCs w:val="24"/>
        </w:rPr>
        <w:t xml:space="preserve"> -3.8% </w:t>
      </w:r>
      <w:r>
        <w:rPr>
          <w:rFonts w:ascii="Times New Roman" w:hAnsi="Times New Roman" w:eastAsia="宋体" w:cs="Times New Roman"/>
          <w:i w:val="0"/>
          <w:color w:val="1F2937"/>
          <w:sz w:val="24"/>
          <w:szCs w:val="24"/>
        </w:rPr>
        <w:t>）；8 大能源介质消费占比圆环图外圈呈现电力 (68.4%)、蒸汽 (14.2%)、天然气 (11.1%)、水资源 (3.2%)、液氮 (3.1%)，悬停展示标煤换算量；24 小时全集团用电负荷走势图展示当日与昨日对比曲线，游标采用微透科技蓝。</w:t>
      </w:r>
    </w:p>
    <w:p w14:paraId="6902F7F1">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中央地图</w:t>
      </w:r>
      <w:r>
        <w:rPr>
          <w:rFonts w:ascii="Times New Roman" w:hAnsi="Times New Roman" w:eastAsia="宋体" w:cs="Times New Roman"/>
          <w:i w:val="0"/>
          <w:color w:val="1F2937"/>
          <w:sz w:val="24"/>
          <w:szCs w:val="24"/>
        </w:rPr>
        <w:t>：严格基于国家自然资源部标准地图服务系统官方底图构建，包含十段线、南海诸岛、钓鱼岛及其附属岛屿，右下角永久固化审图号文本（</w:t>
      </w:r>
      <w:r>
        <w:rPr>
          <w:rFonts w:ascii="Times New Roman" w:hAnsi="Times New Roman" w:eastAsia="宋体" w:cs="Times New Roman"/>
          <w:b/>
          <w:i w:val="0"/>
          <w:color w:val="1E3A8A"/>
          <w:sz w:val="24"/>
          <w:szCs w:val="24"/>
        </w:rPr>
        <w:t>自然资源部地图审图号合规红线</w:t>
      </w:r>
      <w:r>
        <w:rPr>
          <w:rFonts w:ascii="Times New Roman" w:hAnsi="Times New Roman" w:eastAsia="宋体" w:cs="Times New Roman"/>
          <w:i w:val="0"/>
          <w:color w:val="1F2937"/>
          <w:sz w:val="24"/>
          <w:szCs w:val="24"/>
        </w:rPr>
        <w:t>）；不同产业类型航标展示专属粒子光效（变压器为科技蓝脉冲，线缆为天青蓝脉冲，微电网为翡翠绿脉冲）；点击基地航标滑出轻量浮窗，展示基地瞬时有功负荷、当日光伏发电量、储能充放状态；5 家主力制造工厂（沈变、衡变、新变、鲁缆、德缆）切片胶囊 Tab 支持手动轮播或 30 秒自动巡检切换。</w:t>
      </w:r>
    </w:p>
    <w:p w14:paraId="23AB61D5">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右侧微网</w:t>
      </w:r>
      <w:r>
        <w:rPr>
          <w:rFonts w:ascii="Times New Roman" w:hAnsi="Times New Roman" w:eastAsia="宋体" w:cs="Times New Roman"/>
          <w:i w:val="0"/>
          <w:color w:val="1F2937"/>
          <w:sz w:val="24"/>
          <w:szCs w:val="24"/>
        </w:rPr>
        <w:t>：微电网实时出力矩阵展示分布式光伏实时瞬时功率 (MW) 与当日发电量 (MWh)、储能电站当前 SOC 荷电状态 (%) 与充放电状态、柴油发电机应急热备用状态；重点工序能效对标看板展示变压器干燥工序、线缆交联挤出等标杆工序综合能效；实时运行事件流展示近 24 小时设备越限、通讯状态等动态流水。</w:t>
      </w:r>
    </w:p>
    <w:p w14:paraId="60746CFC">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数据状态指示</w:t>
      </w:r>
      <w:r>
        <w:rPr>
          <w:rFonts w:ascii="Times New Roman" w:hAnsi="Times New Roman" w:eastAsia="宋体" w:cs="Times New Roman"/>
          <w:i w:val="0"/>
          <w:color w:val="1F2937"/>
          <w:sz w:val="24"/>
          <w:szCs w:val="24"/>
        </w:rPr>
        <w:t xml:space="preserve">：试运行演示阶段右上角展示演示标识；生产网联通后自动切换为 </w:t>
      </w:r>
      <w:r>
        <w:rPr>
          <w:rFonts w:ascii="Times New Roman" w:hAnsi="Times New Roman" w:eastAsia="宋体" w:cs="Times New Roman"/>
          <w:b w:val="0"/>
          <w:i w:val="0"/>
          <w:color w:val="0284C7"/>
          <w:sz w:val="24"/>
          <w:szCs w:val="24"/>
        </w:rPr>
        <w:t xml:space="preserve"> LIVE · 实时生产 </w:t>
      </w:r>
      <w:r>
        <w:rPr>
          <w:rFonts w:ascii="Times New Roman" w:hAnsi="Times New Roman" w:eastAsia="宋体" w:cs="Times New Roman"/>
          <w:i w:val="0"/>
          <w:color w:val="1F2937"/>
          <w:sz w:val="24"/>
          <w:szCs w:val="24"/>
        </w:rPr>
        <w:t>。</w:t>
      </w:r>
    </w:p>
    <w:p w14:paraId="5620E871">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客观中立原则</w:t>
      </w:r>
      <w:r>
        <w:rPr>
          <w:rFonts w:ascii="Times New Roman" w:hAnsi="Times New Roman" w:eastAsia="宋体" w:cs="Times New Roman"/>
          <w:i w:val="0"/>
          <w:color w:val="1F2937"/>
          <w:sz w:val="24"/>
          <w:szCs w:val="24"/>
        </w:rPr>
        <w:t xml:space="preserve">：大屏全量图表与卡片严禁出现"表现优异""落后单位"等定性评语，统一以客观数值与客观时序环比（如 </w:t>
      </w:r>
      <w:r>
        <w:rPr>
          <w:rFonts w:ascii="Times New Roman" w:hAnsi="Times New Roman" w:eastAsia="宋体" w:cs="Times New Roman"/>
          <w:b w:val="0"/>
          <w:i w:val="0"/>
          <w:color w:val="0284C7"/>
          <w:sz w:val="24"/>
          <w:szCs w:val="24"/>
        </w:rPr>
        <w:t xml:space="preserve"> 同比 -2.4% ↓ </w:t>
      </w:r>
      <w:r>
        <w:rPr>
          <w:rFonts w:ascii="Times New Roman" w:hAnsi="Times New Roman" w:eastAsia="宋体" w:cs="Times New Roman"/>
          <w:i w:val="0"/>
          <w:color w:val="1F2937"/>
          <w:sz w:val="24"/>
          <w:szCs w:val="24"/>
        </w:rPr>
        <w:t>）自解释。</w:t>
      </w:r>
    </w:p>
    <w:p w14:paraId="3CE3273F">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530" w:type="dxa"/>
        <w:jc w:val="center"/>
        <w:tblLayout w:type="autofit"/>
        <w:tblCellMar>
          <w:top w:w="0" w:type="dxa"/>
          <w:left w:w="108" w:type="dxa"/>
          <w:bottom w:w="0" w:type="dxa"/>
          <w:right w:w="108" w:type="dxa"/>
        </w:tblCellMar>
      </w:tblPr>
      <w:tblGrid>
        <w:gridCol w:w="876"/>
        <w:gridCol w:w="1829"/>
        <w:gridCol w:w="1358"/>
        <w:gridCol w:w="1358"/>
        <w:gridCol w:w="4109"/>
      </w:tblGrid>
      <w:tr w14:paraId="5D995F27">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0ECBE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2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3FDED0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F2EEF1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F5DD4A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1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828119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D90BF81">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0B39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F248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集团累计综合能耗</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D45D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8ED6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0CB5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0.00，由下级园区物化视图按日结汇总</w:t>
            </w:r>
          </w:p>
        </w:tc>
      </w:tr>
      <w:tr w14:paraId="0CA0232B">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EBF9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55DA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综合能耗同比变动率</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5F64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758A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4596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与去年同期对比；无同期数据时显示 </w:t>
            </w:r>
            <w:r>
              <w:rPr>
                <w:rFonts w:hint="eastAsia" w:ascii="宋体" w:hAnsi="宋体" w:eastAsia="宋体" w:cs="宋体"/>
                <w:b w:val="0"/>
                <w:i w:val="0"/>
                <w:iCs w:val="0"/>
                <w:color w:val="0284C7"/>
                <w:sz w:val="24"/>
                <w:szCs w:val="24"/>
              </w:rPr>
              <w:t xml:space="preserve"> -- </w:t>
            </w:r>
          </w:p>
        </w:tc>
      </w:tr>
      <w:tr w14:paraId="6CC5193A">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25F4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B19A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万元产值综合单耗</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0284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B7B5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62FA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产值分母为 0 时安全兜底显示 </w:t>
            </w:r>
            <w:r>
              <w:rPr>
                <w:rFonts w:hint="eastAsia" w:ascii="宋体" w:hAnsi="宋体" w:eastAsia="宋体" w:cs="宋体"/>
                <w:b w:val="0"/>
                <w:i w:val="0"/>
                <w:iCs w:val="0"/>
                <w:color w:val="0284C7"/>
                <w:sz w:val="24"/>
                <w:szCs w:val="24"/>
              </w:rPr>
              <w:t xml:space="preserve"> -- </w:t>
            </w:r>
          </w:p>
        </w:tc>
      </w:tr>
      <w:tr w14:paraId="16AFDAAD">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C34F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453D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 大能源介质消费占比</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8ED3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0868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D2FA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各介质占比之和四舍五入至 100.0%，偏差 &gt;0.1% 触发配平自检</w:t>
            </w:r>
          </w:p>
        </w:tc>
      </w:tr>
      <w:tr w14:paraId="503622D8">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6C0FF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20B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园区地理航标坐标</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D58D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08E2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经纬度</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789C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必须落在标准底图国界范围内，越界坐标拦截入库</w:t>
            </w:r>
          </w:p>
        </w:tc>
      </w:tr>
      <w:tr w14:paraId="70AF4443">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3B2E9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E3022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光伏实时瞬时功率</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743C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8AF9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MW</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1A0D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0.000；数据延迟超 5s 打"数据延迟"微标签</w:t>
            </w:r>
          </w:p>
        </w:tc>
      </w:tr>
      <w:tr w14:paraId="563DD9E2">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AA334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3F0F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 SOC 荷电状态</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FDBB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A95B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2C13E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取值范围 0.0 ~ 100.0</w:t>
            </w:r>
          </w:p>
        </w:tc>
      </w:tr>
      <w:tr w14:paraId="3C42E61D">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661E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C287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地图审图号固化文本</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CCD9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502F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720B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非空，强制常驻于地图右下角，不可隐藏</w:t>
            </w:r>
          </w:p>
        </w:tc>
      </w:tr>
      <w:tr w14:paraId="2E7EED09">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D2E5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CF95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数据状态标识</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B362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9DC8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F9B1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取值 </w:t>
            </w:r>
            <w:r>
              <w:rPr>
                <w:rFonts w:hint="eastAsia" w:ascii="宋体" w:hAnsi="宋体" w:eastAsia="宋体" w:cs="宋体"/>
                <w:b w:val="0"/>
                <w:i w:val="0"/>
                <w:iCs w:val="0"/>
                <w:color w:val="0284C7"/>
                <w:sz w:val="24"/>
                <w:szCs w:val="24"/>
              </w:rPr>
              <w:t xml:space="preserve"> DEMO </w:t>
            </w:r>
            <w:r>
              <w:rPr>
                <w:rFonts w:hint="eastAsia" w:ascii="宋体" w:hAnsi="宋体" w:eastAsia="宋体" w:cs="宋体"/>
                <w:i w:val="0"/>
                <w:iCs w:val="0"/>
                <w:color w:val="1F2937"/>
                <w:sz w:val="24"/>
                <w:szCs w:val="24"/>
              </w:rPr>
              <w:t xml:space="preserve"> / </w:t>
            </w:r>
            <w:r>
              <w:rPr>
                <w:rFonts w:hint="eastAsia" w:ascii="宋体" w:hAnsi="宋体" w:eastAsia="宋体" w:cs="宋体"/>
                <w:b w:val="0"/>
                <w:i w:val="0"/>
                <w:iCs w:val="0"/>
                <w:color w:val="0284C7"/>
                <w:sz w:val="24"/>
                <w:szCs w:val="24"/>
              </w:rPr>
              <w:t xml:space="preserve"> LIVE </w:t>
            </w:r>
            <w:r>
              <w:rPr>
                <w:rFonts w:hint="eastAsia" w:ascii="宋体" w:hAnsi="宋体" w:eastAsia="宋体" w:cs="宋体"/>
                <w:i w:val="0"/>
                <w:iCs w:val="0"/>
                <w:color w:val="1F2937"/>
                <w:sz w:val="24"/>
                <w:szCs w:val="24"/>
              </w:rPr>
              <w:t>，由生产网联通状态自动切换</w:t>
            </w:r>
          </w:p>
        </w:tc>
      </w:tr>
    </w:tbl>
    <w:p w14:paraId="52174D1A">
      <w:pPr>
        <w:spacing w:after="60"/>
        <w:rPr>
          <w:rFonts w:hint="eastAsia" w:ascii="宋体" w:hAnsi="宋体" w:eastAsia="宋体" w:cs="宋体"/>
          <w:i w:val="0"/>
          <w:iCs w:val="0"/>
          <w:sz w:val="24"/>
          <w:szCs w:val="24"/>
        </w:rPr>
      </w:pPr>
    </w:p>
    <w:p w14:paraId="267FB17F">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D3C642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1984C86D">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72AF272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E_group = Σ ( E_park_i )               集团累计综合能耗 = 各园区折算能耗求和</w:t>
            </w:r>
          </w:p>
          <w:p w14:paraId="6CDC815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E_park_i = Σ ( Q_ij × k_j )            第 i 园区能耗 = 各介质实物量 × 折标准煤系数</w:t>
            </w:r>
          </w:p>
          <w:p w14:paraId="020477D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R_media_j = Q_j · k_j / Σ ( Q_n · k_n )  第 j 种介质折标占比</w:t>
            </w:r>
          </w:p>
          <w:p w14:paraId="102B2F3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Δ_E_yoy = ( E_current - E_last_year ) / E_last_year × 100%   同比变动率</w:t>
            </w:r>
          </w:p>
        </w:tc>
      </w:tr>
    </w:tbl>
    <w:p w14:paraId="6B0E8240">
      <w:pPr>
        <w:spacing w:after="40"/>
        <w:rPr>
          <w:rFonts w:hint="eastAsia" w:ascii="宋体" w:hAnsi="宋体" w:eastAsia="宋体" w:cs="宋体"/>
          <w:i w:val="0"/>
          <w:iCs w:val="0"/>
          <w:sz w:val="24"/>
          <w:szCs w:val="24"/>
        </w:rPr>
      </w:pPr>
    </w:p>
    <w:p w14:paraId="4EE6099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Q_ij </w:t>
      </w:r>
      <w:r>
        <w:rPr>
          <w:rFonts w:ascii="Times New Roman" w:hAnsi="Times New Roman" w:eastAsia="宋体" w:cs="Times New Roman"/>
          <w:i w:val="0"/>
          <w:color w:val="1F2937"/>
          <w:sz w:val="24"/>
          <w:szCs w:val="24"/>
        </w:rPr>
        <w:t xml:space="preserve"> 为第 i 园区第 j 种能源介质实物消耗量；</w:t>
      </w:r>
      <w:r>
        <w:rPr>
          <w:rFonts w:ascii="Times New Roman" w:hAnsi="Times New Roman" w:eastAsia="宋体" w:cs="Times New Roman"/>
          <w:b w:val="0"/>
          <w:i w:val="0"/>
          <w:color w:val="0284C7"/>
          <w:sz w:val="24"/>
          <w:szCs w:val="24"/>
        </w:rPr>
        <w:t xml:space="preserve"> k_j </w:t>
      </w:r>
      <w:r>
        <w:rPr>
          <w:rFonts w:ascii="Times New Roman" w:hAnsi="Times New Roman" w:eastAsia="宋体" w:cs="Times New Roman"/>
          <w:i w:val="0"/>
          <w:color w:val="1F2937"/>
          <w:sz w:val="24"/>
          <w:szCs w:val="24"/>
        </w:rPr>
        <w:t xml:space="preserve"> 为第 j 种介质折标准煤系数（引用 GB/T 2589-2020 当量值）；</w:t>
      </w:r>
      <w:r>
        <w:rPr>
          <w:rFonts w:ascii="Times New Roman" w:hAnsi="Times New Roman" w:eastAsia="宋体" w:cs="Times New Roman"/>
          <w:b w:val="0"/>
          <w:i w:val="0"/>
          <w:color w:val="0284C7"/>
          <w:sz w:val="24"/>
          <w:szCs w:val="24"/>
        </w:rPr>
        <w:t xml:space="preserve"> R_media_j </w:t>
      </w:r>
      <w:r>
        <w:rPr>
          <w:rFonts w:ascii="Times New Roman" w:hAnsi="Times New Roman" w:eastAsia="宋体" w:cs="Times New Roman"/>
          <w:i w:val="0"/>
          <w:color w:val="1F2937"/>
          <w:sz w:val="24"/>
          <w:szCs w:val="24"/>
        </w:rPr>
        <w:t xml:space="preserve"> 为第 j 种介质折标煤消费占比；</w:t>
      </w:r>
      <w:r>
        <w:rPr>
          <w:rFonts w:ascii="Times New Roman" w:hAnsi="Times New Roman" w:eastAsia="宋体" w:cs="Times New Roman"/>
          <w:b w:val="0"/>
          <w:i w:val="0"/>
          <w:color w:val="0284C7"/>
          <w:sz w:val="24"/>
          <w:szCs w:val="24"/>
        </w:rPr>
        <w:t xml:space="preserve"> Δ_E_yoy </w:t>
      </w:r>
      <w:r>
        <w:rPr>
          <w:rFonts w:ascii="Times New Roman" w:hAnsi="Times New Roman" w:eastAsia="宋体" w:cs="Times New Roman"/>
          <w:i w:val="0"/>
          <w:color w:val="1F2937"/>
          <w:sz w:val="24"/>
          <w:szCs w:val="24"/>
        </w:rPr>
        <w:t xml:space="preserve"> 低于 0 表示同比下降（节能成效），显示为绿色。</w:t>
      </w:r>
    </w:p>
    <w:p w14:paraId="4F5820E6">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C2A8D35">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：全部同比/环比以箭头 + 三色表达（绿：下降；红：上涨；灰：持平），遵循国内工业能耗语义。</w:t>
      </w:r>
    </w:p>
    <w:p w14:paraId="43B53E84">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介质占比口径</w:t>
      </w:r>
      <w:r>
        <w:rPr>
          <w:rFonts w:ascii="Times New Roman" w:hAnsi="Times New Roman" w:eastAsia="宋体" w:cs="Times New Roman"/>
          <w:i w:val="0"/>
          <w:color w:val="1F2937"/>
          <w:sz w:val="24"/>
          <w:szCs w:val="24"/>
        </w:rPr>
        <w:t>：占比以折标准煤当量为统一量纲，严禁以实物量直接对比。</w:t>
      </w:r>
    </w:p>
    <w:p w14:paraId="256A5A2D">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航标聚合口径</w:t>
      </w:r>
      <w:r>
        <w:rPr>
          <w:rFonts w:ascii="Times New Roman" w:hAnsi="Times New Roman" w:eastAsia="宋体" w:cs="Times New Roman"/>
          <w:i w:val="0"/>
          <w:color w:val="1F2937"/>
          <w:sz w:val="24"/>
          <w:szCs w:val="24"/>
        </w:rPr>
        <w:t>：产业集团节点展示下级园区加总；园区节点展示本园区实测值，禁止跨层级混算。</w:t>
      </w:r>
    </w:p>
    <w:p w14:paraId="5018C4BB">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轮播节奏</w:t>
      </w:r>
      <w:r>
        <w:rPr>
          <w:rFonts w:ascii="Times New Roman" w:hAnsi="Times New Roman" w:eastAsia="宋体" w:cs="Times New Roman"/>
          <w:i w:val="0"/>
          <w:color w:val="1F2937"/>
          <w:sz w:val="24"/>
          <w:szCs w:val="24"/>
        </w:rPr>
        <w:t>：自动巡检周期固定 30 秒，手动操作后暂停 60 秒再恢复。</w:t>
      </w:r>
    </w:p>
    <w:p w14:paraId="6BF10879">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BA91D6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BDD727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地图合规红线</w:t>
            </w:r>
            <w:r>
              <w:rPr>
                <w:rFonts w:hint="eastAsia" w:ascii="宋体" w:hAnsi="宋体" w:eastAsia="宋体" w:cs="宋体"/>
                <w:i w:val="0"/>
                <w:iCs w:val="0"/>
                <w:color w:val="1F2937"/>
                <w:sz w:val="24"/>
                <w:szCs w:val="24"/>
              </w:rPr>
              <w:t>：底图与审图号不可动态替换、不可缩放至裁剪十段线；违规判定为阻断级缺陷。</w:t>
            </w:r>
          </w:p>
          <w:p w14:paraId="669CF8B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越权红线</w:t>
            </w:r>
            <w:r>
              <w:rPr>
                <w:rFonts w:hint="eastAsia" w:ascii="宋体" w:hAnsi="宋体" w:eastAsia="宋体" w:cs="宋体"/>
                <w:i w:val="0"/>
                <w:iCs w:val="0"/>
                <w:color w:val="1F2937"/>
                <w:sz w:val="24"/>
                <w:szCs w:val="24"/>
              </w:rPr>
              <w:t>：大屏默认只读，禁止在大屏路由内提供任何数据写入口。</w:t>
            </w:r>
          </w:p>
          <w:p w14:paraId="3A55452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遥测心跳超 5 秒未响应：触发 </w:t>
            </w:r>
            <w:r>
              <w:rPr>
                <w:rFonts w:hint="eastAsia" w:ascii="宋体" w:hAnsi="宋体" w:eastAsia="宋体" w:cs="宋体"/>
                <w:b w:val="0"/>
                <w:i w:val="0"/>
                <w:iCs w:val="0"/>
                <w:color w:val="0284C7"/>
                <w:sz w:val="24"/>
                <w:szCs w:val="24"/>
              </w:rPr>
              <w:t xml:space="preserve"> E_IO_MQTT_TIMEOUT </w:t>
            </w:r>
            <w:r>
              <w:rPr>
                <w:rFonts w:hint="eastAsia" w:ascii="宋体" w:hAnsi="宋体" w:eastAsia="宋体" w:cs="宋体"/>
                <w:i w:val="0"/>
                <w:iCs w:val="0"/>
                <w:color w:val="1F2937"/>
                <w:sz w:val="24"/>
                <w:szCs w:val="24"/>
              </w:rPr>
              <w:t>，图表展示最近一次缓存读数并打"数据延迟"微标签。</w:t>
            </w:r>
          </w:p>
          <w:p w14:paraId="355B127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边缘一体机物理断网：触发 </w:t>
            </w:r>
            <w:r>
              <w:rPr>
                <w:rFonts w:hint="eastAsia" w:ascii="宋体" w:hAnsi="宋体" w:eastAsia="宋体" w:cs="宋体"/>
                <w:b w:val="0"/>
                <w:i w:val="0"/>
                <w:iCs w:val="0"/>
                <w:color w:val="0284C7"/>
                <w:sz w:val="24"/>
                <w:szCs w:val="24"/>
              </w:rPr>
              <w:t xml:space="preserve"> E_IO_GATEWAY_OFFLINE </w:t>
            </w:r>
            <w:r>
              <w:rPr>
                <w:rFonts w:hint="eastAsia" w:ascii="宋体" w:hAnsi="宋体" w:eastAsia="宋体" w:cs="宋体"/>
                <w:i w:val="0"/>
                <w:iCs w:val="0"/>
                <w:color w:val="1F2937"/>
                <w:sz w:val="24"/>
                <w:szCs w:val="24"/>
              </w:rPr>
              <w:t>，启动本地断点续传，恢复联网后自动同步。</w:t>
            </w:r>
          </w:p>
          <w:p w14:paraId="5B88F1C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主库连接断开：触发 </w:t>
            </w:r>
            <w:r>
              <w:rPr>
                <w:rFonts w:hint="eastAsia" w:ascii="宋体" w:hAnsi="宋体" w:eastAsia="宋体" w:cs="宋体"/>
                <w:b w:val="0"/>
                <w:i w:val="0"/>
                <w:iCs w:val="0"/>
                <w:color w:val="0284C7"/>
                <w:sz w:val="24"/>
                <w:szCs w:val="24"/>
              </w:rPr>
              <w:t xml:space="preserve"> E_SYS_DB_CONN_LOST </w:t>
            </w:r>
            <w:r>
              <w:rPr>
                <w:rFonts w:hint="eastAsia" w:ascii="宋体" w:hAnsi="宋体" w:eastAsia="宋体" w:cs="宋体"/>
                <w:i w:val="0"/>
                <w:iCs w:val="0"/>
                <w:color w:val="1F2937"/>
                <w:sz w:val="24"/>
                <w:szCs w:val="24"/>
              </w:rPr>
              <w:t>，30 秒内备库接管并切换只读模式。</w:t>
            </w:r>
          </w:p>
          <w:p w14:paraId="5E89369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分母产值为 0：单耗显示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tc>
      </w:tr>
    </w:tbl>
    <w:p w14:paraId="49C64564">
      <w:pPr>
        <w:pStyle w:val="6"/>
        <w:numPr>
          <w:ilvl w:val="0"/>
          <w:numId w:val="1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896BC10">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6905A31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全景环幕大屏 46:9</w:t>
            </w:r>
          </w:p>
          <w:p w14:paraId="1C2CD30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环幕大屏一屏穿透全集团态势</w:t>
            </w:r>
          </w:p>
          <w:p w14:paraId="785E317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集团已接入 15 大园区与 21 家实体工厂的遥测与指标数据</w:t>
            </w:r>
          </w:p>
          <w:p w14:paraId="7278F9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P1 进入 /monitor/screen/panoramic 且屏幕比例为 46:9</w:t>
            </w:r>
          </w:p>
          <w:p w14:paraId="7FCF3BB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三栏布局占比分别为 25% / 50% / 25%，无横向滚动条</w:t>
            </w:r>
          </w:p>
          <w:p w14:paraId="6581775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地图右下角常驻显示自然资源部地图审图号文本</w:t>
            </w:r>
          </w:p>
          <w:p w14:paraId="3E0C7BF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8 大能源介质折标占比之和恒等于 100.0%</w:t>
            </w:r>
          </w:p>
          <w:p w14:paraId="18D414ED">
            <w:pPr>
              <w:spacing w:before="0" w:after="20" w:line="264" w:lineRule="auto"/>
              <w:rPr>
                <w:rFonts w:hint="eastAsia" w:ascii="宋体" w:hAnsi="宋体" w:eastAsia="宋体" w:cs="宋体"/>
                <w:i w:val="0"/>
                <w:iCs w:val="0"/>
                <w:sz w:val="24"/>
                <w:szCs w:val="24"/>
              </w:rPr>
            </w:pPr>
          </w:p>
          <w:p w14:paraId="42F6B2F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遥测延迟的客观自解释</w:t>
            </w:r>
          </w:p>
          <w:p w14:paraId="24A32D6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IoT 网关心跳超过 5 秒未响应</w:t>
            </w:r>
          </w:p>
          <w:p w14:paraId="04D7A70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大屏右侧微网矩阵完成一次数据刷新</w:t>
            </w:r>
          </w:p>
          <w:p w14:paraId="2A36BDA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图表保留最近一次缓存读数并显示"数据延迟"微标签</w:t>
            </w:r>
          </w:p>
          <w:p w14:paraId="3B85543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页面不出现任何主观定性评语</w:t>
            </w:r>
          </w:p>
          <w:p w14:paraId="7CDC9264">
            <w:pPr>
              <w:spacing w:before="0" w:after="20" w:line="264" w:lineRule="auto"/>
              <w:rPr>
                <w:rFonts w:hint="eastAsia" w:ascii="宋体" w:hAnsi="宋体" w:eastAsia="宋体" w:cs="宋体"/>
                <w:i w:val="0"/>
                <w:iCs w:val="0"/>
                <w:sz w:val="24"/>
                <w:szCs w:val="24"/>
              </w:rPr>
            </w:pPr>
          </w:p>
          <w:p w14:paraId="54FBDD7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大屏只读红线</w:t>
            </w:r>
          </w:p>
          <w:p w14:paraId="1CC38DB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任意角色已登录</w:t>
            </w:r>
          </w:p>
          <w:p w14:paraId="6D83FFF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在大屏路由内尝试发起数据提交请求</w:t>
            </w:r>
          </w:p>
          <w:p w14:paraId="36D3456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请求被服务网关切断并记录越权审计日志</w:t>
            </w:r>
          </w:p>
          <w:p w14:paraId="6B9326E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E_AUTH_RBAC_FORBIDDEN</w:t>
            </w:r>
          </w:p>
        </w:tc>
      </w:tr>
    </w:tbl>
    <w:p w14:paraId="6D7DD229">
      <w:pPr>
        <w:spacing w:after="40"/>
        <w:rPr>
          <w:rFonts w:hint="eastAsia" w:ascii="宋体" w:hAnsi="宋体" w:eastAsia="宋体" w:cs="宋体"/>
          <w:i w:val="0"/>
          <w:iCs w:val="0"/>
          <w:sz w:val="24"/>
          <w:szCs w:val="24"/>
        </w:rPr>
      </w:pPr>
    </w:p>
    <w:p w14:paraId="7DA4BC72">
      <w:pPr>
        <w:pStyle w:val="5"/>
        <w:numPr>
          <w:ilvl w:val="0"/>
          <w:numId w:val="16"/>
        </w:numPr>
        <w:ind w:left="0" w:leftChars="0" w:firstLine="0" w:firstLineChars="0"/>
        <w:outlineLvl w:val="1"/>
        <w:rPr>
          <w:rFonts w:eastAsia="黑体"/>
          <w:b w:val="0"/>
          <w:bCs w:val="0"/>
          <w:sz w:val="30"/>
          <w:szCs w:val="24"/>
        </w:rPr>
      </w:pPr>
      <w:bookmarkStart w:id="13" w:name="_Toc7478"/>
      <w:r>
        <w:rPr>
          <w:rFonts w:ascii="Times New Roman" w:hAnsi="Times New Roman" w:eastAsia="黑体" w:cs="Times New Roman"/>
          <w:b w:val="0"/>
          <w:bCs w:val="0"/>
          <w:sz w:val="30"/>
          <w:szCs w:val="24"/>
        </w:rPr>
        <w:t>综合集控大屏 16:9</w:t>
      </w:r>
      <w:bookmarkEnd w:id="13"/>
    </w:p>
    <w:p w14:paraId="1F90B59E">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6210300" cy="3494405"/>
            <wp:effectExtent l="0" t="0" r="0" b="1079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18"/>
                    <a:stretch>
                      <a:fillRect/>
                    </a:stretch>
                  </pic:blipFill>
                  <pic:spPr>
                    <a:xfrm>
                      <a:off x="0" y="0"/>
                      <a:ext cx="6210300" cy="3494918"/>
                    </a:xfrm>
                    <a:prstGeom prst="rect">
                      <a:avLst/>
                    </a:prstGeom>
                  </pic:spPr>
                </pic:pic>
              </a:graphicData>
            </a:graphic>
          </wp:inline>
        </w:drawing>
      </w:r>
    </w:p>
    <w:p w14:paraId="51BCCC66">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07428DC3">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：面向园区中控室 7×24 小时连续运行监视的标准 16:9 大屏，聚焦全域尖峰平谷用电结构、储能充放循环与能效平衡。</w:t>
      </w:r>
    </w:p>
    <w:p w14:paraId="36A24C2F">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园区能碳专员（运行班长、能效运营工程师）。</w:t>
      </w:r>
    </w:p>
    <w:p w14:paraId="60E22178">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/monitor/screen/integrated </w:t>
      </w:r>
      <w:r>
        <w:rPr>
          <w:rFonts w:ascii="Times New Roman" w:hAnsi="Times New Roman" w:eastAsia="宋体" w:cs="Times New Roman"/>
          <w:i w:val="0"/>
          <w:color w:val="1F2937"/>
          <w:sz w:val="24"/>
          <w:szCs w:val="24"/>
        </w:rPr>
        <w:t>；适配 1920×1080 / 2560×1440 / 3840×2160。</w:t>
      </w:r>
    </w:p>
    <w:p w14:paraId="0D628356">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：分时电能遥测、能效对标核算结果、微电网监测数据。</w:t>
      </w:r>
    </w:p>
    <w:p w14:paraId="00980317">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：削峰填谷调度指令依据、越限事件推送告警中枢。</w:t>
      </w:r>
    </w:p>
    <w:p w14:paraId="5A52D7CD">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4DE582A">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：园区中控室运行班长与能效专员进行 7×24 小时连续运行监视，跟踪全域尖峰平谷用电结构、基地储能充放循环与能效平衡。</w:t>
      </w:r>
    </w:p>
    <w:p w14:paraId="334673FB">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4316BB6E">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园区能效运营工程师 (Persona P2)</w:t>
      </w:r>
      <w:r>
        <w:rPr>
          <w:rFonts w:ascii="Times New Roman" w:hAnsi="Times New Roman" w:eastAsia="宋体" w:cs="Times New Roman"/>
          <w:i w:val="0"/>
          <w:color w:val="1F2937"/>
          <w:sz w:val="24"/>
          <w:szCs w:val="24"/>
        </w:rPr>
        <w:t>，</w:t>
      </w:r>
    </w:p>
    <w:p w14:paraId="6C505835">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在标准 16:9 集控大屏上实时监控全集团各经营单位当月用电峰平谷配比与基准线偏差</w:t>
      </w:r>
      <w:r>
        <w:rPr>
          <w:rFonts w:ascii="Times New Roman" w:hAnsi="Times New Roman" w:eastAsia="宋体" w:cs="Times New Roman"/>
          <w:i w:val="0"/>
          <w:color w:val="1F2937"/>
          <w:sz w:val="24"/>
          <w:szCs w:val="24"/>
        </w:rPr>
        <w:t>，</w:t>
      </w:r>
    </w:p>
    <w:p w14:paraId="70287F5D">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我能精准调度微电网削峰填谷，降低全厂尖峰电费支出</w:t>
      </w:r>
      <w:r>
        <w:rPr>
          <w:rFonts w:ascii="Times New Roman" w:hAnsi="Times New Roman" w:eastAsia="宋体" w:cs="Times New Roman"/>
          <w:i w:val="0"/>
          <w:color w:val="1F2937"/>
          <w:sz w:val="24"/>
          <w:szCs w:val="24"/>
        </w:rPr>
        <w:t>。</w:t>
      </w:r>
    </w:p>
    <w:p w14:paraId="023C88C5">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5633BE5">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Bento 四象限栅格布局：</w:t>
      </w:r>
    </w:p>
    <w:tbl>
      <w:tblPr>
        <w:tblStyle w:val="38"/>
        <w:tblW w:w="9784" w:type="dxa"/>
        <w:jc w:val="center"/>
        <w:tblLayout w:type="autofit"/>
        <w:tblCellMar>
          <w:top w:w="0" w:type="dxa"/>
          <w:left w:w="108" w:type="dxa"/>
          <w:bottom w:w="0" w:type="dxa"/>
          <w:right w:w="108" w:type="dxa"/>
        </w:tblCellMar>
      </w:tblPr>
      <w:tblGrid>
        <w:gridCol w:w="1161"/>
        <w:gridCol w:w="2227"/>
        <w:gridCol w:w="6396"/>
      </w:tblGrid>
      <w:tr w14:paraId="5AA85EAF">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02B00B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象限</w:t>
            </w:r>
          </w:p>
        </w:tc>
        <w:tc>
          <w:tcPr>
            <w:tcW w:w="222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1211C2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位置</w:t>
            </w:r>
          </w:p>
        </w:tc>
        <w:tc>
          <w:tcPr>
            <w:tcW w:w="63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C4B831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核心内容</w:t>
            </w:r>
          </w:p>
        </w:tc>
      </w:tr>
      <w:tr w14:paraId="071AEB3E">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935A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A</w:t>
            </w:r>
          </w:p>
        </w:tc>
        <w:tc>
          <w:tcPr>
            <w:tcW w:w="22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2025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左上 · 能耗与分时负荷</w:t>
            </w:r>
          </w:p>
        </w:tc>
        <w:tc>
          <w:tcPr>
            <w:tcW w:w="6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2167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顶部聚合全集团综合能耗总值与当日累计电量；分时电量结构 4 段堆叠图（尖/峰/平/谷）时序连续面积图</w:t>
            </w:r>
          </w:p>
        </w:tc>
      </w:tr>
      <w:tr w14:paraId="017C9768">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AC2E7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B</w:t>
            </w:r>
          </w:p>
        </w:tc>
        <w:tc>
          <w:tcPr>
            <w:tcW w:w="22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3063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右上 · 经营单位能效对标</w:t>
            </w:r>
          </w:p>
        </w:tc>
        <w:tc>
          <w:tcPr>
            <w:tcW w:w="63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E00F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 大直属经营单位当月能效对标双向柱状图，叠加国家先进值基准标线与集团均值虚线</w:t>
            </w:r>
          </w:p>
        </w:tc>
      </w:tr>
      <w:tr w14:paraId="3C07B796">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F1A38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C</w:t>
            </w:r>
          </w:p>
        </w:tc>
        <w:tc>
          <w:tcPr>
            <w:tcW w:w="22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2C30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左下 · 微电网源网荷储</w:t>
            </w:r>
          </w:p>
        </w:tc>
        <w:tc>
          <w:tcPr>
            <w:tcW w:w="6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83FE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光伏出力与储能充放状态曲线（双 Y 轴），标注"谷充峰放"执行时段；直供绿电消纳比仪表盘</w:t>
            </w:r>
          </w:p>
        </w:tc>
      </w:tr>
      <w:tr w14:paraId="206FA138">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2121E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D</w:t>
            </w:r>
          </w:p>
        </w:tc>
        <w:tc>
          <w:tcPr>
            <w:tcW w:w="22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4D0B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右下 · 降碳等效与社会责任</w:t>
            </w:r>
          </w:p>
        </w:tc>
        <w:tc>
          <w:tcPr>
            <w:tcW w:w="63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0976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累计碳减排量、等效植树量（万棵）、等效节约标煤量；重点车间排碳时序柱状图</w:t>
            </w:r>
          </w:p>
        </w:tc>
      </w:tr>
    </w:tbl>
    <w:p w14:paraId="0852B837">
      <w:pPr>
        <w:spacing w:after="60"/>
        <w:rPr>
          <w:rFonts w:hint="eastAsia" w:ascii="宋体" w:hAnsi="宋体" w:eastAsia="宋体" w:cs="宋体"/>
          <w:i w:val="0"/>
          <w:iCs w:val="0"/>
          <w:sz w:val="24"/>
          <w:szCs w:val="24"/>
        </w:rPr>
      </w:pPr>
    </w:p>
    <w:p w14:paraId="28BE125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交互规则：</w:t>
      </w:r>
    </w:p>
    <w:p w14:paraId="20CF8184">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柱状图悬停游标强制采用微透科技蓝；全屏顶部展示系统时钟（精准到秒）、天气及当前活跃通讯状态。</w:t>
      </w:r>
    </w:p>
    <w:p w14:paraId="73E2D9CA">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象限 B 叠加国家先进值基准标线与集团均值虚线，以偏差柱长短自解释，无主观定性标签。</w:t>
      </w:r>
    </w:p>
    <w:p w14:paraId="318FF444">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象限 C 清晰标注"谷充峰放"执行时段；直供绿电消纳比以仪表盘形态呈现。</w:t>
      </w:r>
    </w:p>
    <w:p w14:paraId="0F78B9BB">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全屏无滚动条，自适应缩放下所有图表保持等比，不出现文字截断。</w:t>
      </w:r>
    </w:p>
    <w:p w14:paraId="1DF35544">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7"/>
        <w:gridCol w:w="1769"/>
        <w:gridCol w:w="1369"/>
        <w:gridCol w:w="1369"/>
        <w:gridCol w:w="4390"/>
      </w:tblGrid>
      <w:tr w14:paraId="0E611C8E">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EE8FB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C32961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91345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FE899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3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48566A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FD1F0F7">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5F7FB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97AD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E094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C7A5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287A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0.00；四段之和须等于当日累计电量</w:t>
            </w:r>
          </w:p>
        </w:tc>
      </w:tr>
      <w:tr w14:paraId="74FF8965">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6D0A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4E76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DE2C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9120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1885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w:t>
            </w:r>
          </w:p>
        </w:tc>
      </w:tr>
      <w:tr w14:paraId="45D4FE59">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96320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3FD7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BFB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7F1B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E66D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w:t>
            </w:r>
          </w:p>
        </w:tc>
      </w:tr>
      <w:tr w14:paraId="5779BC9C">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CD85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DF14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3527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82DB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E4AF3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w:t>
            </w:r>
          </w:p>
        </w:tc>
      </w:tr>
      <w:tr w14:paraId="731FFE69">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6C7C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6B87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分时电量配比</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65E1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8455E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4FFD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由系统自动计算，不可手工录入</w:t>
            </w:r>
          </w:p>
        </w:tc>
      </w:tr>
      <w:tr w14:paraId="2585C0D1">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B15BB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D15D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能效对标偏差量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B3E6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4AF0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871E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 − 国家先进值；负值表示优于国家先进值</w:t>
            </w:r>
          </w:p>
        </w:tc>
      </w:tr>
      <w:tr w14:paraId="6FBD24E2">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3230F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74CB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光伏出力</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019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3063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MW</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584D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0.000，采样周期 15 分钟</w:t>
            </w:r>
          </w:p>
        </w:tc>
      </w:tr>
      <w:tr w14:paraId="7A82FD51">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66A6C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84EF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储能充放电功率</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273D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C1AB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EAC5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正值充电 / 负值放电，符号语义固定</w:t>
            </w:r>
          </w:p>
        </w:tc>
      </w:tr>
      <w:tr w14:paraId="6B728B13">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2B4E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60F2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直供绿电消纳比</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8EBA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099F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7C5B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取值范围 0.0 ~ 100.0</w:t>
            </w:r>
          </w:p>
        </w:tc>
      </w:tr>
      <w:tr w14:paraId="0AD9B705">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6207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7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4A45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累计碳减排量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B846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6767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B049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0，按绿电自发自用量 × 区域电网因子核算</w:t>
            </w:r>
          </w:p>
        </w:tc>
      </w:tr>
    </w:tbl>
    <w:p w14:paraId="0C1743A9">
      <w:pPr>
        <w:spacing w:after="60"/>
        <w:rPr>
          <w:rFonts w:hint="eastAsia" w:ascii="宋体" w:hAnsi="宋体" w:eastAsia="宋体" w:cs="宋体"/>
          <w:i w:val="0"/>
          <w:iCs w:val="0"/>
          <w:sz w:val="24"/>
          <w:szCs w:val="24"/>
        </w:rPr>
      </w:pPr>
    </w:p>
    <w:p w14:paraId="097BF657">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3E555C76">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DDF322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Q_total = Q_tip + Q_peak + Q_flat + Q_valley  当日累计电量 = 四时段用电量之和</w:t>
            </w:r>
          </w:p>
          <w:p w14:paraId="7E9909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R_valley = Q_valley / Q_total × 100%         谷段电量占比（越高越好）</w:t>
            </w:r>
          </w:p>
          <w:p w14:paraId="25C6C77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 = KPI_actual - KPI_national_advanced      能效对标偏差量</w:t>
            </w:r>
          </w:p>
          <w:p w14:paraId="1967F5C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 = T_shift × ( P_peak - P_valley ) × η_storage   移峰填谷理论节约金额</w:t>
            </w:r>
          </w:p>
          <w:p w14:paraId="1FA39B3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C_reduce = P_pv_self × EF_grid               绿电自发自用减排量</w:t>
            </w:r>
          </w:p>
          <w:p w14:paraId="035AFD6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N_tree = C_reduce / 18.3                      等效植树量（1 棵树年均固碳 18.3 kgCO2）</w:t>
            </w:r>
          </w:p>
        </w:tc>
      </w:tr>
    </w:tbl>
    <w:p w14:paraId="48A5CBBD">
      <w:pPr>
        <w:spacing w:after="40"/>
        <w:rPr>
          <w:rFonts w:hint="eastAsia" w:ascii="宋体" w:hAnsi="宋体" w:eastAsia="宋体" w:cs="宋体"/>
          <w:i w:val="0"/>
          <w:iCs w:val="0"/>
          <w:sz w:val="24"/>
          <w:szCs w:val="24"/>
        </w:rPr>
      </w:pPr>
    </w:p>
    <w:p w14:paraId="711A957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Q_tip/peak/flat/valley </w:t>
      </w:r>
      <w:r>
        <w:rPr>
          <w:rFonts w:ascii="Times New Roman" w:hAnsi="Times New Roman" w:eastAsia="宋体" w:cs="Times New Roman"/>
          <w:i w:val="0"/>
          <w:color w:val="1F2937"/>
          <w:sz w:val="24"/>
          <w:szCs w:val="24"/>
        </w:rPr>
        <w:t xml:space="preserve"> 分别对应尖、峰、平、谷时段电量；</w:t>
      </w:r>
      <w:r>
        <w:rPr>
          <w:rFonts w:ascii="Times New Roman" w:hAnsi="Times New Roman" w:eastAsia="宋体" w:cs="Times New Roman"/>
          <w:b w:val="0"/>
          <w:i w:val="0"/>
          <w:color w:val="0284C7"/>
          <w:sz w:val="24"/>
          <w:szCs w:val="24"/>
        </w:rPr>
        <w:t xml:space="preserve"> T_shift </w:t>
      </w:r>
      <w:r>
        <w:rPr>
          <w:rFonts w:ascii="Times New Roman" w:hAnsi="Times New Roman" w:eastAsia="宋体" w:cs="Times New Roman"/>
          <w:i w:val="0"/>
          <w:color w:val="1F2937"/>
          <w:sz w:val="24"/>
          <w:szCs w:val="24"/>
        </w:rPr>
        <w:t xml:space="preserve"> 为转移负荷时长；</w:t>
      </w:r>
      <w:r>
        <w:rPr>
          <w:rFonts w:ascii="Times New Roman" w:hAnsi="Times New Roman" w:eastAsia="宋体" w:cs="Times New Roman"/>
          <w:b w:val="0"/>
          <w:i w:val="0"/>
          <w:color w:val="0284C7"/>
          <w:sz w:val="24"/>
          <w:szCs w:val="24"/>
        </w:rPr>
        <w:t xml:space="preserve"> P_peak/P_valley </w:t>
      </w:r>
      <w:r>
        <w:rPr>
          <w:rFonts w:ascii="Times New Roman" w:hAnsi="Times New Roman" w:eastAsia="宋体" w:cs="Times New Roman"/>
          <w:i w:val="0"/>
          <w:color w:val="1F2937"/>
          <w:sz w:val="24"/>
          <w:szCs w:val="24"/>
        </w:rPr>
        <w:t xml:space="preserve"> 为峰谷电价；</w:t>
      </w:r>
      <w:r>
        <w:rPr>
          <w:rFonts w:ascii="Times New Roman" w:hAnsi="Times New Roman" w:eastAsia="宋体" w:cs="Times New Roman"/>
          <w:b w:val="0"/>
          <w:i w:val="0"/>
          <w:color w:val="0284C7"/>
          <w:sz w:val="24"/>
          <w:szCs w:val="24"/>
        </w:rPr>
        <w:t xml:space="preserve"> η_storage </w:t>
      </w:r>
      <w:r>
        <w:rPr>
          <w:rFonts w:ascii="Times New Roman" w:hAnsi="Times New Roman" w:eastAsia="宋体" w:cs="Times New Roman"/>
          <w:i w:val="0"/>
          <w:color w:val="1F2937"/>
          <w:sz w:val="24"/>
          <w:szCs w:val="24"/>
        </w:rPr>
        <w:t xml:space="preserve"> 为储能充放综合效率（默认 0.88）；</w:t>
      </w:r>
      <w:r>
        <w:rPr>
          <w:rFonts w:ascii="Times New Roman" w:hAnsi="Times New Roman" w:eastAsia="宋体" w:cs="Times New Roman"/>
          <w:b w:val="0"/>
          <w:i w:val="0"/>
          <w:color w:val="0284C7"/>
          <w:sz w:val="24"/>
          <w:szCs w:val="24"/>
        </w:rPr>
        <w:t xml:space="preserve"> P_pv_self </w:t>
      </w:r>
      <w:r>
        <w:rPr>
          <w:rFonts w:ascii="Times New Roman" w:hAnsi="Times New Roman" w:eastAsia="宋体" w:cs="Times New Roman"/>
          <w:i w:val="0"/>
          <w:color w:val="1F2937"/>
          <w:sz w:val="24"/>
          <w:szCs w:val="24"/>
        </w:rPr>
        <w:t xml:space="preserve"> 为光伏自发自用量；</w:t>
      </w:r>
      <w:r>
        <w:rPr>
          <w:rFonts w:ascii="Times New Roman" w:hAnsi="Times New Roman" w:eastAsia="宋体" w:cs="Times New Roman"/>
          <w:b w:val="0"/>
          <w:i w:val="0"/>
          <w:color w:val="0284C7"/>
          <w:sz w:val="24"/>
          <w:szCs w:val="24"/>
        </w:rPr>
        <w:t xml:space="preserve"> EF_grid </w:t>
      </w:r>
      <w:r>
        <w:rPr>
          <w:rFonts w:ascii="Times New Roman" w:hAnsi="Times New Roman" w:eastAsia="宋体" w:cs="Times New Roman"/>
          <w:i w:val="0"/>
          <w:color w:val="1F2937"/>
          <w:sz w:val="24"/>
          <w:szCs w:val="24"/>
        </w:rPr>
        <w:t xml:space="preserve"> 为区域电网排放因子。</w:t>
      </w:r>
    </w:p>
    <w:p w14:paraId="0AFC06F2">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60E4CEC3">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时段口径</w:t>
      </w:r>
      <w:r>
        <w:rPr>
          <w:rFonts w:ascii="Times New Roman" w:hAnsi="Times New Roman" w:eastAsia="宋体" w:cs="Times New Roman"/>
          <w:i w:val="0"/>
          <w:color w:val="1F2937"/>
          <w:sz w:val="24"/>
          <w:szCs w:val="24"/>
        </w:rPr>
        <w:t>：尖/峰/平/谷时段划分严格取自能源价格管理模块最新生效版本，跨版本切换时页面提示时段变更。</w:t>
      </w:r>
    </w:p>
    <w:p w14:paraId="19788BAE">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对标口径</w:t>
      </w:r>
      <w:r>
        <w:rPr>
          <w:rFonts w:ascii="Times New Roman" w:hAnsi="Times New Roman" w:eastAsia="宋体" w:cs="Times New Roman"/>
          <w:i w:val="0"/>
          <w:color w:val="1F2937"/>
          <w:sz w:val="24"/>
          <w:szCs w:val="24"/>
        </w:rPr>
        <w:t>：仅与项目公司同层级实体横向对比，项目公司/在建单位不参与排名与达标统计。</w:t>
      </w:r>
    </w:p>
    <w:p w14:paraId="0CCA8A70">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等效换算口径</w:t>
      </w:r>
      <w:r>
        <w:rPr>
          <w:rFonts w:ascii="Times New Roman" w:hAnsi="Times New Roman" w:eastAsia="宋体" w:cs="Times New Roman"/>
          <w:i w:val="0"/>
          <w:color w:val="1F2937"/>
          <w:sz w:val="24"/>
          <w:szCs w:val="24"/>
        </w:rPr>
        <w:t>：等效植树按 1 棵成年乔木年均固碳 18.3 kgCO2 折算；等效节约标煤按 GB/T 2589 当量值折算。</w:t>
      </w:r>
    </w:p>
    <w:p w14:paraId="30F44C7E">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刷新周期</w:t>
      </w:r>
      <w:r>
        <w:rPr>
          <w:rFonts w:ascii="Times New Roman" w:hAnsi="Times New Roman" w:eastAsia="宋体" w:cs="Times New Roman"/>
          <w:i w:val="0"/>
          <w:color w:val="1F2937"/>
          <w:sz w:val="24"/>
          <w:szCs w:val="24"/>
        </w:rPr>
        <w:t>：分时负荷与微网数据 15 分钟刷新，时钟与通讯状态 1 秒刷新。</w:t>
      </w:r>
    </w:p>
    <w:p w14:paraId="13FB458C">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C2C1DC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3A6EFD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分时四段电量之和与累计电量偏差超过 0.5%：页面标注"分时数据待核对"，不在大屏上抛出技术错误码。</w:t>
            </w:r>
          </w:p>
          <w:p w14:paraId="3465F84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ETS/电价外链数据源不可用：按最近有效版本测算并标注价格时间戳。</w:t>
            </w:r>
          </w:p>
          <w:p w14:paraId="696E7DB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光伏与储能设备全部离线：象限 C 输出单行客观结论"当前无光伏/储能数据"，严禁空白占位卡片。</w:t>
            </w:r>
          </w:p>
          <w:p w14:paraId="7F25DCD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除零兜底：谷段占比、消纳比等分母为 0 时统一显示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69442215">
      <w:pPr>
        <w:spacing w:after="40"/>
        <w:rPr>
          <w:rFonts w:hint="eastAsia" w:ascii="宋体" w:hAnsi="宋体" w:eastAsia="宋体" w:cs="宋体"/>
          <w:i w:val="0"/>
          <w:iCs w:val="0"/>
          <w:sz w:val="24"/>
          <w:szCs w:val="24"/>
        </w:rPr>
      </w:pPr>
    </w:p>
    <w:p w14:paraId="59FD11BB">
      <w:pPr>
        <w:pStyle w:val="6"/>
        <w:numPr>
          <w:ilvl w:val="0"/>
          <w:numId w:val="2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F4C7B87">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970021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综合集控大屏 16:9</w:t>
            </w:r>
          </w:p>
          <w:p w14:paraId="4912B1B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分时电量结构自校验</w:t>
            </w:r>
          </w:p>
          <w:p w14:paraId="6E666AC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园区当日尖、峰、平、谷四段电量均已入账</w:t>
            </w:r>
          </w:p>
          <w:p w14:paraId="0731D45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大屏渲染象限 A 的分时电量堆叠图</w:t>
            </w:r>
          </w:p>
          <w:p w14:paraId="42C604F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四段电量之和与当日累计电量偏差不超过 0.5%</w:t>
            </w:r>
          </w:p>
          <w:p w14:paraId="0276ACB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偏差超限时显示"分时数据待核对"且不抛出技术错误码</w:t>
            </w:r>
          </w:p>
          <w:p w14:paraId="433B364F">
            <w:pPr>
              <w:spacing w:before="0" w:after="20" w:line="264" w:lineRule="auto"/>
              <w:rPr>
                <w:rFonts w:hint="eastAsia" w:ascii="宋体" w:hAnsi="宋体" w:eastAsia="宋体" w:cs="宋体"/>
                <w:i w:val="0"/>
                <w:iCs w:val="0"/>
                <w:sz w:val="24"/>
                <w:szCs w:val="24"/>
              </w:rPr>
            </w:pPr>
          </w:p>
          <w:p w14:paraId="066570D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移峰填谷效益测算</w:t>
            </w:r>
          </w:p>
          <w:p w14:paraId="0A3973B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园区已配置最新生效版本的尖峰平谷电价</w:t>
            </w:r>
          </w:p>
          <w:p w14:paraId="1806670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系统测算谷段充放储能的理论节约金额</w:t>
            </w:r>
          </w:p>
          <w:p w14:paraId="2C663E8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计算结果采用公式 E_saved = T_shift × (P_peak - P_valley) × η_storage</w:t>
            </w:r>
          </w:p>
          <w:p w14:paraId="6862289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储能综合效率取值 0.88</w:t>
            </w:r>
          </w:p>
        </w:tc>
      </w:tr>
    </w:tbl>
    <w:p w14:paraId="047A172B">
      <w:pPr>
        <w:spacing w:after="40"/>
        <w:rPr>
          <w:rFonts w:hint="eastAsia" w:ascii="宋体" w:hAnsi="宋体" w:eastAsia="宋体" w:cs="宋体"/>
          <w:i w:val="0"/>
          <w:iCs w:val="0"/>
          <w:sz w:val="24"/>
          <w:szCs w:val="24"/>
        </w:rPr>
      </w:pPr>
    </w:p>
    <w:p w14:paraId="516DEB5F">
      <w:pPr>
        <w:rPr>
          <w:rFonts w:hint="eastAsia" w:eastAsia="黑体"/>
          <w:b w:val="0"/>
          <w:bCs w:val="0"/>
          <w:sz w:val="30"/>
          <w:szCs w:val="32"/>
        </w:rPr>
      </w:pPr>
      <w:r>
        <w:rPr>
          <w:rFonts w:ascii="Times New Roman" w:hAnsi="Times New Roman" w:eastAsia="黑体" w:cs="Times New Roman"/>
          <w:b w:val="0"/>
          <w:bCs w:val="0"/>
          <w:sz w:val="30"/>
          <w:szCs w:val="32"/>
        </w:rPr>
        <w:br w:type="page"/>
      </w:r>
    </w:p>
    <w:p w14:paraId="4AA3585A">
      <w:pPr>
        <w:pStyle w:val="4"/>
        <w:numPr>
          <w:ilvl w:val="0"/>
          <w:numId w:val="15"/>
        </w:numPr>
        <w:topLinePunct w:val="0"/>
        <w:ind w:left="0" w:leftChars="0" w:firstLine="0" w:firstLineChars="0"/>
        <w:outlineLvl w:val="0"/>
        <w:rPr>
          <w:rFonts w:hint="eastAsia" w:eastAsia="黑体"/>
          <w:b w:val="0"/>
          <w:bCs w:val="0"/>
          <w:sz w:val="30"/>
          <w:szCs w:val="32"/>
        </w:rPr>
      </w:pPr>
      <w:bookmarkStart w:id="14" w:name="_Toc4603"/>
      <w:r>
        <w:rPr>
          <w:rFonts w:ascii="Times New Roman" w:hAnsi="Times New Roman" w:eastAsia="黑体" w:cs="Times New Roman"/>
          <w:b w:val="0"/>
          <w:bCs w:val="0"/>
          <w:sz w:val="30"/>
          <w:szCs w:val="32"/>
        </w:rPr>
        <w:t>集中监管</w:t>
      </w:r>
      <w:bookmarkEnd w:id="14"/>
    </w:p>
    <w:p w14:paraId="22E1B7C2">
      <w:pPr>
        <w:pStyle w:val="5"/>
        <w:numPr>
          <w:ilvl w:val="0"/>
          <w:numId w:val="27"/>
        </w:numPr>
        <w:ind w:left="0" w:leftChars="0" w:firstLine="0" w:firstLineChars="0"/>
        <w:outlineLvl w:val="1"/>
        <w:rPr>
          <w:rFonts w:eastAsia="黑体"/>
          <w:b w:val="0"/>
          <w:bCs w:val="0"/>
          <w:sz w:val="30"/>
          <w:szCs w:val="24"/>
        </w:rPr>
      </w:pPr>
      <w:bookmarkStart w:id="15" w:name="_Toc7125"/>
      <w:r>
        <w:rPr>
          <w:rFonts w:ascii="Times New Roman" w:hAnsi="Times New Roman" w:eastAsia="黑体" w:cs="Times New Roman"/>
          <w:b w:val="0"/>
          <w:bCs w:val="0"/>
          <w:sz w:val="30"/>
          <w:szCs w:val="24"/>
        </w:rPr>
        <w:t>指标管控</w:t>
      </w:r>
      <w:bookmarkEnd w:id="15"/>
    </w:p>
    <w:p w14:paraId="0F0E3F1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5900420" cy="2925445"/>
                    </a:xfrm>
                    <a:prstGeom prst="rect">
                      <a:avLst/>
                    </a:prstGeom>
                    <a:noFill/>
                    <a:ln>
                      <a:noFill/>
                    </a:ln>
                  </pic:spPr>
                </pic:pic>
              </a:graphicData>
            </a:graphic>
          </wp:inline>
        </w:drawing>
      </w:r>
    </w:p>
    <w:p w14:paraId="124DF4CB">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12FC7759">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：作为全集团能碳运行中枢，构建 Mode A（宏观指标卡片矩阵）与 Mode B（深入分析详情内页）双模无损穿透体系，彻底剥离冗余标签，实现纯粹的工业数据自解释。</w:t>
      </w:r>
    </w:p>
    <w:p w14:paraId="028480BE">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：P1 集团决策层（宏观视角）、P2 园区能碳专员（穿透排查视角）。</w:t>
      </w:r>
    </w:p>
    <w:p w14:paraId="2F0B88A7">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/monitor/indicators </w:t>
      </w:r>
      <w:r>
        <w:rPr>
          <w:rFonts w:ascii="Times New Roman" w:hAnsi="Times New Roman" w:eastAsia="宋体" w:cs="Times New Roman"/>
          <w:i w:val="0"/>
          <w:color w:val="1F2937"/>
          <w:sz w:val="24"/>
          <w:szCs w:val="24"/>
        </w:rPr>
        <w:t xml:space="preserve">；详情内页 </w:t>
      </w:r>
      <w:r>
        <w:rPr>
          <w:rFonts w:ascii="Times New Roman" w:hAnsi="Times New Roman" w:eastAsia="宋体" w:cs="Times New Roman"/>
          <w:b w:val="0"/>
          <w:i w:val="0"/>
          <w:color w:val="0284C7"/>
          <w:sz w:val="24"/>
          <w:szCs w:val="24"/>
        </w:rPr>
        <w:t xml:space="preserve"> /monitor/indicators/detail/:kpiCode </w:t>
      </w:r>
      <w:r>
        <w:rPr>
          <w:rFonts w:ascii="Times New Roman" w:hAnsi="Times New Roman" w:eastAsia="宋体" w:cs="Times New Roman"/>
          <w:i w:val="0"/>
          <w:color w:val="1F2937"/>
          <w:sz w:val="24"/>
          <w:szCs w:val="24"/>
        </w:rPr>
        <w:t>。</w:t>
      </w:r>
    </w:p>
    <w:p w14:paraId="1E2A08A9">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：用能在线监测实时采集数据、基础参数配置的折标系数与能源价格版本、组织架构六级主数据。</w:t>
      </w:r>
    </w:p>
    <w:p w14:paraId="6D557549">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：数据变化桑基图归因结果、对标管理输入、统计报表口径来源、零碳工厂自评估指标输入。</w:t>
      </w:r>
    </w:p>
    <w:p w14:paraId="6040B37D">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本文档定位</w:t>
      </w:r>
      <w:r>
        <w:rPr>
          <w:rFonts w:ascii="Times New Roman" w:hAnsi="Times New Roman" w:eastAsia="宋体" w:cs="Times New Roman"/>
          <w:i w:val="0"/>
          <w:color w:val="1F2937"/>
          <w:sz w:val="24"/>
          <w:szCs w:val="24"/>
        </w:rPr>
        <w:t>：本模块为全量模块的</w:t>
      </w:r>
      <w:r>
        <w:rPr>
          <w:rFonts w:ascii="Times New Roman" w:hAnsi="Times New Roman" w:eastAsia="宋体" w:cs="Times New Roman"/>
          <w:b/>
          <w:i w:val="0"/>
          <w:color w:val="1E3A8A"/>
          <w:sz w:val="24"/>
          <w:szCs w:val="24"/>
        </w:rPr>
        <w:t>结构样板与颗粒度基准</w:t>
      </w:r>
      <w:r>
        <w:rPr>
          <w:rFonts w:ascii="Times New Roman" w:hAnsi="Times New Roman" w:eastAsia="宋体" w:cs="Times New Roman"/>
          <w:i w:val="0"/>
          <w:color w:val="1F2937"/>
          <w:sz w:val="24"/>
          <w:szCs w:val="24"/>
        </w:rPr>
        <w:t>，其余模块均对齐本模块的八段式完整度。</w:t>
      </w:r>
    </w:p>
    <w:p w14:paraId="1B54E29A">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95651DE">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：集团月度能碳经营分析会上，决策层需一屏掌握 10 项核心指标的水平与走势；园区能碳专员需对异常指标逐层穿透至工厂、产线、工序与底层仪表，定位跑冒滴漏根因。</w:t>
      </w:r>
    </w:p>
    <w:p w14:paraId="1D77F438">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AD72F9B">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31BD20F0">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在指标卡片矩阵中按组织树与时间维度查看 10 项核心指标，并点击任意指标卡穿透查看其分子分母工程物理量、核算公式、仪表点位路径与近 12 个月趋势</w:t>
      </w:r>
      <w:r>
        <w:rPr>
          <w:rFonts w:ascii="Times New Roman" w:hAnsi="Times New Roman" w:eastAsia="宋体" w:cs="Times New Roman"/>
          <w:i w:val="0"/>
          <w:color w:val="1F2937"/>
          <w:sz w:val="24"/>
          <w:szCs w:val="24"/>
        </w:rPr>
        <w:t>，</w:t>
      </w:r>
    </w:p>
    <w:p w14:paraId="05E3A3BE">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我能精准定位某工厂某工序的能耗异常根因，形成可追溯的整改依据</w:t>
      </w:r>
      <w:r>
        <w:rPr>
          <w:rFonts w:ascii="Times New Roman" w:hAnsi="Times New Roman" w:eastAsia="宋体" w:cs="Times New Roman"/>
          <w:i w:val="0"/>
          <w:color w:val="1F2937"/>
          <w:sz w:val="24"/>
          <w:szCs w:val="24"/>
        </w:rPr>
        <w:t>。</w:t>
      </w:r>
    </w:p>
    <w:p w14:paraId="79DC1AAD">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3394B5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页面通用交互规则：</w:t>
      </w:r>
    </w:p>
    <w:p w14:paraId="45D481F9">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左侧组织树</w:t>
      </w:r>
      <w:r>
        <w:rPr>
          <w:rFonts w:ascii="Times New Roman" w:hAnsi="Times New Roman" w:eastAsia="宋体" w:cs="Times New Roman"/>
          <w:i w:val="0"/>
          <w:color w:val="1F2937"/>
          <w:sz w:val="24"/>
          <w:szCs w:val="24"/>
        </w:rPr>
        <w:t>：左侧企业组织结构树 4 级结构驱动右侧数据联动，支持产业集团、二级公司及工厂级下钻（参考：附录 C）。</w:t>
      </w:r>
    </w:p>
    <w:p w14:paraId="0CE6586B">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顶部控制</w:t>
      </w:r>
      <w:r>
        <w:rPr>
          <w:rFonts w:ascii="Times New Roman" w:hAnsi="Times New Roman" w:eastAsia="宋体" w:cs="Times New Roman"/>
          <w:i w:val="0"/>
          <w:color w:val="1F2937"/>
          <w:sz w:val="24"/>
          <w:szCs w:val="24"/>
        </w:rPr>
        <w:t>：右上方提供时间维度选择（月 / 年）与时间范围选择（跨月区间）。</w:t>
      </w:r>
    </w:p>
    <w:p w14:paraId="7D10C807">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时间筛选条件</w:t>
      </w:r>
      <w:r>
        <w:rPr>
          <w:rFonts w:ascii="Times New Roman" w:hAnsi="Times New Roman" w:eastAsia="宋体" w:cs="Times New Roman"/>
          <w:i w:val="0"/>
          <w:color w:val="1F2937"/>
          <w:sz w:val="24"/>
          <w:szCs w:val="24"/>
        </w:rPr>
        <w:t>：选择【月度】【季度】【年度】时下方数据同步进行更新。</w:t>
      </w:r>
    </w:p>
    <w:p w14:paraId="5DBA4C61">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双模穿透</w:t>
      </w:r>
      <w:r>
        <w:rPr>
          <w:rFonts w:ascii="Times New Roman" w:hAnsi="Times New Roman" w:eastAsia="宋体" w:cs="Times New Roman"/>
          <w:i w:val="0"/>
          <w:color w:val="1F2937"/>
          <w:sz w:val="24"/>
          <w:szCs w:val="24"/>
        </w:rPr>
        <w:t>：Mode A 为宏观指标卡片矩阵；点击任意卡片平滑展开 Mode B 详情内页（无页面跳转，采用侧滑内页），点击返回恢复 Mode A 且保留筛选上下文。</w:t>
      </w:r>
    </w:p>
    <w:p w14:paraId="785069A3">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经营单位及项目公司整体指标</w:t>
      </w:r>
    </w:p>
    <w:p w14:paraId="538F4898">
      <w:pPr>
        <w:pStyle w:val="19"/>
        <w:widowControl/>
        <w:numPr>
          <w:ilvl w:val="0"/>
          <w:numId w:val="0"/>
        </w:numPr>
        <w:rPr>
          <w:rFonts w:eastAsia="宋体"/>
          <w:b/>
          <w:i w:val="0"/>
          <w:color w:val="0284C7"/>
          <w:sz w:val="24"/>
          <w:szCs w:val="24"/>
        </w:rPr>
      </w:pPr>
      <w:r>
        <w:drawing>
          <wp:inline distT="0" distB="0" distL="114300" distR="114300">
            <wp:extent cx="5913120" cy="1776730"/>
            <wp:effectExtent l="0" t="0" r="11430" b="1397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0"/>
                    <a:stretch>
                      <a:fillRect/>
                    </a:stretch>
                  </pic:blipFill>
                  <pic:spPr>
                    <a:xfrm>
                      <a:off x="0" y="0"/>
                      <a:ext cx="5913120" cy="1776730"/>
                    </a:xfrm>
                    <a:prstGeom prst="rect">
                      <a:avLst/>
                    </a:prstGeom>
                    <a:noFill/>
                    <a:ln>
                      <a:noFill/>
                    </a:ln>
                  </pic:spPr>
                </pic:pic>
              </a:graphicData>
            </a:graphic>
          </wp:inline>
        </w:drawing>
      </w:r>
    </w:p>
    <w:p w14:paraId="59F16D6E">
      <w:pPr>
        <w:pStyle w:val="19"/>
        <w:widowControl/>
        <w:numPr>
          <w:ilvl w:val="0"/>
          <w:numId w:val="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指标卡片</w:t>
      </w:r>
      <w:r>
        <w:rPr>
          <w:rFonts w:ascii="Times New Roman" w:hAnsi="Times New Roman" w:eastAsia="宋体" w:cs="Times New Roman"/>
          <w:i w:val="0"/>
          <w:color w:val="1F2937"/>
          <w:sz w:val="24"/>
          <w:szCs w:val="24"/>
        </w:rPr>
        <w:t>：重点指标大号数值展示，各指标值右侧提供向上/向下箭头表示同比变化，并用三种颜色表示优秀值、正常值、异常值（与标杆值 / 基准值对比）。</w:t>
      </w:r>
    </w:p>
    <w:p w14:paraId="38381D48">
      <w:pPr>
        <w:pStyle w:val="19"/>
        <w:widowControl/>
        <w:numPr>
          <w:ilvl w:val="0"/>
          <w:numId w:val="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详情展开</w:t>
      </w:r>
      <w:r>
        <w:rPr>
          <w:rFonts w:ascii="Times New Roman" w:hAnsi="Times New Roman" w:eastAsia="宋体" w:cs="Times New Roman"/>
          <w:i w:val="0"/>
          <w:color w:val="1F2937"/>
          <w:sz w:val="24"/>
          <w:szCs w:val="24"/>
        </w:rPr>
        <w:t>：点击任意指标卡片平滑展开 Mode B 详情内页，呈现指标标准定义、分子分母工程物理量、核算公式、仪表点位路径、近 12 个月趋势图与底层水电气汽折标台账。</w:t>
      </w:r>
    </w:p>
    <w:p w14:paraId="4DAFA394">
      <w:pPr>
        <w:pStyle w:val="19"/>
        <w:widowControl/>
        <w:numPr>
          <w:ilvl w:val="0"/>
          <w:numId w:val="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：同比变化以箭头 + 三色表达（绿：下降 / 红：上涨 / 灰：持平）。</w:t>
      </w:r>
    </w:p>
    <w:p w14:paraId="5BD70BD8">
      <w:pPr>
        <w:pStyle w:val="19"/>
        <w:widowControl/>
        <w:rPr>
          <w:rFonts w:ascii="Times New Roman" w:hAnsi="Times New Roman" w:eastAsia="宋体" w:cs="Times New Roman"/>
          <w:b/>
          <w:i w:val="0"/>
          <w:color w:val="1E3A8A"/>
          <w:sz w:val="24"/>
          <w:szCs w:val="24"/>
        </w:rPr>
      </w:pPr>
    </w:p>
    <w:p w14:paraId="0416109B">
      <w:pPr>
        <w:pStyle w:val="19"/>
        <w:widowControl/>
        <w:rPr>
          <w:rFonts w:ascii="Times New Roman" w:hAnsi="Times New Roman" w:eastAsia="宋体" w:cs="Times New Roman"/>
          <w:b/>
          <w:i w:val="0"/>
          <w:color w:val="1E3A8A"/>
          <w:sz w:val="24"/>
          <w:szCs w:val="24"/>
        </w:rPr>
      </w:pPr>
    </w:p>
    <w:p w14:paraId="24EB841A">
      <w:pPr>
        <w:pStyle w:val="19"/>
        <w:widowControl/>
        <w:rPr>
          <w:rFonts w:ascii="Times New Roman" w:hAnsi="Times New Roman" w:eastAsia="宋体" w:cs="Times New Roman"/>
          <w:b/>
          <w:i w:val="0"/>
          <w:color w:val="1E3A8A"/>
          <w:sz w:val="24"/>
          <w:szCs w:val="24"/>
        </w:rPr>
      </w:pPr>
    </w:p>
    <w:p w14:paraId="7D04CC92">
      <w:pPr>
        <w:pStyle w:val="19"/>
        <w:widowControl/>
        <w:rPr>
          <w:rFonts w:ascii="Times New Roman" w:hAnsi="Times New Roman" w:eastAsia="宋体" w:cs="Times New Roman"/>
          <w:b/>
          <w:i w:val="0"/>
          <w:color w:val="1E3A8A"/>
          <w:sz w:val="24"/>
          <w:szCs w:val="24"/>
        </w:rPr>
      </w:pPr>
    </w:p>
    <w:p w14:paraId="3AC939A1">
      <w:pPr>
        <w:pStyle w:val="19"/>
        <w:widowControl/>
        <w:rPr>
          <w:rFonts w:ascii="Times New Roman" w:hAnsi="Times New Roman" w:eastAsia="宋体" w:cs="Times New Roman"/>
          <w:b/>
          <w:i w:val="0"/>
          <w:color w:val="1E3A8A"/>
          <w:sz w:val="24"/>
          <w:szCs w:val="24"/>
        </w:rPr>
      </w:pPr>
    </w:p>
    <w:p w14:paraId="0573BC5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指标聚合口径矩阵：</w:t>
      </w:r>
    </w:p>
    <w:tbl>
      <w:tblPr>
        <w:tblStyle w:val="38"/>
        <w:tblW w:w="9454" w:type="dxa"/>
        <w:jc w:val="center"/>
        <w:tblLayout w:type="autofit"/>
        <w:tblCellMar>
          <w:top w:w="0" w:type="dxa"/>
          <w:left w:w="108" w:type="dxa"/>
          <w:bottom w:w="0" w:type="dxa"/>
          <w:right w:w="108" w:type="dxa"/>
        </w:tblCellMar>
      </w:tblPr>
      <w:tblGrid>
        <w:gridCol w:w="2560"/>
        <w:gridCol w:w="2625"/>
        <w:gridCol w:w="2400"/>
        <w:gridCol w:w="1869"/>
      </w:tblGrid>
      <w:tr w14:paraId="76283B5B">
        <w:tblPrEx>
          <w:tblCellMar>
            <w:top w:w="0" w:type="dxa"/>
            <w:left w:w="108" w:type="dxa"/>
            <w:bottom w:w="0" w:type="dxa"/>
            <w:right w:w="108" w:type="dxa"/>
          </w:tblCellMar>
        </w:tblPrEx>
        <w:trPr>
          <w:jc w:val="center"/>
        </w:trPr>
        <w:tc>
          <w:tcPr>
            <w:tcW w:w="256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6C99B56A">
            <w:pPr>
              <w:spacing w:before="0" w:after="0" w:line="240" w:lineRule="auto"/>
              <w:ind w:left="0" w:leftChars="0" w:right="0" w:rightChars="0" w:firstLine="0" w:firstLineChars="0"/>
              <w:jc w:val="center"/>
              <w:rPr>
                <w:rFonts w:hint="eastAsia" w:ascii="宋体" w:hAnsi="宋体" w:eastAsia="宋体" w:cs="宋体"/>
                <w:i w:val="0"/>
                <w:iCs w:val="0"/>
                <w:sz w:val="24"/>
                <w:szCs w:val="24"/>
                <w:lang w:eastAsia="zh-CN"/>
              </w:rPr>
            </w:pPr>
            <w:r>
              <w:rPr>
                <w:rFonts w:hint="eastAsia" w:ascii="宋体" w:hAnsi="宋体" w:eastAsia="宋体" w:cs="宋体"/>
                <w:b/>
                <w:i w:val="0"/>
                <w:iCs w:val="0"/>
                <w:color w:val="FFFFFF"/>
                <w:sz w:val="24"/>
                <w:szCs w:val="24"/>
              </w:rPr>
              <w:t>一级节点</w:t>
            </w:r>
            <w:r>
              <w:rPr>
                <w:rFonts w:hint="eastAsia" w:ascii="宋体" w:hAnsi="宋体" w:eastAsia="宋体" w:cs="宋体"/>
                <w:b/>
                <w:i w:val="0"/>
                <w:iCs w:val="0"/>
                <w:color w:val="FFFFFF"/>
                <w:sz w:val="24"/>
                <w:szCs w:val="24"/>
              </w:rPr>
              <w:br w:type="textWrapping"/>
            </w:r>
            <w:r>
              <w:rPr>
                <w:rFonts w:hint="eastAsia" w:ascii="宋体" w:hAnsi="宋体" w:eastAsia="宋体" w:cs="宋体"/>
                <w:b/>
                <w:i w:val="0"/>
                <w:iCs w:val="0"/>
                <w:color w:val="FFFFFF"/>
                <w:sz w:val="24"/>
                <w:szCs w:val="24"/>
                <w:lang w:eastAsia="zh-CN"/>
              </w:rPr>
              <w:t>（</w:t>
            </w:r>
            <w:r>
              <w:rPr>
                <w:rFonts w:hint="eastAsia" w:ascii="宋体" w:hAnsi="宋体" w:eastAsia="宋体" w:cs="宋体"/>
                <w:b/>
                <w:i w:val="0"/>
                <w:iCs w:val="0"/>
                <w:color w:val="FFFFFF"/>
                <w:sz w:val="24"/>
                <w:szCs w:val="24"/>
                <w:lang w:val="en-US" w:eastAsia="zh-CN"/>
              </w:rPr>
              <w:t>集团</w:t>
            </w:r>
            <w:r>
              <w:rPr>
                <w:rFonts w:hint="eastAsia" w:ascii="宋体" w:hAnsi="宋体" w:eastAsia="宋体" w:cs="宋体"/>
                <w:b/>
                <w:i w:val="0"/>
                <w:iCs w:val="0"/>
                <w:color w:val="FFFFFF"/>
                <w:sz w:val="24"/>
                <w:szCs w:val="24"/>
                <w:lang w:eastAsia="zh-CN"/>
              </w:rPr>
              <w:t>）</w:t>
            </w:r>
          </w:p>
        </w:tc>
        <w:tc>
          <w:tcPr>
            <w:tcW w:w="26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0E4E67C3">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rPr>
              <w:t>二级节点</w:t>
            </w:r>
          </w:p>
          <w:p w14:paraId="54708A28">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lang w:eastAsia="zh-CN"/>
              </w:rPr>
            </w:pPr>
            <w:r>
              <w:rPr>
                <w:rFonts w:hint="eastAsia" w:ascii="宋体" w:hAnsi="宋体" w:eastAsia="宋体" w:cs="宋体"/>
                <w:b/>
                <w:i w:val="0"/>
                <w:iCs w:val="0"/>
                <w:color w:val="FFFFFF"/>
                <w:sz w:val="24"/>
                <w:szCs w:val="24"/>
                <w:lang w:eastAsia="zh-CN"/>
              </w:rPr>
              <w:t>（</w:t>
            </w:r>
            <w:r>
              <w:rPr>
                <w:rFonts w:hint="eastAsia" w:ascii="宋体" w:hAnsi="宋体" w:eastAsia="宋体" w:cs="宋体"/>
                <w:b/>
                <w:i w:val="0"/>
                <w:iCs w:val="0"/>
                <w:color w:val="FFFFFF"/>
                <w:sz w:val="24"/>
                <w:szCs w:val="24"/>
                <w:lang w:val="en-US" w:eastAsia="zh-CN"/>
              </w:rPr>
              <w:t>经营单位</w:t>
            </w:r>
            <w:r>
              <w:rPr>
                <w:rFonts w:hint="eastAsia" w:ascii="宋体" w:hAnsi="宋体" w:eastAsia="宋体" w:cs="宋体"/>
                <w:b/>
                <w:i w:val="0"/>
                <w:iCs w:val="0"/>
                <w:color w:val="FFFFFF"/>
                <w:sz w:val="24"/>
                <w:szCs w:val="24"/>
                <w:lang w:eastAsia="zh-CN"/>
              </w:rPr>
              <w:t>）</w:t>
            </w:r>
          </w:p>
        </w:tc>
        <w:tc>
          <w:tcPr>
            <w:tcW w:w="24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29798EB9">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rPr>
              <w:t>三级节点</w:t>
            </w:r>
          </w:p>
          <w:p w14:paraId="37BA199C">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lang w:eastAsia="zh-CN"/>
              </w:rPr>
            </w:pPr>
            <w:r>
              <w:rPr>
                <w:rFonts w:hint="eastAsia" w:ascii="宋体" w:hAnsi="宋体" w:eastAsia="宋体" w:cs="宋体"/>
                <w:b/>
                <w:i w:val="0"/>
                <w:iCs w:val="0"/>
                <w:color w:val="FFFFFF"/>
                <w:sz w:val="24"/>
                <w:szCs w:val="24"/>
                <w:lang w:eastAsia="zh-CN"/>
              </w:rPr>
              <w:t>（</w:t>
            </w:r>
            <w:r>
              <w:rPr>
                <w:rFonts w:hint="eastAsia" w:ascii="宋体" w:hAnsi="宋体" w:eastAsia="宋体" w:cs="宋体"/>
                <w:b/>
                <w:i w:val="0"/>
                <w:iCs w:val="0"/>
                <w:color w:val="FFFFFF"/>
                <w:sz w:val="24"/>
                <w:szCs w:val="24"/>
                <w:lang w:val="en-US" w:eastAsia="zh-CN"/>
              </w:rPr>
              <w:t>工厂</w:t>
            </w:r>
            <w:r>
              <w:rPr>
                <w:rFonts w:hint="eastAsia" w:ascii="宋体" w:hAnsi="宋体" w:eastAsia="宋体" w:cs="宋体"/>
                <w:b/>
                <w:i w:val="0"/>
                <w:iCs w:val="0"/>
                <w:color w:val="FFFFFF"/>
                <w:sz w:val="24"/>
                <w:szCs w:val="24"/>
                <w:lang w:eastAsia="zh-CN"/>
              </w:rPr>
              <w:t>）</w:t>
            </w:r>
          </w:p>
        </w:tc>
        <w:tc>
          <w:tcPr>
            <w:tcW w:w="18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603BD981">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rPr>
              <w:t>四级节点</w:t>
            </w:r>
          </w:p>
          <w:p w14:paraId="70CCCAC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w:t>
            </w:r>
            <w:r>
              <w:rPr>
                <w:rFonts w:hint="eastAsia" w:ascii="宋体" w:hAnsi="宋体" w:eastAsia="宋体" w:cs="宋体"/>
                <w:b/>
                <w:i w:val="0"/>
                <w:iCs w:val="0"/>
                <w:color w:val="FFFFFF"/>
                <w:sz w:val="24"/>
                <w:szCs w:val="24"/>
                <w:lang w:val="en-US" w:eastAsia="zh-CN"/>
              </w:rPr>
              <w:t>下级</w:t>
            </w:r>
            <w:r>
              <w:rPr>
                <w:rFonts w:hint="eastAsia" w:ascii="宋体" w:hAnsi="宋体" w:eastAsia="宋体" w:cs="宋体"/>
                <w:b/>
                <w:i w:val="0"/>
                <w:iCs w:val="0"/>
                <w:color w:val="FFFFFF"/>
                <w:sz w:val="24"/>
                <w:szCs w:val="24"/>
              </w:rPr>
              <w:t>工厂）</w:t>
            </w:r>
          </w:p>
        </w:tc>
      </w:tr>
      <w:tr w14:paraId="4AE3E17C">
        <w:tblPrEx>
          <w:tblCellMar>
            <w:top w:w="0" w:type="dxa"/>
            <w:left w:w="108" w:type="dxa"/>
            <w:bottom w:w="0" w:type="dxa"/>
            <w:right w:w="108" w:type="dxa"/>
          </w:tblCellMar>
        </w:tblPrEx>
        <w:trPr>
          <w:jc w:val="center"/>
        </w:trPr>
        <w:tc>
          <w:tcPr>
            <w:tcW w:w="25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15846F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下级工厂数据汇总</w:t>
            </w:r>
          </w:p>
        </w:tc>
        <w:tc>
          <w:tcPr>
            <w:tcW w:w="26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3DAFC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下级工厂数据汇总</w:t>
            </w:r>
          </w:p>
        </w:tc>
        <w:tc>
          <w:tcPr>
            <w:tcW w:w="2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2B347E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下级工厂数据汇总</w:t>
            </w:r>
          </w:p>
        </w:tc>
        <w:tc>
          <w:tcPr>
            <w:tcW w:w="18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1167C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显示工厂数据</w:t>
            </w:r>
          </w:p>
        </w:tc>
      </w:tr>
      <w:tr w14:paraId="56F0C8B2">
        <w:tblPrEx>
          <w:tblCellMar>
            <w:top w:w="0" w:type="dxa"/>
            <w:left w:w="108" w:type="dxa"/>
            <w:bottom w:w="0" w:type="dxa"/>
            <w:right w:w="108" w:type="dxa"/>
          </w:tblCellMar>
        </w:tblPrEx>
        <w:trPr>
          <w:jc w:val="center"/>
        </w:trPr>
        <w:tc>
          <w:tcPr>
            <w:tcW w:w="25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E57077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下级工厂分子分母相加后再计算占比</w:t>
            </w:r>
          </w:p>
        </w:tc>
        <w:tc>
          <w:tcPr>
            <w:tcW w:w="26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E43E84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下级工厂分子分母相加后再计算占比</w:t>
            </w:r>
          </w:p>
        </w:tc>
        <w:tc>
          <w:tcPr>
            <w:tcW w:w="2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35A944B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下级工厂分子分母相加后再计算占比</w:t>
            </w:r>
          </w:p>
        </w:tc>
        <w:tc>
          <w:tcPr>
            <w:tcW w:w="18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E6A6E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显示工厂数据</w:t>
            </w:r>
          </w:p>
        </w:tc>
      </w:tr>
    </w:tbl>
    <w:p w14:paraId="01BF2E45">
      <w:pPr>
        <w:pStyle w:val="19"/>
        <w:widowControl/>
        <w:rPr>
          <w:rFonts w:ascii="Times New Roman" w:hAnsi="Times New Roman" w:eastAsia="宋体" w:cs="Times New Roman"/>
          <w:b/>
          <w:i w:val="0"/>
          <w:color w:val="1E3A8A"/>
          <w:sz w:val="24"/>
          <w:szCs w:val="24"/>
        </w:rPr>
      </w:pPr>
    </w:p>
    <w:p w14:paraId="4A5656B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10 项核心指标字典：</w:t>
      </w:r>
    </w:p>
    <w:tbl>
      <w:tblPr>
        <w:tblStyle w:val="38"/>
        <w:tblW w:w="9530" w:type="dxa"/>
        <w:jc w:val="center"/>
        <w:tblLayout w:type="fixed"/>
        <w:tblCellMar>
          <w:top w:w="0" w:type="dxa"/>
          <w:left w:w="108" w:type="dxa"/>
          <w:bottom w:w="0" w:type="dxa"/>
          <w:right w:w="108" w:type="dxa"/>
        </w:tblCellMar>
      </w:tblPr>
      <w:tblGrid>
        <w:gridCol w:w="753"/>
        <w:gridCol w:w="1860"/>
        <w:gridCol w:w="930"/>
        <w:gridCol w:w="2021"/>
        <w:gridCol w:w="3966"/>
      </w:tblGrid>
      <w:tr w14:paraId="66A941F9">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AFE2E5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6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6035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指标名称</w:t>
            </w:r>
          </w:p>
        </w:tc>
        <w:tc>
          <w:tcPr>
            <w:tcW w:w="93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128C2C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20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55B259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核算数学模型</w:t>
            </w:r>
          </w:p>
        </w:tc>
        <w:tc>
          <w:tcPr>
            <w:tcW w:w="396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00E796">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630B251B">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696ED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D82E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综合能源消费量</w:t>
            </w:r>
          </w:p>
        </w:tc>
        <w:tc>
          <w:tcPr>
            <w:tcW w:w="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6B235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C1F7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Σ(E_i × k_i)</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B2EFEA">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月度指标。E 为综合能源消耗量；n 为消耗的能源种类数；E_i 为第 i 种能源实际消耗量；k_i 为第 i 种能源折标准煤系数</w:t>
            </w:r>
          </w:p>
        </w:tc>
      </w:tr>
      <w:tr w14:paraId="6DE77E55">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A229B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996B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总碳排放量</w:t>
            </w:r>
          </w:p>
        </w:tc>
        <w:tc>
          <w:tcPr>
            <w:tcW w:w="9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02B6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3B7E1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 = C_燃烧 + C_购入电 + C_购入热</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3850DD">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月度指标。C 为二氧化碳总排放量；C_燃烧 为化石燃料燃烧排放；C_购入电 为购入电力排放；C_购入热 为购入热力排放</w:t>
            </w:r>
          </w:p>
        </w:tc>
      </w:tr>
      <w:tr w14:paraId="3FB271AB">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6F06A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5AE4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单位能耗碳排放</w:t>
            </w:r>
          </w:p>
        </w:tc>
        <w:tc>
          <w:tcPr>
            <w:tcW w:w="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8ACDF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tCO2/tce</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607E8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I = C / E</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119A45">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月度指标。I 为单位能耗碳排放；C 为二氧化碳排放量；E 为综合能源消耗量</w:t>
            </w:r>
          </w:p>
        </w:tc>
      </w:tr>
      <w:tr w14:paraId="1CE70ABA">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909D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B377C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非化石能源消费占比</w:t>
            </w:r>
          </w:p>
        </w:tc>
        <w:tc>
          <w:tcPr>
            <w:tcW w:w="9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19A7A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6B779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r = R / E × 100%</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6DFE14">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月度指标。R 为各类非化石能源消费量（不含原料用能）；E 为综合能源消费量（不含原料用能）</w:t>
            </w:r>
          </w:p>
        </w:tc>
      </w:tr>
      <w:tr w14:paraId="4F9A4EC7">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4413D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027B7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非化石能源电力消费物理认定量占比</w:t>
            </w:r>
          </w:p>
        </w:tc>
        <w:tc>
          <w:tcPr>
            <w:tcW w:w="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191E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CA13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E_{ui} = E_z / Q × 100%</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07068D">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月度指标。E_z 为具备物理可溯源条件的非化石能源电力消费量；Q 为总用电量</w:t>
            </w:r>
          </w:p>
        </w:tc>
      </w:tr>
      <w:tr w14:paraId="0B0F0B45">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CAA4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2E506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单位工业增加值能耗</w:t>
            </w:r>
          </w:p>
        </w:tc>
        <w:tc>
          <w:tcPr>
            <w:tcW w:w="9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7D5FC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C042A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E_{nva} = E / G_{nva}</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EE3490">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月度指标。G_nva 为工业增加值（万元）</w:t>
            </w:r>
          </w:p>
        </w:tc>
      </w:tr>
      <w:tr w14:paraId="58F7C604">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AB815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628C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w:t>
            </w:r>
          </w:p>
        </w:tc>
        <w:tc>
          <w:tcPr>
            <w:tcW w:w="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541C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DF00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g = E / G</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7157C8">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月度指标。G 为产品产值（万元）</w:t>
            </w:r>
          </w:p>
        </w:tc>
      </w:tr>
      <w:tr w14:paraId="7AD65D99">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D43D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7542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水资源消耗量</w:t>
            </w:r>
          </w:p>
        </w:tc>
        <w:tc>
          <w:tcPr>
            <w:tcW w:w="9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6693F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65E55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W = Σ W_i</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328253">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月度指标。W_i 为各车间、工段及公辅设施水表计量用水量</w:t>
            </w:r>
          </w:p>
        </w:tc>
      </w:tr>
      <w:tr w14:paraId="55CCA650">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606C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C6BBE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节能装备应用占比</w:t>
            </w:r>
          </w:p>
        </w:tc>
        <w:tc>
          <w:tcPr>
            <w:tcW w:w="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3C1BB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740C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S = R_{es} / E_{ts} × 100%</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B0ACCA">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月度指标。R_es 为达到或优于能效国标 2 级水平装备累计额定总功率；E_ts 为纳入统计范围装备累计额定总功率</w:t>
            </w:r>
          </w:p>
        </w:tc>
      </w:tr>
      <w:tr w14:paraId="51AED9C8">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365ED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6C4FB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开展产品碳足迹分析占比</w:t>
            </w:r>
          </w:p>
        </w:tc>
        <w:tc>
          <w:tcPr>
            <w:tcW w:w="9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083C7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7DE2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R_{cf} = N_{cf} / N × 100%</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6BAFF2">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月度指标。N_cf 为已开展主要产品碳足迹分析的产品类别数量；N 为主要产品类别总数</w:t>
            </w:r>
          </w:p>
        </w:tc>
      </w:tr>
    </w:tbl>
    <w:p w14:paraId="3C4F1513">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数据变化桑基图</w:t>
      </w:r>
    </w:p>
    <w:p w14:paraId="2D9A46E6">
      <w:pPr>
        <w:pStyle w:val="19"/>
        <w:widowControl/>
        <w:numPr>
          <w:ilvl w:val="0"/>
          <w:numId w:val="0"/>
        </w:numPr>
        <w:rPr>
          <w:rFonts w:eastAsia="宋体"/>
          <w:b/>
          <w:i w:val="0"/>
          <w:color w:val="0284C7"/>
          <w:sz w:val="24"/>
          <w:szCs w:val="24"/>
        </w:rPr>
      </w:pPr>
      <w:r>
        <w:drawing>
          <wp:inline distT="0" distB="0" distL="114300" distR="114300">
            <wp:extent cx="5905500" cy="2783205"/>
            <wp:effectExtent l="0" t="0" r="0" b="1714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1"/>
                    <a:stretch>
                      <a:fillRect/>
                    </a:stretch>
                  </pic:blipFill>
                  <pic:spPr>
                    <a:xfrm>
                      <a:off x="0" y="0"/>
                      <a:ext cx="5905500" cy="2783205"/>
                    </a:xfrm>
                    <a:prstGeom prst="rect">
                      <a:avLst/>
                    </a:prstGeom>
                    <a:noFill/>
                    <a:ln>
                      <a:noFill/>
                    </a:ln>
                  </pic:spPr>
                </pic:pic>
              </a:graphicData>
            </a:graphic>
          </wp:inline>
        </w:drawing>
      </w:r>
    </w:p>
    <w:p w14:paraId="554F21A8">
      <w:pPr>
        <w:pStyle w:val="19"/>
        <w:widowControl/>
        <w:numPr>
          <w:ilvl w:val="0"/>
          <w:numId w:val="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显示逻辑</w:t>
      </w:r>
      <w:r>
        <w:rPr>
          <w:rFonts w:ascii="Times New Roman" w:hAnsi="Times New Roman" w:eastAsia="宋体" w:cs="Times New Roman"/>
          <w:i w:val="0"/>
          <w:color w:val="1F2937"/>
          <w:sz w:val="24"/>
          <w:szCs w:val="24"/>
        </w:rPr>
        <w:t>：桑基图仅在选择 1 级节点时显示。</w:t>
      </w:r>
    </w:p>
    <w:p w14:paraId="2001C284">
      <w:pPr>
        <w:pStyle w:val="19"/>
        <w:widowControl/>
        <w:numPr>
          <w:ilvl w:val="0"/>
          <w:numId w:val="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：对集团、单位、工厂之间维度的数据变化归因流展示，呈现指标变化量在各级经营单位 / 项目公司间的分布与贡献度。</w:t>
      </w:r>
    </w:p>
    <w:p w14:paraId="471B5008">
      <w:pPr>
        <w:pStyle w:val="19"/>
        <w:widowControl/>
        <w:numPr>
          <w:ilvl w:val="0"/>
          <w:numId w:val="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交互规则</w:t>
      </w:r>
      <w:r>
        <w:rPr>
          <w:rFonts w:ascii="Times New Roman" w:hAnsi="Times New Roman" w:eastAsia="宋体" w:cs="Times New Roman"/>
          <w:i w:val="0"/>
          <w:color w:val="1F2937"/>
          <w:sz w:val="24"/>
          <w:szCs w:val="24"/>
        </w:rPr>
        <w:t>：点击 3.1 卡片中 10 项核心指标时，下方桑基图根据所选指标的不同进行展示。</w:t>
      </w:r>
    </w:p>
    <w:tbl>
      <w:tblPr>
        <w:tblStyle w:val="38"/>
        <w:tblW w:w="9784" w:type="dxa"/>
        <w:jc w:val="center"/>
        <w:tblLayout w:type="autofit"/>
        <w:tblCellMar>
          <w:top w:w="0" w:type="dxa"/>
          <w:left w:w="108" w:type="dxa"/>
          <w:bottom w:w="0" w:type="dxa"/>
          <w:right w:w="108" w:type="dxa"/>
        </w:tblCellMar>
      </w:tblPr>
      <w:tblGrid>
        <w:gridCol w:w="646"/>
        <w:gridCol w:w="1416"/>
        <w:gridCol w:w="5226"/>
        <w:gridCol w:w="2496"/>
      </w:tblGrid>
      <w:tr w14:paraId="44711D3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C471B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1746F5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节点/字段</w:t>
            </w:r>
          </w:p>
        </w:tc>
        <w:tc>
          <w:tcPr>
            <w:tcW w:w="522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6339F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c>
          <w:tcPr>
            <w:tcW w:w="24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20C9F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数据来源</w:t>
            </w:r>
          </w:p>
        </w:tc>
      </w:tr>
      <w:tr w14:paraId="6F6EBB0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9628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A2EEF9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源节点</w:t>
            </w:r>
          </w:p>
        </w:tc>
        <w:tc>
          <w:tcPr>
            <w:tcW w:w="522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96DF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指标变化发起节点</w:t>
            </w:r>
          </w:p>
        </w:tc>
        <w:tc>
          <w:tcPr>
            <w:tcW w:w="24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4F9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指标管控计算</w:t>
            </w:r>
          </w:p>
        </w:tc>
      </w:tr>
      <w:tr w14:paraId="0363DF4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0A7A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200DD7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流量</w:t>
            </w:r>
          </w:p>
        </w:tc>
        <w:tc>
          <w:tcPr>
            <w:tcW w:w="522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CDEA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指标变化量</w:t>
            </w:r>
          </w:p>
        </w:tc>
        <w:tc>
          <w:tcPr>
            <w:tcW w:w="24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3667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环比 / 同比计算结果</w:t>
            </w:r>
          </w:p>
        </w:tc>
      </w:tr>
      <w:tr w14:paraId="135DE26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49AAF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B8D7FB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目标节点</w:t>
            </w:r>
          </w:p>
        </w:tc>
        <w:tc>
          <w:tcPr>
            <w:tcW w:w="522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AE74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变化归集到的经营单位 / 项目公司 / 时间粒度</w:t>
            </w:r>
          </w:p>
        </w:tc>
        <w:tc>
          <w:tcPr>
            <w:tcW w:w="24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E4DD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指标台账</w:t>
            </w:r>
          </w:p>
        </w:tc>
      </w:tr>
      <w:tr w14:paraId="7622E39E">
        <w:tblPrEx>
          <w:tblCellMar>
            <w:top w:w="0" w:type="dxa"/>
            <w:left w:w="108" w:type="dxa"/>
            <w:bottom w:w="0" w:type="dxa"/>
            <w:right w:w="108" w:type="dxa"/>
          </w:tblCellMar>
        </w:tblPrEx>
        <w:trPr>
          <w:jc w:val="center"/>
        </w:trPr>
        <w:tc>
          <w:tcPr>
            <w:tcW w:w="64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D6DBA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4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BFD50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悬浮交互</w:t>
            </w:r>
          </w:p>
        </w:tc>
        <w:tc>
          <w:tcPr>
            <w:tcW w:w="522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4D8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显示流经值与占比</w:t>
            </w:r>
          </w:p>
        </w:tc>
        <w:tc>
          <w:tcPr>
            <w:tcW w:w="24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D92A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bl>
    <w:p w14:paraId="0B561913">
      <w:pPr>
        <w:spacing w:after="60"/>
        <w:rPr>
          <w:rFonts w:hint="eastAsia" w:ascii="宋体" w:hAnsi="宋体" w:eastAsia="宋体" w:cs="宋体"/>
          <w:i w:val="0"/>
          <w:iCs w:val="0"/>
          <w:sz w:val="24"/>
          <w:szCs w:val="24"/>
        </w:rPr>
      </w:pPr>
    </w:p>
    <w:p w14:paraId="2E501D11">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产品管控指标</w:t>
      </w:r>
    </w:p>
    <w:p w14:paraId="39C6BBC2">
      <w:pPr>
        <w:pStyle w:val="19"/>
        <w:widowControl/>
        <w:numPr>
          <w:ilvl w:val="0"/>
          <w:numId w:val="0"/>
        </w:numPr>
        <w:rPr>
          <w:rFonts w:eastAsia="宋体"/>
          <w:b/>
          <w:i w:val="0"/>
          <w:color w:val="0284C7"/>
          <w:sz w:val="24"/>
          <w:szCs w:val="24"/>
        </w:rPr>
      </w:pPr>
      <w:r>
        <w:drawing>
          <wp:inline distT="0" distB="0" distL="114300" distR="114300">
            <wp:extent cx="5904865" cy="2269490"/>
            <wp:effectExtent l="0" t="0" r="635" b="1651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2"/>
                    <a:stretch>
                      <a:fillRect/>
                    </a:stretch>
                  </pic:blipFill>
                  <pic:spPr>
                    <a:xfrm>
                      <a:off x="0" y="0"/>
                      <a:ext cx="5904865" cy="2269490"/>
                    </a:xfrm>
                    <a:prstGeom prst="rect">
                      <a:avLst/>
                    </a:prstGeom>
                    <a:noFill/>
                    <a:ln>
                      <a:noFill/>
                    </a:ln>
                  </pic:spPr>
                </pic:pic>
              </a:graphicData>
            </a:graphic>
          </wp:inline>
        </w:drawing>
      </w:r>
    </w:p>
    <w:p w14:paraId="19E635F4">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变压器产业</w:t>
      </w:r>
      <w:r>
        <w:rPr>
          <w:rFonts w:ascii="Times New Roman" w:hAnsi="Times New Roman" w:eastAsia="宋体" w:cs="Times New Roman"/>
          <w:i w:val="0"/>
          <w:color w:val="1F2937"/>
          <w:sz w:val="24"/>
          <w:szCs w:val="24"/>
        </w:rPr>
        <w:t>：分母物理量统一为容量【万 kVA】（或千伏安 kVA），单位产品综合能耗单位为【tce/万 kVA】或【tce/kVA】。</w:t>
      </w:r>
    </w:p>
    <w:p w14:paraId="7C8C5836">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线缆产业</w:t>
      </w:r>
      <w:r>
        <w:rPr>
          <w:rFonts w:ascii="Times New Roman" w:hAnsi="Times New Roman" w:eastAsia="宋体" w:cs="Times New Roman"/>
          <w:i w:val="0"/>
          <w:color w:val="1F2937"/>
          <w:sz w:val="24"/>
          <w:szCs w:val="24"/>
        </w:rPr>
        <w:t>：分母物理量统一为导体规格【万 km·mm²】（公里 × 毫米平方），单位产品综合能耗单位为【tce/万 km·mm²】。</w:t>
      </w:r>
    </w:p>
    <w:tbl>
      <w:tblPr>
        <w:tblStyle w:val="38"/>
        <w:tblW w:w="9784" w:type="dxa"/>
        <w:jc w:val="center"/>
        <w:tblLayout w:type="autofit"/>
        <w:tblCellMar>
          <w:top w:w="0" w:type="dxa"/>
          <w:left w:w="108" w:type="dxa"/>
          <w:bottom w:w="0" w:type="dxa"/>
          <w:right w:w="108" w:type="dxa"/>
        </w:tblCellMar>
      </w:tblPr>
      <w:tblGrid>
        <w:gridCol w:w="775"/>
        <w:gridCol w:w="2580"/>
        <w:gridCol w:w="2279"/>
        <w:gridCol w:w="2171"/>
        <w:gridCol w:w="1979"/>
      </w:tblGrid>
      <w:tr w14:paraId="32B5B9A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682707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437AAE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产品管控指标名称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324904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变压器产业单位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405B8B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线缆产业单位</w:t>
            </w:r>
          </w:p>
        </w:tc>
        <w:tc>
          <w:tcPr>
            <w:tcW w:w="19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205BB4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核算数学公式</w:t>
            </w:r>
          </w:p>
        </w:tc>
      </w:tr>
      <w:tr w14:paraId="74013B6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F0830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02A475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AB230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tce/万kVA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109A7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tce/万km·mm²</w:t>
            </w:r>
          </w:p>
        </w:tc>
        <w:tc>
          <w:tcPr>
            <w:tcW w:w="19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B13570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M</w:t>
            </w:r>
          </w:p>
        </w:tc>
      </w:tr>
      <w:tr w14:paraId="2B59CCE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F46FE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2C7B3F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单位产品电耗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78AAC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B4F84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kWh/km·mm²</w:t>
            </w:r>
          </w:p>
        </w:tc>
        <w:tc>
          <w:tcPr>
            <w:tcW w:w="19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D7559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r w14:paraId="710B62C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6B9D50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80A15E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单位产品蒸汽耗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4CC3F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GJ/kVA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9F7713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GJ/km·mm²</w:t>
            </w:r>
          </w:p>
        </w:tc>
        <w:tc>
          <w:tcPr>
            <w:tcW w:w="19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796D7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r w14:paraId="03FC3B0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A4A1B4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649D73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单位产品天然气耗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800554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m³/kVA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180814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m³/km·mm²</w:t>
            </w:r>
          </w:p>
        </w:tc>
        <w:tc>
          <w:tcPr>
            <w:tcW w:w="19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1CB45F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r w14:paraId="65CFE05A">
        <w:tblPrEx>
          <w:tblCellMar>
            <w:top w:w="0" w:type="dxa"/>
            <w:left w:w="108" w:type="dxa"/>
            <w:bottom w:w="0" w:type="dxa"/>
            <w:right w:w="108" w:type="dxa"/>
          </w:tblCellMar>
        </w:tblPrEx>
        <w:trPr>
          <w:jc w:val="center"/>
        </w:trPr>
        <w:tc>
          <w:tcPr>
            <w:tcW w:w="7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B966D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5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95C06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单位产品水耗</w:t>
            </w:r>
          </w:p>
        </w:tc>
        <w:tc>
          <w:tcPr>
            <w:tcW w:w="22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FB350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t/kVA</w:t>
            </w:r>
          </w:p>
        </w:tc>
        <w:tc>
          <w:tcPr>
            <w:tcW w:w="21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050184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t/km·mm²</w:t>
            </w:r>
          </w:p>
        </w:tc>
        <w:tc>
          <w:tcPr>
            <w:tcW w:w="19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93A998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bl>
    <w:p w14:paraId="113F1CD1">
      <w:pPr>
        <w:spacing w:after="60"/>
        <w:rPr>
          <w:rFonts w:hint="eastAsia" w:ascii="宋体" w:hAnsi="宋体" w:eastAsia="宋体" w:cs="宋体"/>
          <w:i w:val="0"/>
          <w:iCs w:val="0"/>
          <w:sz w:val="24"/>
          <w:szCs w:val="24"/>
        </w:rPr>
      </w:pPr>
    </w:p>
    <w:p w14:paraId="271541F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展示与对比规则：</w:t>
      </w:r>
    </w:p>
    <w:p w14:paraId="328C36A9">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指标粒度</w:t>
      </w:r>
      <w:r>
        <w:rPr>
          <w:rFonts w:ascii="Times New Roman" w:hAnsi="Times New Roman" w:eastAsia="宋体" w:cs="Times New Roman"/>
          <w:i w:val="0"/>
          <w:color w:val="1F2937"/>
          <w:sz w:val="24"/>
          <w:szCs w:val="24"/>
        </w:rPr>
        <w:t>：5 项单位产品指标均细化到产品大类。</w:t>
      </w:r>
    </w:p>
    <w:p w14:paraId="68D68267">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环比范围</w:t>
      </w:r>
      <w:r>
        <w:rPr>
          <w:rFonts w:ascii="Times New Roman" w:hAnsi="Times New Roman" w:eastAsia="宋体" w:cs="Times New Roman"/>
          <w:i w:val="0"/>
          <w:color w:val="1F2937"/>
          <w:sz w:val="24"/>
          <w:szCs w:val="24"/>
        </w:rPr>
        <w:t>：环比变化选择范围固定为同型号产品；同比为同型号去年同期。</w:t>
      </w:r>
    </w:p>
    <w:p w14:paraId="4FABD700">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分母隔离</w:t>
      </w:r>
      <w:r>
        <w:rPr>
          <w:rFonts w:ascii="Times New Roman" w:hAnsi="Times New Roman" w:eastAsia="宋体" w:cs="Times New Roman"/>
          <w:i w:val="0"/>
          <w:color w:val="1F2937"/>
          <w:sz w:val="24"/>
          <w:szCs w:val="24"/>
        </w:rPr>
        <w:t>：变压器产业分母为 kVA/万 kVA，线缆产业分母为 km·mm²/万 km·mm²，严禁跨产业混算。</w:t>
      </w:r>
    </w:p>
    <w:p w14:paraId="55EC8357">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状态与对比</w:t>
      </w:r>
      <w:r>
        <w:rPr>
          <w:rFonts w:ascii="Times New Roman" w:hAnsi="Times New Roman" w:eastAsia="宋体" w:cs="Times New Roman"/>
          <w:i w:val="0"/>
          <w:color w:val="1F2937"/>
          <w:sz w:val="24"/>
          <w:szCs w:val="24"/>
        </w:rPr>
        <w:t>：按标杆值/基准值三色判定，点击指标进入二级详情。</w:t>
      </w:r>
    </w:p>
    <w:p w14:paraId="28ACB668">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条件显示</w:t>
      </w:r>
      <w:r>
        <w:rPr>
          <w:rFonts w:ascii="Times New Roman" w:hAnsi="Times New Roman" w:eastAsia="宋体" w:cs="Times New Roman"/>
          <w:i w:val="0"/>
          <w:color w:val="1F2937"/>
          <w:sz w:val="24"/>
          <w:szCs w:val="24"/>
        </w:rPr>
        <w:t>：根据产品类型不同，页面显示的卡片信息会不同。</w:t>
      </w:r>
    </w:p>
    <w:p w14:paraId="532F927C">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产线子分类管控指标</w:t>
      </w:r>
    </w:p>
    <w:p w14:paraId="7784473E">
      <w:pPr>
        <w:pStyle w:val="19"/>
        <w:widowControl/>
        <w:numPr>
          <w:ilvl w:val="0"/>
          <w:numId w:val="0"/>
        </w:numPr>
        <w:rPr>
          <w:rFonts w:eastAsia="宋体"/>
          <w:b/>
          <w:i w:val="0"/>
          <w:color w:val="0284C7"/>
          <w:sz w:val="24"/>
          <w:szCs w:val="24"/>
        </w:rPr>
      </w:pPr>
      <w:r>
        <w:drawing>
          <wp:inline distT="0" distB="0" distL="114300" distR="114300">
            <wp:extent cx="5913755" cy="1889125"/>
            <wp:effectExtent l="0" t="0" r="10795" b="15875"/>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23"/>
                    <a:stretch>
                      <a:fillRect/>
                    </a:stretch>
                  </pic:blipFill>
                  <pic:spPr>
                    <a:xfrm>
                      <a:off x="0" y="0"/>
                      <a:ext cx="5913755" cy="1889125"/>
                    </a:xfrm>
                    <a:prstGeom prst="rect">
                      <a:avLst/>
                    </a:prstGeom>
                    <a:noFill/>
                    <a:ln>
                      <a:noFill/>
                    </a:ln>
                  </pic:spPr>
                </pic:pic>
              </a:graphicData>
            </a:graphic>
          </wp:inline>
        </w:drawing>
      </w:r>
    </w:p>
    <w:p w14:paraId="520EA7A0">
      <w:pPr>
        <w:pStyle w:val="19"/>
        <w:widowControl/>
        <w:numPr>
          <w:ilvl w:val="0"/>
          <w:numId w:val="3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框架说明</w:t>
      </w:r>
      <w:r>
        <w:rPr>
          <w:rFonts w:ascii="Times New Roman" w:hAnsi="Times New Roman" w:eastAsia="宋体" w:cs="Times New Roman"/>
          <w:i w:val="0"/>
          <w:color w:val="1F2937"/>
          <w:sz w:val="24"/>
          <w:szCs w:val="24"/>
        </w:rPr>
        <w:t>：按【产线子分类】归集单位产品能耗、工序能耗占比、单耗与基准偏差等指标。</w:t>
      </w:r>
    </w:p>
    <w:p w14:paraId="452D69AE">
      <w:pPr>
        <w:pStyle w:val="19"/>
        <w:widowControl/>
        <w:numPr>
          <w:ilvl w:val="0"/>
          <w:numId w:val="3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子分类</w:t>
      </w:r>
      <w:r>
        <w:rPr>
          <w:rFonts w:ascii="Times New Roman" w:hAnsi="Times New Roman" w:eastAsia="宋体" w:cs="Times New Roman"/>
          <w:i w:val="0"/>
          <w:color w:val="1F2937"/>
          <w:sz w:val="24"/>
          <w:szCs w:val="24"/>
        </w:rPr>
        <w:t>：变压器产业按【高压产线 / 中低压产线 / 干式产线】划分；线缆产业按【拉丝 / 交联 / 其他】划分（最终以项目组确认为准）。</w:t>
      </w:r>
    </w:p>
    <w:tbl>
      <w:tblPr>
        <w:tblStyle w:val="38"/>
        <w:tblW w:w="9784" w:type="dxa"/>
        <w:jc w:val="center"/>
        <w:tblLayout w:type="autofit"/>
        <w:tblCellMar>
          <w:top w:w="0" w:type="dxa"/>
          <w:left w:w="108" w:type="dxa"/>
          <w:bottom w:w="0" w:type="dxa"/>
          <w:right w:w="108" w:type="dxa"/>
        </w:tblCellMar>
      </w:tblPr>
      <w:tblGrid>
        <w:gridCol w:w="725"/>
        <w:gridCol w:w="1810"/>
        <w:gridCol w:w="1025"/>
        <w:gridCol w:w="1284"/>
        <w:gridCol w:w="4940"/>
      </w:tblGrid>
      <w:tr w14:paraId="61FB82B6">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5C9FD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1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EA978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工序指标</w:t>
            </w:r>
          </w:p>
        </w:tc>
        <w:tc>
          <w:tcPr>
            <w:tcW w:w="10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CD63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12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48D2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计算公式</w:t>
            </w:r>
          </w:p>
        </w:tc>
        <w:tc>
          <w:tcPr>
            <w:tcW w:w="494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E23D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指标说明</w:t>
            </w:r>
          </w:p>
        </w:tc>
      </w:tr>
      <w:tr w14:paraId="5DD4D9A0">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3322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6BA1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单位产品能耗（型号）</w:t>
            </w:r>
          </w:p>
        </w:tc>
        <w:tc>
          <w:tcPr>
            <w:tcW w:w="1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0815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1A79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M</w:t>
            </w:r>
          </w:p>
        </w:tc>
        <w:tc>
          <w:tcPr>
            <w:tcW w:w="49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B30C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月度指标。E 为综合能源消费量（tce）；M 为产品产量（万 kVA、万 km·mm² 等）</w:t>
            </w:r>
          </w:p>
        </w:tc>
      </w:tr>
      <w:tr w14:paraId="44B6E726">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7849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AB19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单位产品电耗</w:t>
            </w:r>
          </w:p>
        </w:tc>
        <w:tc>
          <w:tcPr>
            <w:tcW w:w="1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3BC7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6B93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q_电 = Q_电 / M</w:t>
            </w:r>
          </w:p>
        </w:tc>
        <w:tc>
          <w:tcPr>
            <w:tcW w:w="49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1FD7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月度指标。Q_电 为电能源消费量（kWh）</w:t>
            </w:r>
          </w:p>
        </w:tc>
      </w:tr>
      <w:tr w14:paraId="04A15BED">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0F8B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F71C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单位产品蒸汽消耗</w:t>
            </w:r>
          </w:p>
        </w:tc>
        <w:tc>
          <w:tcPr>
            <w:tcW w:w="1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4991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F93B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q_汽 = Q_汽 / M</w:t>
            </w:r>
          </w:p>
        </w:tc>
        <w:tc>
          <w:tcPr>
            <w:tcW w:w="49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3B94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月度指标。Q_汽 为蒸汽能源消费量（GJ）</w:t>
            </w:r>
          </w:p>
        </w:tc>
      </w:tr>
      <w:tr w14:paraId="61FA777A">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5D10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FF78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单位产品天然气消耗</w:t>
            </w:r>
          </w:p>
        </w:tc>
        <w:tc>
          <w:tcPr>
            <w:tcW w:w="1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B599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994A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q_气 = Q_气 / M</w:t>
            </w:r>
          </w:p>
        </w:tc>
        <w:tc>
          <w:tcPr>
            <w:tcW w:w="49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6A70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月度指标。Q_气 为天然气能源消费量（m³）</w:t>
            </w:r>
          </w:p>
        </w:tc>
      </w:tr>
      <w:tr w14:paraId="5F795763">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9952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9045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单位产品水耗</w:t>
            </w:r>
          </w:p>
        </w:tc>
        <w:tc>
          <w:tcPr>
            <w:tcW w:w="1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99C4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BAA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q_水 = Q_水 / M</w:t>
            </w:r>
          </w:p>
        </w:tc>
        <w:tc>
          <w:tcPr>
            <w:tcW w:w="49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F20A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月度指标。Q_水 为水能源消费量（t）</w:t>
            </w:r>
          </w:p>
        </w:tc>
      </w:tr>
    </w:tbl>
    <w:p w14:paraId="066B2960">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关键制造工序能耗管控指标</w:t>
      </w:r>
    </w:p>
    <w:p w14:paraId="655D5A11">
      <w:r>
        <w:drawing>
          <wp:inline distT="0" distB="0" distL="114300" distR="114300">
            <wp:extent cx="5905500" cy="1648460"/>
            <wp:effectExtent l="0" t="0" r="0" b="889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24"/>
                    <a:stretch>
                      <a:fillRect/>
                    </a:stretch>
                  </pic:blipFill>
                  <pic:spPr>
                    <a:xfrm>
                      <a:off x="0" y="0"/>
                      <a:ext cx="5905500" cy="1648460"/>
                    </a:xfrm>
                    <a:prstGeom prst="rect">
                      <a:avLst/>
                    </a:prstGeom>
                    <a:noFill/>
                    <a:ln>
                      <a:noFill/>
                    </a:ln>
                  </pic:spPr>
                </pic:pic>
              </a:graphicData>
            </a:graphic>
          </wp:inline>
        </w:drawing>
      </w:r>
    </w:p>
    <w:tbl>
      <w:tblPr>
        <w:tblStyle w:val="38"/>
        <w:tblW w:w="5000" w:type="pct"/>
        <w:jc w:val="center"/>
        <w:tblLayout w:type="autofit"/>
        <w:tblCellMar>
          <w:top w:w="0" w:type="dxa"/>
          <w:left w:w="108" w:type="dxa"/>
          <w:bottom w:w="0" w:type="dxa"/>
          <w:right w:w="108" w:type="dxa"/>
        </w:tblCellMar>
      </w:tblPr>
      <w:tblGrid>
        <w:gridCol w:w="9514"/>
      </w:tblGrid>
      <w:tr w14:paraId="620EB5EB">
        <w:tblPrEx>
          <w:tblCellMar>
            <w:top w:w="0" w:type="dxa"/>
            <w:left w:w="108" w:type="dxa"/>
            <w:bottom w:w="0" w:type="dxa"/>
            <w:right w:w="108" w:type="dxa"/>
          </w:tblCellMar>
        </w:tblPrEx>
        <w:trPr>
          <w:jc w:val="center"/>
        </w:trPr>
        <w:tc>
          <w:tcPr>
            <w:tcW w:w="5000" w:type="pct"/>
            <w:tcBorders>
              <w:top w:val="nil"/>
              <w:left w:val="single" w:color="2563EB" w:sz="24" w:space="0"/>
              <w:bottom w:val="nil"/>
              <w:right w:val="nil"/>
            </w:tcBorders>
            <w:shd w:val="clear" w:color="auto" w:fill="EFF6FF"/>
            <w:tcMar>
              <w:top w:w="70" w:type="dxa"/>
              <w:left w:w="100" w:type="dxa"/>
              <w:bottom w:w="70" w:type="dxa"/>
              <w:right w:w="100" w:type="dxa"/>
            </w:tcMar>
          </w:tcPr>
          <w:p w14:paraId="4D67F7E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【关键工序指标显示规则】参考《生产单位与涉及关键工序对应表》和《"双中心"项目能碳管控指标体系 V1.5》文件：</w:t>
            </w:r>
          </w:p>
          <w:p w14:paraId="20A303A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 </w:t>
            </w:r>
            <w:r>
              <w:rPr>
                <w:rFonts w:hint="eastAsia" w:ascii="宋体" w:hAnsi="宋体" w:eastAsia="宋体" w:cs="宋体"/>
                <w:b/>
                <w:i w:val="0"/>
                <w:iCs w:val="0"/>
                <w:color w:val="1E3A8A"/>
                <w:sz w:val="24"/>
                <w:szCs w:val="24"/>
              </w:rPr>
              <w:t>实体制造单位</w:t>
            </w:r>
            <w:r>
              <w:rPr>
                <w:rFonts w:hint="eastAsia" w:ascii="宋体" w:hAnsi="宋体" w:eastAsia="宋体" w:cs="宋体"/>
                <w:i w:val="0"/>
                <w:iCs w:val="0"/>
                <w:color w:val="1F2937"/>
                <w:sz w:val="24"/>
                <w:szCs w:val="24"/>
              </w:rPr>
              <w:t>（沈变、衡变、新变、鲁缆、新缆、德缆等）：仅展示其业务真实涉及的制造工序（如变压器绕制、铁芯叠装、真空干燥固化；线缆拉丝、绝缘挤出、交联等）。</w:t>
            </w:r>
          </w:p>
          <w:p w14:paraId="2D5E568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 </w:t>
            </w:r>
            <w:r>
              <w:rPr>
                <w:rFonts w:hint="eastAsia" w:ascii="宋体" w:hAnsi="宋体" w:eastAsia="宋体" w:cs="宋体"/>
                <w:b/>
                <w:i w:val="0"/>
                <w:iCs w:val="0"/>
                <w:color w:val="1E3A8A"/>
                <w:sz w:val="24"/>
                <w:szCs w:val="24"/>
              </w:rPr>
              <w:t>10 家无工序单位</w:t>
            </w:r>
            <w:r>
              <w:rPr>
                <w:rFonts w:hint="eastAsia" w:ascii="宋体" w:hAnsi="宋体" w:eastAsia="宋体" w:cs="宋体"/>
                <w:i w:val="0"/>
                <w:iCs w:val="0"/>
                <w:color w:val="1F2937"/>
                <w:sz w:val="24"/>
                <w:szCs w:val="24"/>
              </w:rPr>
              <w:t>（沈变智慧能源、衡变智慧能源、新变智慧能源、鲁缆智慧能源、天池能源管理、科技投资、新能源集控、特变电装总部、进出口贸易、工程建设）：切换至该类单位时，工序管控区域整行必须精准输出单行干练结论：【暂无相关工序！】；严禁出现空白占位卡片，严禁出现"由于白名单未配置因此无工序……"等主观解释说教文案；激活态仅由边框高亮呈现，严禁在卡片右上角增加"已联动过滤"等过程标签。</w:t>
            </w:r>
          </w:p>
        </w:tc>
      </w:tr>
    </w:tbl>
    <w:p w14:paraId="7A417FE2">
      <w:pPr>
        <w:spacing w:after="40"/>
        <w:rPr>
          <w:rFonts w:hint="eastAsia" w:ascii="宋体" w:hAnsi="宋体" w:eastAsia="宋体" w:cs="宋体"/>
          <w:i w:val="0"/>
          <w:iCs w:val="0"/>
          <w:sz w:val="24"/>
          <w:szCs w:val="24"/>
        </w:rPr>
      </w:pPr>
    </w:p>
    <w:p w14:paraId="22BDFC75">
      <w:pPr>
        <w:pStyle w:val="19"/>
        <w:widowControl/>
        <w:rPr>
          <w:rFonts w:ascii="Times New Roman" w:hAnsi="Times New Roman" w:eastAsia="宋体" w:cs="Times New Roman"/>
          <w:b/>
          <w:i w:val="0"/>
          <w:color w:val="1E3A8A"/>
          <w:sz w:val="24"/>
          <w:szCs w:val="24"/>
        </w:rPr>
      </w:pPr>
      <w:r>
        <w:rPr>
          <w:rFonts w:ascii="Times New Roman" w:hAnsi="Times New Roman" w:eastAsia="宋体" w:cs="Times New Roman"/>
          <w:b/>
          <w:i w:val="0"/>
          <w:color w:val="1E3A8A"/>
          <w:sz w:val="24"/>
          <w:szCs w:val="24"/>
        </w:rPr>
        <w:t>关键工序指标清单：</w:t>
      </w:r>
    </w:p>
    <w:tbl>
      <w:tblPr>
        <w:tblStyle w:val="38"/>
        <w:tblW w:w="9530" w:type="dxa"/>
        <w:jc w:val="center"/>
        <w:tblLayout w:type="fixed"/>
        <w:tblCellMar>
          <w:top w:w="0" w:type="dxa"/>
          <w:left w:w="108" w:type="dxa"/>
          <w:bottom w:w="0" w:type="dxa"/>
          <w:right w:w="108" w:type="dxa"/>
        </w:tblCellMar>
      </w:tblPr>
      <w:tblGrid>
        <w:gridCol w:w="768"/>
        <w:gridCol w:w="2985"/>
        <w:gridCol w:w="1155"/>
        <w:gridCol w:w="4622"/>
      </w:tblGrid>
      <w:tr w14:paraId="428CDB33">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048FD1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9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7644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工序指标</w:t>
            </w:r>
          </w:p>
        </w:tc>
        <w:tc>
          <w:tcPr>
            <w:tcW w:w="115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D65438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462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85DF41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核算公式</w:t>
            </w:r>
          </w:p>
        </w:tc>
      </w:tr>
      <w:tr w14:paraId="29E3D4F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1386C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8FDF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吨铜电耗（线缆-拉丝）</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4C6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kWh/t</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DA9E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q_Cu = Q_elec_Cu / M_Cu（拉丝工序用电量 ÷ 铜杆净重）</w:t>
            </w:r>
          </w:p>
        </w:tc>
      </w:tr>
      <w:tr w14:paraId="03463BE2">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DFC7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D1FC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吨铝电耗（线缆-拉丝）</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77B1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kWh/t</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1F69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q_Al = Q_elec_Al / M_Al（拉丝工序用电量 ÷ 铝杆净重）</w:t>
            </w:r>
          </w:p>
        </w:tc>
      </w:tr>
      <w:tr w14:paraId="16C2B62C">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FAB4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579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交联电耗（干法）（线缆-中低压-交联）</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3A3A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kWh/km·mm²</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C42F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q_cross = Q_elec_cross / (L_cable × S)（交联工序用电量 ÷ 敷设长度×导体截面）</w:t>
            </w:r>
          </w:p>
        </w:tc>
      </w:tr>
      <w:tr w14:paraId="2504EFC4">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2B68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4</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BDF0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交联电耗（干法）（线缆-高压-交联）</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4BF3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kWh/km·mm²</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5FE2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q_cross = Q_elec_cross / (L_cable × S)（交联工序用电量 ÷ 敷设长度×导体截面）</w:t>
            </w:r>
          </w:p>
        </w:tc>
      </w:tr>
      <w:tr w14:paraId="7935CD11">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11EF5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5</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9855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单位产值能耗（变压器-高压-干燥）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7EFE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6590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G（工序折标综合能耗 ÷ 当期产值万元）</w:t>
            </w:r>
          </w:p>
        </w:tc>
      </w:tr>
      <w:tr w14:paraId="4B53E4FC">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2732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6</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B171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单位产值能耗（变压器-中低压-油变-干燥）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B84E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BB96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G（工序折标综合能耗 ÷ 当期产值万元）</w:t>
            </w:r>
          </w:p>
        </w:tc>
      </w:tr>
      <w:tr w14:paraId="4353EF60">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A319E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7</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78B4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单位产值能耗（变压器-中低压-干变-固化）</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1DE6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2A97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G（工序折标综合能耗 ÷ 当期产值万元）</w:t>
            </w:r>
          </w:p>
        </w:tc>
      </w:tr>
      <w:tr w14:paraId="5A9406A9">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5767F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8</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3E8E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0C8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0BF5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15EC171D">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14F3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9</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D583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单位产值电耗（变压器-中低压-油变-干燥）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E673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3360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2DBCDE83">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9FD33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10</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16F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单位产值电耗（变压器-中低压-干变-固化）</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586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E54C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28AA6C8D">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EB13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ABE7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单位产值蒸汽消耗（变压器-高压-干燥）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6BC6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10C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Q_steam / G（工序蒸汽消耗量 ÷ 当期产值万元）</w:t>
            </w:r>
          </w:p>
        </w:tc>
      </w:tr>
      <w:tr w14:paraId="6D0C33B4">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9844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12</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A70A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单位产量能耗（变压器-高压-干燥）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C171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tce/万kVA</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26B0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M_kVA（工序折标综合能耗 ÷ 当期合格产出容量万kVA）</w:t>
            </w:r>
          </w:p>
        </w:tc>
      </w:tr>
      <w:tr w14:paraId="3CE21DFF">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FB70A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18A3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单位产量能耗（变压器-中低压-油变-干燥）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20DA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tce/万kVA</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3272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M_kVA（工序折标综合能耗 ÷ 当期合格产出容量万kVA）</w:t>
            </w:r>
          </w:p>
        </w:tc>
      </w:tr>
      <w:tr w14:paraId="45704BF1">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CCDF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14</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4F86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单位产量能耗（变压器-中低压-干变-固化）</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CDF1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tce/万kVA</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20E5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M_kVA（工序折标综合能耗 ÷ 当期合格产出容量万kVA）</w:t>
            </w:r>
          </w:p>
        </w:tc>
      </w:tr>
      <w:tr w14:paraId="4D1D2EE3">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21A4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15</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4BDC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099C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kWh/万kVA</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4B12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0C17C072">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A0E7C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16</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B15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单位产量电耗（变压器-中低压-油变-干燥）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A78CD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kWh/万kVA</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ACC0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4E3223E6">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DA3A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17</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CDEF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单位产量电耗（变压器-中低压-干变-固化）</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354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kWh/万kVA</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50E7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693E3B99">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F24F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18</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0F8A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单位产量蒸汽消耗（变压器-高压-干燥）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8979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t/万kVA</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E83D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Q_steam / M_kVA（工序蒸汽消耗量 ÷ 当期合格产出容量万kVA）</w:t>
            </w:r>
          </w:p>
        </w:tc>
      </w:tr>
      <w:tr w14:paraId="49598B98">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3540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19</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B72F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单位产值电耗（变压器-试验）</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5F0D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B2FD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05B95D6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2123F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20</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6E0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单位产量电耗（变压器-试验）</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EB5F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kWh/万kVA</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EA04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6AEE774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6963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6CF8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单位产值电耗（中低压开关柜-钣金加工）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F03D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98A1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6D75FBA9">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346C2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22</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89688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单位产值电耗（中低压开关柜-钣金喷涂）</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6535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38ED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29C0D6E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10B2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65A8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单位产值电耗（套管-干燥）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2502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CAEA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4AEBD784">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7E8B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24</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7935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单位产值综合能耗（互感器-干燥）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4E4E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3C177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G（工序折标综合能耗 ÷ 当期产值万元）</w:t>
            </w:r>
          </w:p>
        </w:tc>
      </w:tr>
      <w:tr w14:paraId="0991DE5F">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A671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25</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8927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单位产值电耗（互感器-干燥）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DF60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38A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2639176E">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61373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26</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80D0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单位产值蒸汽消耗（互感器-干燥）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5EE1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4D05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Q_steam / G（工序蒸汽消耗量 ÷ 当期产值万元）</w:t>
            </w:r>
          </w:p>
        </w:tc>
      </w:tr>
      <w:tr w14:paraId="4DEC85D6">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23BA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27</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7815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单位产值电耗（互感器-试验）</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D958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411B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5A931C66">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07C4E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28</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B7C0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单位产量电耗（电容器-芯子卷绕）</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AD9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A76C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567F3EAE">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6C41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29</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12D4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单位产量电耗（电容器-真空浸渍）</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38A0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3425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1327289B">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094A7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30</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1798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单位产量电耗（电容器-喷漆）</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C5AB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DA6B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558D3DED">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5877A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31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C6DF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单位产量电耗（电容器-试验）</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0603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58EF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31462A66">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77E275">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32</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7217D0">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单位产值电耗（干式电抗器-固化）</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C0476A">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B4ECC2">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241B050C">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220EA3">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9B4536">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单位产值电耗（干式电抗器-试验）</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FD57191">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kWh/kvar</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16ADB1">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5F28EC75">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C6DB60">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34</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EECC30">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单位产值电耗（GIL-螺旋焊管生产)</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A90F31">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kWh/kvar</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B25AAB">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15CCC7EC">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81D641">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35</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6C585A">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单位产值电耗（GIL-测试)</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EB7992">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kWh/kvar</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92C275">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2ABDB791">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0EDBDF">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36</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4678C3">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单位产值电耗（GIL-绝缘子生产)</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6D6DF36">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kWh/kvar</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ADE027">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7A94EC1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F32723">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37</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60FB439">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单位产值电耗（GIS-抽真空)</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B79BD9">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A8830B">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2ECAB7C4">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85FB07">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38</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013C00">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单位产值电耗（GIS-绝缘件干燥)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D66945">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934D2C">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4E9E413D">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95C4D6">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39</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333B28">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单位产值电耗（GIS-工频耐压试验)</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3C6ACE">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4FF3C2">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10B8A1E3">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10D61A">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40</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95552A">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单位产值电耗（GIS-空调恒温除湿)</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71BF79">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EC1232">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1DAC35C5">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4FD22F">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41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50E242">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单位产量电耗（非晶合金铁心-退火）</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67E580">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40CB57">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M_kVA（工序用电量 ÷ 当期合格产出容量万kVA）</w:t>
            </w:r>
          </w:p>
        </w:tc>
      </w:tr>
      <w:tr w14:paraId="709E25FF">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4148FD">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42</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B2D2EB">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单位产量电耗（硅钢铁心-纵剪）</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A64170">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F0BD0D">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M_kVA（工序用电量 ÷ 当期合格产出容量万kVA）</w:t>
            </w:r>
          </w:p>
        </w:tc>
      </w:tr>
      <w:tr w14:paraId="78AED143">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10134">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43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03B3AD">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单位产量电耗（硅钢铁心-中型叠装）</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28B9CA">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14D197">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M_kVA（工序用电量 ÷ 当期合格产出容量万kVA）</w:t>
            </w:r>
          </w:p>
        </w:tc>
      </w:tr>
      <w:tr w14:paraId="3B39B68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C58770">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44</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08E683D">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单位产量电耗（硅钢铁心-大型叠装）</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4D68CB">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495A11">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M_kVA（工序用电量 ÷ 当期合格产出容量万kVA）</w:t>
            </w:r>
          </w:p>
        </w:tc>
      </w:tr>
    </w:tbl>
    <w:p w14:paraId="78192EC2">
      <w:pPr>
        <w:spacing w:after="60"/>
        <w:rPr>
          <w:rFonts w:hint="eastAsia" w:ascii="宋体" w:hAnsi="宋体" w:eastAsia="宋体" w:cs="宋体"/>
          <w:i w:val="0"/>
          <w:iCs w:val="0"/>
          <w:sz w:val="24"/>
          <w:szCs w:val="24"/>
        </w:rPr>
      </w:pPr>
    </w:p>
    <w:p w14:paraId="3262A9F7">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41"/>
        <w:gridCol w:w="1900"/>
        <w:gridCol w:w="1323"/>
        <w:gridCol w:w="2193"/>
        <w:gridCol w:w="3527"/>
      </w:tblGrid>
      <w:tr w14:paraId="6369A714">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AB032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BAC6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7C66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F2F28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52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102B9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310CB27C">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6C42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1733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指标唯一编码</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087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33B5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7734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全局唯一主键，命名规则 </w:t>
            </w:r>
            <w:r>
              <w:rPr>
                <w:rFonts w:hint="eastAsia" w:ascii="宋体" w:hAnsi="宋体" w:eastAsia="宋体" w:cs="宋体"/>
                <w:b w:val="0"/>
                <w:i w:val="0"/>
                <w:iCs w:val="0"/>
                <w:color w:val="0284C7"/>
                <w:sz w:val="24"/>
                <w:szCs w:val="24"/>
              </w:rPr>
              <w:t xml:space="preserve"> KPI-&lt;DOMAIN&gt;-&lt;SEQ&gt; </w:t>
            </w:r>
          </w:p>
        </w:tc>
      </w:tr>
      <w:tr w14:paraId="6E6B08A9">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B990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C11D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指标标准名称</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1697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902E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AC5B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64 字符，须与指标字典一致</w:t>
            </w:r>
          </w:p>
        </w:tc>
      </w:tr>
      <w:tr w14:paraId="5D743D5E">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421F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593F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指标单位</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C7FF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8689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 / tCO2 / % 等</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A195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必须落在受控单位枚举内</w:t>
            </w:r>
          </w:p>
        </w:tc>
      </w:tr>
      <w:tr w14:paraId="733E656F">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3365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7843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统计周期标签</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2549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FDF0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 / 年</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4F37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月度指标按自然月闭环，年度按自然年闭环</w:t>
            </w:r>
          </w:p>
        </w:tc>
      </w:tr>
      <w:tr w14:paraId="15E92AC8">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AD8E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552C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3CEB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E537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见指标单位</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A9D3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0；空值显示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，不得显示 0 冒充真实值</w:t>
            </w:r>
          </w:p>
        </w:tc>
      </w:tr>
      <w:tr w14:paraId="57CCD4E4">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49F6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04D9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同比变动率</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AC81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C0A6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BD35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(本期 − 去年同期) / 去年同期 × 100%；去年同期为 0 时显示 </w:t>
            </w:r>
            <w:r>
              <w:rPr>
                <w:rFonts w:hint="eastAsia" w:ascii="宋体" w:hAnsi="宋体" w:eastAsia="宋体" w:cs="宋体"/>
                <w:b w:val="0"/>
                <w:i w:val="0"/>
                <w:iCs w:val="0"/>
                <w:color w:val="0284C7"/>
                <w:sz w:val="24"/>
                <w:szCs w:val="24"/>
              </w:rPr>
              <w:t xml:space="preserve"> -- </w:t>
            </w:r>
          </w:p>
        </w:tc>
      </w:tr>
      <w:tr w14:paraId="68B36518">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3BF3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32DB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标杆值 / 基准值</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6697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C0F5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见指标单位</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5042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取自基准管理模块当前生效版本</w:t>
            </w:r>
          </w:p>
        </w:tc>
      </w:tr>
      <w:tr w14:paraId="1CCD9050">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C8F5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E02B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三色状态</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1C81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305D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40AD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优秀（绿）/ 正常（黄）/ 异常（红），由达标系数判定</w:t>
            </w:r>
          </w:p>
        </w:tc>
      </w:tr>
      <w:tr w14:paraId="50EFB726">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F714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B6B1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分子工程物理量</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7E8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0653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 / m³ / t 等</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DE13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展示原始实物量，保留原始采集精度</w:t>
            </w:r>
          </w:p>
        </w:tc>
      </w:tr>
      <w:tr w14:paraId="0BFEA659">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03EC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C198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分母工程物理量</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FE13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3660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 km·mm² / 万元</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AD9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为 0 时单耗安全兜底显示 </w:t>
            </w:r>
            <w:r>
              <w:rPr>
                <w:rFonts w:hint="eastAsia" w:ascii="宋体" w:hAnsi="宋体" w:eastAsia="宋体" w:cs="宋体"/>
                <w:b w:val="0"/>
                <w:i w:val="0"/>
                <w:iCs w:val="0"/>
                <w:color w:val="0284C7"/>
                <w:sz w:val="24"/>
                <w:szCs w:val="24"/>
              </w:rPr>
              <w:t xml:space="preserve"> -- </w:t>
            </w:r>
          </w:p>
        </w:tc>
      </w:tr>
      <w:tr w14:paraId="693BFBDF">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E78E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E806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仪表点位路径</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2FEA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DEF6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3933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w:t>
            </w:r>
            <w:r>
              <w:rPr>
                <w:rFonts w:hint="eastAsia" w:ascii="宋体" w:hAnsi="宋体" w:eastAsia="宋体" w:cs="宋体"/>
                <w:b w:val="0"/>
                <w:i w:val="0"/>
                <w:iCs w:val="0"/>
                <w:color w:val="0284C7"/>
                <w:sz w:val="24"/>
                <w:szCs w:val="24"/>
              </w:rPr>
              <w:t xml:space="preserve"> 园区/车间/设备/点位 </w:t>
            </w:r>
            <w:r>
              <w:rPr>
                <w:rFonts w:hint="eastAsia" w:ascii="宋体" w:hAnsi="宋体" w:eastAsia="宋体" w:cs="宋体"/>
                <w:i w:val="0"/>
                <w:iCs w:val="0"/>
                <w:color w:val="1F2937"/>
                <w:sz w:val="24"/>
                <w:szCs w:val="24"/>
              </w:rPr>
              <w:t>，非空</w:t>
            </w:r>
          </w:p>
        </w:tc>
      </w:tr>
      <w:tr w14:paraId="3FE97B01">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C1E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CA9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折标系数版本号</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627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44D4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74D3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记录本次核算所用折标系数版本，保证可追溯</w:t>
            </w:r>
          </w:p>
        </w:tc>
      </w:tr>
      <w:tr w14:paraId="5D0FB5C3">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0E2D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7266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数据来源系统</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EF44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E0C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336E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 MES / IoT-SCADA / 手工填报</w:t>
            </w:r>
          </w:p>
        </w:tc>
      </w:tr>
      <w:tr w14:paraId="5740F4E7">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D707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6017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组织节点层级</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1A3D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21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252C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 / 二级 / 三级 / 四级</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6651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决定聚合口径（汇总 or 占比重算）</w:t>
            </w:r>
          </w:p>
        </w:tc>
      </w:tr>
    </w:tbl>
    <w:p w14:paraId="0DAC0CDD">
      <w:pPr>
        <w:spacing w:after="60"/>
        <w:rPr>
          <w:rFonts w:hint="eastAsia" w:ascii="宋体" w:hAnsi="宋体" w:eastAsia="宋体" w:cs="宋体"/>
          <w:i w:val="0"/>
          <w:iCs w:val="0"/>
          <w:sz w:val="24"/>
          <w:szCs w:val="24"/>
        </w:rPr>
      </w:pPr>
    </w:p>
    <w:p w14:paraId="41055A08">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核心数学模型与算法公式</w:t>
      </w:r>
    </w:p>
    <w:tbl>
      <w:tblPr>
        <w:tblStyle w:val="38"/>
        <w:tblW w:w="5000" w:type="pct"/>
        <w:jc w:val="center"/>
        <w:tblLayout w:type="autofit"/>
        <w:tblCellMar>
          <w:top w:w="0" w:type="dxa"/>
          <w:left w:w="108" w:type="dxa"/>
          <w:bottom w:w="0" w:type="dxa"/>
          <w:right w:w="108" w:type="dxa"/>
        </w:tblCellMar>
      </w:tblPr>
      <w:tblGrid>
        <w:gridCol w:w="9514"/>
      </w:tblGrid>
      <w:tr w14:paraId="28790CA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7971E6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 = Σ ( E_i × k_i )              综合能源消费量（GB/T 2589-2020 当量值）</w:t>
            </w:r>
          </w:p>
          <w:p w14:paraId="74B316B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 = C_burn + C_grid + C_heat       总碳排放量 = 燃烧 + 购入电 + 购入热</w:t>
            </w:r>
          </w:p>
          <w:p w14:paraId="0C57402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C_grid = Q_grid × EF_grid         购入电力排放 = 外购电量 × 区域电网因子</w:t>
            </w:r>
          </w:p>
          <w:p w14:paraId="1C21CBD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I = C / E                          单位能耗碳排放</w:t>
            </w:r>
          </w:p>
          <w:p w14:paraId="494310C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e_unit = E / M                     单位产品综合能耗（分母按产业隔离）</w:t>
            </w:r>
          </w:p>
          <w:p w14:paraId="47E2F76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R_media = R_j / Σ R_n × 100%     占比类指标：分子分母先加总后再计算占比</w:t>
            </w:r>
          </w:p>
          <w:p w14:paraId="35C6D5A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Ach = 越低越好 ? (Benchmark / Actual) : (Actual / Benchmark)   达标系数</w:t>
            </w:r>
          </w:p>
          <w:p w14:paraId="0B6D956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gapPct = 越低越好 ? ((Actual − Benchmark)/Benchmark×100%) : ((Benchmark − Actual)/Benchmark×100%)</w:t>
            </w:r>
          </w:p>
        </w:tc>
      </w:tr>
    </w:tbl>
    <w:p w14:paraId="63FE70A9">
      <w:pPr>
        <w:spacing w:after="40"/>
        <w:rPr>
          <w:rFonts w:hint="eastAsia" w:ascii="宋体" w:hAnsi="宋体" w:eastAsia="宋体" w:cs="宋体"/>
          <w:i w:val="0"/>
          <w:iCs w:val="0"/>
          <w:sz w:val="24"/>
          <w:szCs w:val="24"/>
        </w:rPr>
      </w:pPr>
    </w:p>
    <w:p w14:paraId="7F4E987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k_i </w:t>
      </w:r>
      <w:r>
        <w:rPr>
          <w:rFonts w:ascii="Times New Roman" w:hAnsi="Times New Roman" w:eastAsia="宋体" w:cs="Times New Roman"/>
          <w:i w:val="0"/>
          <w:color w:val="1F2937"/>
          <w:sz w:val="24"/>
          <w:szCs w:val="24"/>
        </w:rPr>
        <w:t xml:space="preserve"> 为第 i 种能源折标准煤系数（tce/单位）；</w:t>
      </w:r>
      <w:r>
        <w:rPr>
          <w:rFonts w:ascii="Times New Roman" w:hAnsi="Times New Roman" w:eastAsia="宋体" w:cs="Times New Roman"/>
          <w:b w:val="0"/>
          <w:i w:val="0"/>
          <w:color w:val="0284C7"/>
          <w:sz w:val="24"/>
          <w:szCs w:val="24"/>
        </w:rPr>
        <w:t xml:space="preserve"> EF_grid </w:t>
      </w:r>
      <w:r>
        <w:rPr>
          <w:rFonts w:ascii="Times New Roman" w:hAnsi="Times New Roman" w:eastAsia="宋体" w:cs="Times New Roman"/>
          <w:i w:val="0"/>
          <w:color w:val="1F2937"/>
          <w:sz w:val="24"/>
          <w:szCs w:val="24"/>
        </w:rPr>
        <w:t xml:space="preserve"> 为园区所在地省级电网平均排放因子（tCO2/MWh）；</w:t>
      </w:r>
      <w:r>
        <w:rPr>
          <w:rFonts w:ascii="Times New Roman" w:hAnsi="Times New Roman" w:eastAsia="宋体" w:cs="Times New Roman"/>
          <w:b w:val="0"/>
          <w:i w:val="0"/>
          <w:color w:val="0284C7"/>
          <w:sz w:val="24"/>
          <w:szCs w:val="24"/>
        </w:rPr>
        <w:t xml:space="preserve"> Ach ≥ 1.00 </w:t>
      </w:r>
      <w:r>
        <w:rPr>
          <w:rFonts w:ascii="Times New Roman" w:hAnsi="Times New Roman" w:eastAsia="宋体" w:cs="Times New Roman"/>
          <w:i w:val="0"/>
          <w:color w:val="1F2937"/>
          <w:sz w:val="24"/>
          <w:szCs w:val="24"/>
        </w:rPr>
        <w:t xml:space="preserve"> 判定优秀，</w:t>
      </w:r>
      <w:r>
        <w:rPr>
          <w:rFonts w:ascii="Times New Roman" w:hAnsi="Times New Roman" w:eastAsia="宋体" w:cs="Times New Roman"/>
          <w:b w:val="0"/>
          <w:i w:val="0"/>
          <w:color w:val="0284C7"/>
          <w:sz w:val="24"/>
          <w:szCs w:val="24"/>
        </w:rPr>
        <w:t xml:space="preserve"> 0.85 ~ 1.00 </w:t>
      </w:r>
      <w:r>
        <w:rPr>
          <w:rFonts w:ascii="Times New Roman" w:hAnsi="Times New Roman" w:eastAsia="宋体" w:cs="Times New Roman"/>
          <w:i w:val="0"/>
          <w:color w:val="1F2937"/>
          <w:sz w:val="24"/>
          <w:szCs w:val="24"/>
        </w:rPr>
        <w:t xml:space="preserve"> 判定正常，</w:t>
      </w:r>
      <w:r>
        <w:rPr>
          <w:rFonts w:ascii="Times New Roman" w:hAnsi="Times New Roman" w:eastAsia="宋体" w:cs="Times New Roman"/>
          <w:b w:val="0"/>
          <w:i w:val="0"/>
          <w:color w:val="0284C7"/>
          <w:sz w:val="24"/>
          <w:szCs w:val="24"/>
        </w:rPr>
        <w:t xml:space="preserve"> &lt; 0.85 </w:t>
      </w:r>
      <w:r>
        <w:rPr>
          <w:rFonts w:ascii="Times New Roman" w:hAnsi="Times New Roman" w:eastAsia="宋体" w:cs="Times New Roman"/>
          <w:i w:val="0"/>
          <w:color w:val="1F2937"/>
          <w:sz w:val="24"/>
          <w:szCs w:val="24"/>
        </w:rPr>
        <w:t xml:space="preserve"> 判定异常。</w:t>
      </w:r>
    </w:p>
    <w:p w14:paraId="6C293846">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68FC2DA">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聚合口径铁律</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绝对量类指标</w:t>
      </w:r>
      <w:r>
        <w:rPr>
          <w:rFonts w:ascii="Times New Roman" w:hAnsi="Times New Roman" w:eastAsia="宋体" w:cs="Times New Roman"/>
          <w:i w:val="0"/>
          <w:color w:val="1F2937"/>
          <w:sz w:val="24"/>
          <w:szCs w:val="24"/>
        </w:rPr>
        <w:t>（能耗、碳排）按下级工厂数值直接汇总；</w:t>
      </w:r>
      <w:r>
        <w:rPr>
          <w:rFonts w:ascii="Times New Roman" w:hAnsi="Times New Roman" w:eastAsia="宋体" w:cs="Times New Roman"/>
          <w:b/>
          <w:i w:val="0"/>
          <w:color w:val="1E3A8A"/>
          <w:sz w:val="24"/>
          <w:szCs w:val="24"/>
        </w:rPr>
        <w:t>占比类/单耗类指标</w:t>
      </w:r>
      <w:r>
        <w:rPr>
          <w:rFonts w:ascii="Times New Roman" w:hAnsi="Times New Roman" w:eastAsia="宋体" w:cs="Times New Roman"/>
          <w:i w:val="0"/>
          <w:color w:val="1F2937"/>
          <w:sz w:val="24"/>
          <w:szCs w:val="24"/>
        </w:rPr>
        <w:t>必须先汇总分子分母再重新计算，严禁对各下级占比直接求平均。</w:t>
      </w:r>
    </w:p>
    <w:p w14:paraId="24A676AF">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：同比变化以箭头 + 三色表达（绿：下降 / 红：上涨 / 灰：持平）；单位产品指标环比固定为同型号对比。</w:t>
      </w:r>
    </w:p>
    <w:p w14:paraId="6ACE18F2">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三色判定阈值</w:t>
      </w:r>
      <w:r>
        <w:rPr>
          <w:rFonts w:ascii="Times New Roman" w:hAnsi="Times New Roman" w:eastAsia="宋体" w:cs="Times New Roman"/>
          <w:i w:val="0"/>
          <w:color w:val="1F2937"/>
          <w:sz w:val="24"/>
          <w:szCs w:val="24"/>
        </w:rPr>
        <w:t>：达标系数 ≥1.00 优秀，0.85~1.00 正常，&lt;0.85 异常。</w:t>
      </w:r>
    </w:p>
    <w:p w14:paraId="36F305F2">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空值口径</w:t>
      </w:r>
      <w:r>
        <w:rPr>
          <w:rFonts w:ascii="Times New Roman" w:hAnsi="Times New Roman" w:eastAsia="宋体" w:cs="Times New Roman"/>
          <w:i w:val="0"/>
          <w:color w:val="1F2937"/>
          <w:sz w:val="24"/>
          <w:szCs w:val="24"/>
        </w:rPr>
        <w:t xml:space="preserve">：任何无有效数据的指标位统一显示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，并支持悬停查看"数据未上报"说明。</w:t>
      </w:r>
    </w:p>
    <w:p w14:paraId="73DF25F6">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口径留痕</w:t>
      </w:r>
      <w:r>
        <w:rPr>
          <w:rFonts w:ascii="Times New Roman" w:hAnsi="Times New Roman" w:eastAsia="宋体" w:cs="Times New Roman"/>
          <w:i w:val="0"/>
          <w:color w:val="1F2937"/>
          <w:sz w:val="24"/>
          <w:szCs w:val="24"/>
        </w:rPr>
        <w:t>：每张卡片右下角可悬停查看本次核算所用的指标口径版本与折标系数版本。</w:t>
      </w:r>
    </w:p>
    <w:p w14:paraId="5C324A7A">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9EB9B96">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163FC1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除零安全兜底</w:t>
            </w:r>
            <w:r>
              <w:rPr>
                <w:rFonts w:hint="eastAsia" w:ascii="宋体" w:hAnsi="宋体" w:eastAsia="宋体" w:cs="宋体"/>
                <w:i w:val="0"/>
                <w:iCs w:val="0"/>
                <w:color w:val="1F2937"/>
                <w:sz w:val="24"/>
                <w:szCs w:val="24"/>
              </w:rPr>
              <w:t xml:space="preserve">：分母（产量、产值、增加值、总用电量）为 0 时，所有单耗类指标统一显示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 xml:space="preserve">，触发 </w:t>
            </w:r>
            <w:r>
              <w:rPr>
                <w:rFonts w:hint="eastAsia" w:ascii="宋体" w:hAnsi="宋体" w:eastAsia="宋体" w:cs="宋体"/>
                <w:b w:val="0"/>
                <w:i w:val="0"/>
                <w:iCs w:val="0"/>
                <w:color w:val="0284C7"/>
                <w:sz w:val="24"/>
                <w:szCs w:val="24"/>
              </w:rPr>
              <w:t xml:space="preserve"> E_CALC_UNIT_DIV_ZERO_SOFT </w:t>
            </w:r>
            <w:r>
              <w:rPr>
                <w:rFonts w:hint="eastAsia" w:ascii="宋体" w:hAnsi="宋体" w:eastAsia="宋体" w:cs="宋体"/>
                <w:i w:val="0"/>
                <w:iCs w:val="0"/>
                <w:color w:val="1F2937"/>
                <w:sz w:val="24"/>
                <w:szCs w:val="24"/>
              </w:rPr>
              <w:t xml:space="preserve">；严禁抛出 </w:t>
            </w:r>
            <w:r>
              <w:rPr>
                <w:rFonts w:hint="eastAsia" w:ascii="宋体" w:hAnsi="宋体" w:eastAsia="宋体" w:cs="宋体"/>
                <w:b w:val="0"/>
                <w:i w:val="0"/>
                <w:iCs w:val="0"/>
                <w:color w:val="0284C7"/>
                <w:sz w:val="24"/>
                <w:szCs w:val="24"/>
              </w:rPr>
              <w:t xml:space="preserve"> NaN </w:t>
            </w:r>
            <w:r>
              <w:rPr>
                <w:rFonts w:hint="eastAsia" w:ascii="宋体" w:hAnsi="宋体" w:eastAsia="宋体" w:cs="宋体"/>
                <w:i w:val="0"/>
                <w:iCs w:val="0"/>
                <w:color w:val="1F2937"/>
                <w:sz w:val="24"/>
                <w:szCs w:val="24"/>
              </w:rPr>
              <w:t>、</w:t>
            </w:r>
            <w:r>
              <w:rPr>
                <w:rFonts w:hint="eastAsia" w:ascii="宋体" w:hAnsi="宋体" w:eastAsia="宋体" w:cs="宋体"/>
                <w:b w:val="0"/>
                <w:i w:val="0"/>
                <w:iCs w:val="0"/>
                <w:color w:val="0284C7"/>
                <w:sz w:val="24"/>
                <w:szCs w:val="24"/>
              </w:rPr>
              <w:t xml:space="preserve"> Infinity </w:t>
            </w:r>
            <w:r>
              <w:rPr>
                <w:rFonts w:hint="eastAsia" w:ascii="宋体" w:hAnsi="宋体" w:eastAsia="宋体" w:cs="宋体"/>
                <w:i w:val="0"/>
                <w:iCs w:val="0"/>
                <w:color w:val="1F2937"/>
                <w:sz w:val="24"/>
                <w:szCs w:val="24"/>
              </w:rPr>
              <w:t xml:space="preserve"> 或白屏。</w:t>
            </w:r>
          </w:p>
          <w:p w14:paraId="46B9930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产业分母隔离铁律</w:t>
            </w:r>
            <w:r>
              <w:rPr>
                <w:rFonts w:hint="eastAsia" w:ascii="宋体" w:hAnsi="宋体" w:eastAsia="宋体" w:cs="宋体"/>
                <w:i w:val="0"/>
                <w:iCs w:val="0"/>
                <w:color w:val="1F2937"/>
                <w:sz w:val="24"/>
                <w:szCs w:val="24"/>
              </w:rPr>
              <w:t>：变压器与线缆单耗在数据库结构、底层 API 响应、页面表格及导出文件中绝对禁止混编在同一统计列，禁止跨产业直接对比。</w:t>
            </w:r>
          </w:p>
          <w:p w14:paraId="683CA18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无工序单位判空</w:t>
            </w:r>
            <w:r>
              <w:rPr>
                <w:rFonts w:hint="eastAsia" w:ascii="宋体" w:hAnsi="宋体" w:eastAsia="宋体" w:cs="宋体"/>
                <w:i w:val="0"/>
                <w:iCs w:val="0"/>
                <w:color w:val="1F2937"/>
                <w:sz w:val="24"/>
                <w:szCs w:val="24"/>
              </w:rPr>
              <w:t xml:space="preserve">：选中 10 家无工序单位时，工序管控区域整行单行输出"暂无相关工序！"，触发 </w:t>
            </w:r>
            <w:r>
              <w:rPr>
                <w:rFonts w:hint="eastAsia" w:ascii="宋体" w:hAnsi="宋体" w:eastAsia="宋体" w:cs="宋体"/>
                <w:b w:val="0"/>
                <w:i w:val="0"/>
                <w:iCs w:val="0"/>
                <w:color w:val="0284C7"/>
                <w:sz w:val="24"/>
                <w:szCs w:val="24"/>
              </w:rPr>
              <w:t xml:space="preserve"> E_QM_WHITE_LIST_MISS </w:t>
            </w:r>
            <w:r>
              <w:rPr>
                <w:rFonts w:hint="eastAsia" w:ascii="宋体" w:hAnsi="宋体" w:eastAsia="宋体" w:cs="宋体"/>
                <w:i w:val="0"/>
                <w:iCs w:val="0"/>
                <w:color w:val="1F2937"/>
                <w:sz w:val="24"/>
                <w:szCs w:val="24"/>
              </w:rPr>
              <w:t>。</w:t>
            </w:r>
          </w:p>
          <w:p w14:paraId="1714DD6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越权拦截</w:t>
            </w:r>
            <w:r>
              <w:rPr>
                <w:rFonts w:hint="eastAsia" w:ascii="宋体" w:hAnsi="宋体" w:eastAsia="宋体" w:cs="宋体"/>
                <w:i w:val="0"/>
                <w:iCs w:val="0"/>
                <w:color w:val="1F2937"/>
                <w:sz w:val="24"/>
                <w:szCs w:val="24"/>
              </w:rPr>
              <w:t xml:space="preserve">：P3 车间填报员访问集团级指标详情触发 </w:t>
            </w:r>
            <w:r>
              <w:rPr>
                <w:rFonts w:hint="eastAsia" w:ascii="宋体" w:hAnsi="宋体" w:eastAsia="宋体" w:cs="宋体"/>
                <w:b w:val="0"/>
                <w:i w:val="0"/>
                <w:iCs w:val="0"/>
                <w:color w:val="0284C7"/>
                <w:sz w:val="24"/>
                <w:szCs w:val="24"/>
              </w:rPr>
              <w:t xml:space="preserve"> E_AUTH_RBAC_FORBIDDEN </w:t>
            </w:r>
            <w:r>
              <w:rPr>
                <w:rFonts w:hint="eastAsia" w:ascii="宋体" w:hAnsi="宋体" w:eastAsia="宋体" w:cs="宋体"/>
                <w:i w:val="0"/>
                <w:iCs w:val="0"/>
                <w:color w:val="1F2937"/>
                <w:sz w:val="24"/>
                <w:szCs w:val="24"/>
              </w:rPr>
              <w:t>。</w:t>
            </w:r>
          </w:p>
          <w:p w14:paraId="6A36E54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锁账拦截</w:t>
            </w:r>
            <w:r>
              <w:rPr>
                <w:rFonts w:hint="eastAsia" w:ascii="宋体" w:hAnsi="宋体" w:eastAsia="宋体" w:cs="宋体"/>
                <w:i w:val="0"/>
                <w:iCs w:val="0"/>
                <w:color w:val="1F2937"/>
                <w:sz w:val="24"/>
                <w:szCs w:val="24"/>
              </w:rPr>
              <w:t xml:space="preserve">：已关账月度指标详情页禁止触发任何重算动作，触发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w:t>
            </w:r>
          </w:p>
          <w:p w14:paraId="49F8F47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因子过期</w:t>
            </w:r>
            <w:r>
              <w:rPr>
                <w:rFonts w:hint="eastAsia" w:ascii="宋体" w:hAnsi="宋体" w:eastAsia="宋体" w:cs="宋体"/>
                <w:i w:val="0"/>
                <w:iCs w:val="0"/>
                <w:color w:val="1F2937"/>
                <w:sz w:val="24"/>
                <w:szCs w:val="24"/>
              </w:rPr>
              <w:t xml:space="preserve">：指标核算所引用的折标系数或排放因子已过有效期时触发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，卡片标注"因子待升级"。</w:t>
            </w:r>
          </w:p>
        </w:tc>
      </w:tr>
    </w:tbl>
    <w:p w14:paraId="58017EBA">
      <w:pPr>
        <w:spacing w:after="40"/>
        <w:rPr>
          <w:rFonts w:hint="eastAsia" w:ascii="宋体" w:hAnsi="宋体" w:eastAsia="宋体" w:cs="宋体"/>
          <w:i w:val="0"/>
          <w:iCs w:val="0"/>
          <w:sz w:val="24"/>
          <w:szCs w:val="24"/>
        </w:rPr>
      </w:pPr>
    </w:p>
    <w:p w14:paraId="770973B6">
      <w:pPr>
        <w:pStyle w:val="6"/>
        <w:numPr>
          <w:ilvl w:val="0"/>
          <w:numId w:val="28"/>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7774576">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407DC82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指标管控双模穿透与聚合口径</w:t>
            </w:r>
          </w:p>
          <w:p w14:paraId="79D7B84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10 项核心指标聚合口径正确性</w:t>
            </w:r>
          </w:p>
          <w:p w14:paraId="5BE898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一级节点下挂 5 家二级工厂且均已上报能耗与碳排数据</w:t>
            </w:r>
          </w:p>
          <w:p w14:paraId="1BDFAFA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P2 在一级节点查看"综合能源消费量"与"单位能耗碳排放"</w:t>
            </w:r>
          </w:p>
          <w:p w14:paraId="11D0FAF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综合能源消费量等于 5 家工厂数值直接汇总</w:t>
            </w:r>
          </w:p>
          <w:p w14:paraId="4A8F817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单位能耗碳排放等于汇总后的总碳排除以汇总后的总能耗</w:t>
            </w:r>
          </w:p>
          <w:p w14:paraId="7697B2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页面不对 5 家工厂的碳排放强度直接求算术平均</w:t>
            </w:r>
          </w:p>
          <w:p w14:paraId="5330A621">
            <w:pPr>
              <w:spacing w:before="0" w:after="20" w:line="264" w:lineRule="auto"/>
              <w:rPr>
                <w:rFonts w:hint="eastAsia" w:ascii="宋体" w:hAnsi="宋体" w:eastAsia="宋体" w:cs="宋体"/>
                <w:i w:val="0"/>
                <w:iCs w:val="0"/>
                <w:sz w:val="24"/>
                <w:szCs w:val="24"/>
              </w:rPr>
            </w:pPr>
          </w:p>
          <w:p w14:paraId="665CF80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极限除零边界防御</w:t>
            </w:r>
          </w:p>
          <w:p w14:paraId="31714D6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某工厂当月产品产量 M 录入为 0</w:t>
            </w:r>
          </w:p>
          <w:p w14:paraId="638633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系统渲染该工厂"单位产品综合能耗"指标卡片</w:t>
            </w:r>
          </w:p>
          <w:p w14:paraId="415FE62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指标值安全显示为 "--"</w:t>
            </w:r>
          </w:p>
          <w:p w14:paraId="4C001CD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 NaN、Infinity 或白屏</w:t>
            </w:r>
          </w:p>
          <w:p w14:paraId="3266203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后台记录 E_CALC_UNIT_DIV_ZERO_SOFT</w:t>
            </w:r>
          </w:p>
          <w:p w14:paraId="739FC787">
            <w:pPr>
              <w:spacing w:before="0" w:after="20" w:line="264" w:lineRule="auto"/>
              <w:rPr>
                <w:rFonts w:hint="eastAsia" w:ascii="宋体" w:hAnsi="宋体" w:eastAsia="宋体" w:cs="宋体"/>
                <w:i w:val="0"/>
                <w:iCs w:val="0"/>
                <w:sz w:val="24"/>
                <w:szCs w:val="24"/>
              </w:rPr>
            </w:pPr>
          </w:p>
          <w:p w14:paraId="0C80F46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无工序单位精准判空</w:t>
            </w:r>
          </w:p>
          <w:p w14:paraId="57FBFDE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组织树中已选中"沈变智慧能源"等 10 家无工序单位之一</w:t>
            </w:r>
          </w:p>
          <w:p w14:paraId="6F2F428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页面渲染关键制造工序能耗管控区域</w:t>
            </w:r>
          </w:p>
          <w:p w14:paraId="5A2133E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工序区域整行仅输出单行文本 "暂无相关工序！"</w:t>
            </w:r>
          </w:p>
          <w:p w14:paraId="5CAEA78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不出现空白占位卡片</w:t>
            </w:r>
          </w:p>
          <w:p w14:paraId="538AF07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不出现任何解释性说教文案</w:t>
            </w:r>
          </w:p>
          <w:p w14:paraId="5007CF6F">
            <w:pPr>
              <w:spacing w:before="0" w:after="20" w:line="264" w:lineRule="auto"/>
              <w:rPr>
                <w:rFonts w:hint="eastAsia" w:ascii="宋体" w:hAnsi="宋体" w:eastAsia="宋体" w:cs="宋体"/>
                <w:i w:val="0"/>
                <w:iCs w:val="0"/>
                <w:sz w:val="24"/>
                <w:szCs w:val="24"/>
              </w:rPr>
            </w:pPr>
          </w:p>
          <w:p w14:paraId="5B1D1DF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桑基图显示条件</w:t>
            </w:r>
          </w:p>
          <w:p w14:paraId="2A78A20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组织树当前选中节点为二级公司</w:t>
            </w:r>
          </w:p>
          <w:p w14:paraId="09540A3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页面上方渲染数据变化桑基图区域</w:t>
            </w:r>
          </w:p>
          <w:p w14:paraId="132C3F7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桑基图不显示</w:t>
            </w:r>
          </w:p>
          <w:p w14:paraId="39F0355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仅当选中一级节点时桑基图才按所选指标渲染</w:t>
            </w:r>
          </w:p>
          <w:p w14:paraId="39552325">
            <w:pPr>
              <w:spacing w:before="0" w:after="20" w:line="264" w:lineRule="auto"/>
              <w:rPr>
                <w:rFonts w:hint="eastAsia" w:ascii="宋体" w:hAnsi="宋体" w:eastAsia="宋体" w:cs="宋体"/>
                <w:i w:val="0"/>
                <w:iCs w:val="0"/>
                <w:sz w:val="24"/>
                <w:szCs w:val="24"/>
              </w:rPr>
            </w:pPr>
          </w:p>
          <w:p w14:paraId="21D15FA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产业分母隔离铁律</w:t>
            </w:r>
          </w:p>
          <w:p w14:paraId="103195C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报表数据同时包含变压器产业与线缆产业的单位产品能耗</w:t>
            </w:r>
          </w:p>
          <w:p w14:paraId="26A73C0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系统生成指标明细与 Excel 导出文件</w:t>
            </w:r>
          </w:p>
          <w:p w14:paraId="3369925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两类产业的单耗分别以 kVA 口径与 km·mm² 口径独立成列</w:t>
            </w:r>
          </w:p>
          <w:p w14:paraId="37500B4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不存在任何跨产业混算列或跨产业排名</w:t>
            </w:r>
          </w:p>
        </w:tc>
      </w:tr>
    </w:tbl>
    <w:p w14:paraId="25E5EC56">
      <w:pPr>
        <w:spacing w:after="40"/>
        <w:rPr>
          <w:rFonts w:hint="eastAsia" w:ascii="宋体" w:hAnsi="宋体" w:eastAsia="宋体" w:cs="宋体"/>
          <w:i w:val="0"/>
          <w:iCs w:val="0"/>
          <w:sz w:val="24"/>
          <w:szCs w:val="24"/>
        </w:rPr>
      </w:pPr>
    </w:p>
    <w:p w14:paraId="39ABCA67">
      <w:pPr>
        <w:pStyle w:val="5"/>
        <w:numPr>
          <w:ilvl w:val="0"/>
          <w:numId w:val="27"/>
        </w:numPr>
        <w:ind w:left="0" w:leftChars="0" w:firstLine="0" w:firstLineChars="0"/>
        <w:outlineLvl w:val="1"/>
        <w:rPr>
          <w:rFonts w:eastAsia="黑体"/>
          <w:b w:val="0"/>
          <w:bCs w:val="0"/>
          <w:sz w:val="30"/>
          <w:szCs w:val="24"/>
        </w:rPr>
      </w:pPr>
      <w:bookmarkStart w:id="16" w:name="_Toc12727"/>
      <w:r>
        <w:rPr>
          <w:rFonts w:ascii="Times New Roman" w:hAnsi="Times New Roman" w:eastAsia="黑体" w:cs="Times New Roman"/>
          <w:b w:val="0"/>
          <w:bCs w:val="0"/>
          <w:sz w:val="30"/>
          <w:szCs w:val="24"/>
        </w:rPr>
        <w:t>数据变化详情</w:t>
      </w:r>
      <w:bookmarkEnd w:id="16"/>
    </w:p>
    <w:p w14:paraId="18174114">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drawing>
          <wp:inline distT="0" distB="0" distL="114300" distR="114300">
            <wp:extent cx="5900420" cy="2925445"/>
            <wp:effectExtent l="0" t="0" r="5080" b="8255"/>
            <wp:docPr id="6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7"/>
                    <pic:cNvPicPr>
                      <a:picLocks noChangeAspect="1"/>
                    </pic:cNvPicPr>
                  </pic:nvPicPr>
                  <pic:blipFill>
                    <a:blip r:embed="rId25"/>
                    <a:stretch>
                      <a:fillRect/>
                    </a:stretch>
                  </pic:blipFill>
                  <pic:spPr>
                    <a:xfrm>
                      <a:off x="0" y="0"/>
                      <a:ext cx="5900420" cy="2925445"/>
                    </a:xfrm>
                    <a:prstGeom prst="rect">
                      <a:avLst/>
                    </a:prstGeom>
                    <a:noFill/>
                    <a:ln>
                      <a:noFill/>
                    </a:ln>
                  </pic:spPr>
                </pic:pic>
              </a:graphicData>
            </a:graphic>
          </wp:inline>
        </w:drawing>
      </w:r>
    </w:p>
    <w:p w14:paraId="1095198B">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30D184E">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：指标管控 Mode B 的落地载体，以侧滑抽屉形态承载单一指标的完整证据链，实现"从数值到台账"的无损穿透。</w:t>
      </w:r>
    </w:p>
    <w:p w14:paraId="4B1F2021">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园区能碳专员；P6 外部审计机构（只读）。</w:t>
      </w:r>
    </w:p>
    <w:p w14:paraId="1547571A">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/monitor/indicators/detail/:kpiCode </w:t>
      </w:r>
      <w:r>
        <w:rPr>
          <w:rFonts w:ascii="Times New Roman" w:hAnsi="Times New Roman" w:eastAsia="宋体" w:cs="Times New Roman"/>
          <w:i w:val="0"/>
          <w:color w:val="1F2937"/>
          <w:sz w:val="24"/>
          <w:szCs w:val="24"/>
        </w:rPr>
        <w:t>（亦可由 Mode A 卡片点击侧滑唤起）。</w:t>
      </w:r>
    </w:p>
    <w:p w14:paraId="35630F6E">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：指标字典、折标系数版本库、数仓链路元数据、底层仪表遥测台账。</w:t>
      </w:r>
    </w:p>
    <w:p w14:paraId="5079B9B7">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：Excel 明细导出文件；指标口径说明引用。</w:t>
      </w:r>
    </w:p>
    <w:p w14:paraId="4C26AF8F">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2402FD90">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：能碳专员发现某园区单位产值能耗异常上涨后，需在 3 分钟内确认该数值由哪些表计、哪些凭证、哪些折标系数计算得出，并判定是统计口径问题还是真实能耗恶化。</w:t>
      </w:r>
    </w:p>
    <w:p w14:paraId="68E95F6D">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6D823D7">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77A03457">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在指标详情抽屉中查看数学核算模型、数仓链路与仪表点位、12 个月走势图与底层抄表台账，并一键导出明细</w:t>
      </w:r>
      <w:r>
        <w:rPr>
          <w:rFonts w:ascii="Times New Roman" w:hAnsi="Times New Roman" w:eastAsia="宋体" w:cs="Times New Roman"/>
          <w:i w:val="0"/>
          <w:color w:val="1F2937"/>
          <w:sz w:val="24"/>
          <w:szCs w:val="24"/>
        </w:rPr>
        <w:t>，</w:t>
      </w:r>
    </w:p>
    <w:p w14:paraId="40C3365F">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我能形成经得起审计追溯的能耗异常归因证据</w:t>
      </w:r>
      <w:r>
        <w:rPr>
          <w:rFonts w:ascii="Times New Roman" w:hAnsi="Times New Roman" w:eastAsia="宋体" w:cs="Times New Roman"/>
          <w:i w:val="0"/>
          <w:color w:val="1F2937"/>
          <w:sz w:val="24"/>
          <w:szCs w:val="24"/>
        </w:rPr>
        <w:t>。</w:t>
      </w:r>
    </w:p>
    <w:p w14:paraId="2AE4547B">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4DDB4D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抽屉六大功能区块：</w:t>
      </w:r>
    </w:p>
    <w:tbl>
      <w:tblPr>
        <w:tblStyle w:val="38"/>
        <w:tblW w:w="9784" w:type="dxa"/>
        <w:jc w:val="center"/>
        <w:tblLayout w:type="autofit"/>
        <w:tblCellMar>
          <w:top w:w="0" w:type="dxa"/>
          <w:left w:w="108" w:type="dxa"/>
          <w:bottom w:w="0" w:type="dxa"/>
          <w:right w:w="108" w:type="dxa"/>
        </w:tblCellMar>
      </w:tblPr>
      <w:tblGrid>
        <w:gridCol w:w="1896"/>
        <w:gridCol w:w="3729"/>
        <w:gridCol w:w="4159"/>
      </w:tblGrid>
      <w:tr w14:paraId="132FCD1C">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BCC02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区块</w:t>
            </w:r>
          </w:p>
        </w:tc>
        <w:tc>
          <w:tcPr>
            <w:tcW w:w="372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E399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内容</w:t>
            </w:r>
          </w:p>
        </w:tc>
        <w:tc>
          <w:tcPr>
            <w:tcW w:w="415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4FE0E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交互</w:t>
            </w:r>
          </w:p>
        </w:tc>
      </w:tr>
      <w:tr w14:paraId="46D59D7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7DF4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指标物理定义</w:t>
            </w:r>
          </w:p>
        </w:tc>
        <w:tc>
          <w:tcPr>
            <w:tcW w:w="37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92BB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显示当前指标的标准物理定义与业务释义</w:t>
            </w:r>
          </w:p>
        </w:tc>
        <w:tc>
          <w:tcPr>
            <w:tcW w:w="41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B75B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只读，支持复制</w:t>
            </w:r>
          </w:p>
        </w:tc>
      </w:tr>
      <w:tr w14:paraId="77EAE42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787B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数学核算模型</w:t>
            </w:r>
          </w:p>
        </w:tc>
        <w:tc>
          <w:tcPr>
            <w:tcW w:w="37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43DE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分子、分母、折标系数公式与变量中文释义</w:t>
            </w:r>
          </w:p>
        </w:tc>
        <w:tc>
          <w:tcPr>
            <w:tcW w:w="41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0E86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公式卡片渲染，变量可悬停查看取值</w:t>
            </w:r>
          </w:p>
        </w:tc>
      </w:tr>
      <w:tr w14:paraId="2D31D4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DC74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数仓链路与点位</w:t>
            </w:r>
          </w:p>
        </w:tc>
        <w:tc>
          <w:tcPr>
            <w:tcW w:w="37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A598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凭证、MES 报工、IoT SCADA 电表/流量计点位物理链路</w:t>
            </w:r>
          </w:p>
        </w:tc>
        <w:tc>
          <w:tcPr>
            <w:tcW w:w="41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3834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链路节点可点击跳转至原始台账</w:t>
            </w:r>
          </w:p>
        </w:tc>
      </w:tr>
      <w:tr w14:paraId="77D4EA7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FFE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时序走势图</w:t>
            </w:r>
          </w:p>
        </w:tc>
        <w:tc>
          <w:tcPr>
            <w:tcW w:w="37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C236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 个月高对比度面积折线图，自动标注历史极值</w:t>
            </w:r>
          </w:p>
        </w:tc>
        <w:tc>
          <w:tcPr>
            <w:tcW w:w="41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D2FA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游标微透科技蓝；极值点自动挂标签</w:t>
            </w:r>
          </w:p>
        </w:tc>
      </w:tr>
      <w:tr w14:paraId="23BA3C4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A0BA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因子说明</w:t>
            </w:r>
          </w:p>
        </w:tc>
        <w:tc>
          <w:tcPr>
            <w:tcW w:w="37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AC5E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显示公式所涉及因子的数值与版本</w:t>
            </w:r>
          </w:p>
        </w:tc>
        <w:tc>
          <w:tcPr>
            <w:tcW w:w="41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CAEC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一级节点不显示具体因子数值；二级节点显示公司所在地排放因子参数</w:t>
            </w:r>
          </w:p>
        </w:tc>
      </w:tr>
      <w:tr w14:paraId="4E3F055A">
        <w:tblPrEx>
          <w:tblCellMar>
            <w:top w:w="0" w:type="dxa"/>
            <w:left w:w="108" w:type="dxa"/>
            <w:bottom w:w="0" w:type="dxa"/>
            <w:right w:w="108" w:type="dxa"/>
          </w:tblCellMar>
        </w:tblPrEx>
        <w:trPr>
          <w:jc w:val="center"/>
        </w:trPr>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F8F1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底层仪表抄表台账</w:t>
            </w:r>
          </w:p>
        </w:tc>
        <w:tc>
          <w:tcPr>
            <w:tcW w:w="37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FD8F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历史监测数据明细</w:t>
            </w:r>
          </w:p>
        </w:tc>
        <w:tc>
          <w:tcPr>
            <w:tcW w:w="41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2717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支持分页、按时间排序、导出 Excel</w:t>
            </w:r>
          </w:p>
        </w:tc>
      </w:tr>
    </w:tbl>
    <w:p w14:paraId="0BCF6153">
      <w:pPr>
        <w:spacing w:after="60"/>
        <w:rPr>
          <w:rFonts w:hint="eastAsia" w:ascii="宋体" w:hAnsi="宋体" w:eastAsia="宋体" w:cs="宋体"/>
          <w:i w:val="0"/>
          <w:iCs w:val="0"/>
          <w:sz w:val="24"/>
          <w:szCs w:val="24"/>
        </w:rPr>
      </w:pPr>
    </w:p>
    <w:p w14:paraId="403086A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关键交互规则：</w:t>
      </w:r>
    </w:p>
    <w:p w14:paraId="48AE3240">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抽屉从右侧滑入，宽度占屏 45%，Mode A 内容自动左移不遮挡。</w:t>
      </w:r>
    </w:p>
    <w:p w14:paraId="6C6C521F">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因子说明按组织层级差异化：</w:t>
      </w:r>
      <w:r>
        <w:rPr>
          <w:rFonts w:ascii="Times New Roman" w:hAnsi="Times New Roman" w:eastAsia="宋体" w:cs="Times New Roman"/>
          <w:b/>
          <w:i w:val="0"/>
          <w:color w:val="1E3A8A"/>
          <w:sz w:val="24"/>
          <w:szCs w:val="24"/>
        </w:rPr>
        <w:t>一级节点不显示单位因子具体数值</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二级节点显示公司所在地排放因子参数</w:t>
      </w:r>
      <w:r>
        <w:rPr>
          <w:rFonts w:ascii="Times New Roman" w:hAnsi="Times New Roman" w:eastAsia="宋体" w:cs="Times New Roman"/>
          <w:i w:val="0"/>
          <w:color w:val="1F2937"/>
          <w:sz w:val="24"/>
          <w:szCs w:val="24"/>
        </w:rPr>
        <w:t>。</w:t>
      </w:r>
    </w:p>
    <w:p w14:paraId="49D20659">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趋势图默认展示近 12 个月，可切换至 24 / 36 个月；无数据月份保持断层不插值。</w:t>
      </w:r>
    </w:p>
    <w:p w14:paraId="32C41889">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数据明细展示计算公式中的分子、分母、计算指标、环比和同比数据；点击导出后可将明细数据导出为 Excel 文件；字段信息与数据来源见附录 F。</w:t>
      </w:r>
    </w:p>
    <w:p w14:paraId="22E25536">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74"/>
        <w:gridCol w:w="1900"/>
        <w:gridCol w:w="1356"/>
        <w:gridCol w:w="1672"/>
        <w:gridCol w:w="3982"/>
      </w:tblGrid>
      <w:tr w14:paraId="747334E8">
        <w:tblPrEx>
          <w:tblCellMar>
            <w:top w:w="0" w:type="dxa"/>
            <w:left w:w="108" w:type="dxa"/>
            <w:bottom w:w="0" w:type="dxa"/>
            <w:right w:w="108" w:type="dxa"/>
          </w:tblCellMar>
        </w:tblPrEx>
        <w:trPr>
          <w:tblHeade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533C2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B1FF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9AC28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6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DE5AB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9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D233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85FFEA9">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EDA5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715D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指标编码</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744D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5B3C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BE48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 Mode A 卡片一一对应，非空</w:t>
            </w:r>
          </w:p>
        </w:tc>
      </w:tr>
      <w:tr w14:paraId="1A53E5BC">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8C4C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1B67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指标物理定义</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A9D5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6E76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954A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非空，引用指标字典标准释义</w:t>
            </w:r>
          </w:p>
        </w:tc>
      </w:tr>
      <w:tr w14:paraId="27515DD6">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E60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FCC3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核算公式表达式</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8021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C0F0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CA07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引用《"双中心"项目能碳管控指标体系 V1.5》标准公式</w:t>
            </w:r>
          </w:p>
        </w:tc>
      </w:tr>
      <w:tr w14:paraId="25A94539">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199A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A688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公式变量释义</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4D55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B4B7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65E4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描述信息中显示公式中计算指标参数含义</w:t>
            </w:r>
          </w:p>
        </w:tc>
      </w:tr>
      <w:tr w14:paraId="7E858D73">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5956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A52B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分子数值</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3389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E408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实物单位</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7411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保留原始采集精度，不得四舍五入后展示</w:t>
            </w:r>
          </w:p>
        </w:tc>
      </w:tr>
      <w:tr w14:paraId="103FA026">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810F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E461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分母数值</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30D1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008D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实物单位</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990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为 0 时整个单耗显示 </w:t>
            </w:r>
            <w:r>
              <w:rPr>
                <w:rFonts w:hint="eastAsia" w:ascii="宋体" w:hAnsi="宋体" w:eastAsia="宋体" w:cs="宋体"/>
                <w:b w:val="0"/>
                <w:i w:val="0"/>
                <w:iCs w:val="0"/>
                <w:color w:val="0284C7"/>
                <w:sz w:val="24"/>
                <w:szCs w:val="24"/>
              </w:rPr>
              <w:t xml:space="preserve"> -- </w:t>
            </w:r>
          </w:p>
        </w:tc>
      </w:tr>
      <w:tr w14:paraId="448CC2FF">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0E95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7696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本期值</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A01E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6583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见指标单位</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8F2E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0，空值 </w:t>
            </w:r>
            <w:r>
              <w:rPr>
                <w:rFonts w:hint="eastAsia" w:ascii="宋体" w:hAnsi="宋体" w:eastAsia="宋体" w:cs="宋体"/>
                <w:b w:val="0"/>
                <w:i w:val="0"/>
                <w:iCs w:val="0"/>
                <w:color w:val="0284C7"/>
                <w:sz w:val="24"/>
                <w:szCs w:val="24"/>
              </w:rPr>
              <w:t xml:space="preserve"> -- </w:t>
            </w:r>
          </w:p>
        </w:tc>
      </w:tr>
      <w:tr w14:paraId="2385DA97">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D6D9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70C2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环比变动率</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086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168B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B90D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 − 上期) / 上期 × 100%</w:t>
            </w:r>
          </w:p>
        </w:tc>
      </w:tr>
      <w:tr w14:paraId="1A38C43F">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84F1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C94C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同比变动率</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4559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CA46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47C3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 − 去年同期) / 去年同期 × 100%</w:t>
            </w:r>
          </w:p>
        </w:tc>
      </w:tr>
      <w:tr w14:paraId="64765E59">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B80D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C274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折标系数值</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BBC0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E0E8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tce/单位</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5A7D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注明版本号与依据标准</w:t>
            </w:r>
          </w:p>
        </w:tc>
      </w:tr>
      <w:tr w14:paraId="1B5E1EC0">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F474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B283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排放因子值</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27C6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118F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tCO2/MWh</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0102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一级节点隐藏、二级节点显示所在地取值</w:t>
            </w:r>
          </w:p>
        </w:tc>
      </w:tr>
      <w:tr w14:paraId="6C33CC44">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CC7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2735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点位物理链路</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CF63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3A30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A0F0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w:t>
            </w:r>
            <w:r>
              <w:rPr>
                <w:rFonts w:hint="eastAsia" w:ascii="宋体" w:hAnsi="宋体" w:eastAsia="宋体" w:cs="宋体"/>
                <w:b w:val="0"/>
                <w:i w:val="0"/>
                <w:iCs w:val="0"/>
                <w:color w:val="0284C7"/>
                <w:sz w:val="24"/>
                <w:szCs w:val="24"/>
              </w:rPr>
              <w:t xml:space="preserve"> &lt;系统&gt;/&lt;单据号&gt;/&lt;表计编码&gt;/&lt;寄存器&gt; </w:t>
            </w:r>
          </w:p>
        </w:tc>
      </w:tr>
      <w:tr w14:paraId="64BAC45D">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B866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0FD6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台账采集时间戳</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F94A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DateTime</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A855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A1F9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非空，不得晚于当前服务器时间</w:t>
            </w:r>
          </w:p>
        </w:tc>
      </w:tr>
      <w:tr w14:paraId="63CF479F">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C52B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1920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历史极值标记</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304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87E2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35D6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最大值 / 最小值 / 无，由系统自动标注</w:t>
            </w:r>
          </w:p>
        </w:tc>
      </w:tr>
    </w:tbl>
    <w:p w14:paraId="2083010B">
      <w:pPr>
        <w:spacing w:after="60"/>
        <w:rPr>
          <w:rFonts w:hint="eastAsia" w:ascii="宋体" w:hAnsi="宋体" w:eastAsia="宋体" w:cs="宋体"/>
          <w:i w:val="0"/>
          <w:iCs w:val="0"/>
          <w:sz w:val="24"/>
          <w:szCs w:val="24"/>
        </w:rPr>
      </w:pPr>
    </w:p>
    <w:p w14:paraId="5D69EEAB">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471A60F9">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6CC638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Value_kpi = Numerator / Denominator               指标值 = 分子 / 分母</w:t>
            </w:r>
          </w:p>
          <w:p w14:paraId="30A255F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V_t - V_{t-1} ) / V_{t-1} × 100%         环比变动率</w:t>
            </w:r>
          </w:p>
          <w:p w14:paraId="22CA340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V_t - V_{t-12} ) / V_{t-12} × 100%       同比变动率</w:t>
            </w:r>
          </w:p>
          <w:p w14:paraId="4F8264C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Max_flag = ( V_t == MAX( V_{t-11..t} ) )          历史极值自动标注</w:t>
            </w:r>
          </w:p>
        </w:tc>
      </w:tr>
    </w:tbl>
    <w:p w14:paraId="41D72771">
      <w:pPr>
        <w:spacing w:after="40"/>
        <w:rPr>
          <w:rFonts w:hint="eastAsia" w:ascii="宋体" w:hAnsi="宋体" w:eastAsia="宋体" w:cs="宋体"/>
          <w:i w:val="0"/>
          <w:iCs w:val="0"/>
          <w:sz w:val="24"/>
          <w:szCs w:val="24"/>
        </w:rPr>
      </w:pPr>
    </w:p>
    <w:p w14:paraId="536EF13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Numerator </w:t>
      </w:r>
      <w:r>
        <w:rPr>
          <w:rFonts w:ascii="Times New Roman" w:hAnsi="Times New Roman" w:eastAsia="宋体" w:cs="Times New Roman"/>
          <w:i w:val="0"/>
          <w:color w:val="1F2937"/>
          <w:sz w:val="24"/>
          <w:szCs w:val="24"/>
        </w:rPr>
        <w:t xml:space="preserve"> 与 </w:t>
      </w:r>
      <w:r>
        <w:rPr>
          <w:rFonts w:ascii="Times New Roman" w:hAnsi="Times New Roman" w:eastAsia="宋体" w:cs="Times New Roman"/>
          <w:b w:val="0"/>
          <w:i w:val="0"/>
          <w:color w:val="0284C7"/>
          <w:sz w:val="24"/>
          <w:szCs w:val="24"/>
        </w:rPr>
        <w:t xml:space="preserve"> Denominator </w:t>
      </w:r>
      <w:r>
        <w:rPr>
          <w:rFonts w:ascii="Times New Roman" w:hAnsi="Times New Roman" w:eastAsia="宋体" w:cs="Times New Roman"/>
          <w:i w:val="0"/>
          <w:color w:val="1F2937"/>
          <w:sz w:val="24"/>
          <w:szCs w:val="24"/>
        </w:rPr>
        <w:t xml:space="preserve"> 分别对应指标的分子与分母工程物理量；</w:t>
      </w:r>
      <w:r>
        <w:rPr>
          <w:rFonts w:ascii="Times New Roman" w:hAnsi="Times New Roman" w:eastAsia="宋体" w:cs="Times New Roman"/>
          <w:b w:val="0"/>
          <w:i w:val="0"/>
          <w:color w:val="0284C7"/>
          <w:sz w:val="24"/>
          <w:szCs w:val="24"/>
        </w:rPr>
        <w:t xml:space="preserve"> V_{t-1} </w:t>
      </w:r>
      <w:r>
        <w:rPr>
          <w:rFonts w:ascii="Times New Roman" w:hAnsi="Times New Roman" w:eastAsia="宋体" w:cs="Times New Roman"/>
          <w:i w:val="0"/>
          <w:color w:val="1F2937"/>
          <w:sz w:val="24"/>
          <w:szCs w:val="24"/>
        </w:rPr>
        <w:t xml:space="preserve"> 为上月同期值，</w:t>
      </w:r>
      <w:r>
        <w:rPr>
          <w:rFonts w:ascii="Times New Roman" w:hAnsi="Times New Roman" w:eastAsia="宋体" w:cs="Times New Roman"/>
          <w:b w:val="0"/>
          <w:i w:val="0"/>
          <w:color w:val="0284C7"/>
          <w:sz w:val="24"/>
          <w:szCs w:val="24"/>
        </w:rPr>
        <w:t xml:space="preserve"> V_{t-12} </w:t>
      </w:r>
      <w:r>
        <w:rPr>
          <w:rFonts w:ascii="Times New Roman" w:hAnsi="Times New Roman" w:eastAsia="宋体" w:cs="Times New Roman"/>
          <w:i w:val="0"/>
          <w:color w:val="1F2937"/>
          <w:sz w:val="24"/>
          <w:szCs w:val="24"/>
        </w:rPr>
        <w:t xml:space="preserve"> 为去年同月值；任一基准值为 0 时对应变动率显示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w:t>
      </w:r>
    </w:p>
    <w:p w14:paraId="51AFB0CB">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A70BD28">
      <w:pPr>
        <w:pStyle w:val="19"/>
        <w:widowControl/>
        <w:numPr>
          <w:ilvl w:val="0"/>
          <w:numId w:val="4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趋势图数值轴起点固定为 0，禁止截断纵轴放大波动。</w:t>
      </w:r>
    </w:p>
    <w:p w14:paraId="0E999AB7">
      <w:pPr>
        <w:pStyle w:val="19"/>
        <w:widowControl/>
        <w:numPr>
          <w:ilvl w:val="0"/>
          <w:numId w:val="4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明细表支持按组织（集团/产业/二级公司/车间）与时间维度自由切换，切换后榜单与趋势同步刷新。</w:t>
      </w:r>
    </w:p>
    <w:p w14:paraId="09F21085">
      <w:pPr>
        <w:pStyle w:val="19"/>
        <w:widowControl/>
        <w:numPr>
          <w:ilvl w:val="0"/>
          <w:numId w:val="4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导出字段顺序固定为：组织、统计周期、分子、分母、指标值、环比、同比、数据来源、采集时间戳。</w:t>
      </w:r>
    </w:p>
    <w:p w14:paraId="2E8F94D2">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1383B54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581EEA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无历史数据月份趋势图保持真实断层，严禁用插值或 0 值填补。</w:t>
            </w:r>
          </w:p>
          <w:p w14:paraId="007061B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折标系数版本缺失时触发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，明细行标注"系数待升级"并禁止导出该行。</w:t>
            </w:r>
          </w:p>
          <w:p w14:paraId="4048E95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P6 外部审计机构仅可查看与其认证报告关联的指标明细，访问其他指标触发 </w:t>
            </w:r>
            <w:r>
              <w:rPr>
                <w:rFonts w:hint="eastAsia" w:ascii="宋体" w:hAnsi="宋体" w:eastAsia="宋体" w:cs="宋体"/>
                <w:b w:val="0"/>
                <w:i w:val="0"/>
                <w:iCs w:val="0"/>
                <w:color w:val="0284C7"/>
                <w:sz w:val="24"/>
                <w:szCs w:val="24"/>
              </w:rPr>
              <w:t xml:space="preserve"> E_AUTH_RBAC_FORBIDDEN </w:t>
            </w:r>
            <w:r>
              <w:rPr>
                <w:rFonts w:hint="eastAsia" w:ascii="宋体" w:hAnsi="宋体" w:eastAsia="宋体" w:cs="宋体"/>
                <w:i w:val="0"/>
                <w:iCs w:val="0"/>
                <w:color w:val="1F2937"/>
                <w:sz w:val="24"/>
                <w:szCs w:val="24"/>
              </w:rPr>
              <w:t>。</w:t>
            </w:r>
          </w:p>
          <w:p w14:paraId="4B079A7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明细导出强制注入防伪动态水印（员工号、姓名、时间戳、哈希校验码）。</w:t>
            </w:r>
          </w:p>
        </w:tc>
      </w:tr>
    </w:tbl>
    <w:p w14:paraId="5C1FAC84">
      <w:pPr>
        <w:spacing w:after="40"/>
        <w:rPr>
          <w:rFonts w:hint="eastAsia" w:ascii="宋体" w:hAnsi="宋体" w:eastAsia="宋体" w:cs="宋体"/>
          <w:i w:val="0"/>
          <w:iCs w:val="0"/>
          <w:sz w:val="24"/>
          <w:szCs w:val="24"/>
        </w:rPr>
      </w:pPr>
    </w:p>
    <w:p w14:paraId="423E3F69">
      <w:pPr>
        <w:pStyle w:val="6"/>
        <w:numPr>
          <w:ilvl w:val="0"/>
          <w:numId w:val="38"/>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5FB99B9B">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3457A6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指标详情抽屉与证据链穿透</w:t>
            </w:r>
          </w:p>
          <w:p w14:paraId="038CF41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抽屉完整体现六大区块</w:t>
            </w:r>
          </w:p>
          <w:p w14:paraId="43FE969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P2 已在指标管控 Mode A 视图中</w:t>
            </w:r>
          </w:p>
          <w:p w14:paraId="51E2B3C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点击任意一张指标卡片</w:t>
            </w:r>
          </w:p>
          <w:p w14:paraId="70DE7C7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右侧滑出详情抽屉且宽度占屏 45%</w:t>
            </w:r>
          </w:p>
          <w:p w14:paraId="01A5DC4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抽屉内依次呈现指标物理定义、数学核算模型、数仓链路与点位、时序走势图、因子说明、底层仪表抄表台账</w:t>
            </w:r>
          </w:p>
          <w:p w14:paraId="35B0A02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Mode A 内容左移且不被抽屉遮挡</w:t>
            </w:r>
          </w:p>
          <w:p w14:paraId="4333B9C2">
            <w:pPr>
              <w:spacing w:before="0" w:after="20" w:line="264" w:lineRule="auto"/>
              <w:rPr>
                <w:rFonts w:hint="eastAsia" w:ascii="宋体" w:hAnsi="宋体" w:eastAsia="宋体" w:cs="宋体"/>
                <w:i w:val="0"/>
                <w:iCs w:val="0"/>
                <w:sz w:val="24"/>
                <w:szCs w:val="24"/>
              </w:rPr>
            </w:pPr>
          </w:p>
          <w:p w14:paraId="0C3F64B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因子说明按层级差异化展示</w:t>
            </w:r>
          </w:p>
          <w:p w14:paraId="0750D8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当前组织树选中节点分别为一级节点与二级节点</w:t>
            </w:r>
          </w:p>
          <w:p w14:paraId="260C35C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分别打开同一指标的详情抽屉</w:t>
            </w:r>
          </w:p>
          <w:p w14:paraId="498C4AE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一级节点不显示单位因子具体数值</w:t>
            </w:r>
          </w:p>
          <w:p w14:paraId="4B00EB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二级节点显示公司所在地排放因子参数</w:t>
            </w:r>
          </w:p>
          <w:p w14:paraId="76577FD4">
            <w:pPr>
              <w:spacing w:before="0" w:after="20" w:line="264" w:lineRule="auto"/>
              <w:rPr>
                <w:rFonts w:hint="eastAsia" w:ascii="宋体" w:hAnsi="宋体" w:eastAsia="宋体" w:cs="宋体"/>
                <w:i w:val="0"/>
                <w:iCs w:val="0"/>
                <w:sz w:val="24"/>
                <w:szCs w:val="24"/>
              </w:rPr>
            </w:pPr>
          </w:p>
          <w:p w14:paraId="5C550FF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趋势图断层不插值</w:t>
            </w:r>
          </w:p>
          <w:p w14:paraId="1C49D4D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某指标在近 12 个月中有 2 个月无上报数据</w:t>
            </w:r>
          </w:p>
          <w:p w14:paraId="12969BF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渲染时序走势图</w:t>
            </w:r>
          </w:p>
          <w:p w14:paraId="491270C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缺失月份保持真实断层</w:t>
            </w:r>
          </w:p>
          <w:p w14:paraId="2098163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不出现插值填充或 0 值替代</w:t>
            </w:r>
          </w:p>
        </w:tc>
      </w:tr>
    </w:tbl>
    <w:p w14:paraId="0BCD488F">
      <w:pPr>
        <w:spacing w:after="40"/>
        <w:rPr>
          <w:rFonts w:hint="eastAsia" w:ascii="宋体" w:hAnsi="宋体" w:eastAsia="宋体" w:cs="宋体"/>
          <w:i w:val="0"/>
          <w:iCs w:val="0"/>
          <w:sz w:val="24"/>
          <w:szCs w:val="24"/>
        </w:rPr>
      </w:pPr>
    </w:p>
    <w:p w14:paraId="00877BD5">
      <w:pPr>
        <w:pStyle w:val="5"/>
        <w:numPr>
          <w:ilvl w:val="0"/>
          <w:numId w:val="27"/>
        </w:numPr>
        <w:ind w:left="0" w:leftChars="0" w:firstLine="0" w:firstLineChars="0"/>
        <w:outlineLvl w:val="1"/>
        <w:rPr>
          <w:rFonts w:eastAsia="黑体"/>
          <w:b w:val="0"/>
          <w:bCs w:val="0"/>
          <w:sz w:val="30"/>
          <w:szCs w:val="24"/>
        </w:rPr>
      </w:pPr>
      <w:bookmarkStart w:id="17" w:name="_Toc20975"/>
      <w:r>
        <w:rPr>
          <w:rFonts w:ascii="Times New Roman" w:hAnsi="Times New Roman" w:eastAsia="黑体" w:cs="Times New Roman"/>
          <w:b w:val="0"/>
          <w:bCs w:val="0"/>
          <w:sz w:val="30"/>
          <w:szCs w:val="24"/>
        </w:rPr>
        <w:t>用能监测</w:t>
      </w:r>
      <w:bookmarkEnd w:id="17"/>
    </w:p>
    <w:p w14:paraId="633F4BE0">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26"/>
                    <a:stretch>
                      <a:fillRect/>
                    </a:stretch>
                  </pic:blipFill>
                  <pic:spPr>
                    <a:xfrm>
                      <a:off x="0" y="0"/>
                      <a:ext cx="5900420" cy="2925445"/>
                    </a:xfrm>
                    <a:prstGeom prst="rect">
                      <a:avLst/>
                    </a:prstGeom>
                    <a:noFill/>
                    <a:ln>
                      <a:noFill/>
                    </a:ln>
                  </pic:spPr>
                </pic:pic>
              </a:graphicData>
            </a:graphic>
          </wp:inline>
        </w:drawing>
      </w:r>
    </w:p>
    <w:p w14:paraId="2DFAB928">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AB4B7A2">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：全集团 8 大能源介质的实时用量、逐时负荷曲线与分时峰平谷结构监测底座，是指标管控、能耗能效分析与统计报表的原始数据源头。</w:t>
      </w:r>
    </w:p>
    <w:p w14:paraId="68C2F176">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园区能碳专员（主视角）、P3 车间填报员（数据核对视角）。</w:t>
      </w:r>
    </w:p>
    <w:p w14:paraId="480D265A">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/monitor/energy/online </w:t>
      </w:r>
      <w:r>
        <w:rPr>
          <w:rFonts w:ascii="Times New Roman" w:hAnsi="Times New Roman" w:eastAsia="宋体" w:cs="Times New Roman"/>
          <w:i w:val="0"/>
          <w:color w:val="1F2937"/>
          <w:sz w:val="24"/>
          <w:szCs w:val="24"/>
        </w:rPr>
        <w:t xml:space="preserve">；子 TAB 路由 </w:t>
      </w:r>
      <w:r>
        <w:rPr>
          <w:rFonts w:ascii="Times New Roman" w:hAnsi="Times New Roman" w:eastAsia="宋体" w:cs="Times New Roman"/>
          <w:b w:val="0"/>
          <w:i w:val="0"/>
          <w:color w:val="0284C7"/>
          <w:sz w:val="24"/>
          <w:szCs w:val="24"/>
        </w:rPr>
        <w:t xml:space="preserve"> /monitor/energy/online/:media </w:t>
      </w:r>
      <w:r>
        <w:rPr>
          <w:rFonts w:ascii="Times New Roman" w:hAnsi="Times New Roman" w:eastAsia="宋体" w:cs="Times New Roman"/>
          <w:i w:val="0"/>
          <w:color w:val="1F2937"/>
          <w:sz w:val="24"/>
          <w:szCs w:val="24"/>
        </w:rPr>
        <w:t>。</w:t>
      </w:r>
    </w:p>
    <w:p w14:paraId="5F831FCC">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：IoT 采集网关、TOU 时段电表寄存器、介质配置字典、计量资产档案台账。</w:t>
      </w:r>
    </w:p>
    <w:p w14:paraId="75FC1665">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：指标管控实测值、碳排监测排放源数据、能效分析的介质结构数据。</w:t>
      </w:r>
    </w:p>
    <w:p w14:paraId="2699BC4C">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3F0C990">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：实时监测全集团 15 大园区及生产工厂在 8 大能源介质（总电、市电、绿电、水、气、汽、油、氮）上的实时用量、逐时负荷曲线及分时峰平谷结构。</w:t>
      </w:r>
    </w:p>
    <w:p w14:paraId="4F46345D">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C7C3E63">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1C6A5EC2">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按能源介质切换查看当日/当月总体峰平谷构成、逐时连续采样走势与额定工艺基准对比，并支持跨月区间查询</w:t>
      </w:r>
      <w:r>
        <w:rPr>
          <w:rFonts w:ascii="Times New Roman" w:hAnsi="Times New Roman" w:eastAsia="宋体" w:cs="Times New Roman"/>
          <w:i w:val="0"/>
          <w:color w:val="1F2937"/>
          <w:sz w:val="24"/>
          <w:szCs w:val="24"/>
        </w:rPr>
        <w:t>，</w:t>
      </w:r>
    </w:p>
    <w:p w14:paraId="61263772">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我能及时发现某介质的用能异常攀升并定位到具体工序或车间</w:t>
      </w:r>
      <w:r>
        <w:rPr>
          <w:rFonts w:ascii="Times New Roman" w:hAnsi="Times New Roman" w:eastAsia="宋体" w:cs="Times New Roman"/>
          <w:i w:val="0"/>
          <w:color w:val="1F2937"/>
          <w:sz w:val="24"/>
          <w:szCs w:val="24"/>
        </w:rPr>
        <w:t>。</w:t>
      </w:r>
    </w:p>
    <w:p w14:paraId="17028CB4">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42B2DCE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页面结构与联动规则：</w:t>
      </w:r>
    </w:p>
    <w:p w14:paraId="728AE0D4">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拓扑树规范</w:t>
      </w:r>
      <w:r>
        <w:rPr>
          <w:rFonts w:ascii="Times New Roman" w:hAnsi="Times New Roman" w:eastAsia="宋体" w:cs="Times New Roman"/>
          <w:i w:val="0"/>
          <w:color w:val="1F2937"/>
          <w:sz w:val="24"/>
          <w:szCs w:val="24"/>
        </w:rPr>
        <w:t>：左侧固定采用【园区 和 企业】两种拓扑树，未接入单位纯字体置灰禁用。</w:t>
      </w:r>
    </w:p>
    <w:p w14:paraId="292D88BF">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顶部全局控制</w:t>
      </w:r>
      <w:r>
        <w:rPr>
          <w:rFonts w:ascii="Times New Roman" w:hAnsi="Times New Roman" w:eastAsia="宋体" w:cs="Times New Roman"/>
          <w:i w:val="0"/>
          <w:color w:val="1F2937"/>
          <w:sz w:val="24"/>
          <w:szCs w:val="24"/>
        </w:rPr>
        <w:t>：支持"日监测"与"跨月区间选择器"（如 2026 年 01 月 至 2026 年 08 月），下方折线图 X 轴随之联动为各月份。</w:t>
      </w:r>
    </w:p>
    <w:p w14:paraId="37706361">
      <w:pPr>
        <w:pStyle w:val="19"/>
        <w:numPr>
          <w:ilvl w:val="0"/>
          <w:numId w:val="46"/>
        </w:numPr>
        <w:bidi w:val="0"/>
        <w:rPr>
          <w:rFonts w:eastAsia="宋体"/>
          <w:b/>
          <w:i w:val="0"/>
          <w:color w:val="0284C7"/>
          <w:sz w:val="24"/>
          <w:szCs w:val="24"/>
        </w:rPr>
      </w:pPr>
      <w:r>
        <w:rPr>
          <w:rFonts w:ascii="Times New Roman" w:hAnsi="Times New Roman" w:eastAsia="宋体" w:cs="Times New Roman"/>
          <w:b/>
          <w:i w:val="0"/>
          <w:color w:val="1E3A8A"/>
          <w:sz w:val="24"/>
          <w:szCs w:val="24"/>
        </w:rPr>
        <w:t>能源介质智能自适应与联动替换</w:t>
      </w:r>
      <w:r>
        <w:rPr>
          <w:rFonts w:ascii="Times New Roman" w:hAnsi="Times New Roman" w:eastAsia="宋体" w:cs="Times New Roman"/>
          <w:i w:val="0"/>
          <w:color w:val="1F2937"/>
          <w:sz w:val="24"/>
          <w:szCs w:val="24"/>
        </w:rPr>
        <w:t>：</w:t>
      </w:r>
    </w:p>
    <w:p w14:paraId="399F2D40">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选中</w:t>
      </w:r>
      <w:r>
        <w:rPr>
          <w:rFonts w:ascii="Times New Roman" w:hAnsi="Times New Roman" w:eastAsia="宋体" w:cs="Times New Roman"/>
          <w:b/>
          <w:i w:val="0"/>
          <w:color w:val="1E3A8A"/>
          <w:sz w:val="24"/>
          <w:szCs w:val="24"/>
        </w:rPr>
        <w:t>电力介质</w:t>
      </w:r>
      <w:r>
        <w:rPr>
          <w:rFonts w:ascii="Times New Roman" w:hAnsi="Times New Roman" w:eastAsia="宋体" w:cs="Times New Roman"/>
          <w:i w:val="0"/>
          <w:color w:val="1F2937"/>
          <w:sz w:val="24"/>
          <w:szCs w:val="24"/>
        </w:rPr>
        <w:t>（总用电量、市电量、直供绿电）：展示【当日/当月总体峰平谷构成】（尖/峰/平/谷 2×2 微卡片 + 逐时/逐日连续堆叠柱状图）。</w:t>
      </w:r>
    </w:p>
    <w:p w14:paraId="64203740">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选中</w:t>
      </w:r>
      <w:r>
        <w:rPr>
          <w:rFonts w:ascii="Times New Roman" w:hAnsi="Times New Roman" w:eastAsia="宋体" w:cs="Times New Roman"/>
          <w:b/>
          <w:i w:val="0"/>
          <w:color w:val="1E3A8A"/>
          <w:sz w:val="24"/>
          <w:szCs w:val="24"/>
        </w:rPr>
        <w:t>非电介质</w:t>
      </w:r>
      <w:r>
        <w:rPr>
          <w:rFonts w:ascii="Times New Roman" w:hAnsi="Times New Roman" w:eastAsia="宋体" w:cs="Times New Roman"/>
          <w:i w:val="0"/>
          <w:color w:val="1F2937"/>
          <w:sz w:val="24"/>
          <w:szCs w:val="24"/>
        </w:rPr>
        <w:t>（水资源、天然气、外购蒸汽、柴油、液氮）：彻底移除峰平谷字样与图表，100% 动态联动替换为【该介质重点工序/车间消耗结构与时段负荷分布】（左侧圆环图，右侧连续采样走势与额定基准对比）。</w:t>
      </w:r>
    </w:p>
    <w:p w14:paraId="576FDC46">
      <w:pPr>
        <w:pStyle w:val="19"/>
        <w:widowControl/>
        <w:numPr>
          <w:ilvl w:val="0"/>
          <w:numId w:val="0"/>
        </w:numPr>
        <w:rPr>
          <w:rFonts w:eastAsia="宋体"/>
          <w:b/>
          <w:i w:val="0"/>
          <w:color w:val="0284C7"/>
          <w:sz w:val="24"/>
          <w:szCs w:val="24"/>
        </w:rPr>
      </w:pPr>
      <w:r>
        <w:drawing>
          <wp:inline distT="0" distB="0" distL="114300" distR="114300">
            <wp:extent cx="5913755" cy="3187700"/>
            <wp:effectExtent l="0" t="0" r="10795" b="12700"/>
            <wp:docPr id="9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52"/>
                    <pic:cNvPicPr>
                      <a:picLocks noChangeAspect="1"/>
                    </pic:cNvPicPr>
                  </pic:nvPicPr>
                  <pic:blipFill>
                    <a:blip r:embed="rId27"/>
                    <a:stretch>
                      <a:fillRect/>
                    </a:stretch>
                  </pic:blipFill>
                  <pic:spPr>
                    <a:xfrm>
                      <a:off x="0" y="0"/>
                      <a:ext cx="5913755" cy="3187700"/>
                    </a:xfrm>
                    <a:prstGeom prst="rect">
                      <a:avLst/>
                    </a:prstGeom>
                    <a:noFill/>
                    <a:ln>
                      <a:noFill/>
                    </a:ln>
                  </pic:spPr>
                </pic:pic>
              </a:graphicData>
            </a:graphic>
          </wp:inline>
        </w:drawing>
      </w:r>
    </w:p>
    <w:p w14:paraId="13A9187D">
      <w:pPr>
        <w:pStyle w:val="19"/>
        <w:bidi w:val="0"/>
        <w:ind w:left="0" w:leftChars="0" w:firstLine="0" w:firstLineChars="0"/>
      </w:pPr>
      <w:r>
        <w:t>8 大能源介质卡片组：</w:t>
      </w:r>
    </w:p>
    <w:tbl>
      <w:tblPr>
        <w:tblStyle w:val="38"/>
        <w:tblW w:w="9784" w:type="dxa"/>
        <w:jc w:val="center"/>
        <w:tblLayout w:type="autofit"/>
        <w:tblCellMar>
          <w:top w:w="0" w:type="dxa"/>
          <w:left w:w="108" w:type="dxa"/>
          <w:bottom w:w="0" w:type="dxa"/>
          <w:right w:w="108" w:type="dxa"/>
        </w:tblCellMar>
      </w:tblPr>
      <w:tblGrid>
        <w:gridCol w:w="1636"/>
        <w:gridCol w:w="1398"/>
        <w:gridCol w:w="6750"/>
      </w:tblGrid>
      <w:tr w14:paraId="174AF9F9">
        <w:tblPrEx>
          <w:tblCellMar>
            <w:top w:w="0" w:type="dxa"/>
            <w:left w:w="108" w:type="dxa"/>
            <w:bottom w:w="0" w:type="dxa"/>
            <w:right w:w="108" w:type="dxa"/>
          </w:tblCellMar>
        </w:tblPrEx>
        <w:trPr>
          <w:tblHeade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B382A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介质卡片</w:t>
            </w:r>
          </w:p>
        </w:tc>
        <w:tc>
          <w:tcPr>
            <w:tcW w:w="13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EFDA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介质类型</w:t>
            </w:r>
          </w:p>
        </w:tc>
        <w:tc>
          <w:tcPr>
            <w:tcW w:w="67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236C2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联动图表形态</w:t>
            </w:r>
          </w:p>
        </w:tc>
      </w:tr>
      <w:tr w14:paraId="3E281DBE">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D7A8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总用电量</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167D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5F03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尖/峰/平/谷分时电量圆环图 + 2×2 微卡片 + 逐时/逐日堆叠柱状图</w:t>
            </w:r>
          </w:p>
        </w:tc>
      </w:tr>
      <w:tr w14:paraId="3BA62411">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0ABE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市电量</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E8FA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665F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r w14:paraId="3C9A5DA9">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5F2E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直供绿电量</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F45D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3009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同上，附加绿电占比标注</w:t>
            </w:r>
          </w:p>
        </w:tc>
      </w:tr>
      <w:tr w14:paraId="549C29E1">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A938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水资源</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136C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6F87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工序用量占比环形图 + 逐时采样负荷走势与额定工艺基准线对比</w:t>
            </w:r>
          </w:p>
        </w:tc>
      </w:tr>
      <w:tr w14:paraId="4C1B54A7">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3318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7FE9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CCE0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r w14:paraId="62127DEE">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E58D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外购蒸汽</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3394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9042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同上（如展示高压干燥工序、互感器干燥工序占比）</w:t>
            </w:r>
          </w:p>
        </w:tc>
      </w:tr>
      <w:tr w14:paraId="363C4020">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A04D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油消耗</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9C47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7A8F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r w14:paraId="767D7A64">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76D6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液氮</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A3C2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E658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bl>
    <w:p w14:paraId="07AA418C">
      <w:pPr>
        <w:spacing w:after="60"/>
        <w:rPr>
          <w:rFonts w:hint="eastAsia" w:ascii="宋体" w:hAnsi="宋体" w:eastAsia="宋体" w:cs="宋体"/>
          <w:i w:val="0"/>
          <w:iCs w:val="0"/>
          <w:sz w:val="24"/>
          <w:szCs w:val="24"/>
        </w:rPr>
      </w:pPr>
    </w:p>
    <w:p w14:paraId="5EB1F94D">
      <w:pPr>
        <w:pStyle w:val="19"/>
        <w:bidi w:val="0"/>
      </w:pPr>
      <w:r>
        <w:t>页面 TAB 结构与交互规则：</w:t>
      </w:r>
    </w:p>
    <w:p w14:paraId="1A5A7589">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 TAB</w:t>
      </w:r>
      <w:r>
        <w:rPr>
          <w:rFonts w:ascii="Times New Roman" w:hAnsi="Times New Roman" w:eastAsia="宋体" w:cs="Times New Roman"/>
          <w:i w:val="0"/>
          <w:color w:val="1F2937"/>
          <w:sz w:val="24"/>
          <w:szCs w:val="24"/>
        </w:rPr>
        <w:t>：工序能耗监测 / 新能源资产监测；偏下点提供时间维度（日 / 月 / 年）、时间范围与采样频率（15 / 30 / 60 min）选择。</w:t>
      </w:r>
    </w:p>
    <w:p w14:paraId="6AB15593">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介质 TAB</w:t>
      </w:r>
      <w:r>
        <w:rPr>
          <w:rFonts w:ascii="Times New Roman" w:hAnsi="Times New Roman" w:eastAsia="宋体" w:cs="Times New Roman"/>
          <w:i w:val="0"/>
          <w:color w:val="1F2937"/>
          <w:sz w:val="24"/>
          <w:szCs w:val="24"/>
        </w:rPr>
        <w:t>：电 / 水 / 天然气。</w:t>
      </w:r>
    </w:p>
    <w:p w14:paraId="3B4F973D">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电 TAB 内三个子 TAB</w:t>
      </w:r>
      <w:r>
        <w:rPr>
          <w:rFonts w:ascii="Times New Roman" w:hAnsi="Times New Roman" w:eastAsia="宋体" w:cs="Times New Roman"/>
          <w:i w:val="0"/>
          <w:color w:val="1F2937"/>
          <w:sz w:val="24"/>
          <w:szCs w:val="24"/>
        </w:rPr>
        <w:t>：</w:t>
      </w:r>
    </w:p>
    <w:p w14:paraId="6B2E6EC4">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① </w:t>
      </w:r>
      <w:r>
        <w:rPr>
          <w:rFonts w:ascii="Times New Roman" w:hAnsi="Times New Roman" w:eastAsia="宋体" w:cs="Times New Roman"/>
          <w:b/>
          <w:i w:val="0"/>
          <w:color w:val="1E3A8A"/>
          <w:sz w:val="24"/>
          <w:szCs w:val="24"/>
        </w:rPr>
        <w:t>电量分析</w:t>
      </w:r>
      <w:r>
        <w:rPr>
          <w:rFonts w:ascii="Times New Roman" w:hAnsi="Times New Roman" w:eastAsia="宋体" w:cs="Times New Roman"/>
          <w:i w:val="0"/>
          <w:color w:val="1F2937"/>
          <w:sz w:val="24"/>
          <w:szCs w:val="24"/>
        </w:rPr>
        <w:t>：展示项目公司用电量曲线与负荷曲线。</w:t>
      </w:r>
    </w:p>
    <w:p w14:paraId="4967D27A">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② </w:t>
      </w:r>
      <w:r>
        <w:rPr>
          <w:rFonts w:ascii="Times New Roman" w:hAnsi="Times New Roman" w:eastAsia="宋体" w:cs="Times New Roman"/>
          <w:b/>
          <w:i w:val="0"/>
          <w:color w:val="1E3A8A"/>
          <w:sz w:val="24"/>
          <w:szCs w:val="24"/>
        </w:rPr>
        <w:t>峰谷分析</w:t>
      </w:r>
      <w:r>
        <w:rPr>
          <w:rFonts w:ascii="Times New Roman" w:hAnsi="Times New Roman" w:eastAsia="宋体" w:cs="Times New Roman"/>
          <w:i w:val="0"/>
          <w:color w:val="1F2937"/>
          <w:sz w:val="24"/>
          <w:szCs w:val="24"/>
        </w:rPr>
        <w:t>：上半区左侧环形图展示尖峰平谷占比（图右侧给出尖峰平谷用电量具体数值），上半区右侧柱状图描述每小时/天/月尖峰平谷占比，下半区展示每日小时/天/月的具体数值。</w:t>
      </w:r>
    </w:p>
    <w:p w14:paraId="5702E1C6">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③ </w:t>
      </w:r>
      <w:r>
        <w:rPr>
          <w:rFonts w:ascii="Times New Roman" w:hAnsi="Times New Roman" w:eastAsia="宋体" w:cs="Times New Roman"/>
          <w:b/>
          <w:i w:val="0"/>
          <w:color w:val="1E3A8A"/>
          <w:sz w:val="24"/>
          <w:szCs w:val="24"/>
        </w:rPr>
        <w:t>实时数据</w:t>
      </w:r>
      <w:r>
        <w:rPr>
          <w:rFonts w:ascii="Times New Roman" w:hAnsi="Times New Roman" w:eastAsia="宋体" w:cs="Times New Roman"/>
          <w:i w:val="0"/>
          <w:color w:val="1F2937"/>
          <w:sz w:val="24"/>
          <w:szCs w:val="24"/>
        </w:rPr>
        <w:t>：上半区展示经营单位上传的所有点位实时数据（电压、电流、总有功功率、功率因数、正向有功电能、反向有功电能、正向无功电能、反向无功电能），下半区展示正向有功电能曲线。</w:t>
      </w:r>
    </w:p>
    <w:p w14:paraId="4D2AA2DD">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水 TAB</w:t>
      </w:r>
      <w:r>
        <w:rPr>
          <w:rFonts w:ascii="Times New Roman" w:hAnsi="Times New Roman" w:eastAsia="宋体" w:cs="Times New Roman"/>
          <w:i w:val="0"/>
          <w:color w:val="1F2937"/>
          <w:sz w:val="24"/>
          <w:szCs w:val="24"/>
        </w:rPr>
        <w:t>：仅展示实时数据，包括水压、累计流量、瞬时流量。</w:t>
      </w:r>
    </w:p>
    <w:p w14:paraId="7F1F8021">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天然气 TAB</w:t>
      </w:r>
      <w:r>
        <w:rPr>
          <w:rFonts w:ascii="Times New Roman" w:hAnsi="Times New Roman" w:eastAsia="宋体" w:cs="Times New Roman"/>
          <w:i w:val="0"/>
          <w:color w:val="1F2937"/>
          <w:sz w:val="24"/>
          <w:szCs w:val="24"/>
        </w:rPr>
        <w:t>：仅展示实时数据，包括累计流量。</w:t>
      </w:r>
    </w:p>
    <w:p w14:paraId="4E07B042">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新能源资产监测</w:t>
      </w:r>
      <w:r>
        <w:rPr>
          <w:rFonts w:ascii="Times New Roman" w:hAnsi="Times New Roman" w:eastAsia="宋体" w:cs="Times New Roman"/>
          <w:i w:val="0"/>
          <w:color w:val="1F2937"/>
          <w:sz w:val="24"/>
          <w:szCs w:val="24"/>
        </w:rPr>
        <w:t>：指标参数展示在页面上方，勾选指标展示曲线；指标包括光伏发电功率、逆变器效率、光伏消纳率、储能充放电功率、储能 SOC 值、储能 SOH 值、储能直流电压、储能直流电流、市电负荷；默认展示光伏发电功率与储能充放电功率。</w:t>
      </w:r>
    </w:p>
    <w:p w14:paraId="4A70BD43">
      <w:pPr>
        <w:pStyle w:val="19"/>
        <w:widowControl/>
        <w:numPr>
          <w:ilvl w:val="0"/>
          <w:numId w:val="0"/>
        </w:numPr>
      </w:pPr>
      <w:r>
        <w:drawing>
          <wp:inline distT="0" distB="0" distL="114300" distR="114300">
            <wp:extent cx="5905500" cy="2032635"/>
            <wp:effectExtent l="0" t="0" r="0" b="5715"/>
            <wp:docPr id="9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53"/>
                    <pic:cNvPicPr>
                      <a:picLocks noChangeAspect="1"/>
                    </pic:cNvPicPr>
                  </pic:nvPicPr>
                  <pic:blipFill>
                    <a:blip r:embed="rId28"/>
                    <a:stretch>
                      <a:fillRect/>
                    </a:stretch>
                  </pic:blipFill>
                  <pic:spPr>
                    <a:xfrm>
                      <a:off x="0" y="0"/>
                      <a:ext cx="5905500" cy="2032635"/>
                    </a:xfrm>
                    <a:prstGeom prst="rect">
                      <a:avLst/>
                    </a:prstGeom>
                    <a:noFill/>
                    <a:ln>
                      <a:noFill/>
                    </a:ln>
                  </pic:spPr>
                </pic:pic>
              </a:graphicData>
            </a:graphic>
          </wp:inline>
        </w:drawing>
      </w:r>
    </w:p>
    <w:p w14:paraId="30FFC747">
      <w:pPr>
        <w:pStyle w:val="19"/>
        <w:widowControl/>
        <w:numPr>
          <w:ilvl w:val="0"/>
          <w:numId w:val="0"/>
        </w:numPr>
        <w:rPr>
          <w:rFonts w:hint="eastAsia"/>
          <w:lang w:val="en-US" w:eastAsia="zh-CN"/>
        </w:rPr>
      </w:pPr>
      <w:r>
        <w:rPr>
          <w:rFonts w:hint="eastAsia"/>
          <w:lang w:val="en-US" w:eastAsia="zh-CN"/>
        </w:rPr>
        <w:t>市电峰平谷用电分析：</w:t>
      </w:r>
    </w:p>
    <w:p w14:paraId="579F3301">
      <w:pPr>
        <w:pStyle w:val="19"/>
        <w:widowControl/>
        <w:numPr>
          <w:ilvl w:val="0"/>
          <w:numId w:val="0"/>
        </w:numPr>
        <w:rPr>
          <w:rFonts w:hint="default"/>
          <w:lang w:val="en-US" w:eastAsia="zh-CN"/>
        </w:rPr>
      </w:pPr>
    </w:p>
    <w:p w14:paraId="739E685E">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923" w:type="dxa"/>
        <w:jc w:val="center"/>
        <w:tblLayout w:type="autofit"/>
        <w:tblCellMar>
          <w:top w:w="0" w:type="dxa"/>
          <w:left w:w="108" w:type="dxa"/>
          <w:bottom w:w="0" w:type="dxa"/>
          <w:right w:w="108" w:type="dxa"/>
        </w:tblCellMar>
      </w:tblPr>
      <w:tblGrid>
        <w:gridCol w:w="817"/>
        <w:gridCol w:w="1722"/>
        <w:gridCol w:w="1776"/>
        <w:gridCol w:w="2539"/>
        <w:gridCol w:w="3069"/>
      </w:tblGrid>
      <w:tr w14:paraId="28B8528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8C4D5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5795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7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66CE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E652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采集来源</w:t>
            </w:r>
          </w:p>
        </w:tc>
        <w:tc>
          <w:tcPr>
            <w:tcW w:w="30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7407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校验与防错规则</w:t>
            </w:r>
          </w:p>
        </w:tc>
      </w:tr>
      <w:tr w14:paraId="2613AA02">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FC38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133E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数据采集时间戳</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5987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BF79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IoT 采集网关时序同步</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49C4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非空，不得晚于当前服务器时间</w:t>
            </w:r>
          </w:p>
        </w:tc>
      </w:tr>
      <w:tr w14:paraId="49D612E9">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F451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B16C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能源计量表计编码</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4155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23A5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计量资产档案台账</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D15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字母数字下划线，唯一主键</w:t>
            </w:r>
          </w:p>
        </w:tc>
      </w:tr>
      <w:tr w14:paraId="731E8C8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6819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B00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能源介质类型</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582D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电/水/气/汽/油/氮</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8BEA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介质配置字典</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1838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必须在 6 类受控介质枚举内</w:t>
            </w:r>
          </w:p>
        </w:tc>
      </w:tr>
      <w:tr w14:paraId="5BEC2791">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A925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0DC1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AB46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2727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1403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67791D4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CFB7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84CF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541D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B2A7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80C1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4392F5DF">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3C19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A3F6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4C47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4148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A9AA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136A087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D398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B9CE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9DF3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A275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ED41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605CE6F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D864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497C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实物消耗量</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68F1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 / m³ / 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B60C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止码 − 起码 × 倍率</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341E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0.00，突增超 200% 触发告警</w:t>
            </w:r>
          </w:p>
        </w:tc>
      </w:tr>
      <w:tr w14:paraId="5853178B">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0D38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493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折标准煤能源量</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CABC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FD22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实物量 × GB/T 2589 系数</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3B2C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0.0000</w:t>
            </w:r>
          </w:p>
        </w:tc>
      </w:tr>
      <w:tr w14:paraId="2DB2B70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0F83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7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0FDC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采样频率</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FD60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min</w:t>
            </w:r>
          </w:p>
        </w:tc>
        <w:tc>
          <w:tcPr>
            <w:tcW w:w="25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4AE4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页面配置项</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D764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仅允许 15 / 30 / 60 三档</w:t>
            </w:r>
          </w:p>
        </w:tc>
      </w:tr>
    </w:tbl>
    <w:p w14:paraId="4ECFF835">
      <w:pPr>
        <w:spacing w:after="60"/>
        <w:rPr>
          <w:rFonts w:hint="eastAsia" w:ascii="宋体" w:hAnsi="宋体" w:eastAsia="宋体" w:cs="宋体"/>
          <w:i w:val="0"/>
          <w:iCs w:val="0"/>
          <w:sz w:val="24"/>
          <w:szCs w:val="24"/>
        </w:rPr>
      </w:pPr>
    </w:p>
    <w:p w14:paraId="39622317">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3A14FF11">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423D5A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Q_actual = ( Meter_end - Meter_start ) × Ratio        实物消耗量 =（止码 − 起码）× 倍率</w:t>
            </w:r>
          </w:p>
          <w:p w14:paraId="62E5402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 = Q_actual × k_media                            折标煤量 = 实物量 × 介质折标系数</w:t>
            </w:r>
          </w:p>
          <w:p w14:paraId="79F0E08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Q_peak_ratio = Q_peak / ( Q_tip + Q_peak + Q_flat + Q_valley ) × 100%</w:t>
            </w:r>
          </w:p>
          <w:p w14:paraId="68759BB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Rate_load = P_actual / P_rated × 100%                 负荷率</w:t>
            </w:r>
          </w:p>
          <w:p w14:paraId="036D881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Alert_200 = ( Q_t - Q_{t-1} ) / Q_{t-1} &gt; 200%        突增告警判定</w:t>
            </w:r>
          </w:p>
        </w:tc>
      </w:tr>
    </w:tbl>
    <w:p w14:paraId="65E62F6F">
      <w:pPr>
        <w:spacing w:after="40"/>
        <w:rPr>
          <w:rFonts w:hint="eastAsia" w:ascii="宋体" w:hAnsi="宋体" w:eastAsia="宋体" w:cs="宋体"/>
          <w:i w:val="0"/>
          <w:iCs w:val="0"/>
          <w:sz w:val="24"/>
          <w:szCs w:val="24"/>
        </w:rPr>
      </w:pPr>
    </w:p>
    <w:p w14:paraId="504BAE4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Meter_start / Meter_end </w:t>
      </w:r>
      <w:r>
        <w:rPr>
          <w:rFonts w:ascii="Times New Roman" w:hAnsi="Times New Roman" w:eastAsia="宋体" w:cs="Times New Roman"/>
          <w:i w:val="0"/>
          <w:color w:val="1F2937"/>
          <w:sz w:val="24"/>
          <w:szCs w:val="24"/>
        </w:rPr>
        <w:t xml:space="preserve"> 为周期起止表底数；</w:t>
      </w:r>
      <w:r>
        <w:rPr>
          <w:rFonts w:ascii="Times New Roman" w:hAnsi="Times New Roman" w:eastAsia="宋体" w:cs="Times New Roman"/>
          <w:b w:val="0"/>
          <w:i w:val="0"/>
          <w:color w:val="0284C7"/>
          <w:sz w:val="24"/>
          <w:szCs w:val="24"/>
        </w:rPr>
        <w:t xml:space="preserve"> Ratio </w:t>
      </w:r>
      <w:r>
        <w:rPr>
          <w:rFonts w:ascii="Times New Roman" w:hAnsi="Times New Roman" w:eastAsia="宋体" w:cs="Times New Roman"/>
          <w:i w:val="0"/>
          <w:color w:val="1F2937"/>
          <w:sz w:val="24"/>
          <w:szCs w:val="24"/>
        </w:rPr>
        <w:t xml:space="preserve"> 为互感器变比倍率；</w:t>
      </w:r>
      <w:r>
        <w:rPr>
          <w:rFonts w:ascii="Times New Roman" w:hAnsi="Times New Roman" w:eastAsia="宋体" w:cs="Times New Roman"/>
          <w:b w:val="0"/>
          <w:i w:val="0"/>
          <w:color w:val="0284C7"/>
          <w:sz w:val="24"/>
          <w:szCs w:val="24"/>
        </w:rPr>
        <w:t xml:space="preserve"> k_media </w:t>
      </w:r>
      <w:r>
        <w:rPr>
          <w:rFonts w:ascii="Times New Roman" w:hAnsi="Times New Roman" w:eastAsia="宋体" w:cs="Times New Roman"/>
          <w:i w:val="0"/>
          <w:color w:val="1F2937"/>
          <w:sz w:val="24"/>
          <w:szCs w:val="24"/>
        </w:rPr>
        <w:t xml:space="preserve"> 为该介质折标准煤系数；</w:t>
      </w:r>
      <w:r>
        <w:rPr>
          <w:rFonts w:ascii="Times New Roman" w:hAnsi="Times New Roman" w:eastAsia="宋体" w:cs="Times New Roman"/>
          <w:b w:val="0"/>
          <w:i w:val="0"/>
          <w:color w:val="0284C7"/>
          <w:sz w:val="24"/>
          <w:szCs w:val="24"/>
        </w:rPr>
        <w:t xml:space="preserve"> P_rated </w:t>
      </w:r>
      <w:r>
        <w:rPr>
          <w:rFonts w:ascii="Times New Roman" w:hAnsi="Times New Roman" w:eastAsia="宋体" w:cs="Times New Roman"/>
          <w:i w:val="0"/>
          <w:color w:val="1F2937"/>
          <w:sz w:val="24"/>
          <w:szCs w:val="24"/>
        </w:rPr>
        <w:t xml:space="preserve"> 为设备额定功率；突增告警阈值 200% 为固定业务铁律。</w:t>
      </w:r>
    </w:p>
    <w:p w14:paraId="6AA3B280">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ECCF3D3">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介质自适应铁律</w:t>
      </w:r>
      <w:r>
        <w:rPr>
          <w:rFonts w:ascii="Times New Roman" w:hAnsi="Times New Roman" w:eastAsia="宋体" w:cs="Times New Roman"/>
          <w:i w:val="0"/>
          <w:color w:val="1F2937"/>
          <w:sz w:val="24"/>
          <w:szCs w:val="24"/>
        </w:rPr>
        <w:t>：非电介质页面严禁出现任何峰平谷相关字样或图表元素。</w:t>
      </w:r>
    </w:p>
    <w:p w14:paraId="33242C89">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：非电介质右侧走势图必须叠加额定工艺基准线，以偏差量呈现而非主观评语。</w:t>
      </w:r>
    </w:p>
    <w:p w14:paraId="7959E7AB">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单位口径</w:t>
      </w:r>
      <w:r>
        <w:rPr>
          <w:rFonts w:ascii="Times New Roman" w:hAnsi="Times New Roman" w:eastAsia="宋体" w:cs="Times New Roman"/>
          <w:i w:val="0"/>
          <w:color w:val="1F2937"/>
          <w:sz w:val="24"/>
          <w:szCs w:val="24"/>
        </w:rPr>
        <w:t>：电力以 kWh、水以 m³、蒸汽以 t、天然气以 m³、油以 L、液氮以 m³ 为统一实物单位，折标统一为 tce。</w:t>
      </w:r>
    </w:p>
    <w:p w14:paraId="08EDD6BB">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采样口径</w:t>
      </w:r>
      <w:r>
        <w:rPr>
          <w:rFonts w:ascii="Times New Roman" w:hAnsi="Times New Roman" w:eastAsia="宋体" w:cs="Times New Roman"/>
          <w:i w:val="0"/>
          <w:color w:val="1F2937"/>
          <w:sz w:val="24"/>
          <w:szCs w:val="24"/>
        </w:rPr>
        <w:t>：15 分钟为默认采样频率；历史区间查询走日结库，实时曲线走时序库。</w:t>
      </w:r>
    </w:p>
    <w:p w14:paraId="1EF5F03B">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8308BF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136A55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遥测心跳超 5 秒未响应：触发 </w:t>
            </w:r>
            <w:r>
              <w:rPr>
                <w:rFonts w:hint="eastAsia" w:ascii="宋体" w:hAnsi="宋体" w:eastAsia="宋体" w:cs="宋体"/>
                <w:b w:val="0"/>
                <w:i w:val="0"/>
                <w:iCs w:val="0"/>
                <w:color w:val="0284C7"/>
                <w:sz w:val="24"/>
                <w:szCs w:val="24"/>
              </w:rPr>
              <w:t xml:space="preserve"> E_IO_MQTT_TIMEOUT </w:t>
            </w:r>
            <w:r>
              <w:rPr>
                <w:rFonts w:hint="eastAsia" w:ascii="宋体" w:hAnsi="宋体" w:eastAsia="宋体" w:cs="宋体"/>
                <w:i w:val="0"/>
                <w:iCs w:val="0"/>
                <w:color w:val="1F2937"/>
                <w:sz w:val="24"/>
                <w:szCs w:val="24"/>
              </w:rPr>
              <w:t>，图表展示最近一次缓存读数并打"数据延迟"微标签。</w:t>
            </w:r>
          </w:p>
          <w:p w14:paraId="0F11853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边缘一体机断网：触发 </w:t>
            </w:r>
            <w:r>
              <w:rPr>
                <w:rFonts w:hint="eastAsia" w:ascii="宋体" w:hAnsi="宋体" w:eastAsia="宋体" w:cs="宋体"/>
                <w:b w:val="0"/>
                <w:i w:val="0"/>
                <w:iCs w:val="0"/>
                <w:color w:val="0284C7"/>
                <w:sz w:val="24"/>
                <w:szCs w:val="24"/>
              </w:rPr>
              <w:t xml:space="preserve"> E_IO_GATEWAY_OFFLINE </w:t>
            </w:r>
            <w:r>
              <w:rPr>
                <w:rFonts w:hint="eastAsia" w:ascii="宋体" w:hAnsi="宋体" w:eastAsia="宋体" w:cs="宋体"/>
                <w:i w:val="0"/>
                <w:iCs w:val="0"/>
                <w:color w:val="1F2937"/>
                <w:sz w:val="24"/>
                <w:szCs w:val="24"/>
              </w:rPr>
              <w:t>，启动本地断点续传，恢复后自动补传，补传数据标注为"补传"。</w:t>
            </w:r>
          </w:p>
          <w:p w14:paraId="642E720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实物消耗量突增超 200%：触发告警中心事件并在卡片红框高亮，但</w:t>
            </w:r>
            <w:r>
              <w:rPr>
                <w:rFonts w:hint="eastAsia" w:ascii="宋体" w:hAnsi="宋体" w:eastAsia="宋体" w:cs="宋体"/>
                <w:b/>
                <w:i w:val="0"/>
                <w:iCs w:val="0"/>
                <w:color w:val="1E3A8A"/>
                <w:sz w:val="24"/>
                <w:szCs w:val="24"/>
              </w:rPr>
              <w:t>不得阻断数据入库</w:t>
            </w:r>
            <w:r>
              <w:rPr>
                <w:rFonts w:hint="eastAsia" w:ascii="宋体" w:hAnsi="宋体" w:eastAsia="宋体" w:cs="宋体"/>
                <w:i w:val="0"/>
                <w:iCs w:val="0"/>
                <w:color w:val="1F2937"/>
                <w:sz w:val="24"/>
                <w:szCs w:val="24"/>
              </w:rPr>
              <w:t>。</w:t>
            </w:r>
          </w:p>
          <w:p w14:paraId="3C23CE2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未接入单位：路径置灰禁用，点击无响应且不弹出任何解释文案。</w:t>
            </w:r>
          </w:p>
          <w:p w14:paraId="7ED04DB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除零兜底：占比类图表分母为 0 时显示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w:t>
            </w:r>
          </w:p>
        </w:tc>
      </w:tr>
    </w:tbl>
    <w:p w14:paraId="35E61FAB">
      <w:pPr>
        <w:spacing w:after="40"/>
        <w:rPr>
          <w:rFonts w:hint="eastAsia" w:ascii="宋体" w:hAnsi="宋体" w:eastAsia="宋体" w:cs="宋体"/>
          <w:i w:val="0"/>
          <w:iCs w:val="0"/>
          <w:sz w:val="24"/>
          <w:szCs w:val="24"/>
        </w:rPr>
      </w:pPr>
    </w:p>
    <w:p w14:paraId="1B63CB1C">
      <w:pPr>
        <w:pStyle w:val="6"/>
        <w:numPr>
          <w:ilvl w:val="0"/>
          <w:numId w:val="43"/>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95E5FAD">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9D1252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用能在线监测介质自适应联动</w:t>
            </w:r>
          </w:p>
          <w:p w14:paraId="16D99D8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非电介质的图表100%替换</w:t>
            </w:r>
          </w:p>
          <w:p w14:paraId="69CBD45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用户在顶部介质卡片组中选中"外购蒸汽"</w:t>
            </w:r>
          </w:p>
          <w:p w14:paraId="257707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页面完成一次联动刷新</w:t>
            </w:r>
          </w:p>
          <w:p w14:paraId="5C95001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中部容器不再出现任何尖峰平谷字样与图表元素</w:t>
            </w:r>
          </w:p>
          <w:p w14:paraId="42DA87B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左侧呈现蒸汽介质工序用量占比环形图</w:t>
            </w:r>
          </w:p>
          <w:p w14:paraId="3FED95B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右侧呈现逐时采样负荷走势与额定工艺基准线对比</w:t>
            </w:r>
          </w:p>
          <w:p w14:paraId="4BBB5020">
            <w:pPr>
              <w:spacing w:before="0" w:after="20" w:line="264" w:lineRule="auto"/>
              <w:rPr>
                <w:rFonts w:hint="eastAsia" w:ascii="宋体" w:hAnsi="宋体" w:eastAsia="宋体" w:cs="宋体"/>
                <w:i w:val="0"/>
                <w:iCs w:val="0"/>
                <w:sz w:val="24"/>
                <w:szCs w:val="24"/>
              </w:rPr>
            </w:pPr>
          </w:p>
          <w:p w14:paraId="2F1642C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采集突增告警不阻断入库</w:t>
            </w:r>
          </w:p>
          <w:p w14:paraId="3BB55E1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某水表上一周期实物消耗量为 100 m³</w:t>
            </w:r>
          </w:p>
          <w:p w14:paraId="0A4AAD6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本周期上报实物消耗量为 350 m³（增幅 250%）</w:t>
            </w:r>
          </w:p>
          <w:p w14:paraId="6CC817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系统触发突增 200% 告警并在卡片红框高亮</w:t>
            </w:r>
          </w:p>
          <w:p w14:paraId="526D612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该条数据正常写入时序库，未被阻断</w:t>
            </w:r>
          </w:p>
          <w:p w14:paraId="5AAB3C02">
            <w:pPr>
              <w:spacing w:before="0" w:after="20" w:line="264" w:lineRule="auto"/>
              <w:rPr>
                <w:rFonts w:hint="eastAsia" w:ascii="宋体" w:hAnsi="宋体" w:eastAsia="宋体" w:cs="宋体"/>
                <w:i w:val="0"/>
                <w:iCs w:val="0"/>
                <w:sz w:val="24"/>
                <w:szCs w:val="24"/>
              </w:rPr>
            </w:pPr>
          </w:p>
          <w:p w14:paraId="016C92A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未接入单位置灰禁用</w:t>
            </w:r>
          </w:p>
          <w:p w14:paraId="706E996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组织树中存在尚未接入平台的园区单位</w:t>
            </w:r>
          </w:p>
          <w:p w14:paraId="720AB81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用户尝试点击该单位节点</w:t>
            </w:r>
          </w:p>
          <w:p w14:paraId="530570E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节点保持置灰状态且点击无响应</w:t>
            </w:r>
          </w:p>
          <w:p w14:paraId="2357182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页面不弹出任何解释性或说教性文案</w:t>
            </w:r>
          </w:p>
        </w:tc>
      </w:tr>
    </w:tbl>
    <w:p w14:paraId="59FA2EC6">
      <w:pPr>
        <w:spacing w:after="40"/>
        <w:rPr>
          <w:rFonts w:hint="eastAsia" w:ascii="宋体" w:hAnsi="宋体" w:eastAsia="宋体" w:cs="宋体"/>
          <w:i w:val="0"/>
          <w:iCs w:val="0"/>
          <w:sz w:val="24"/>
          <w:szCs w:val="24"/>
        </w:rPr>
      </w:pPr>
    </w:p>
    <w:p w14:paraId="5F9EC696">
      <w:pPr>
        <w:pStyle w:val="5"/>
        <w:numPr>
          <w:ilvl w:val="0"/>
          <w:numId w:val="27"/>
        </w:numPr>
        <w:ind w:left="0" w:leftChars="0" w:firstLine="0" w:firstLineChars="0"/>
        <w:outlineLvl w:val="1"/>
        <w:rPr>
          <w:rFonts w:eastAsia="黑体"/>
          <w:b w:val="0"/>
          <w:bCs w:val="0"/>
          <w:sz w:val="30"/>
          <w:szCs w:val="24"/>
        </w:rPr>
      </w:pPr>
      <w:bookmarkStart w:id="18" w:name="_Toc5921"/>
      <w:r>
        <w:rPr>
          <w:rFonts w:ascii="Times New Roman" w:hAnsi="Times New Roman" w:eastAsia="黑体" w:cs="Times New Roman"/>
          <w:b w:val="0"/>
          <w:bCs w:val="0"/>
          <w:sz w:val="30"/>
          <w:szCs w:val="24"/>
        </w:rPr>
        <w:t>重点</w:t>
      </w:r>
      <w:r>
        <w:rPr>
          <w:rFonts w:hint="eastAsia" w:cs="Times New Roman"/>
          <w:b w:val="0"/>
          <w:bCs w:val="0"/>
          <w:sz w:val="30"/>
          <w:szCs w:val="24"/>
          <w:lang w:val="en-US" w:eastAsia="zh-CN"/>
        </w:rPr>
        <w:t>用能设备</w:t>
      </w:r>
      <w:bookmarkEnd w:id="18"/>
    </w:p>
    <w:p w14:paraId="6F910E0C">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drawing>
          <wp:inline distT="0" distB="0" distL="114300" distR="114300">
            <wp:extent cx="5900420" cy="2925445"/>
            <wp:effectExtent l="0" t="0" r="5080" b="825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29"/>
                    <a:stretch>
                      <a:fillRect/>
                    </a:stretch>
                  </pic:blipFill>
                  <pic:spPr>
                    <a:xfrm>
                      <a:off x="0" y="0"/>
                      <a:ext cx="5900420" cy="2925445"/>
                    </a:xfrm>
                    <a:prstGeom prst="rect">
                      <a:avLst/>
                    </a:prstGeom>
                    <a:noFill/>
                    <a:ln>
                      <a:noFill/>
                    </a:ln>
                  </pic:spPr>
                </pic:pic>
              </a:graphicData>
            </a:graphic>
          </wp:inline>
        </w:drawing>
      </w:r>
    </w:p>
    <w:p w14:paraId="06F2D5DE">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ECE4B94">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：对高耗能特种工艺设备的高频工况监控看板，按电力驱动与热力驱动两类介质自适应呈现核心指标，实现设备级能效最优。</w:t>
      </w:r>
    </w:p>
    <w:p w14:paraId="30F461F9">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：设备保全工程师、P2 园区能碳专员。</w:t>
      </w:r>
    </w:p>
    <w:p w14:paraId="13098942">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/monitor/energy/devices </w:t>
      </w:r>
      <w:r>
        <w:rPr>
          <w:rFonts w:ascii="Times New Roman" w:hAnsi="Times New Roman" w:eastAsia="宋体" w:cs="Times New Roman"/>
          <w:i w:val="0"/>
          <w:color w:val="1F2937"/>
          <w:sz w:val="24"/>
          <w:szCs w:val="24"/>
        </w:rPr>
        <w:t>。</w:t>
      </w:r>
    </w:p>
    <w:p w14:paraId="0ACDBCE3">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：设备台账主数据、IoT 设备级遥测、工序白名单。</w:t>
      </w:r>
    </w:p>
    <w:p w14:paraId="291AB2E4">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：设备越限告警事件、设备负荷率环比数据。</w:t>
      </w:r>
    </w:p>
    <w:p w14:paraId="2C44A468">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7079E51">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：全集团首批纳管的 32 台特高压变压器气相干燥罐、耐压试验台、立塔交联挤出机组等高耗能特种工艺设备的高频工况监控。</w:t>
      </w:r>
    </w:p>
    <w:p w14:paraId="21DBB9A3">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76673D1C">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设备保全工程师</w:t>
      </w:r>
      <w:r>
        <w:rPr>
          <w:rFonts w:ascii="Times New Roman" w:hAnsi="Times New Roman" w:eastAsia="宋体" w:cs="Times New Roman"/>
          <w:i w:val="0"/>
          <w:color w:val="1F2937"/>
          <w:sz w:val="24"/>
          <w:szCs w:val="24"/>
        </w:rPr>
        <w:t>，</w:t>
      </w:r>
    </w:p>
    <w:p w14:paraId="0D189A98">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在设备监控看板中按电力驱动或热力驱动分类查看 32 台重点设备的运行负荷、功率因数或蒸汽流量</w:t>
      </w:r>
      <w:r>
        <w:rPr>
          <w:rFonts w:ascii="Times New Roman" w:hAnsi="Times New Roman" w:eastAsia="宋体" w:cs="Times New Roman"/>
          <w:i w:val="0"/>
          <w:color w:val="1F2937"/>
          <w:sz w:val="24"/>
          <w:szCs w:val="24"/>
        </w:rPr>
        <w:t>，</w:t>
      </w:r>
    </w:p>
    <w:p w14:paraId="7950EACF">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我能预防高耗能设备待机空载浪费，实现设备级能效最优</w:t>
      </w:r>
      <w:r>
        <w:rPr>
          <w:rFonts w:ascii="Times New Roman" w:hAnsi="Times New Roman" w:eastAsia="宋体" w:cs="Times New Roman"/>
          <w:i w:val="0"/>
          <w:color w:val="1F2937"/>
          <w:sz w:val="24"/>
          <w:szCs w:val="24"/>
        </w:rPr>
        <w:t>。</w:t>
      </w:r>
    </w:p>
    <w:p w14:paraId="4E95394B">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54A370D">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左侧设备拓扑导航树</w:t>
      </w:r>
      <w:r>
        <w:rPr>
          <w:rFonts w:ascii="Times New Roman" w:hAnsi="Times New Roman" w:eastAsia="宋体" w:cs="Times New Roman"/>
          <w:i w:val="0"/>
          <w:color w:val="1F2937"/>
          <w:sz w:val="24"/>
          <w:szCs w:val="24"/>
        </w:rPr>
        <w:t xml:space="preserve">：集成 4 级组织树；9 家未联网单位置灰禁用，设备数标注为 </w:t>
      </w:r>
      <w:r>
        <w:rPr>
          <w:rFonts w:ascii="Times New Roman" w:hAnsi="Times New Roman" w:eastAsia="宋体" w:cs="Times New Roman"/>
          <w:b w:val="0"/>
          <w:i w:val="0"/>
          <w:color w:val="0284C7"/>
          <w:sz w:val="24"/>
          <w:szCs w:val="24"/>
        </w:rPr>
        <w:t xml:space="preserve"> (0) </w:t>
      </w:r>
      <w:r>
        <w:rPr>
          <w:rFonts w:ascii="Times New Roman" w:hAnsi="Times New Roman" w:eastAsia="宋体" w:cs="Times New Roman"/>
          <w:i w:val="0"/>
          <w:color w:val="1F2937"/>
          <w:sz w:val="24"/>
          <w:szCs w:val="24"/>
        </w:rPr>
        <w:t>；节点前置介质语义图标（电力设备前置闪电、热力设备前置火焰），剥离文字胶囊。</w:t>
      </w:r>
    </w:p>
    <w:p w14:paraId="68A634B4">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顶部设置</w:t>
      </w:r>
      <w:r>
        <w:rPr>
          <w:rFonts w:ascii="Times New Roman" w:hAnsi="Times New Roman" w:eastAsia="宋体" w:cs="Times New Roman"/>
          <w:i w:val="0"/>
          <w:color w:val="1F2937"/>
          <w:sz w:val="24"/>
          <w:szCs w:val="24"/>
        </w:rPr>
        <w:t>：设备类型切片 Tab（全部 / 电力 23 台 / 热力 9 台）与搜索框。</w:t>
      </w:r>
    </w:p>
    <w:p w14:paraId="01C5202B">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右侧工况看板（100% 智能自适应）</w:t>
      </w:r>
      <w:r>
        <w:rPr>
          <w:rFonts w:ascii="Times New Roman" w:hAnsi="Times New Roman" w:eastAsia="宋体" w:cs="Times New Roman"/>
          <w:i w:val="0"/>
          <w:color w:val="1F2937"/>
          <w:sz w:val="24"/>
          <w:szCs w:val="24"/>
        </w:rPr>
        <w:t>：</w:t>
      </w:r>
    </w:p>
    <w:p w14:paraId="372F03CA">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主卡片标题纯粹去噪：仅保留前置图标与设备标准名称（如 </w:t>
      </w:r>
      <w:r>
        <w:rPr>
          <w:rFonts w:ascii="Times New Roman" w:hAnsi="Times New Roman" w:eastAsia="宋体" w:cs="Times New Roman"/>
          <w:b w:val="0"/>
          <w:i w:val="0"/>
          <w:color w:val="0284C7"/>
          <w:sz w:val="24"/>
          <w:szCs w:val="24"/>
        </w:rPr>
        <w:t xml:space="preserve"> 1# 1000kV 级气相真空干燥罐组 </w:t>
      </w:r>
      <w:r>
        <w:rPr>
          <w:rFonts w:ascii="Times New Roman" w:hAnsi="Times New Roman" w:eastAsia="宋体" w:cs="Times New Roman"/>
          <w:i w:val="0"/>
          <w:color w:val="1F2937"/>
          <w:sz w:val="24"/>
          <w:szCs w:val="24"/>
        </w:rPr>
        <w:t>），剥离编码与冗余路径。</w:t>
      </w:r>
    </w:p>
    <w:p w14:paraId="10161E68">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电力设备自适应呈现</w:t>
      </w:r>
      <w:r>
        <w:rPr>
          <w:rFonts w:ascii="Times New Roman" w:hAnsi="Times New Roman" w:eastAsia="宋体" w:cs="Times New Roman"/>
          <w:i w:val="0"/>
          <w:color w:val="1F2937"/>
          <w:sz w:val="24"/>
          <w:szCs w:val="24"/>
        </w:rPr>
        <w:t>：核心指标为实时有功功率 (kW)、当月用电量 (kWh)、当日用电量 (kWh)、负荷率 (%)、功率因数；图表为 15 分钟连续负荷曲线与峰平谷占比环形图。</w:t>
      </w:r>
    </w:p>
    <w:p w14:paraId="62852FE2">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热力设备自适应呈现</w:t>
      </w:r>
      <w:r>
        <w:rPr>
          <w:rFonts w:ascii="Times New Roman" w:hAnsi="Times New Roman" w:eastAsia="宋体" w:cs="Times New Roman"/>
          <w:i w:val="0"/>
          <w:color w:val="1F2937"/>
          <w:sz w:val="24"/>
          <w:szCs w:val="24"/>
        </w:rPr>
        <w:t>：核心指标为瞬时蒸汽流量 (t/h)、当月蒸汽消耗量 (t)、当日蒸汽消耗量 (t)、供汽管道压力 (MPa)、温度 (°C)；图表为瞬时流量走势与逐时蒸汽消耗柱状图。</w:t>
      </w:r>
    </w:p>
    <w:p w14:paraId="47417FB4">
      <w:pPr>
        <w:pStyle w:val="19"/>
        <w:widowControl/>
        <w:rPr>
          <w:rFonts w:ascii="Times New Roman" w:hAnsi="Times New Roman" w:eastAsia="宋体" w:cs="Times New Roman"/>
          <w:i w:val="0"/>
          <w:color w:val="1F2937"/>
          <w:sz w:val="24"/>
          <w:szCs w:val="24"/>
        </w:rPr>
      </w:pPr>
      <w:r>
        <w:rPr>
          <w:rFonts w:ascii="Times New Roman" w:hAnsi="Times New Roman" w:eastAsia="宋体" w:cs="Times New Roman"/>
          <w:b/>
          <w:i w:val="0"/>
          <w:color w:val="1E3A8A"/>
          <w:sz w:val="24"/>
          <w:szCs w:val="24"/>
        </w:rPr>
        <w:t>树结构规范</w:t>
      </w:r>
      <w:r>
        <w:rPr>
          <w:rFonts w:ascii="Times New Roman" w:hAnsi="Times New Roman" w:eastAsia="宋体" w:cs="Times New Roman"/>
          <w:i w:val="0"/>
          <w:color w:val="1F2937"/>
          <w:sz w:val="24"/>
          <w:szCs w:val="24"/>
        </w:rPr>
        <w:t>：设备监测左侧结构树按【企业 → 设备】两级展开（用能监测左侧结构树按【园区 → 企业】两级展开），设备节点前置语义图标，未接入单位字体置灰禁用。</w:t>
      </w:r>
    </w:p>
    <w:p w14:paraId="3C87FBEE">
      <w:pPr>
        <w:pStyle w:val="19"/>
        <w:widowControl/>
        <w:ind w:left="0" w:leftChars="0" w:firstLine="0" w:firstLineChars="0"/>
      </w:pPr>
      <w:r>
        <w:drawing>
          <wp:inline distT="0" distB="0" distL="114300" distR="114300">
            <wp:extent cx="5913755" cy="1678940"/>
            <wp:effectExtent l="0" t="0" r="10795" b="16510"/>
            <wp:docPr id="10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54"/>
                    <pic:cNvPicPr>
                      <a:picLocks noChangeAspect="1"/>
                    </pic:cNvPicPr>
                  </pic:nvPicPr>
                  <pic:blipFill>
                    <a:blip r:embed="rId30"/>
                    <a:stretch>
                      <a:fillRect/>
                    </a:stretch>
                  </pic:blipFill>
                  <pic:spPr>
                    <a:xfrm>
                      <a:off x="0" y="0"/>
                      <a:ext cx="5913755" cy="1678940"/>
                    </a:xfrm>
                    <a:prstGeom prst="rect">
                      <a:avLst/>
                    </a:prstGeom>
                    <a:noFill/>
                    <a:ln>
                      <a:noFill/>
                    </a:ln>
                  </pic:spPr>
                </pic:pic>
              </a:graphicData>
            </a:graphic>
          </wp:inline>
        </w:drawing>
      </w:r>
    </w:p>
    <w:p w14:paraId="6C246EC5">
      <w:pPr>
        <w:pStyle w:val="19"/>
        <w:widowControl/>
        <w:ind w:left="0" w:leftChars="0" w:firstLine="0" w:firstLineChars="0"/>
        <w:rPr>
          <w:rFonts w:hint="eastAsia"/>
          <w:lang w:val="en-US" w:eastAsia="zh-CN"/>
        </w:rPr>
      </w:pPr>
      <w:r>
        <w:rPr>
          <w:rFonts w:hint="eastAsia"/>
          <w:lang w:val="en-US" w:eastAsia="zh-CN"/>
        </w:rPr>
        <w:t>监测设备：</w:t>
      </w:r>
    </w:p>
    <w:p w14:paraId="21387C61">
      <w:pPr>
        <w:pStyle w:val="19"/>
        <w:widowControl/>
        <w:ind w:left="0" w:leftChars="0" w:firstLine="0" w:firstLineChars="0"/>
        <w:rPr>
          <w:rFonts w:hint="eastAsia"/>
          <w:lang w:val="en-US" w:eastAsia="zh-CN"/>
        </w:rPr>
      </w:pPr>
    </w:p>
    <w:p w14:paraId="2097ECE5">
      <w:pPr>
        <w:pStyle w:val="19"/>
        <w:widowControl/>
        <w:ind w:left="0" w:leftChars="0" w:firstLine="0" w:firstLineChars="0"/>
      </w:pPr>
      <w:r>
        <w:drawing>
          <wp:inline distT="0" distB="0" distL="114300" distR="114300">
            <wp:extent cx="5913755" cy="1893570"/>
            <wp:effectExtent l="0" t="0" r="10795" b="11430"/>
            <wp:docPr id="101"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55"/>
                    <pic:cNvPicPr>
                      <a:picLocks noChangeAspect="1"/>
                    </pic:cNvPicPr>
                  </pic:nvPicPr>
                  <pic:blipFill>
                    <a:blip r:embed="rId31"/>
                    <a:stretch>
                      <a:fillRect/>
                    </a:stretch>
                  </pic:blipFill>
                  <pic:spPr>
                    <a:xfrm>
                      <a:off x="0" y="0"/>
                      <a:ext cx="5913755" cy="1893570"/>
                    </a:xfrm>
                    <a:prstGeom prst="rect">
                      <a:avLst/>
                    </a:prstGeom>
                    <a:noFill/>
                    <a:ln>
                      <a:noFill/>
                    </a:ln>
                  </pic:spPr>
                </pic:pic>
              </a:graphicData>
            </a:graphic>
          </wp:inline>
        </w:drawing>
      </w:r>
    </w:p>
    <w:p w14:paraId="57C8090A">
      <w:pPr>
        <w:pStyle w:val="19"/>
        <w:widowControl/>
        <w:ind w:left="0" w:leftChars="0" w:firstLine="0" w:firstLineChars="0"/>
        <w:rPr>
          <w:rFonts w:hint="eastAsia"/>
          <w:lang w:val="en-US" w:eastAsia="zh-CN"/>
        </w:rPr>
      </w:pPr>
      <w:r>
        <w:rPr>
          <w:rFonts w:hint="eastAsia"/>
          <w:lang w:val="en-US" w:eastAsia="zh-CN"/>
        </w:rPr>
        <w:t>数据图标：</w:t>
      </w:r>
    </w:p>
    <w:p w14:paraId="4AD1BD0B">
      <w:pPr>
        <w:pStyle w:val="19"/>
        <w:widowControl/>
        <w:ind w:left="0" w:leftChars="0" w:firstLine="0" w:firstLineChars="0"/>
        <w:rPr>
          <w:rFonts w:hint="eastAsia"/>
          <w:lang w:val="en-US" w:eastAsia="zh-CN"/>
        </w:rPr>
      </w:pPr>
    </w:p>
    <w:p w14:paraId="2709253A">
      <w:pPr>
        <w:pStyle w:val="19"/>
        <w:widowControl/>
        <w:ind w:left="0" w:leftChars="0" w:firstLine="0" w:firstLineChars="0"/>
      </w:pPr>
      <w:r>
        <w:drawing>
          <wp:inline distT="0" distB="0" distL="114300" distR="114300">
            <wp:extent cx="5913755" cy="1499870"/>
            <wp:effectExtent l="0" t="0" r="10795" b="5080"/>
            <wp:docPr id="10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56"/>
                    <pic:cNvPicPr>
                      <a:picLocks noChangeAspect="1"/>
                    </pic:cNvPicPr>
                  </pic:nvPicPr>
                  <pic:blipFill>
                    <a:blip r:embed="rId32"/>
                    <a:stretch>
                      <a:fillRect/>
                    </a:stretch>
                  </pic:blipFill>
                  <pic:spPr>
                    <a:xfrm>
                      <a:off x="0" y="0"/>
                      <a:ext cx="5913755" cy="1499870"/>
                    </a:xfrm>
                    <a:prstGeom prst="rect">
                      <a:avLst/>
                    </a:prstGeom>
                    <a:noFill/>
                    <a:ln>
                      <a:noFill/>
                    </a:ln>
                  </pic:spPr>
                </pic:pic>
              </a:graphicData>
            </a:graphic>
          </wp:inline>
        </w:drawing>
      </w:r>
    </w:p>
    <w:p w14:paraId="363F5110">
      <w:pPr>
        <w:pStyle w:val="19"/>
        <w:widowControl/>
        <w:ind w:left="0" w:leftChars="0" w:firstLine="0" w:firstLineChars="0"/>
        <w:rPr>
          <w:rFonts w:hint="eastAsia"/>
          <w:lang w:val="en-US" w:eastAsia="zh-CN"/>
        </w:rPr>
      </w:pPr>
      <w:r>
        <w:rPr>
          <w:rFonts w:hint="eastAsia"/>
          <w:lang w:val="en-US" w:eastAsia="zh-CN"/>
        </w:rPr>
        <w:t>设备峰平谷分析：</w:t>
      </w:r>
    </w:p>
    <w:p w14:paraId="05CE69E2">
      <w:pPr>
        <w:pStyle w:val="19"/>
        <w:widowControl/>
        <w:ind w:left="0" w:leftChars="0" w:firstLine="0" w:firstLineChars="0"/>
        <w:rPr>
          <w:rFonts w:hint="default"/>
          <w:lang w:val="en-US" w:eastAsia="zh-CN"/>
        </w:rPr>
      </w:pPr>
    </w:p>
    <w:p w14:paraId="6B8782D5">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10193" w:type="dxa"/>
        <w:jc w:val="center"/>
        <w:tblLayout w:type="autofit"/>
        <w:tblCellMar>
          <w:top w:w="0" w:type="dxa"/>
          <w:left w:w="108" w:type="dxa"/>
          <w:bottom w:w="0" w:type="dxa"/>
          <w:right w:w="108" w:type="dxa"/>
        </w:tblCellMar>
      </w:tblPr>
      <w:tblGrid>
        <w:gridCol w:w="817"/>
        <w:gridCol w:w="1781"/>
        <w:gridCol w:w="1299"/>
        <w:gridCol w:w="1299"/>
        <w:gridCol w:w="1781"/>
        <w:gridCol w:w="3216"/>
      </w:tblGrid>
      <w:tr w14:paraId="5076016A">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C98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7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2C157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3C1D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1435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17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F017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适用设备类型</w:t>
            </w:r>
          </w:p>
        </w:tc>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8C203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7383307A">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050C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A3BC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设备唯一编码</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56FF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F80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706C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4C3C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唯一主键，设备台账下发</w:t>
            </w:r>
          </w:p>
        </w:tc>
      </w:tr>
      <w:tr w14:paraId="243A1E37">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C610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8EDD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设备标准名称</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5D35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8611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FB53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2B5E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非空，仅展示标准名称不含冗余路径</w:t>
            </w:r>
          </w:p>
        </w:tc>
      </w:tr>
      <w:tr w14:paraId="14BB3EF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920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E690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电压</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C477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BF79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7DB4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7311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三相电压（实时点位）</w:t>
            </w:r>
          </w:p>
        </w:tc>
      </w:tr>
      <w:tr w14:paraId="0DE17CC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528D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E3CF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电流</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2B4D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CED2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3255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35FD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三相电流</w:t>
            </w:r>
          </w:p>
        </w:tc>
      </w:tr>
      <w:tr w14:paraId="011417F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6784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AC8C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总有功功率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DDA1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B467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D47E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3B6A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实时有功功率</w:t>
            </w:r>
          </w:p>
        </w:tc>
      </w:tr>
      <w:tr w14:paraId="50C3204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3463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D19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7941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D10E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cosφ</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C6CC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333B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越限阈值 0.90，低于即告警</w:t>
            </w:r>
          </w:p>
        </w:tc>
      </w:tr>
      <w:tr w14:paraId="64F10A8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C2E7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C3D2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正向有功电能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490C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67F5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B819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CD4D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累计电能</w:t>
            </w:r>
          </w:p>
        </w:tc>
      </w:tr>
      <w:tr w14:paraId="059F8A0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D6BE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64B2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反向有功电能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89B5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D602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8835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ACE2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反向累计</w:t>
            </w:r>
          </w:p>
        </w:tc>
      </w:tr>
      <w:tr w14:paraId="70B88BD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0F16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EE27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正向无功电能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3382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5CD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ACB1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A6EE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累计无功</w:t>
            </w:r>
          </w:p>
        </w:tc>
      </w:tr>
      <w:tr w14:paraId="7DD1D1B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C9D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6E31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反向无功电能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F575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62FE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9894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A757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反向累计</w:t>
            </w:r>
          </w:p>
        </w:tc>
      </w:tr>
      <w:tr w14:paraId="568593D4">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6E5E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3756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水压</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854E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A875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CBD4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水务</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1CDE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供水压力</w:t>
            </w:r>
          </w:p>
        </w:tc>
      </w:tr>
      <w:tr w14:paraId="66431E8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93E9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D4E5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累计流量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B741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4908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719C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水/天然气</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0407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累计水量或标况累计流量</w:t>
            </w:r>
          </w:p>
        </w:tc>
      </w:tr>
      <w:tr w14:paraId="4212A6A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0B1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2AD4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B06A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611D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m³/h</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9200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B446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w:t>
            </w:r>
          </w:p>
        </w:tc>
      </w:tr>
      <w:tr w14:paraId="05651A8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48FA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260A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瞬时蒸汽流量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ECC9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26B1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C2EA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35F0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涡街/孔板流量计温压补偿积算</w:t>
            </w:r>
          </w:p>
        </w:tc>
      </w:tr>
      <w:tr w14:paraId="3313269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FB2B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3771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蒸汽消耗量</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70E0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387E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11A1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CBB3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瞬时流量时间积分累加量</w:t>
            </w:r>
          </w:p>
        </w:tc>
      </w:tr>
      <w:tr w14:paraId="1DCE16BB">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6D1E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16</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24F0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供汽管道工作压力</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16F7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45F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DA98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CAB9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压力变送器 4-20mA 实时遥测</w:t>
            </w:r>
          </w:p>
        </w:tc>
      </w:tr>
    </w:tbl>
    <w:p w14:paraId="55E09C78">
      <w:pPr>
        <w:spacing w:after="60"/>
        <w:rPr>
          <w:rFonts w:hint="eastAsia" w:ascii="宋体" w:hAnsi="宋体" w:eastAsia="宋体" w:cs="宋体"/>
          <w:i w:val="0"/>
          <w:iCs w:val="0"/>
          <w:sz w:val="24"/>
          <w:szCs w:val="24"/>
        </w:rPr>
      </w:pPr>
    </w:p>
    <w:p w14:paraId="2B745ED3">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48E44FF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99319C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P_active = √3 × U × I × cosφ / 1s采样        实时有功功率</w:t>
            </w:r>
          </w:p>
          <w:p w14:paraId="3056EF5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cosφ = P / S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功率因数 = 有功 / 视在功率</w:t>
            </w:r>
          </w:p>
          <w:p w14:paraId="765F6BB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Load = ( P_actual / P_rated ) × 100%              设备负荷率</w:t>
            </w:r>
          </w:p>
          <w:p w14:paraId="552C5F8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Load_MoM = ( Load_t - Load_{t-1} ) / Load_{t-1}    负荷率环比变动</w:t>
            </w:r>
          </w:p>
          <w:p w14:paraId="283E321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Q_steam = ∫ F_instant dt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蒸汽消耗量 = 瞬时流量时间积分</w:t>
            </w:r>
          </w:p>
        </w:tc>
      </w:tr>
    </w:tbl>
    <w:p w14:paraId="582441A7">
      <w:pPr>
        <w:spacing w:after="40"/>
        <w:rPr>
          <w:rFonts w:hint="eastAsia" w:ascii="宋体" w:hAnsi="宋体" w:eastAsia="宋体" w:cs="宋体"/>
          <w:i w:val="0"/>
          <w:iCs w:val="0"/>
          <w:sz w:val="24"/>
          <w:szCs w:val="24"/>
        </w:rPr>
      </w:pPr>
    </w:p>
    <w:p w14:paraId="4F2BD0D7">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P_rated </w:t>
      </w:r>
      <w:r>
        <w:rPr>
          <w:rFonts w:ascii="Times New Roman" w:hAnsi="Times New Roman" w:eastAsia="宋体" w:cs="Times New Roman"/>
          <w:i w:val="0"/>
          <w:color w:val="1F2937"/>
          <w:sz w:val="24"/>
          <w:szCs w:val="24"/>
        </w:rPr>
        <w:t xml:space="preserve"> 为设备铭牌额定功率；</w:t>
      </w:r>
      <w:r>
        <w:rPr>
          <w:rFonts w:ascii="Times New Roman" w:hAnsi="Times New Roman" w:eastAsia="宋体" w:cs="Times New Roman"/>
          <w:b w:val="0"/>
          <w:i w:val="0"/>
          <w:color w:val="0284C7"/>
          <w:sz w:val="24"/>
          <w:szCs w:val="24"/>
        </w:rPr>
        <w:t xml:space="preserve"> F_instant </w:t>
      </w:r>
      <w:r>
        <w:rPr>
          <w:rFonts w:ascii="Times New Roman" w:hAnsi="Times New Roman" w:eastAsia="宋体" w:cs="Times New Roman"/>
          <w:i w:val="0"/>
          <w:color w:val="1F2937"/>
          <w:sz w:val="24"/>
          <w:szCs w:val="24"/>
        </w:rPr>
        <w:t xml:space="preserve"> 为瞬时蒸汽流量；告警阈值：负荷率超 120%、功率因数低于 0.90 触发越限。</w:t>
      </w:r>
    </w:p>
    <w:p w14:paraId="31F15CC0">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6E2173D">
      <w:pPr>
        <w:pStyle w:val="19"/>
        <w:widowControl/>
        <w:numPr>
          <w:ilvl w:val="0"/>
          <w:numId w:val="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客观中立准则</w:t>
      </w:r>
      <w:r>
        <w:rPr>
          <w:rFonts w:ascii="Times New Roman" w:hAnsi="Times New Roman" w:eastAsia="宋体" w:cs="Times New Roman"/>
          <w:i w:val="0"/>
          <w:color w:val="1F2937"/>
          <w:sz w:val="24"/>
          <w:szCs w:val="24"/>
        </w:rPr>
        <w:t xml:space="preserve">：工况对比统一使用时序"环比"（如 </w:t>
      </w:r>
      <w:r>
        <w:rPr>
          <w:rFonts w:ascii="Times New Roman" w:hAnsi="Times New Roman" w:eastAsia="宋体" w:cs="Times New Roman"/>
          <w:b w:val="0"/>
          <w:i w:val="0"/>
          <w:color w:val="0284C7"/>
          <w:sz w:val="24"/>
          <w:szCs w:val="24"/>
        </w:rPr>
        <w:t xml:space="preserve"> 负荷率环比 +1.8% </w:t>
      </w:r>
      <w:r>
        <w:rPr>
          <w:rFonts w:ascii="Times New Roman" w:hAnsi="Times New Roman" w:eastAsia="宋体" w:cs="Times New Roman"/>
          <w:i w:val="0"/>
          <w:color w:val="1F2937"/>
          <w:sz w:val="24"/>
          <w:szCs w:val="24"/>
        </w:rPr>
        <w:t>），严禁出现主观评价文字（如"电能品质优良"等）。原"管道工作压力"统一标准化更名为【蒸汽消耗量】。</w:t>
      </w:r>
    </w:p>
    <w:p w14:paraId="4AF9E597">
      <w:pPr>
        <w:pStyle w:val="19"/>
        <w:widowControl/>
        <w:numPr>
          <w:ilvl w:val="0"/>
          <w:numId w:val="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设备类型口径</w:t>
      </w:r>
      <w:r>
        <w:rPr>
          <w:rFonts w:ascii="Times New Roman" w:hAnsi="Times New Roman" w:eastAsia="宋体" w:cs="Times New Roman"/>
          <w:i w:val="0"/>
          <w:color w:val="1F2937"/>
          <w:sz w:val="24"/>
          <w:szCs w:val="24"/>
        </w:rPr>
        <w:t>：电力驱动 23 台、热力用能 9 台，合计 32 台，为固定纳管范围，未纳管设备不参与统计。</w:t>
      </w:r>
    </w:p>
    <w:p w14:paraId="7DA3BE4C">
      <w:pPr>
        <w:pStyle w:val="19"/>
        <w:widowControl/>
        <w:numPr>
          <w:ilvl w:val="0"/>
          <w:numId w:val="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负荷率三色判定</w:t>
      </w:r>
      <w:r>
        <w:rPr>
          <w:rFonts w:ascii="Times New Roman" w:hAnsi="Times New Roman" w:eastAsia="宋体" w:cs="Times New Roman"/>
          <w:i w:val="0"/>
          <w:color w:val="1F2937"/>
          <w:sz w:val="24"/>
          <w:szCs w:val="24"/>
        </w:rPr>
        <w:t>：≤100% 正常，100%~120% 关注，&gt;120% 越限告警。</w:t>
      </w:r>
    </w:p>
    <w:p w14:paraId="0668E0CC">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C4B3B2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4F3FDF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越限（负荷率超 120%、功率因数低于 0.90 等）触发告警中心事件并红框高亮对应设备卡片。</w:t>
            </w:r>
          </w:p>
          <w:p w14:paraId="372F1E9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- 9 家未联网单位设备数标注为 </w:t>
            </w:r>
            <w:r>
              <w:rPr>
                <w:rFonts w:hint="eastAsia" w:ascii="宋体" w:hAnsi="宋体" w:eastAsia="宋体" w:cs="宋体"/>
                <w:b w:val="0"/>
                <w:i w:val="0"/>
                <w:iCs w:val="0"/>
                <w:color w:val="0284C7"/>
                <w:sz w:val="24"/>
                <w:szCs w:val="24"/>
              </w:rPr>
              <w:t xml:space="preserve"> (0) </w:t>
            </w:r>
            <w:r>
              <w:rPr>
                <w:rFonts w:hint="eastAsia" w:ascii="宋体" w:hAnsi="宋体" w:eastAsia="宋体" w:cs="宋体"/>
                <w:i w:val="0"/>
                <w:iCs w:val="0"/>
                <w:color w:val="1F2937"/>
                <w:sz w:val="24"/>
                <w:szCs w:val="24"/>
              </w:rPr>
              <w:t>，节点置灰禁用。</w:t>
            </w:r>
          </w:p>
          <w:p w14:paraId="60CA7B3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实时刷新：实时点位按 1s~5s 轮询刷新【待确认】，历史区间查询走日结库。</w:t>
            </w:r>
          </w:p>
          <w:p w14:paraId="5C924A1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设备离线：卡片显示"设备离线"状态徽章并保留最后一次有效读数，不阻断页面其余设备渲染。</w:t>
            </w:r>
          </w:p>
        </w:tc>
      </w:tr>
    </w:tbl>
    <w:p w14:paraId="578AB922">
      <w:pPr>
        <w:spacing w:after="40"/>
        <w:rPr>
          <w:rFonts w:hint="eastAsia" w:ascii="宋体" w:hAnsi="宋体" w:eastAsia="宋体" w:cs="宋体"/>
          <w:i w:val="0"/>
          <w:iCs w:val="0"/>
          <w:sz w:val="24"/>
          <w:szCs w:val="24"/>
        </w:rPr>
      </w:pPr>
    </w:p>
    <w:p w14:paraId="593ED9EF">
      <w:pPr>
        <w:pStyle w:val="6"/>
        <w:numPr>
          <w:ilvl w:val="0"/>
          <w:numId w:val="49"/>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E96CF68">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BB77C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重点设备在线监测介质自适应</w:t>
            </w:r>
          </w:p>
          <w:p w14:paraId="46FEAE0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电力与热力设备指标自适应</w:t>
            </w:r>
          </w:p>
          <w:p w14:paraId="4594113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设备树中同时存在电力驱动设备与热力用能设备</w:t>
            </w:r>
          </w:p>
          <w:p w14:paraId="5CC71D0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用户选中一台电力驱动设备</w:t>
            </w:r>
          </w:p>
          <w:p w14:paraId="4828575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核心指标区展示实时有功功率、当月用电量、当日用电量、负荷率与功率因数</w:t>
            </w:r>
          </w:p>
          <w:p w14:paraId="42516C1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图表区展示 15 分钟连续负荷曲线与峰平谷占比环形图</w:t>
            </w:r>
          </w:p>
          <w:p w14:paraId="5729443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用户改选一台热力用能设备</w:t>
            </w:r>
          </w:p>
          <w:p w14:paraId="70A76DD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核心指标区改为展示瞬时蒸汽流量、当月蒸汽消耗量、当日蒸汽消耗量、供汽管道压力与温度</w:t>
            </w:r>
          </w:p>
          <w:p w14:paraId="44FA4D2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不再出现峰平谷相关字样</w:t>
            </w:r>
          </w:p>
          <w:p w14:paraId="114E3524">
            <w:pPr>
              <w:spacing w:before="0" w:after="20" w:line="264" w:lineRule="auto"/>
              <w:rPr>
                <w:rFonts w:hint="eastAsia" w:ascii="宋体" w:hAnsi="宋体" w:eastAsia="宋体" w:cs="宋体"/>
                <w:i w:val="0"/>
                <w:iCs w:val="0"/>
                <w:sz w:val="24"/>
                <w:szCs w:val="24"/>
              </w:rPr>
            </w:pPr>
          </w:p>
          <w:p w14:paraId="0AF8EC4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设备越限告警联动</w:t>
            </w:r>
          </w:p>
          <w:p w14:paraId="5109624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某电力设备实时负荷率为 128%</w:t>
            </w:r>
          </w:p>
          <w:p w14:paraId="1A0BB05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系统完成一次 5 秒轮询刷新</w:t>
            </w:r>
          </w:p>
          <w:p w14:paraId="4C466D2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该设备卡片红框高亮</w:t>
            </w:r>
          </w:p>
          <w:p w14:paraId="591FEC3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告警中心新增一条设备越限事件</w:t>
            </w:r>
          </w:p>
          <w:p w14:paraId="22F4DB5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页面文案使用"负荷率环比 +X%"表达，不含主观评语</w:t>
            </w:r>
          </w:p>
        </w:tc>
      </w:tr>
    </w:tbl>
    <w:p w14:paraId="7C114C0E">
      <w:pPr>
        <w:spacing w:after="40"/>
        <w:rPr>
          <w:rFonts w:hint="eastAsia" w:ascii="宋体" w:hAnsi="宋体" w:eastAsia="宋体" w:cs="宋体"/>
          <w:i w:val="0"/>
          <w:iCs w:val="0"/>
          <w:sz w:val="24"/>
          <w:szCs w:val="24"/>
        </w:rPr>
      </w:pPr>
    </w:p>
    <w:p w14:paraId="7BEA52AE">
      <w:pPr>
        <w:pStyle w:val="5"/>
        <w:numPr>
          <w:ilvl w:val="0"/>
          <w:numId w:val="27"/>
        </w:numPr>
        <w:ind w:left="0" w:leftChars="0" w:firstLine="0" w:firstLineChars="0"/>
        <w:outlineLvl w:val="1"/>
        <w:rPr>
          <w:rFonts w:eastAsia="黑体"/>
          <w:b w:val="0"/>
          <w:bCs w:val="0"/>
          <w:sz w:val="30"/>
          <w:szCs w:val="24"/>
        </w:rPr>
      </w:pPr>
      <w:bookmarkStart w:id="19" w:name="_Toc13224"/>
      <w:r>
        <w:rPr>
          <w:rFonts w:ascii="Times New Roman" w:hAnsi="Times New Roman" w:eastAsia="黑体" w:cs="Times New Roman"/>
          <w:b w:val="0"/>
          <w:bCs w:val="0"/>
          <w:sz w:val="30"/>
          <w:szCs w:val="24"/>
        </w:rPr>
        <w:t>工业微电网监测</w:t>
      </w:r>
      <w:bookmarkEnd w:id="19"/>
    </w:p>
    <w:p w14:paraId="21959495">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drawing>
          <wp:inline distT="0" distB="0" distL="114300" distR="114300">
            <wp:extent cx="5900420" cy="2925445"/>
            <wp:effectExtent l="0" t="0" r="5080" b="825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33"/>
                    <a:stretch>
                      <a:fillRect/>
                    </a:stretch>
                  </pic:blipFill>
                  <pic:spPr>
                    <a:xfrm>
                      <a:off x="0" y="0"/>
                      <a:ext cx="5900420" cy="2925445"/>
                    </a:xfrm>
                    <a:prstGeom prst="rect">
                      <a:avLst/>
                    </a:prstGeom>
                    <a:noFill/>
                    <a:ln>
                      <a:noFill/>
                    </a:ln>
                  </pic:spPr>
                </pic:pic>
              </a:graphicData>
            </a:graphic>
          </wp:inline>
        </w:drawing>
      </w:r>
    </w:p>
    <w:p w14:paraId="551D72A1">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E9C7003">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：园区级源网荷储一体化运行的实时监测与工况分析模块，支撑微电网削峰填谷与绿电消纳优化。</w:t>
      </w:r>
    </w:p>
    <w:p w14:paraId="4F2434E9">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园区能碳专员（微电网调度视角）、设备保全工程师。</w:t>
      </w:r>
    </w:p>
    <w:p w14:paraId="0718511F">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/monitor/energy/microgrid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/power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/electricity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/green </w:t>
      </w:r>
      <w:r>
        <w:rPr>
          <w:rFonts w:ascii="Times New Roman" w:hAnsi="Times New Roman" w:eastAsia="宋体" w:cs="Times New Roman"/>
          <w:i w:val="0"/>
          <w:color w:val="1F2937"/>
          <w:sz w:val="24"/>
          <w:szCs w:val="24"/>
        </w:rPr>
        <w:t>。</w:t>
      </w:r>
    </w:p>
    <w:p w14:paraId="766CFFA5">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：工业微电网监测设备遥测、储能 BMS、光伏逆变器、能源价格管理分时电价。</w:t>
      </w:r>
    </w:p>
    <w:p w14:paraId="42A60FE8">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：移峰填谷调度依据、绿电消纳统计、碳排监测绿电抵扣数据。</w:t>
      </w:r>
    </w:p>
    <w:p w14:paraId="6F9C0D9B">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38ABF38">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：园区微电网运行工况的连续监视，覆盖光伏发电、储能充放、市电负荷与热力设备蒸汽消耗，支撑谷充峰放执行与绿电消纳率提升。</w:t>
      </w:r>
    </w:p>
    <w:p w14:paraId="6C614E77">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40663D5">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5400D713">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在微电网监测页按企业展开设备树，查看光伏发电功率、储能 SOC 与充放功率、市电负荷及热力设备蒸汽消耗的实时工况与环比</w:t>
      </w:r>
      <w:r>
        <w:rPr>
          <w:rFonts w:ascii="Times New Roman" w:hAnsi="Times New Roman" w:eastAsia="宋体" w:cs="Times New Roman"/>
          <w:i w:val="0"/>
          <w:color w:val="1F2937"/>
          <w:sz w:val="24"/>
          <w:szCs w:val="24"/>
        </w:rPr>
        <w:t>，</w:t>
      </w:r>
    </w:p>
    <w:p w14:paraId="780B5870">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我能优化储能充放策略，提升绿电消纳率并降低尖峰电费</w:t>
      </w:r>
      <w:r>
        <w:rPr>
          <w:rFonts w:ascii="Times New Roman" w:hAnsi="Times New Roman" w:eastAsia="宋体" w:cs="Times New Roman"/>
          <w:i w:val="0"/>
          <w:color w:val="1F2937"/>
          <w:sz w:val="24"/>
          <w:szCs w:val="24"/>
        </w:rPr>
        <w:t>。</w:t>
      </w:r>
    </w:p>
    <w:p w14:paraId="1B2A2A59">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055400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功能交互规则：</w:t>
      </w:r>
    </w:p>
    <w:p w14:paraId="67995E59">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拓扑树规范</w:t>
      </w:r>
      <w:r>
        <w:rPr>
          <w:rFonts w:ascii="Times New Roman" w:hAnsi="Times New Roman" w:eastAsia="宋体" w:cs="Times New Roman"/>
          <w:i w:val="0"/>
          <w:color w:val="1F2937"/>
          <w:sz w:val="24"/>
          <w:szCs w:val="24"/>
        </w:rPr>
        <w:t>：左侧展示【企业 ➔ 设备】（全量纳入 23 台电力驱动设备与 9 台热力用能设备），设备节点前置语义图标，彻底剥离末尾冗余胶囊徽章；未接入单位字体置灰禁用。</w:t>
      </w:r>
    </w:p>
    <w:p w14:paraId="144AF3AE">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核心自适应机制</w:t>
      </w:r>
      <w:r>
        <w:rPr>
          <w:rFonts w:ascii="Times New Roman" w:hAnsi="Times New Roman" w:eastAsia="宋体" w:cs="Times New Roman"/>
          <w:i w:val="0"/>
          <w:color w:val="1F2937"/>
          <w:sz w:val="24"/>
          <w:szCs w:val="24"/>
        </w:rPr>
        <w:t>：选中电力设备自动呈现有功功率、累计电量、功率因数与负荷率（环比维度）；选中热力设备自动呈现瞬时蒸汽流量、蒸汽消耗量、供汽压力与供汽温度。</w:t>
      </w:r>
    </w:p>
    <w:p w14:paraId="2965723E">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客观中立准则</w:t>
      </w:r>
      <w:r>
        <w:rPr>
          <w:rFonts w:ascii="Times New Roman" w:hAnsi="Times New Roman" w:eastAsia="宋体" w:cs="Times New Roman"/>
          <w:i w:val="0"/>
          <w:color w:val="1F2937"/>
          <w:sz w:val="24"/>
          <w:szCs w:val="24"/>
        </w:rPr>
        <w:t>：工况对比统一使用时序"环比"（如负荷率环比 +1.8%），严禁出现主观评价文字（如"电能品质优良"等）。原"管道工作压力"统一标准化更名为【蒸汽消耗量】。</w:t>
      </w:r>
    </w:p>
    <w:p w14:paraId="3E3B6B32">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4.1 功率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4.2 电量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4.3 绿电 </w:t>
      </w:r>
      <w:r>
        <w:rPr>
          <w:rFonts w:ascii="Times New Roman" w:hAnsi="Times New Roman" w:eastAsia="宋体" w:cs="Times New Roman"/>
          <w:i w:val="0"/>
          <w:color w:val="1F2937"/>
          <w:sz w:val="24"/>
          <w:szCs w:val="24"/>
        </w:rPr>
        <w:t xml:space="preserve"> 三个子页分别承载功率流、电量结算与绿电消纳专题视图。</w:t>
      </w:r>
    </w:p>
    <w:p w14:paraId="1DFDFAF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补充交互规则：</w:t>
      </w:r>
    </w:p>
    <w:p w14:paraId="450EA83C">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设备树</w:t>
      </w:r>
      <w:r>
        <w:rPr>
          <w:rFonts w:ascii="Times New Roman" w:hAnsi="Times New Roman" w:eastAsia="宋体" w:cs="Times New Roman"/>
          <w:i w:val="0"/>
          <w:color w:val="1F2937"/>
          <w:sz w:val="24"/>
          <w:szCs w:val="24"/>
        </w:rPr>
        <w:t>：支持按企业展开/收起、关键词搜索；设备节点前缀语义图标（电力设备 / 热力设备）。</w:t>
      </w:r>
    </w:p>
    <w:p w14:paraId="5A5005AB">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实时刷新</w:t>
      </w:r>
      <w:r>
        <w:rPr>
          <w:rFonts w:ascii="Times New Roman" w:hAnsi="Times New Roman" w:eastAsia="宋体" w:cs="Times New Roman"/>
          <w:i w:val="0"/>
          <w:color w:val="1F2937"/>
          <w:sz w:val="24"/>
          <w:szCs w:val="24"/>
        </w:rPr>
        <w:t>：边端一体机对水、电、汽、压力等核心点位保持 1s~5s 高频采集与本地滑动窗口计算，用于瞬时越限告警判定；云端常规表计统一采用 15 分钟等间隔打点汇聚上报。</w:t>
      </w:r>
    </w:p>
    <w:p w14:paraId="4F91D2DF">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高频透传模式：仅对 32 台特种工艺设备（气相真空干燥罐、耐压试验台等），在其运行试验期间由系统动态开启 1s~5s 级高频透传；试验结束后自动恢复 15 分钟等间隔汇聚，透传时长与点数写入带宽占用流水。</w:t>
      </w:r>
    </w:p>
    <w:p w14:paraId="1F4229C4">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告警联动</w:t>
      </w:r>
      <w:r>
        <w:rPr>
          <w:rFonts w:ascii="Times New Roman" w:hAnsi="Times New Roman" w:eastAsia="宋体" w:cs="Times New Roman"/>
          <w:i w:val="0"/>
          <w:color w:val="1F2937"/>
          <w:sz w:val="24"/>
          <w:szCs w:val="24"/>
        </w:rPr>
        <w:t>：越限（负荷率超 120%、功率因数低于 0.90 等）触发告警中心事件并红框高亮对应设备卡片。</w:t>
      </w:r>
    </w:p>
    <w:p w14:paraId="62D2677F">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环比表达</w:t>
      </w:r>
      <w:r>
        <w:rPr>
          <w:rFonts w:ascii="Times New Roman" w:hAnsi="Times New Roman" w:eastAsia="宋体" w:cs="Times New Roman"/>
          <w:i w:val="0"/>
          <w:color w:val="1F2937"/>
          <w:sz w:val="24"/>
          <w:szCs w:val="24"/>
        </w:rPr>
        <w:t>：工况对比统一使用时序"环比"，严禁主观评价文字（客观中立原则）。</w:t>
      </w:r>
    </w:p>
    <w:p w14:paraId="4C597215">
      <w:pPr>
        <w:pStyle w:val="19"/>
        <w:widowControl/>
        <w:numPr>
          <w:ilvl w:val="0"/>
          <w:numId w:val="0"/>
        </w:numPr>
        <w:rPr>
          <w:rFonts w:hint="default" w:eastAsia="宋体"/>
          <w:b/>
          <w:i w:val="0"/>
          <w:color w:val="0284C7"/>
          <w:sz w:val="24"/>
          <w:szCs w:val="24"/>
          <w:lang w:val="en-US" w:eastAsia="zh-CN"/>
        </w:rPr>
      </w:pPr>
      <w:r>
        <w:rPr>
          <w:rFonts w:hint="eastAsia" w:cs="Times New Roman"/>
          <w:i w:val="0"/>
          <w:color w:val="1F2937"/>
          <w:sz w:val="24"/>
          <w:szCs w:val="24"/>
          <w:lang w:val="en-US" w:eastAsia="zh-CN"/>
        </w:rPr>
        <w:t>功率数据：</w:t>
      </w:r>
    </w:p>
    <w:p w14:paraId="2D932D9F">
      <w:pPr>
        <w:pStyle w:val="19"/>
        <w:widowControl/>
        <w:numPr>
          <w:ilvl w:val="0"/>
          <w:numId w:val="0"/>
        </w:numPr>
      </w:pPr>
      <w:r>
        <w:drawing>
          <wp:inline distT="0" distB="0" distL="114300" distR="114300">
            <wp:extent cx="5909310" cy="2963545"/>
            <wp:effectExtent l="0" t="0" r="15240" b="8255"/>
            <wp:docPr id="10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57"/>
                    <pic:cNvPicPr>
                      <a:picLocks noChangeAspect="1"/>
                    </pic:cNvPicPr>
                  </pic:nvPicPr>
                  <pic:blipFill>
                    <a:blip r:embed="rId34"/>
                    <a:stretch>
                      <a:fillRect/>
                    </a:stretch>
                  </pic:blipFill>
                  <pic:spPr>
                    <a:xfrm>
                      <a:off x="0" y="0"/>
                      <a:ext cx="5909310" cy="2963545"/>
                    </a:xfrm>
                    <a:prstGeom prst="rect">
                      <a:avLst/>
                    </a:prstGeom>
                    <a:noFill/>
                    <a:ln>
                      <a:noFill/>
                    </a:ln>
                  </pic:spPr>
                </pic:pic>
              </a:graphicData>
            </a:graphic>
          </wp:inline>
        </w:drawing>
      </w:r>
    </w:p>
    <w:p w14:paraId="448545E1">
      <w:pPr>
        <w:pStyle w:val="19"/>
        <w:widowControl/>
        <w:numPr>
          <w:ilvl w:val="0"/>
          <w:numId w:val="0"/>
        </w:numPr>
      </w:pPr>
    </w:p>
    <w:p w14:paraId="02E7F840">
      <w:pPr>
        <w:pStyle w:val="19"/>
        <w:widowControl/>
        <w:numPr>
          <w:ilvl w:val="0"/>
          <w:numId w:val="0"/>
        </w:numPr>
      </w:pPr>
      <w:r>
        <w:rPr>
          <w:rFonts w:hint="eastAsia"/>
          <w:lang w:val="en-US" w:eastAsia="zh-CN"/>
        </w:rPr>
        <w:t>电量数据：</w:t>
      </w:r>
      <w:r>
        <w:rPr>
          <w:rFonts w:hint="eastAsia"/>
          <w:lang w:val="en-US" w:eastAsia="zh-CN"/>
        </w:rPr>
        <w:br w:type="textWrapping"/>
      </w:r>
      <w:r>
        <w:drawing>
          <wp:inline distT="0" distB="0" distL="114300" distR="114300">
            <wp:extent cx="5905500" cy="3547110"/>
            <wp:effectExtent l="0" t="0" r="0" b="15240"/>
            <wp:docPr id="105"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59"/>
                    <pic:cNvPicPr>
                      <a:picLocks noChangeAspect="1"/>
                    </pic:cNvPicPr>
                  </pic:nvPicPr>
                  <pic:blipFill>
                    <a:blip r:embed="rId35"/>
                    <a:stretch>
                      <a:fillRect/>
                    </a:stretch>
                  </pic:blipFill>
                  <pic:spPr>
                    <a:xfrm>
                      <a:off x="0" y="0"/>
                      <a:ext cx="5905500" cy="3547110"/>
                    </a:xfrm>
                    <a:prstGeom prst="rect">
                      <a:avLst/>
                    </a:prstGeom>
                    <a:noFill/>
                    <a:ln>
                      <a:noFill/>
                    </a:ln>
                  </pic:spPr>
                </pic:pic>
              </a:graphicData>
            </a:graphic>
          </wp:inline>
        </w:drawing>
      </w:r>
    </w:p>
    <w:p w14:paraId="2226C238">
      <w:pPr>
        <w:pStyle w:val="19"/>
        <w:widowControl/>
        <w:numPr>
          <w:ilvl w:val="0"/>
          <w:numId w:val="0"/>
        </w:numPr>
      </w:pPr>
    </w:p>
    <w:p w14:paraId="1E320698">
      <w:pPr>
        <w:pStyle w:val="19"/>
        <w:widowControl/>
        <w:numPr>
          <w:ilvl w:val="0"/>
          <w:numId w:val="0"/>
        </w:numPr>
        <w:rPr>
          <w:rFonts w:hint="default" w:eastAsia="宋体"/>
          <w:lang w:val="en-US" w:eastAsia="zh-CN"/>
        </w:rPr>
      </w:pPr>
      <w:r>
        <w:rPr>
          <w:rFonts w:hint="eastAsia"/>
          <w:lang w:val="en-US" w:eastAsia="zh-CN"/>
        </w:rPr>
        <w:t>绿电数据：</w:t>
      </w:r>
    </w:p>
    <w:p w14:paraId="251F5E60">
      <w:pPr>
        <w:pStyle w:val="19"/>
        <w:widowControl/>
        <w:numPr>
          <w:ilvl w:val="0"/>
          <w:numId w:val="0"/>
        </w:numPr>
      </w:pPr>
      <w:r>
        <w:drawing>
          <wp:inline distT="0" distB="0" distL="114300" distR="114300">
            <wp:extent cx="5901690" cy="3753485"/>
            <wp:effectExtent l="0" t="0" r="3810" b="18415"/>
            <wp:docPr id="106"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60"/>
                    <pic:cNvPicPr>
                      <a:picLocks noChangeAspect="1"/>
                    </pic:cNvPicPr>
                  </pic:nvPicPr>
                  <pic:blipFill>
                    <a:blip r:embed="rId36"/>
                    <a:stretch>
                      <a:fillRect/>
                    </a:stretch>
                  </pic:blipFill>
                  <pic:spPr>
                    <a:xfrm>
                      <a:off x="0" y="0"/>
                      <a:ext cx="5901690" cy="3753485"/>
                    </a:xfrm>
                    <a:prstGeom prst="rect">
                      <a:avLst/>
                    </a:prstGeom>
                    <a:noFill/>
                    <a:ln>
                      <a:noFill/>
                    </a:ln>
                  </pic:spPr>
                </pic:pic>
              </a:graphicData>
            </a:graphic>
          </wp:inline>
        </w:drawing>
      </w:r>
    </w:p>
    <w:p w14:paraId="49DDB670">
      <w:pPr>
        <w:pStyle w:val="19"/>
        <w:widowControl/>
        <w:numPr>
          <w:ilvl w:val="0"/>
          <w:numId w:val="0"/>
        </w:numPr>
        <w:rPr>
          <w:rFonts w:hint="default"/>
          <w:lang w:val="en-US" w:eastAsia="zh-CN"/>
        </w:rPr>
      </w:pPr>
    </w:p>
    <w:p w14:paraId="0CDEFEC2">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849" w:type="dxa"/>
        <w:jc w:val="center"/>
        <w:tblLayout w:type="autofit"/>
        <w:tblCellMar>
          <w:top w:w="0" w:type="dxa"/>
          <w:left w:w="108" w:type="dxa"/>
          <w:bottom w:w="0" w:type="dxa"/>
          <w:right w:w="108" w:type="dxa"/>
        </w:tblCellMar>
      </w:tblPr>
      <w:tblGrid>
        <w:gridCol w:w="817"/>
        <w:gridCol w:w="1896"/>
        <w:gridCol w:w="1299"/>
        <w:gridCol w:w="1299"/>
        <w:gridCol w:w="1322"/>
        <w:gridCol w:w="3216"/>
      </w:tblGrid>
      <w:tr w14:paraId="7E10F324">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845C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11FC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3519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8F7F2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39501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适用设备类型</w:t>
            </w:r>
          </w:p>
        </w:tc>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E4774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计算模型/来源</w:t>
            </w:r>
          </w:p>
        </w:tc>
      </w:tr>
      <w:tr w14:paraId="0402E3FA">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EB21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DF6D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实时有功功率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DB05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7AC1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45F5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AA2D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P = √3 × U × I × cosφ</w:t>
            </w:r>
            <w:r>
              <w:rPr>
                <w:rFonts w:hint="eastAsia" w:ascii="宋体" w:hAnsi="宋体" w:eastAsia="宋体" w:cs="宋体"/>
                <w:i w:val="0"/>
                <w:iCs w:val="0"/>
                <w:color w:val="1F2937"/>
                <w:sz w:val="24"/>
                <w:szCs w:val="24"/>
              </w:rPr>
              <w:t>，1s 采集</w:t>
            </w:r>
          </w:p>
        </w:tc>
      </w:tr>
      <w:tr w14:paraId="22C6D43F">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5148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479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累计用电量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9BCE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8DD7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DFE1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BE56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电能表底数累加，每日 0 点清零日累计</w:t>
            </w:r>
          </w:p>
        </w:tc>
      </w:tr>
      <w:tr w14:paraId="4377B42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E969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01C3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运行功率因数</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B7F9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520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cosφ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9D11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9742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cosφ = P / S</w:t>
            </w:r>
            <w:r>
              <w:rPr>
                <w:rFonts w:hint="eastAsia" w:ascii="宋体" w:hAnsi="宋体" w:eastAsia="宋体" w:cs="宋体"/>
                <w:i w:val="0"/>
                <w:iCs w:val="0"/>
                <w:color w:val="1F2937"/>
                <w:sz w:val="24"/>
                <w:szCs w:val="24"/>
              </w:rPr>
              <w:t>（有功功率 / 视在功率）</w:t>
            </w:r>
          </w:p>
        </w:tc>
      </w:tr>
      <w:tr w14:paraId="3C2955A9">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D128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7F7A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设备负荷率</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D76A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E7CA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EDD3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5B0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Load = (P_{actual} / P_{rated}) × 100%</w:t>
            </w:r>
          </w:p>
        </w:tc>
      </w:tr>
      <w:tr w14:paraId="231B36A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8398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EDD5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负荷率环比变动</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1D67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497B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CEAE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99F3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MoM = (Load_t - Load_{t-1}) / Load_{t-1}</w:t>
            </w:r>
          </w:p>
        </w:tc>
      </w:tr>
      <w:tr w14:paraId="0BBDC40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24A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4CDC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瞬时蒸汽流量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AD5E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BEDB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E6E4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B67A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涡街/孔板流量计温度压力补偿积算</w:t>
            </w:r>
          </w:p>
        </w:tc>
      </w:tr>
      <w:tr w14:paraId="5008C7A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EA01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2712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蒸汽消耗量</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5226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962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B149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D261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瞬时流量时间积分累加量</w:t>
            </w:r>
          </w:p>
        </w:tc>
      </w:tr>
      <w:tr w14:paraId="3577DB37">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40E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FE71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供汽管道工作压力</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102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C3CA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1831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BC5B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压力变送器 4-20mA 实时遥测</w:t>
            </w:r>
          </w:p>
        </w:tc>
      </w:tr>
      <w:tr w14:paraId="221A5650">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0CE1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AA72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光伏发电功率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217C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505F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84C4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0669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逆变器直流侧/交流侧遥测</w:t>
            </w:r>
          </w:p>
        </w:tc>
      </w:tr>
      <w:tr w14:paraId="3C5D600F">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990E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4E12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 SOC 值</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E014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BBD0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5D4B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4FCB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BMS 上送，取值 0~100</w:t>
            </w:r>
          </w:p>
        </w:tc>
      </w:tr>
      <w:tr w14:paraId="6B4D929E">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5439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BF3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储能充放电功率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9321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8CB1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600D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9034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正值充电 / 负值放电</w:t>
            </w:r>
          </w:p>
        </w:tc>
      </w:tr>
      <w:tr w14:paraId="2B4989F0">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8049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256C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绿电消纳率</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C974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35EA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F07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609E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自发自用量 / 光伏发电量 × 100%</w:t>
            </w:r>
          </w:p>
        </w:tc>
      </w:tr>
    </w:tbl>
    <w:p w14:paraId="171A8FB6">
      <w:pPr>
        <w:spacing w:after="60"/>
        <w:rPr>
          <w:rFonts w:hint="eastAsia" w:ascii="宋体" w:hAnsi="宋体" w:eastAsia="宋体" w:cs="宋体"/>
          <w:i w:val="0"/>
          <w:iCs w:val="0"/>
          <w:sz w:val="24"/>
          <w:szCs w:val="24"/>
        </w:rPr>
      </w:pPr>
    </w:p>
    <w:p w14:paraId="746E3419">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42FDAF8">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17DA1CE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P_active = √3 × U × I × cosφ / 1s采集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 xml:space="preserve"> 实时有功功率</w:t>
            </w:r>
          </w:p>
          <w:p w14:paraId="6A4E263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Load = ( P_actual / P_rated ) × 100%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设备负荷率</w:t>
            </w:r>
          </w:p>
          <w:p w14:paraId="6D55912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Load_MoM = ( Load_t - Load_{t-1} ) / Load_{t-1}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负荷率环比变动</w:t>
            </w:r>
          </w:p>
          <w:p w14:paraId="0A9FEA1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R_green = E_self_use / E_pv_gen × 100%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绿电消纳率</w:t>
            </w:r>
          </w:p>
          <w:p w14:paraId="08C0165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Q_steam = Σ ( F_instant × Δt )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蒸汽消耗量时间积分</w:t>
            </w:r>
          </w:p>
          <w:p w14:paraId="67D598D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SOC_t = SOC_0 + ∫ ( P_charge × η_c ) dt / Cap_rated  荷电状态积分模型</w:t>
            </w:r>
          </w:p>
        </w:tc>
      </w:tr>
    </w:tbl>
    <w:p w14:paraId="27A46782">
      <w:pPr>
        <w:spacing w:after="40"/>
        <w:rPr>
          <w:rFonts w:hint="eastAsia" w:ascii="宋体" w:hAnsi="宋体" w:eastAsia="宋体" w:cs="宋体"/>
          <w:i w:val="0"/>
          <w:iCs w:val="0"/>
          <w:sz w:val="24"/>
          <w:szCs w:val="24"/>
        </w:rPr>
      </w:pPr>
    </w:p>
    <w:p w14:paraId="229EB7F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E_self_use </w:t>
      </w:r>
      <w:r>
        <w:rPr>
          <w:rFonts w:ascii="Times New Roman" w:hAnsi="Times New Roman" w:eastAsia="宋体" w:cs="Times New Roman"/>
          <w:i w:val="0"/>
          <w:color w:val="1F2937"/>
          <w:sz w:val="24"/>
          <w:szCs w:val="24"/>
        </w:rPr>
        <w:t xml:space="preserve"> 为光伏自发自用电量；</w:t>
      </w:r>
      <w:r>
        <w:rPr>
          <w:rFonts w:ascii="Times New Roman" w:hAnsi="Times New Roman" w:eastAsia="宋体" w:cs="Times New Roman"/>
          <w:b w:val="0"/>
          <w:i w:val="0"/>
          <w:color w:val="0284C7"/>
          <w:sz w:val="24"/>
          <w:szCs w:val="24"/>
        </w:rPr>
        <w:t xml:space="preserve"> E_pv_gen </w:t>
      </w:r>
      <w:r>
        <w:rPr>
          <w:rFonts w:ascii="Times New Roman" w:hAnsi="Times New Roman" w:eastAsia="宋体" w:cs="Times New Roman"/>
          <w:i w:val="0"/>
          <w:color w:val="1F2937"/>
          <w:sz w:val="24"/>
          <w:szCs w:val="24"/>
        </w:rPr>
        <w:t xml:space="preserve"> 为光伏总发电量；</w:t>
      </w:r>
      <w:r>
        <w:rPr>
          <w:rFonts w:ascii="Times New Roman" w:hAnsi="Times New Roman" w:eastAsia="宋体" w:cs="Times New Roman"/>
          <w:b w:val="0"/>
          <w:i w:val="0"/>
          <w:color w:val="0284C7"/>
          <w:sz w:val="24"/>
          <w:szCs w:val="24"/>
        </w:rPr>
        <w:t xml:space="preserve"> η_c </w:t>
      </w:r>
      <w:r>
        <w:rPr>
          <w:rFonts w:ascii="Times New Roman" w:hAnsi="Times New Roman" w:eastAsia="宋体" w:cs="Times New Roman"/>
          <w:i w:val="0"/>
          <w:color w:val="1F2937"/>
          <w:sz w:val="24"/>
          <w:szCs w:val="24"/>
        </w:rPr>
        <w:t xml:space="preserve"> 为充电效率；</w:t>
      </w:r>
      <w:r>
        <w:rPr>
          <w:rFonts w:ascii="Times New Roman" w:hAnsi="Times New Roman" w:eastAsia="宋体" w:cs="Times New Roman"/>
          <w:b w:val="0"/>
          <w:i w:val="0"/>
          <w:color w:val="0284C7"/>
          <w:sz w:val="24"/>
          <w:szCs w:val="24"/>
        </w:rPr>
        <w:t xml:space="preserve"> Cap_rated </w:t>
      </w:r>
      <w:r>
        <w:rPr>
          <w:rFonts w:ascii="Times New Roman" w:hAnsi="Times New Roman" w:eastAsia="宋体" w:cs="Times New Roman"/>
          <w:i w:val="0"/>
          <w:color w:val="1F2937"/>
          <w:sz w:val="24"/>
          <w:szCs w:val="24"/>
        </w:rPr>
        <w:t xml:space="preserve"> 为储能额定容量。</w:t>
      </w:r>
    </w:p>
    <w:p w14:paraId="27B01361">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12D5494F">
      <w:pPr>
        <w:pStyle w:val="19"/>
        <w:widowControl/>
        <w:numPr>
          <w:ilvl w:val="0"/>
          <w:numId w:val="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：统一使用环比（MoM），不使用同比，避免季节性光照差异干扰判断。</w:t>
      </w:r>
    </w:p>
    <w:p w14:paraId="07A8708D">
      <w:pPr>
        <w:pStyle w:val="19"/>
        <w:widowControl/>
        <w:numPr>
          <w:ilvl w:val="0"/>
          <w:numId w:val="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绿电消纳口径</w:t>
      </w:r>
      <w:r>
        <w:rPr>
          <w:rFonts w:ascii="Times New Roman" w:hAnsi="Times New Roman" w:eastAsia="宋体" w:cs="Times New Roman"/>
          <w:i w:val="0"/>
          <w:color w:val="1F2937"/>
          <w:sz w:val="24"/>
          <w:szCs w:val="24"/>
        </w:rPr>
        <w:t>：绿电消纳率仅统计物理可溯源的自发自用量，不含绿证核销的等效量。</w:t>
      </w:r>
    </w:p>
    <w:p w14:paraId="460D1B4A">
      <w:pPr>
        <w:pStyle w:val="19"/>
        <w:widowControl/>
        <w:numPr>
          <w:ilvl w:val="0"/>
          <w:numId w:val="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时段口径</w:t>
      </w:r>
      <w:r>
        <w:rPr>
          <w:rFonts w:ascii="Times New Roman" w:hAnsi="Times New Roman" w:eastAsia="宋体" w:cs="Times New Roman"/>
          <w:i w:val="0"/>
          <w:color w:val="1F2937"/>
          <w:sz w:val="24"/>
          <w:szCs w:val="24"/>
        </w:rPr>
        <w:t>：谷充峰放执行时段严格对齐能源价格管理模块最新生效的分时电价版本。</w:t>
      </w:r>
    </w:p>
    <w:p w14:paraId="1FC19D80">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DBD8745">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E0B01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储能 SOC 越界（&lt;5% 或 &gt;95%）触发告警并在卡片标注，不做自动干预控制。</w:t>
            </w:r>
          </w:p>
          <w:p w14:paraId="69787C5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光伏夜间无出力：曲线自然归零，不显示"设备异常"等误判文案。</w:t>
            </w:r>
          </w:p>
          <w:p w14:paraId="54B30E9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实时点位超时：触发 </w:t>
            </w:r>
            <w:r>
              <w:rPr>
                <w:rFonts w:hint="eastAsia" w:ascii="宋体" w:hAnsi="宋体" w:eastAsia="宋体" w:cs="宋体"/>
                <w:b w:val="0"/>
                <w:i w:val="0"/>
                <w:iCs w:val="0"/>
                <w:color w:val="0284C7"/>
                <w:sz w:val="24"/>
                <w:szCs w:val="24"/>
              </w:rPr>
              <w:t xml:space="preserve"> E_IO_MQTT_TIMEOUT </w:t>
            </w:r>
            <w:r>
              <w:rPr>
                <w:rFonts w:hint="eastAsia" w:ascii="宋体" w:hAnsi="宋体" w:eastAsia="宋体" w:cs="宋体"/>
                <w:i w:val="0"/>
                <w:iCs w:val="0"/>
                <w:color w:val="1F2937"/>
                <w:sz w:val="24"/>
                <w:szCs w:val="24"/>
              </w:rPr>
              <w:t>，展示缓存读数并打"数据延迟"微标签。</w:t>
            </w:r>
          </w:p>
          <w:p w14:paraId="5B057C5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设备未接入：节点置灰禁用，无解释性文案。</w:t>
            </w:r>
          </w:p>
        </w:tc>
      </w:tr>
    </w:tbl>
    <w:p w14:paraId="28D700BA">
      <w:pPr>
        <w:spacing w:after="40"/>
        <w:rPr>
          <w:rFonts w:hint="eastAsia" w:ascii="宋体" w:hAnsi="宋体" w:eastAsia="宋体" w:cs="宋体"/>
          <w:i w:val="0"/>
          <w:iCs w:val="0"/>
          <w:sz w:val="24"/>
          <w:szCs w:val="24"/>
        </w:rPr>
      </w:pPr>
    </w:p>
    <w:p w14:paraId="47E00139">
      <w:pPr>
        <w:pStyle w:val="6"/>
        <w:numPr>
          <w:ilvl w:val="0"/>
          <w:numId w:val="54"/>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48683F2">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D48654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工业微电网监测自适应工况</w:t>
            </w:r>
          </w:p>
          <w:p w14:paraId="5CDBBAF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电力与热力设备自适应呈现</w:t>
            </w:r>
          </w:p>
          <w:p w14:paraId="2595069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微电网设备树已纳入 23 台电力驱动设备与 9 台热力用能设备</w:t>
            </w:r>
          </w:p>
          <w:p w14:paraId="7B8D0D6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用户选中一台电力驱动设备</w:t>
            </w:r>
          </w:p>
          <w:p w14:paraId="7EA4352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呈现有功功率、累计电量、功率因数与负荷率（环比维度）</w:t>
            </w:r>
          </w:p>
          <w:p w14:paraId="0192369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用户选中一台热力用能设备</w:t>
            </w:r>
          </w:p>
          <w:p w14:paraId="6863020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呈现瞬时蒸汽流量、蒸汽消耗量、供汽压力与供汽温度</w:t>
            </w:r>
          </w:p>
          <w:p w14:paraId="2EE9CB59">
            <w:pPr>
              <w:spacing w:before="0" w:after="20" w:line="264" w:lineRule="auto"/>
              <w:rPr>
                <w:rFonts w:hint="eastAsia" w:ascii="宋体" w:hAnsi="宋体" w:eastAsia="宋体" w:cs="宋体"/>
                <w:i w:val="0"/>
                <w:iCs w:val="0"/>
                <w:sz w:val="24"/>
                <w:szCs w:val="24"/>
              </w:rPr>
            </w:pPr>
          </w:p>
          <w:p w14:paraId="3D9CBCA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客观中立文案纯洁度</w:t>
            </w:r>
          </w:p>
          <w:p w14:paraId="099E82A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页面已完成一次设备工况刷新</w:t>
            </w:r>
          </w:p>
          <w:p w14:paraId="5EEB601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对页面全部文案执行主观定性词正则扫描</w:t>
            </w:r>
          </w:p>
          <w:p w14:paraId="20BEECD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不出现"电能品质优良""运行欠佳""表现优异"等定性词汇</w:t>
            </w:r>
          </w:p>
          <w:p w14:paraId="53BAB5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工况对比统一以"环比 +X%"形式表达</w:t>
            </w:r>
          </w:p>
        </w:tc>
      </w:tr>
    </w:tbl>
    <w:p w14:paraId="636ED84F">
      <w:pPr>
        <w:pStyle w:val="5"/>
        <w:numPr>
          <w:ilvl w:val="0"/>
          <w:numId w:val="27"/>
        </w:numPr>
        <w:ind w:left="0" w:leftChars="0" w:firstLine="0" w:firstLineChars="0"/>
        <w:outlineLvl w:val="1"/>
        <w:rPr>
          <w:rFonts w:eastAsia="黑体"/>
          <w:b w:val="0"/>
          <w:bCs w:val="0"/>
          <w:sz w:val="30"/>
          <w:szCs w:val="24"/>
        </w:rPr>
      </w:pPr>
      <w:bookmarkStart w:id="20" w:name="_Toc16557"/>
      <w:r>
        <w:rPr>
          <w:rFonts w:ascii="Times New Roman" w:hAnsi="Times New Roman" w:eastAsia="黑体" w:cs="Times New Roman"/>
          <w:b w:val="0"/>
          <w:bCs w:val="0"/>
          <w:sz w:val="30"/>
          <w:szCs w:val="24"/>
        </w:rPr>
        <w:t>能源碳排放监测</w:t>
      </w:r>
      <w:bookmarkEnd w:id="20"/>
    </w:p>
    <w:p w14:paraId="2AA65307">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37"/>
                    <a:stretch>
                      <a:fillRect/>
                    </a:stretch>
                  </pic:blipFill>
                  <pic:spPr>
                    <a:xfrm>
                      <a:off x="0" y="0"/>
                      <a:ext cx="5900420" cy="2925445"/>
                    </a:xfrm>
                    <a:prstGeom prst="rect">
                      <a:avLst/>
                    </a:prstGeom>
                    <a:noFill/>
                    <a:ln>
                      <a:noFill/>
                    </a:ln>
                  </pic:spPr>
                </pic:pic>
              </a:graphicData>
            </a:graphic>
          </wp:inline>
        </w:drawing>
      </w:r>
    </w:p>
    <w:p w14:paraId="27DA98D9">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53817FA7">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：依据温室气体核算体系标准，按日/按月核算全厂化石能源直接燃烧与外购电力热力的二氧化碳排放量与强度走势，是碳排报表与 CBAM 申报的底数来源。</w:t>
      </w:r>
    </w:p>
    <w:p w14:paraId="10E3A966">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：园区碳资产核算员 (P4)、P2 园区能碳专员。</w:t>
      </w:r>
    </w:p>
    <w:p w14:paraId="070B4A13">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/monitor/carbon/emission </w:t>
      </w:r>
      <w:r>
        <w:rPr>
          <w:rFonts w:ascii="Times New Roman" w:hAnsi="Times New Roman" w:eastAsia="宋体" w:cs="Times New Roman"/>
          <w:i w:val="0"/>
          <w:color w:val="1F2937"/>
          <w:sz w:val="24"/>
          <w:szCs w:val="24"/>
        </w:rPr>
        <w:t>。</w:t>
      </w:r>
    </w:p>
    <w:p w14:paraId="2EB3620E">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：用能在线监测介质消耗量、碳排放因子库（电网因子、燃料因子）、绿电交易凭证。</w:t>
      </w:r>
    </w:p>
    <w:p w14:paraId="460E8E9C">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：碳排报表、CBAM 申报底数、零碳工厂自评估温室气体维度数据。</w:t>
      </w:r>
    </w:p>
    <w:p w14:paraId="76043CE3">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1E3671F">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：依据温室气体核算体系标准，按日/按月核算全厂化石能源直接燃烧与外购电力热力的二氧化碳排放量与强度走势。</w:t>
      </w:r>
    </w:p>
    <w:p w14:paraId="12A2A051">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6816BF9">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园区碳资产核算员 (Persona P4)</w:t>
      </w:r>
      <w:r>
        <w:rPr>
          <w:rFonts w:ascii="Times New Roman" w:hAnsi="Times New Roman" w:eastAsia="宋体" w:cs="Times New Roman"/>
          <w:i w:val="0"/>
          <w:color w:val="1F2937"/>
          <w:sz w:val="24"/>
          <w:szCs w:val="24"/>
        </w:rPr>
        <w:t>，</w:t>
      </w:r>
    </w:p>
    <w:p w14:paraId="0C27063C">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实时掌握企业范围一与范围二碳排放量、万元产值碳排强度</w:t>
      </w:r>
      <w:r>
        <w:rPr>
          <w:rFonts w:ascii="Times New Roman" w:hAnsi="Times New Roman" w:eastAsia="宋体" w:cs="Times New Roman"/>
          <w:i w:val="0"/>
          <w:color w:val="1F2937"/>
          <w:sz w:val="24"/>
          <w:szCs w:val="24"/>
        </w:rPr>
        <w:t>，</w:t>
      </w:r>
    </w:p>
    <w:p w14:paraId="015230EE">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我能为集团减排规划与应对地方发改委碳履约提供合规依据</w:t>
      </w:r>
      <w:r>
        <w:rPr>
          <w:rFonts w:ascii="Times New Roman" w:hAnsi="Times New Roman" w:eastAsia="宋体" w:cs="Times New Roman"/>
          <w:i w:val="0"/>
          <w:color w:val="1F2937"/>
          <w:sz w:val="24"/>
          <w:szCs w:val="24"/>
        </w:rPr>
        <w:t>。</w:t>
      </w:r>
    </w:p>
    <w:p w14:paraId="0762454D">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37B3494B">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范围一与范围二双轴堆叠面积图</w:t>
      </w:r>
      <w:r>
        <w:rPr>
          <w:rFonts w:ascii="Times New Roman" w:hAnsi="Times New Roman" w:eastAsia="宋体" w:cs="Times New Roman"/>
          <w:i w:val="0"/>
          <w:color w:val="1F2937"/>
          <w:sz w:val="24"/>
          <w:szCs w:val="24"/>
        </w:rPr>
        <w:t>：Scope 1（直接排放：天然气、柴油、汽油燃烧）；Scope 2（间接排放：网购电力、外购蒸汽）。两范围以堆叠面积呈现，游标同步读取两层数值。</w:t>
      </w:r>
    </w:p>
    <w:p w14:paraId="469CBE10">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碳排放强度 KPI 卡片</w:t>
      </w:r>
      <w:r>
        <w:rPr>
          <w:rFonts w:ascii="Times New Roman" w:hAnsi="Times New Roman" w:eastAsia="宋体" w:cs="Times New Roman"/>
          <w:i w:val="0"/>
          <w:color w:val="1F2937"/>
          <w:sz w:val="24"/>
          <w:szCs w:val="24"/>
        </w:rPr>
        <w:t>：万元产值碳排放强度 (tCO2/万元)、单位产品碳排放强度 (tCO2/单位产品)。</w:t>
      </w:r>
    </w:p>
    <w:p w14:paraId="59618508">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绿电抵扣对比区</w:t>
      </w:r>
      <w:r>
        <w:rPr>
          <w:rFonts w:ascii="Times New Roman" w:hAnsi="Times New Roman" w:eastAsia="宋体" w:cs="Times New Roman"/>
          <w:i w:val="0"/>
          <w:color w:val="1F2937"/>
          <w:sz w:val="24"/>
          <w:szCs w:val="24"/>
        </w:rPr>
        <w:t>：输出抵扣前 / 抵扣后双柱对比，明确展示绿电占比与抵扣量。</w:t>
      </w:r>
    </w:p>
    <w:p w14:paraId="098C1235">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因子版本标注</w:t>
      </w:r>
      <w:r>
        <w:rPr>
          <w:rFonts w:ascii="Times New Roman" w:hAnsi="Times New Roman" w:eastAsia="宋体" w:cs="Times New Roman"/>
          <w:i w:val="0"/>
          <w:color w:val="1F2937"/>
          <w:sz w:val="24"/>
          <w:szCs w:val="24"/>
        </w:rPr>
        <w:t>：图表底部常驻显示本次核算所用排放因子版本号与生效日期，支持点击查看因子来源。</w:t>
      </w:r>
    </w:p>
    <w:p w14:paraId="306F7DD3">
      <w:pPr>
        <w:pStyle w:val="19"/>
        <w:widowControl/>
        <w:numPr>
          <w:ilvl w:val="0"/>
          <w:numId w:val="0"/>
        </w:numPr>
        <w:adjustRightInd w:val="0"/>
        <w:spacing w:before="100" w:after="100" w:afterLines="0" w:afterAutospacing="0" w:line="300" w:lineRule="auto"/>
        <w:jc w:val="both"/>
        <w:rPr>
          <w:rFonts w:hint="default" w:eastAsia="宋体"/>
          <w:lang w:val="en-US" w:eastAsia="zh-CN"/>
        </w:rPr>
      </w:pPr>
      <w:r>
        <w:rPr>
          <w:rFonts w:hint="eastAsia"/>
          <w:lang w:val="en-US" w:eastAsia="zh-CN"/>
        </w:rPr>
        <w:t>数据概览：</w:t>
      </w:r>
    </w:p>
    <w:p w14:paraId="4D83E597">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r>
        <w:drawing>
          <wp:inline distT="0" distB="0" distL="114300" distR="114300">
            <wp:extent cx="5905500" cy="2345055"/>
            <wp:effectExtent l="0" t="0" r="0" b="17145"/>
            <wp:docPr id="107"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61"/>
                    <pic:cNvPicPr>
                      <a:picLocks noChangeAspect="1"/>
                    </pic:cNvPicPr>
                  </pic:nvPicPr>
                  <pic:blipFill>
                    <a:blip r:embed="rId38"/>
                    <a:stretch>
                      <a:fillRect/>
                    </a:stretch>
                  </pic:blipFill>
                  <pic:spPr>
                    <a:xfrm>
                      <a:off x="0" y="0"/>
                      <a:ext cx="5905500" cy="2345055"/>
                    </a:xfrm>
                    <a:prstGeom prst="rect">
                      <a:avLst/>
                    </a:prstGeom>
                    <a:noFill/>
                    <a:ln>
                      <a:noFill/>
                    </a:ln>
                  </pic:spPr>
                </pic:pic>
              </a:graphicData>
            </a:graphic>
          </wp:inline>
        </w:drawing>
      </w:r>
    </w:p>
    <w:p w14:paraId="0848C81D">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5211E993">
      <w:pPr>
        <w:pStyle w:val="19"/>
        <w:widowControl/>
        <w:numPr>
          <w:ilvl w:val="0"/>
          <w:numId w:val="0"/>
        </w:numPr>
        <w:adjustRightInd w:val="0"/>
        <w:spacing w:before="100" w:after="100" w:afterLines="0" w:afterAutospacing="0" w:line="300" w:lineRule="auto"/>
        <w:jc w:val="both"/>
        <w:rPr>
          <w:rFonts w:hint="default" w:ascii="Times New Roman" w:hAnsi="Times New Roman" w:eastAsia="宋体" w:cs="Times New Roman"/>
          <w:i w:val="0"/>
          <w:color w:val="1F2937"/>
          <w:sz w:val="24"/>
          <w:szCs w:val="24"/>
          <w:lang w:val="en-US" w:eastAsia="zh-CN"/>
        </w:rPr>
      </w:pPr>
      <w:r>
        <w:rPr>
          <w:rFonts w:hint="eastAsia" w:cs="Times New Roman"/>
          <w:i w:val="0"/>
          <w:color w:val="1F2937"/>
          <w:sz w:val="24"/>
          <w:szCs w:val="24"/>
          <w:lang w:val="en-US" w:eastAsia="zh-CN"/>
        </w:rPr>
        <w:t>碳排放数据：</w:t>
      </w:r>
    </w:p>
    <w:p w14:paraId="3C950B44">
      <w:pPr>
        <w:pStyle w:val="19"/>
        <w:widowControl/>
        <w:numPr>
          <w:ilvl w:val="0"/>
          <w:numId w:val="0"/>
        </w:numPr>
        <w:adjustRightInd w:val="0"/>
        <w:spacing w:before="100" w:after="100" w:afterLines="0" w:afterAutospacing="0" w:line="300" w:lineRule="auto"/>
        <w:jc w:val="both"/>
      </w:pPr>
      <w:r>
        <w:drawing>
          <wp:inline distT="0" distB="0" distL="114300" distR="114300">
            <wp:extent cx="5913755" cy="3321685"/>
            <wp:effectExtent l="0" t="0" r="10795" b="12065"/>
            <wp:docPr id="108"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62"/>
                    <pic:cNvPicPr>
                      <a:picLocks noChangeAspect="1"/>
                    </pic:cNvPicPr>
                  </pic:nvPicPr>
                  <pic:blipFill>
                    <a:blip r:embed="rId39"/>
                    <a:stretch>
                      <a:fillRect/>
                    </a:stretch>
                  </pic:blipFill>
                  <pic:spPr>
                    <a:xfrm>
                      <a:off x="0" y="0"/>
                      <a:ext cx="5913755" cy="3321685"/>
                    </a:xfrm>
                    <a:prstGeom prst="rect">
                      <a:avLst/>
                    </a:prstGeom>
                    <a:noFill/>
                    <a:ln>
                      <a:noFill/>
                    </a:ln>
                  </pic:spPr>
                </pic:pic>
              </a:graphicData>
            </a:graphic>
          </wp:inline>
        </w:drawing>
      </w:r>
    </w:p>
    <w:p w14:paraId="3138B67E">
      <w:pPr>
        <w:pStyle w:val="19"/>
        <w:widowControl/>
        <w:numPr>
          <w:ilvl w:val="0"/>
          <w:numId w:val="0"/>
        </w:numPr>
        <w:adjustRightInd w:val="0"/>
        <w:spacing w:before="100" w:after="100" w:afterLines="0" w:afterAutospacing="0" w:line="300" w:lineRule="auto"/>
        <w:jc w:val="both"/>
      </w:pPr>
    </w:p>
    <w:p w14:paraId="26FE2DAA">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p w14:paraId="7167DE0F">
      <w:pPr>
        <w:rPr>
          <w:rFonts w:hint="eastAsia"/>
        </w:rPr>
      </w:pPr>
    </w:p>
    <w:tbl>
      <w:tblPr>
        <w:tblStyle w:val="38"/>
        <w:tblW w:w="9784" w:type="dxa"/>
        <w:jc w:val="center"/>
        <w:tblLayout w:type="autofit"/>
        <w:tblCellMar>
          <w:top w:w="0" w:type="dxa"/>
          <w:left w:w="108" w:type="dxa"/>
          <w:bottom w:w="0" w:type="dxa"/>
          <w:right w:w="108" w:type="dxa"/>
        </w:tblCellMar>
      </w:tblPr>
      <w:tblGrid>
        <w:gridCol w:w="899"/>
        <w:gridCol w:w="1641"/>
        <w:gridCol w:w="1381"/>
        <w:gridCol w:w="1204"/>
        <w:gridCol w:w="4659"/>
      </w:tblGrid>
      <w:tr w14:paraId="3C7DB924">
        <w:trPr>
          <w:tblHeade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7002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1D81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342F1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EA56C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5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2AD39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核算来源与约束规则</w:t>
            </w:r>
          </w:p>
        </w:tc>
      </w:tr>
      <w:tr w14:paraId="2368FA4E">
        <w:tblPrEx>
          <w:tblCellMar>
            <w:top w:w="0" w:type="dxa"/>
            <w:left w:w="108" w:type="dxa"/>
            <w:bottom w:w="0" w:type="dxa"/>
            <w:right w:w="108" w:type="dxa"/>
          </w:tblCellMar>
        </w:tblPrEx>
        <w:trPr>
          <w:tblHeade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4C9F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524C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化石燃料燃烧排放</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B43E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CFD9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C18C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Σ(燃料消耗量 × 低位热值 × 碳含量 × 氧化率 × 44/12)</w:t>
            </w:r>
          </w:p>
        </w:tc>
      </w:tr>
      <w:tr w14:paraId="3CF401BD">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688F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2665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购入电力间接排放</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81C0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DE2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B834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外购电量 × 区域电网排放因子</w:t>
            </w:r>
          </w:p>
        </w:tc>
      </w:tr>
      <w:tr w14:paraId="2ED62BB4">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B2D4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C046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购入热力间接排放</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46A8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1A00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1D89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外购蒸汽量 × 热力排放因子</w:t>
            </w:r>
          </w:p>
        </w:tc>
      </w:tr>
      <w:tr w14:paraId="26E08507">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2081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4703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总碳排放量</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2094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6FD7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034F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1 + Scope 2，≥ 0</w:t>
            </w:r>
          </w:p>
        </w:tc>
      </w:tr>
      <w:tr w14:paraId="2FE5342E">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0599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A583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万元产值碳排强度</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EA10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D957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tCO2e/万元</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863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分母产值为 0 时显示 </w:t>
            </w:r>
            <w:r>
              <w:rPr>
                <w:rFonts w:hint="eastAsia" w:ascii="宋体" w:hAnsi="宋体" w:eastAsia="宋体" w:cs="宋体"/>
                <w:b w:val="0"/>
                <w:i w:val="0"/>
                <w:iCs w:val="0"/>
                <w:color w:val="0284C7"/>
                <w:sz w:val="24"/>
                <w:szCs w:val="24"/>
              </w:rPr>
              <w:t xml:space="preserve"> -- </w:t>
            </w:r>
          </w:p>
        </w:tc>
      </w:tr>
      <w:tr w14:paraId="3437E060">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D4FC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4BFA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单位产品碳排强度</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D3E4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E5CA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tCO2e/单位</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8811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分母产量为 0 时显示 </w:t>
            </w:r>
            <w:r>
              <w:rPr>
                <w:rFonts w:hint="eastAsia" w:ascii="宋体" w:hAnsi="宋体" w:eastAsia="宋体" w:cs="宋体"/>
                <w:b w:val="0"/>
                <w:i w:val="0"/>
                <w:iCs w:val="0"/>
                <w:color w:val="0284C7"/>
                <w:sz w:val="24"/>
                <w:szCs w:val="24"/>
              </w:rPr>
              <w:t xml:space="preserve"> -- </w:t>
            </w:r>
          </w:p>
        </w:tc>
      </w:tr>
      <w:tr w14:paraId="1324352E">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3A7F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57E1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绿电抵扣量</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CD3F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DAC5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B240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绿电消纳量 × 电网排放因子</w:t>
            </w:r>
          </w:p>
        </w:tc>
      </w:tr>
      <w:tr w14:paraId="028C71F6">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560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AA3C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抵扣后净排放量</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ECE6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EB09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B9EA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总排放量 − 绿电抵扣量</w:t>
            </w:r>
          </w:p>
        </w:tc>
      </w:tr>
      <w:tr w14:paraId="0969F234">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2322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69A1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排放因子版本号</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215E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ADD5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5304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因子库当前生效版本，过期因子拦截</w:t>
            </w:r>
          </w:p>
        </w:tc>
      </w:tr>
      <w:tr w14:paraId="3CA055D7">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01B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6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258F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核算口径标识</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C76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2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8F87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07E0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取值 </w:t>
            </w:r>
            <w:r>
              <w:rPr>
                <w:rFonts w:hint="eastAsia" w:ascii="宋体" w:hAnsi="宋体" w:eastAsia="宋体" w:cs="宋体"/>
                <w:b w:val="0"/>
                <w:i w:val="0"/>
                <w:iCs w:val="0"/>
                <w:color w:val="0284C7"/>
                <w:sz w:val="24"/>
                <w:szCs w:val="24"/>
              </w:rPr>
              <w:t xml:space="preserve"> Scope 1 </w:t>
            </w:r>
            <w:r>
              <w:rPr>
                <w:rFonts w:hint="eastAsia" w:ascii="宋体" w:hAnsi="宋体" w:eastAsia="宋体" w:cs="宋体"/>
                <w:i w:val="0"/>
                <w:iCs w:val="0"/>
                <w:color w:val="1F2937"/>
                <w:sz w:val="24"/>
                <w:szCs w:val="24"/>
              </w:rPr>
              <w:t xml:space="preserve"> / </w:t>
            </w:r>
            <w:r>
              <w:rPr>
                <w:rFonts w:hint="eastAsia" w:ascii="宋体" w:hAnsi="宋体" w:eastAsia="宋体" w:cs="宋体"/>
                <w:b w:val="0"/>
                <w:i w:val="0"/>
                <w:iCs w:val="0"/>
                <w:color w:val="0284C7"/>
                <w:sz w:val="24"/>
                <w:szCs w:val="24"/>
              </w:rPr>
              <w:t xml:space="preserve"> Scope 2 </w:t>
            </w:r>
            <w:r>
              <w:rPr>
                <w:rFonts w:hint="eastAsia" w:ascii="宋体" w:hAnsi="宋体" w:eastAsia="宋体" w:cs="宋体"/>
                <w:i w:val="0"/>
                <w:iCs w:val="0"/>
                <w:color w:val="1F2937"/>
                <w:sz w:val="24"/>
                <w:szCs w:val="24"/>
              </w:rPr>
              <w:t xml:space="preserve"> / </w:t>
            </w:r>
            <w:r>
              <w:rPr>
                <w:rFonts w:hint="eastAsia" w:ascii="宋体" w:hAnsi="宋体" w:eastAsia="宋体" w:cs="宋体"/>
                <w:b w:val="0"/>
                <w:i w:val="0"/>
                <w:iCs w:val="0"/>
                <w:color w:val="0284C7"/>
                <w:sz w:val="24"/>
                <w:szCs w:val="24"/>
              </w:rPr>
              <w:t xml:space="preserve"> 合计 </w:t>
            </w:r>
          </w:p>
        </w:tc>
      </w:tr>
    </w:tbl>
    <w:p w14:paraId="371B16A6">
      <w:pPr>
        <w:spacing w:after="60"/>
        <w:rPr>
          <w:rFonts w:hint="eastAsia" w:ascii="宋体" w:hAnsi="宋体" w:eastAsia="宋体" w:cs="宋体"/>
          <w:i w:val="0"/>
          <w:iCs w:val="0"/>
          <w:sz w:val="24"/>
          <w:szCs w:val="24"/>
        </w:rPr>
      </w:pPr>
    </w:p>
    <w:p w14:paraId="1EABC41D">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21E42BA">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078C77E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C_scope1 = Σ ( FC_i × NCV_i × CC_i × OF_i × 44/12 ) 化石燃料燃烧直接排放</w:t>
            </w:r>
          </w:p>
          <w:p w14:paraId="6698068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C_scope2 = Q_grid × EF_grid + Q_heat × EF_heat         外购电力与热力间接排放</w:t>
            </w:r>
          </w:p>
          <w:p w14:paraId="489E7E0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C_total = C_scope1 + C_scope2                            总碳排放量</w:t>
            </w:r>
          </w:p>
          <w:p w14:paraId="58340A3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I_output = C_total / G_output × 10000                   万元产值碳排强度</w:t>
            </w:r>
          </w:p>
          <w:p w14:paraId="341B654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C_net = C_total - E_green × EF_grid                     绿电抵扣后净排放量</w:t>
            </w:r>
          </w:p>
        </w:tc>
      </w:tr>
    </w:tbl>
    <w:p w14:paraId="3E0620D6">
      <w:pPr>
        <w:spacing w:after="40"/>
        <w:rPr>
          <w:rFonts w:hint="eastAsia" w:ascii="宋体" w:hAnsi="宋体" w:eastAsia="宋体" w:cs="宋体"/>
          <w:i w:val="0"/>
          <w:iCs w:val="0"/>
          <w:sz w:val="24"/>
          <w:szCs w:val="24"/>
        </w:rPr>
      </w:pPr>
    </w:p>
    <w:p w14:paraId="786DFD4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FC_i </w:t>
      </w:r>
      <w:r>
        <w:rPr>
          <w:rFonts w:ascii="Times New Roman" w:hAnsi="Times New Roman" w:eastAsia="宋体" w:cs="Times New Roman"/>
          <w:i w:val="0"/>
          <w:color w:val="1F2937"/>
          <w:sz w:val="24"/>
          <w:szCs w:val="24"/>
        </w:rPr>
        <w:t xml:space="preserve"> 为第 i 种燃料消耗量；</w:t>
      </w:r>
      <w:r>
        <w:rPr>
          <w:rFonts w:ascii="Times New Roman" w:hAnsi="Times New Roman" w:eastAsia="宋体" w:cs="Times New Roman"/>
          <w:b w:val="0"/>
          <w:i w:val="0"/>
          <w:color w:val="0284C7"/>
          <w:sz w:val="24"/>
          <w:szCs w:val="24"/>
        </w:rPr>
        <w:t xml:space="preserve"> NCV_i </w:t>
      </w:r>
      <w:r>
        <w:rPr>
          <w:rFonts w:ascii="Times New Roman" w:hAnsi="Times New Roman" w:eastAsia="宋体" w:cs="Times New Roman"/>
          <w:i w:val="0"/>
          <w:color w:val="1F2937"/>
          <w:sz w:val="24"/>
          <w:szCs w:val="24"/>
        </w:rPr>
        <w:t xml:space="preserve"> 为低位热值；</w:t>
      </w:r>
      <w:r>
        <w:rPr>
          <w:rFonts w:ascii="Times New Roman" w:hAnsi="Times New Roman" w:eastAsia="宋体" w:cs="Times New Roman"/>
          <w:b w:val="0"/>
          <w:i w:val="0"/>
          <w:color w:val="0284C7"/>
          <w:sz w:val="24"/>
          <w:szCs w:val="24"/>
        </w:rPr>
        <w:t xml:space="preserve"> CC_i </w:t>
      </w:r>
      <w:r>
        <w:rPr>
          <w:rFonts w:ascii="Times New Roman" w:hAnsi="Times New Roman" w:eastAsia="宋体" w:cs="Times New Roman"/>
          <w:i w:val="0"/>
          <w:color w:val="1F2937"/>
          <w:sz w:val="24"/>
          <w:szCs w:val="24"/>
        </w:rPr>
        <w:t xml:space="preserve"> 为单位热值含碳量；</w:t>
      </w:r>
      <w:r>
        <w:rPr>
          <w:rFonts w:ascii="Times New Roman" w:hAnsi="Times New Roman" w:eastAsia="宋体" w:cs="Times New Roman"/>
          <w:b w:val="0"/>
          <w:i w:val="0"/>
          <w:color w:val="0284C7"/>
          <w:sz w:val="24"/>
          <w:szCs w:val="24"/>
        </w:rPr>
        <w:t xml:space="preserve"> OF_i </w:t>
      </w:r>
      <w:r>
        <w:rPr>
          <w:rFonts w:ascii="Times New Roman" w:hAnsi="Times New Roman" w:eastAsia="宋体" w:cs="Times New Roman"/>
          <w:i w:val="0"/>
          <w:color w:val="1F2937"/>
          <w:sz w:val="24"/>
          <w:szCs w:val="24"/>
        </w:rPr>
        <w:t xml:space="preserve"> 为碳氧化率；</w:t>
      </w:r>
      <w:r>
        <w:rPr>
          <w:rFonts w:ascii="Times New Roman" w:hAnsi="Times New Roman" w:eastAsia="宋体" w:cs="Times New Roman"/>
          <w:b w:val="0"/>
          <w:i w:val="0"/>
          <w:color w:val="0284C7"/>
          <w:sz w:val="24"/>
          <w:szCs w:val="24"/>
        </w:rPr>
        <w:t xml:space="preserve"> EF_grid </w:t>
      </w:r>
      <w:r>
        <w:rPr>
          <w:rFonts w:ascii="Times New Roman" w:hAnsi="Times New Roman" w:eastAsia="宋体" w:cs="Times New Roman"/>
          <w:i w:val="0"/>
          <w:color w:val="1F2937"/>
          <w:sz w:val="24"/>
          <w:szCs w:val="24"/>
        </w:rPr>
        <w:t xml:space="preserve"> 为区域电网排放因子（tCO2/MWh）；</w:t>
      </w:r>
      <w:r>
        <w:rPr>
          <w:rFonts w:ascii="Times New Roman" w:hAnsi="Times New Roman" w:eastAsia="宋体" w:cs="Times New Roman"/>
          <w:b w:val="0"/>
          <w:i w:val="0"/>
          <w:color w:val="0284C7"/>
          <w:sz w:val="24"/>
          <w:szCs w:val="24"/>
        </w:rPr>
        <w:t xml:space="preserve"> EF_heat </w:t>
      </w:r>
      <w:r>
        <w:rPr>
          <w:rFonts w:ascii="Times New Roman" w:hAnsi="Times New Roman" w:eastAsia="宋体" w:cs="Times New Roman"/>
          <w:i w:val="0"/>
          <w:color w:val="1F2937"/>
          <w:sz w:val="24"/>
          <w:szCs w:val="24"/>
        </w:rPr>
        <w:t xml:space="preserve"> 为外购热力排放因子；</w:t>
      </w:r>
      <w:r>
        <w:rPr>
          <w:rFonts w:ascii="Times New Roman" w:hAnsi="Times New Roman" w:eastAsia="宋体" w:cs="Times New Roman"/>
          <w:b w:val="0"/>
          <w:i w:val="0"/>
          <w:color w:val="0284C7"/>
          <w:sz w:val="24"/>
          <w:szCs w:val="24"/>
        </w:rPr>
        <w:t xml:space="preserve"> E_green </w:t>
      </w:r>
      <w:r>
        <w:rPr>
          <w:rFonts w:ascii="Times New Roman" w:hAnsi="Times New Roman" w:eastAsia="宋体" w:cs="Times New Roman"/>
          <w:i w:val="0"/>
          <w:color w:val="1F2937"/>
          <w:sz w:val="24"/>
          <w:szCs w:val="24"/>
        </w:rPr>
        <w:t xml:space="preserve"> 为绿电消纳量。</w:t>
      </w:r>
    </w:p>
    <w:p w14:paraId="734264CE">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0E548576">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核算口径</w:t>
      </w:r>
      <w:r>
        <w:rPr>
          <w:rFonts w:ascii="Times New Roman" w:hAnsi="Times New Roman" w:eastAsia="宋体" w:cs="Times New Roman"/>
          <w:i w:val="0"/>
          <w:color w:val="1F2937"/>
          <w:sz w:val="24"/>
          <w:szCs w:val="24"/>
        </w:rPr>
        <w:t>：严格区分 Scope 1 与 Scope 2，不得合并为单一数值对外发布。</w:t>
      </w:r>
    </w:p>
    <w:p w14:paraId="4562F279">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因子口径</w:t>
      </w:r>
      <w:r>
        <w:rPr>
          <w:rFonts w:ascii="Times New Roman" w:hAnsi="Times New Roman" w:eastAsia="宋体" w:cs="Times New Roman"/>
          <w:i w:val="0"/>
          <w:color w:val="1F2937"/>
          <w:sz w:val="24"/>
          <w:szCs w:val="24"/>
        </w:rPr>
        <w:t>：排放因子取因子库当前生效版本，过期因子触发拦截。</w:t>
      </w:r>
    </w:p>
    <w:p w14:paraId="65F62A33">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抵扣口径</w:t>
      </w:r>
      <w:r>
        <w:rPr>
          <w:rFonts w:ascii="Times New Roman" w:hAnsi="Times New Roman" w:eastAsia="宋体" w:cs="Times New Roman"/>
          <w:i w:val="0"/>
          <w:color w:val="1F2937"/>
          <w:sz w:val="24"/>
          <w:szCs w:val="24"/>
        </w:rPr>
        <w:t>：绿电抵扣按具备物理可溯源条件的消纳量核算，绿证核销的等效量单独列示不混入。</w:t>
      </w:r>
    </w:p>
    <w:p w14:paraId="5F8A04E6">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强度口径</w:t>
      </w:r>
      <w:r>
        <w:rPr>
          <w:rFonts w:ascii="Times New Roman" w:hAnsi="Times New Roman" w:eastAsia="宋体" w:cs="Times New Roman"/>
          <w:i w:val="0"/>
          <w:color w:val="1F2937"/>
          <w:sz w:val="24"/>
          <w:szCs w:val="24"/>
        </w:rPr>
        <w:t>：万元产值碳排强度分母为当期产品产值（万元），与单位产值能耗口径保持一致。</w:t>
      </w:r>
    </w:p>
    <w:p w14:paraId="4F94CC59">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660B089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0DCE15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排放因子过期：触发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，图表底部标注"因子待升级"并保留历史版本可查。</w:t>
            </w:r>
          </w:p>
          <w:p w14:paraId="5D4A3F9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分母产值为 0：强度指标显示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p w14:paraId="2D776CE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绿电抵扣量大于总排放量：按 0 兜底并标注"抵扣量异常，待核对凭证"。</w:t>
            </w:r>
          </w:p>
          <w:p w14:paraId="2BB921F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数据修复：已关账月度的碳排放数据禁止直接修改，须走特批反冲流程。</w:t>
            </w:r>
          </w:p>
        </w:tc>
      </w:tr>
    </w:tbl>
    <w:p w14:paraId="4C989CBB">
      <w:pPr>
        <w:spacing w:after="40"/>
        <w:rPr>
          <w:rFonts w:hint="eastAsia" w:ascii="宋体" w:hAnsi="宋体" w:eastAsia="宋体" w:cs="宋体"/>
          <w:i w:val="0"/>
          <w:iCs w:val="0"/>
          <w:sz w:val="24"/>
          <w:szCs w:val="24"/>
        </w:rPr>
      </w:pPr>
    </w:p>
    <w:p w14:paraId="4B0C393A">
      <w:pPr>
        <w:pStyle w:val="6"/>
        <w:numPr>
          <w:ilvl w:val="0"/>
          <w:numId w:val="59"/>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38CC20C">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7C91E6B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能源碳排放监测双范围核算</w:t>
            </w:r>
          </w:p>
          <w:p w14:paraId="3FF8150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范围一与范围二独立核算</w:t>
            </w:r>
          </w:p>
          <w:p w14:paraId="60C618C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园区当月已录入天然气、柴油消耗量及外购电量、外购蒸汽量</w:t>
            </w:r>
          </w:p>
          <w:p w14:paraId="55BE7AA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系统渲染碳排放双轴堆叠面积图</w:t>
            </w:r>
          </w:p>
          <w:p w14:paraId="405E4C0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Scope 1 与 Scope 2 分别独立成层展示</w:t>
            </w:r>
          </w:p>
          <w:p w14:paraId="12C8115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总碳排放量等于两者之和</w:t>
            </w:r>
          </w:p>
          <w:p w14:paraId="1246B16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页面不将两范围合并为单一数值对外发布</w:t>
            </w:r>
          </w:p>
          <w:p w14:paraId="362B4266">
            <w:pPr>
              <w:spacing w:before="0" w:after="20" w:line="264" w:lineRule="auto"/>
              <w:rPr>
                <w:rFonts w:hint="eastAsia" w:ascii="宋体" w:hAnsi="宋体" w:eastAsia="宋体" w:cs="宋体"/>
                <w:i w:val="0"/>
                <w:iCs w:val="0"/>
                <w:sz w:val="24"/>
                <w:szCs w:val="24"/>
              </w:rPr>
            </w:pPr>
          </w:p>
          <w:p w14:paraId="1A0D94C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绿电抵扣核算</w:t>
            </w:r>
          </w:p>
          <w:p w14:paraId="57DAE4A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园区当月绿电消纳量具备物理可溯源凭证</w:t>
            </w:r>
          </w:p>
          <w:p w14:paraId="2F5E598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系统测算抵扣后净排放量</w:t>
            </w:r>
          </w:p>
          <w:p w14:paraId="01F1479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抵扣后净排放量 = 总排放量 − 绿电消纳量 × 电网排放因子</w:t>
            </w:r>
          </w:p>
          <w:p w14:paraId="55B978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当抵扣量大于总排放量时按 0 兜底并标注待核对凭证</w:t>
            </w:r>
          </w:p>
          <w:p w14:paraId="7AE69FD4">
            <w:pPr>
              <w:spacing w:before="0" w:after="20" w:line="264" w:lineRule="auto"/>
              <w:rPr>
                <w:rFonts w:hint="eastAsia" w:ascii="宋体" w:hAnsi="宋体" w:eastAsia="宋体" w:cs="宋体"/>
                <w:i w:val="0"/>
                <w:iCs w:val="0"/>
                <w:sz w:val="24"/>
                <w:szCs w:val="24"/>
              </w:rPr>
            </w:pPr>
          </w:p>
          <w:p w14:paraId="6609BBF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因子过期拦截</w:t>
            </w:r>
          </w:p>
          <w:p w14:paraId="722D2D2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某排放因子条目已超出 effective_to 有效期</w:t>
            </w:r>
          </w:p>
          <w:p w14:paraId="7AE65B9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系统尝试使用该因子完成碳排核算</w:t>
            </w:r>
          </w:p>
          <w:p w14:paraId="334E13C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拦截核算并返回 E_VAL_FACTOR_EXPIRED</w:t>
            </w:r>
          </w:p>
          <w:p w14:paraId="7A67FCF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图表底部标注"因子待升级"，历史版本仍可查询</w:t>
            </w:r>
          </w:p>
        </w:tc>
      </w:tr>
    </w:tbl>
    <w:p w14:paraId="15BA5586">
      <w:pPr>
        <w:spacing w:after="40"/>
        <w:rPr>
          <w:rFonts w:hint="eastAsia" w:ascii="宋体" w:hAnsi="宋体" w:eastAsia="宋体" w:cs="宋体"/>
          <w:i w:val="0"/>
          <w:iCs w:val="0"/>
          <w:sz w:val="24"/>
          <w:szCs w:val="24"/>
        </w:rPr>
      </w:pPr>
    </w:p>
    <w:p w14:paraId="31364E59">
      <w:pPr>
        <w:pStyle w:val="5"/>
        <w:numPr>
          <w:ilvl w:val="0"/>
          <w:numId w:val="27"/>
        </w:numPr>
        <w:ind w:left="0" w:leftChars="0" w:firstLine="0" w:firstLineChars="0"/>
        <w:outlineLvl w:val="1"/>
        <w:rPr>
          <w:rFonts w:hint="eastAsia" w:ascii="Times New Roman" w:hAnsi="Times New Roman" w:eastAsia="黑体" w:cs="Times New Roman"/>
          <w:b w:val="0"/>
          <w:bCs w:val="0"/>
          <w:sz w:val="30"/>
          <w:szCs w:val="24"/>
          <w:lang w:val="en-US" w:eastAsia="zh-CN"/>
        </w:rPr>
      </w:pPr>
      <w:bookmarkStart w:id="21" w:name="_Toc15620"/>
      <w:r>
        <w:rPr>
          <w:rFonts w:hint="eastAsia" w:ascii="Times New Roman" w:hAnsi="Times New Roman" w:eastAsia="黑体" w:cs="Times New Roman"/>
          <w:b w:val="0"/>
          <w:bCs w:val="0"/>
          <w:sz w:val="30"/>
          <w:szCs w:val="24"/>
          <w:lang w:val="en-US" w:eastAsia="zh-CN"/>
        </w:rPr>
        <w:t>自定义指标监测</w:t>
      </w:r>
      <w:bookmarkEnd w:id="21"/>
    </w:p>
    <w:p w14:paraId="2F3AD31A">
      <w:pPr>
        <w:numPr>
          <w:ilvl w:val="0"/>
          <w:numId w:val="0"/>
        </w:numPr>
        <w:spacing w:after="40"/>
        <w:ind w:leftChars="0"/>
        <w:rPr>
          <w:rFonts w:hint="default" w:ascii="宋体" w:hAnsi="宋体" w:eastAsia="宋体" w:cs="宋体"/>
          <w:i w:val="0"/>
          <w:iCs w:val="0"/>
          <w:sz w:val="24"/>
          <w:szCs w:val="24"/>
          <w:lang w:val="en-US" w:eastAsia="zh-CN"/>
        </w:rPr>
      </w:pPr>
      <w:r>
        <w:drawing>
          <wp:inline distT="0" distB="0" distL="114300" distR="114300">
            <wp:extent cx="5900420" cy="2925445"/>
            <wp:effectExtent l="0" t="0" r="5080" b="825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40"/>
                    <a:stretch>
                      <a:fillRect/>
                    </a:stretch>
                  </pic:blipFill>
                  <pic:spPr>
                    <a:xfrm>
                      <a:off x="0" y="0"/>
                      <a:ext cx="5900420" cy="2925445"/>
                    </a:xfrm>
                    <a:prstGeom prst="rect">
                      <a:avLst/>
                    </a:prstGeom>
                    <a:noFill/>
                    <a:ln>
                      <a:noFill/>
                    </a:ln>
                  </pic:spPr>
                </pic:pic>
              </a:graphicData>
            </a:graphic>
          </wp:inline>
        </w:drawing>
      </w:r>
    </w:p>
    <w:p w14:paraId="4B4A1640">
      <w:pPr>
        <w:pStyle w:val="6"/>
        <w:numPr>
          <w:ilvl w:val="0"/>
          <w:numId w:val="64"/>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F6AE29D">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53CB830D">
            <w:pPr>
              <w:pStyle w:val="19"/>
              <w:bidi w:val="0"/>
            </w:pPr>
          </w:p>
        </w:tc>
      </w:tr>
    </w:tbl>
    <w:p w14:paraId="770E48DB"/>
    <w:p w14:paraId="1BFC628B">
      <w:pPr>
        <w:pStyle w:val="6"/>
        <w:numPr>
          <w:ilvl w:val="0"/>
          <w:numId w:val="64"/>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5D9CCB3">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35E8A42A">
            <w:pPr>
              <w:pStyle w:val="19"/>
              <w:bidi w:val="0"/>
            </w:pPr>
          </w:p>
        </w:tc>
      </w:tr>
    </w:tbl>
    <w:p w14:paraId="231FEA41"/>
    <w:p w14:paraId="7DE23CAE">
      <w:pPr>
        <w:pStyle w:val="6"/>
        <w:numPr>
          <w:ilvl w:val="0"/>
          <w:numId w:val="64"/>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3FC7E326">
        <w:tblPrEx>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1D64D4E6">
            <w:pPr>
              <w:pStyle w:val="19"/>
              <w:bidi w:val="0"/>
            </w:pPr>
          </w:p>
          <w:p w14:paraId="062D7437">
            <w:pPr>
              <w:pStyle w:val="19"/>
              <w:bidi w:val="0"/>
              <w:ind w:left="0" w:leftChars="0" w:firstLine="0" w:firstLineChars="0"/>
              <w:rPr>
                <w:rFonts w:hint="eastAsia"/>
                <w:lang w:val="en-US" w:eastAsia="zh-CN"/>
              </w:rPr>
            </w:pPr>
            <w:r>
              <w:rPr>
                <w:rFonts w:hint="eastAsia"/>
                <w:lang w:val="en-US" w:eastAsia="zh-CN"/>
              </w:rPr>
              <w:t>数据概览：</w:t>
            </w:r>
          </w:p>
          <w:p w14:paraId="6E0E59DE">
            <w:pPr>
              <w:pStyle w:val="19"/>
              <w:bidi w:val="0"/>
              <w:ind w:left="0" w:leftChars="0" w:firstLine="0" w:firstLineChars="0"/>
            </w:pPr>
            <w:r>
              <w:drawing>
                <wp:inline distT="0" distB="0" distL="114300" distR="114300">
                  <wp:extent cx="5996305" cy="2018665"/>
                  <wp:effectExtent l="0" t="0" r="4445" b="635"/>
                  <wp:docPr id="110"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64"/>
                          <pic:cNvPicPr>
                            <a:picLocks noChangeAspect="1"/>
                          </pic:cNvPicPr>
                        </pic:nvPicPr>
                        <pic:blipFill>
                          <a:blip r:embed="rId41"/>
                          <a:stretch>
                            <a:fillRect/>
                          </a:stretch>
                        </pic:blipFill>
                        <pic:spPr>
                          <a:xfrm>
                            <a:off x="0" y="0"/>
                            <a:ext cx="5996305" cy="2018665"/>
                          </a:xfrm>
                          <a:prstGeom prst="rect">
                            <a:avLst/>
                          </a:prstGeom>
                          <a:noFill/>
                          <a:ln>
                            <a:noFill/>
                          </a:ln>
                        </pic:spPr>
                      </pic:pic>
                    </a:graphicData>
                  </a:graphic>
                </wp:inline>
              </w:drawing>
            </w:r>
          </w:p>
          <w:p w14:paraId="0BFB8EEC">
            <w:pPr>
              <w:pStyle w:val="19"/>
              <w:bidi w:val="0"/>
              <w:ind w:left="0" w:leftChars="0" w:firstLine="0" w:firstLineChars="0"/>
              <w:rPr>
                <w:rFonts w:hint="eastAsia"/>
                <w:lang w:val="en-US" w:eastAsia="zh-CN"/>
              </w:rPr>
            </w:pPr>
          </w:p>
          <w:p w14:paraId="12B672F9">
            <w:pPr>
              <w:pStyle w:val="19"/>
              <w:bidi w:val="0"/>
              <w:ind w:left="0" w:leftChars="0" w:firstLine="0" w:firstLineChars="0"/>
              <w:rPr>
                <w:rFonts w:hint="default"/>
                <w:lang w:val="en-US" w:eastAsia="zh-CN"/>
              </w:rPr>
            </w:pPr>
            <w:r>
              <w:rPr>
                <w:rFonts w:hint="eastAsia"/>
                <w:lang w:val="en-US" w:eastAsia="zh-CN"/>
              </w:rPr>
              <w:t>数据台账明细：</w:t>
            </w:r>
          </w:p>
          <w:p w14:paraId="66536892">
            <w:pPr>
              <w:pStyle w:val="19"/>
              <w:bidi w:val="0"/>
              <w:ind w:left="0" w:leftChars="0" w:firstLine="0" w:firstLineChars="0"/>
              <w:rPr>
                <w:rFonts w:hint="default"/>
                <w:lang w:val="en-US" w:eastAsia="zh-CN"/>
              </w:rPr>
            </w:pPr>
            <w:r>
              <w:drawing>
                <wp:inline distT="0" distB="0" distL="114300" distR="114300">
                  <wp:extent cx="5996305" cy="2658745"/>
                  <wp:effectExtent l="0" t="0" r="4445" b="8255"/>
                  <wp:docPr id="111"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65"/>
                          <pic:cNvPicPr>
                            <a:picLocks noChangeAspect="1"/>
                          </pic:cNvPicPr>
                        </pic:nvPicPr>
                        <pic:blipFill>
                          <a:blip r:embed="rId42"/>
                          <a:stretch>
                            <a:fillRect/>
                          </a:stretch>
                        </pic:blipFill>
                        <pic:spPr>
                          <a:xfrm>
                            <a:off x="0" y="0"/>
                            <a:ext cx="5996305" cy="2658745"/>
                          </a:xfrm>
                          <a:prstGeom prst="rect">
                            <a:avLst/>
                          </a:prstGeom>
                          <a:noFill/>
                          <a:ln>
                            <a:noFill/>
                          </a:ln>
                        </pic:spPr>
                      </pic:pic>
                    </a:graphicData>
                  </a:graphic>
                </wp:inline>
              </w:drawing>
            </w:r>
          </w:p>
        </w:tc>
      </w:tr>
    </w:tbl>
    <w:p w14:paraId="531E4F14"/>
    <w:p w14:paraId="3E2A4776">
      <w:pPr>
        <w:pStyle w:val="6"/>
        <w:numPr>
          <w:ilvl w:val="0"/>
          <w:numId w:val="64"/>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657"/>
        <w:gridCol w:w="1468"/>
        <w:gridCol w:w="1291"/>
        <w:gridCol w:w="4479"/>
      </w:tblGrid>
      <w:tr w14:paraId="53D61513">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2C6C6B">
            <w:pPr>
              <w:pStyle w:val="19"/>
              <w:bidi w:val="0"/>
              <w:spacing w:line="240" w:lineRule="auto"/>
              <w:ind w:left="0" w:leftChars="0" w:right="0" w:rightChars="0" w:firstLine="0" w:firstLineChars="0"/>
              <w:jc w:val="both"/>
            </w:pPr>
            <w: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283FEA3">
            <w:pPr>
              <w:pStyle w:val="19"/>
              <w:bidi w:val="0"/>
              <w:spacing w:line="240" w:lineRule="auto"/>
              <w:ind w:left="0" w:leftChars="0" w:right="0" w:rightChars="0" w:firstLine="0" w:firstLineChars="0"/>
              <w:jc w:val="both"/>
            </w:pPr>
            <w: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90314CE">
            <w:pPr>
              <w:pStyle w:val="19"/>
              <w:bidi w:val="0"/>
              <w:spacing w:line="240" w:lineRule="auto"/>
              <w:ind w:left="0" w:leftChars="0" w:right="0" w:rightChars="0" w:firstLine="0" w:firstLineChars="0"/>
              <w:jc w:val="both"/>
            </w:pPr>
            <w: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25A81E">
            <w:pPr>
              <w:pStyle w:val="19"/>
              <w:bidi w:val="0"/>
              <w:spacing w:line="240" w:lineRule="auto"/>
              <w:ind w:left="0" w:leftChars="0" w:right="0" w:rightChars="0" w:firstLine="0" w:firstLineChars="0"/>
              <w:jc w:val="both"/>
            </w:pPr>
            <w: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02A53E">
            <w:pPr>
              <w:pStyle w:val="19"/>
              <w:bidi w:val="0"/>
              <w:spacing w:line="240" w:lineRule="auto"/>
              <w:ind w:left="0" w:leftChars="0" w:right="0" w:rightChars="0" w:firstLine="0" w:firstLineChars="0"/>
              <w:jc w:val="both"/>
            </w:pPr>
            <w:r>
              <w:t>校验与约束规则</w:t>
            </w:r>
          </w:p>
        </w:tc>
      </w:tr>
      <w:tr w14:paraId="7BD9BC7B">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269AB9">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739380">
            <w:pPr>
              <w:pStyle w:val="19"/>
              <w:bidi w:val="0"/>
              <w:spacing w:line="240" w:lineRule="auto"/>
              <w:ind w:left="0" w:leftChars="0" w:right="0" w:rightChars="0" w:firstLine="0" w:firstLineChars="0"/>
              <w:jc w:val="both"/>
            </w:pP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9874C6">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676328">
            <w:pPr>
              <w:pStyle w:val="19"/>
              <w:bidi w:val="0"/>
              <w:spacing w:line="240" w:lineRule="auto"/>
              <w:ind w:left="0" w:leftChars="0" w:right="0" w:rightChars="0" w:firstLine="0" w:firstLineChars="0"/>
              <w:jc w:val="both"/>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8E5883">
            <w:pPr>
              <w:pStyle w:val="19"/>
              <w:bidi w:val="0"/>
              <w:spacing w:line="240" w:lineRule="auto"/>
              <w:ind w:left="0" w:leftChars="0" w:right="0" w:rightChars="0" w:firstLine="0" w:firstLineChars="0"/>
              <w:jc w:val="both"/>
            </w:pPr>
          </w:p>
        </w:tc>
      </w:tr>
      <w:tr w14:paraId="7FEA3C65">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875ADB">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FEC37C">
            <w:pPr>
              <w:pStyle w:val="19"/>
              <w:bidi w:val="0"/>
              <w:spacing w:line="240" w:lineRule="auto"/>
              <w:ind w:left="0" w:leftChars="0" w:right="0" w:rightChars="0" w:firstLine="0" w:firstLineChars="0"/>
              <w:jc w:val="both"/>
            </w:pP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FFC321">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2DD407">
            <w:pPr>
              <w:pStyle w:val="19"/>
              <w:bidi w:val="0"/>
              <w:spacing w:line="240" w:lineRule="auto"/>
              <w:ind w:left="0" w:leftChars="0" w:right="0" w:rightChars="0" w:firstLine="0" w:firstLineChars="0"/>
              <w:jc w:val="both"/>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352EEE">
            <w:pPr>
              <w:pStyle w:val="19"/>
              <w:bidi w:val="0"/>
              <w:spacing w:line="240" w:lineRule="auto"/>
              <w:ind w:left="0" w:leftChars="0" w:right="0" w:rightChars="0" w:firstLine="0" w:firstLineChars="0"/>
              <w:jc w:val="both"/>
            </w:pPr>
          </w:p>
        </w:tc>
      </w:tr>
      <w:tr w14:paraId="4B08F85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B12681">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AEF421">
            <w:pPr>
              <w:pStyle w:val="19"/>
              <w:bidi w:val="0"/>
              <w:spacing w:line="240" w:lineRule="auto"/>
              <w:ind w:left="0" w:leftChars="0" w:right="0" w:rightChars="0" w:firstLine="0" w:firstLineChars="0"/>
              <w:jc w:val="both"/>
            </w:pP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F6993E">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BBE5DB">
            <w:pPr>
              <w:pStyle w:val="19"/>
              <w:bidi w:val="0"/>
              <w:spacing w:line="240" w:lineRule="auto"/>
              <w:ind w:left="0" w:leftChars="0" w:right="0" w:rightChars="0" w:firstLine="0" w:firstLineChars="0"/>
              <w:jc w:val="both"/>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0BAE48">
            <w:pPr>
              <w:pStyle w:val="19"/>
              <w:bidi w:val="0"/>
              <w:spacing w:line="240" w:lineRule="auto"/>
              <w:ind w:left="0" w:leftChars="0" w:right="0" w:rightChars="0" w:firstLine="0" w:firstLineChars="0"/>
              <w:jc w:val="both"/>
            </w:pPr>
          </w:p>
        </w:tc>
      </w:tr>
      <w:tr w14:paraId="7612DBB0">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A51F77">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CF3797">
            <w:pPr>
              <w:pStyle w:val="19"/>
              <w:bidi w:val="0"/>
              <w:spacing w:line="240" w:lineRule="auto"/>
              <w:ind w:left="0" w:leftChars="0" w:right="0" w:rightChars="0" w:firstLine="0" w:firstLineChars="0"/>
              <w:jc w:val="both"/>
            </w:pP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2DDAA9">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372362">
            <w:pPr>
              <w:pStyle w:val="19"/>
              <w:bidi w:val="0"/>
              <w:spacing w:line="240" w:lineRule="auto"/>
              <w:ind w:left="0" w:leftChars="0" w:right="0" w:rightChars="0" w:firstLine="0" w:firstLineChars="0"/>
              <w:jc w:val="both"/>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DDFDE4">
            <w:pPr>
              <w:pStyle w:val="19"/>
              <w:bidi w:val="0"/>
              <w:spacing w:line="240" w:lineRule="auto"/>
              <w:ind w:left="0" w:leftChars="0" w:right="0" w:rightChars="0" w:firstLine="0" w:firstLineChars="0"/>
              <w:jc w:val="both"/>
            </w:pPr>
          </w:p>
        </w:tc>
      </w:tr>
      <w:tr w14:paraId="077AECE3">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1632B0">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5EDD4B">
            <w:pPr>
              <w:pStyle w:val="19"/>
              <w:bidi w:val="0"/>
              <w:spacing w:line="240" w:lineRule="auto"/>
              <w:ind w:left="0" w:leftChars="0" w:right="0" w:rightChars="0" w:firstLine="0" w:firstLineChars="0"/>
              <w:jc w:val="both"/>
            </w:pP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85338F">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86E0E0">
            <w:pPr>
              <w:pStyle w:val="19"/>
              <w:bidi w:val="0"/>
              <w:spacing w:line="240" w:lineRule="auto"/>
              <w:ind w:left="0" w:leftChars="0" w:right="0" w:rightChars="0" w:firstLine="0" w:firstLineChars="0"/>
              <w:jc w:val="both"/>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75B431">
            <w:pPr>
              <w:pStyle w:val="19"/>
              <w:bidi w:val="0"/>
              <w:spacing w:line="240" w:lineRule="auto"/>
              <w:ind w:left="0" w:leftChars="0" w:right="0" w:rightChars="0" w:firstLine="0" w:firstLineChars="0"/>
              <w:jc w:val="both"/>
            </w:pPr>
          </w:p>
        </w:tc>
      </w:tr>
      <w:tr w14:paraId="66F36E7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7E52F2">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D359F7">
            <w:pPr>
              <w:pStyle w:val="19"/>
              <w:bidi w:val="0"/>
              <w:spacing w:line="240" w:lineRule="auto"/>
              <w:ind w:left="0" w:leftChars="0" w:right="0" w:rightChars="0" w:firstLine="0" w:firstLineChars="0"/>
              <w:jc w:val="both"/>
            </w:pP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F894C2">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6B37B4">
            <w:pPr>
              <w:pStyle w:val="19"/>
              <w:bidi w:val="0"/>
              <w:spacing w:line="240" w:lineRule="auto"/>
              <w:ind w:left="0" w:leftChars="0" w:right="0" w:rightChars="0" w:firstLine="0" w:firstLineChars="0"/>
              <w:jc w:val="both"/>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C99565">
            <w:pPr>
              <w:pStyle w:val="19"/>
              <w:bidi w:val="0"/>
              <w:spacing w:line="240" w:lineRule="auto"/>
              <w:ind w:left="0" w:leftChars="0" w:right="0" w:rightChars="0" w:firstLine="0" w:firstLineChars="0"/>
              <w:jc w:val="both"/>
            </w:pPr>
          </w:p>
        </w:tc>
      </w:tr>
      <w:tr w14:paraId="504C7D6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6F3481">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488AB6">
            <w:pPr>
              <w:pStyle w:val="19"/>
              <w:bidi w:val="0"/>
              <w:spacing w:line="240" w:lineRule="auto"/>
              <w:ind w:left="0" w:leftChars="0" w:right="0" w:rightChars="0" w:firstLine="0" w:firstLineChars="0"/>
              <w:jc w:val="both"/>
            </w:pP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1B9865">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CB762A">
            <w:pPr>
              <w:pStyle w:val="19"/>
              <w:bidi w:val="0"/>
              <w:spacing w:line="240" w:lineRule="auto"/>
              <w:ind w:left="0" w:leftChars="0" w:right="0" w:rightChars="0" w:firstLine="0" w:firstLineChars="0"/>
              <w:jc w:val="both"/>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C5A422">
            <w:pPr>
              <w:pStyle w:val="19"/>
              <w:bidi w:val="0"/>
              <w:spacing w:line="240" w:lineRule="auto"/>
              <w:ind w:left="0" w:leftChars="0" w:right="0" w:rightChars="0" w:firstLine="0" w:firstLineChars="0"/>
              <w:jc w:val="both"/>
            </w:pPr>
          </w:p>
        </w:tc>
      </w:tr>
      <w:tr w14:paraId="0060235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B94AD0">
            <w:pPr>
              <w:pStyle w:val="19"/>
              <w:bidi w:val="0"/>
              <w:spacing w:line="240" w:lineRule="auto"/>
              <w:ind w:left="0" w:leftChars="0" w:right="0" w:rightChars="0" w:firstLine="0" w:firstLineChars="0"/>
              <w:jc w:val="both"/>
            </w:pPr>
          </w:p>
        </w:tc>
        <w:tc>
          <w:tcPr>
            <w:tcW w:w="16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AA7AC">
            <w:pPr>
              <w:pStyle w:val="19"/>
              <w:bidi w:val="0"/>
              <w:spacing w:line="240" w:lineRule="auto"/>
              <w:ind w:left="0" w:leftChars="0" w:right="0" w:rightChars="0" w:firstLine="0" w:firstLineChars="0"/>
              <w:jc w:val="both"/>
            </w:pP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4FBD78">
            <w:pPr>
              <w:pStyle w:val="19"/>
              <w:bidi w:val="0"/>
              <w:spacing w:line="240" w:lineRule="auto"/>
              <w:ind w:left="0" w:leftChars="0" w:right="0" w:rightChars="0" w:firstLine="0" w:firstLineChars="0"/>
              <w:jc w:val="both"/>
            </w:pPr>
          </w:p>
        </w:tc>
        <w:tc>
          <w:tcPr>
            <w:tcW w:w="12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C0C36D">
            <w:pPr>
              <w:pStyle w:val="19"/>
              <w:bidi w:val="0"/>
              <w:spacing w:line="240" w:lineRule="auto"/>
              <w:ind w:left="0" w:leftChars="0" w:right="0" w:rightChars="0" w:firstLine="0" w:firstLineChars="0"/>
              <w:jc w:val="both"/>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DB56EC">
            <w:pPr>
              <w:pStyle w:val="19"/>
              <w:bidi w:val="0"/>
              <w:spacing w:line="240" w:lineRule="auto"/>
              <w:ind w:left="0" w:leftChars="0" w:right="0" w:rightChars="0" w:firstLine="0" w:firstLineChars="0"/>
              <w:jc w:val="both"/>
            </w:pPr>
          </w:p>
        </w:tc>
      </w:tr>
    </w:tbl>
    <w:p w14:paraId="6D1E93E6">
      <w:pPr>
        <w:pStyle w:val="19"/>
        <w:bidi w:val="0"/>
      </w:pPr>
    </w:p>
    <w:p w14:paraId="7DBFE415">
      <w:pPr>
        <w:pStyle w:val="6"/>
        <w:numPr>
          <w:ilvl w:val="0"/>
          <w:numId w:val="64"/>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395C9971">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6B95C272">
            <w:pPr>
              <w:pStyle w:val="19"/>
              <w:bidi w:val="0"/>
            </w:pPr>
          </w:p>
        </w:tc>
      </w:tr>
    </w:tbl>
    <w:p w14:paraId="3BF1F508">
      <w:pPr>
        <w:pStyle w:val="19"/>
        <w:bidi w:val="0"/>
      </w:pPr>
    </w:p>
    <w:p w14:paraId="5655A174">
      <w:pPr>
        <w:pStyle w:val="6"/>
        <w:numPr>
          <w:ilvl w:val="0"/>
          <w:numId w:val="64"/>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EF82BF9">
        <w:tblPrEx>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38BCF723">
            <w:pPr>
              <w:pStyle w:val="19"/>
              <w:bidi w:val="0"/>
            </w:pPr>
          </w:p>
        </w:tc>
      </w:tr>
    </w:tbl>
    <w:p w14:paraId="2F42FC2C">
      <w:pPr>
        <w:pStyle w:val="19"/>
        <w:bidi w:val="0"/>
      </w:pPr>
    </w:p>
    <w:p w14:paraId="412D10D1">
      <w:pPr>
        <w:pStyle w:val="6"/>
        <w:numPr>
          <w:ilvl w:val="0"/>
          <w:numId w:val="64"/>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4BFD75F">
        <w:tblPrEx>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5F3FF"/>
            <w:tcMar>
              <w:top w:w="70" w:type="dxa"/>
              <w:left w:w="100" w:type="dxa"/>
              <w:bottom w:w="70" w:type="dxa"/>
              <w:right w:w="100" w:type="dxa"/>
            </w:tcMar>
          </w:tcPr>
          <w:p w14:paraId="7F118505">
            <w:pPr>
              <w:pStyle w:val="19"/>
              <w:bidi w:val="0"/>
            </w:pPr>
          </w:p>
        </w:tc>
      </w:tr>
    </w:tbl>
    <w:p w14:paraId="0CA02B5D"/>
    <w:p w14:paraId="4B40C322">
      <w:pPr>
        <w:pStyle w:val="6"/>
        <w:numPr>
          <w:ilvl w:val="0"/>
          <w:numId w:val="64"/>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72E180AF">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2223F7A0">
            <w:pPr>
              <w:pStyle w:val="19"/>
              <w:bidi w:val="0"/>
            </w:pPr>
          </w:p>
        </w:tc>
      </w:tr>
    </w:tbl>
    <w:p w14:paraId="43050B62">
      <w:pPr>
        <w:numPr>
          <w:ilvl w:val="0"/>
          <w:numId w:val="0"/>
        </w:numPr>
        <w:spacing w:after="40"/>
        <w:ind w:leftChars="0"/>
        <w:rPr>
          <w:rFonts w:hint="default" w:ascii="宋体" w:hAnsi="宋体" w:eastAsia="宋体" w:cs="宋体"/>
          <w:i w:val="0"/>
          <w:iCs w:val="0"/>
          <w:sz w:val="24"/>
          <w:szCs w:val="24"/>
          <w:lang w:val="en-US" w:eastAsia="zh-CN"/>
        </w:rPr>
      </w:pPr>
    </w:p>
    <w:p w14:paraId="6C7DCA8E">
      <w:pPr>
        <w:pStyle w:val="4"/>
        <w:numPr>
          <w:ilvl w:val="0"/>
          <w:numId w:val="15"/>
        </w:numPr>
        <w:topLinePunct w:val="0"/>
        <w:ind w:left="0" w:leftChars="0" w:firstLine="0" w:firstLineChars="0"/>
        <w:outlineLvl w:val="0"/>
        <w:rPr>
          <w:rFonts w:hint="eastAsia" w:eastAsia="黑体"/>
          <w:b w:val="0"/>
          <w:bCs w:val="0"/>
          <w:sz w:val="30"/>
          <w:szCs w:val="32"/>
        </w:rPr>
      </w:pPr>
      <w:bookmarkStart w:id="22" w:name="_Toc15423"/>
      <w:r>
        <w:rPr>
          <w:rFonts w:ascii="Times New Roman" w:hAnsi="Times New Roman" w:eastAsia="黑体" w:cs="Times New Roman"/>
          <w:b w:val="0"/>
          <w:bCs w:val="0"/>
          <w:sz w:val="30"/>
          <w:szCs w:val="32"/>
        </w:rPr>
        <w:t>能耗能效分析</w:t>
      </w:r>
      <w:bookmarkEnd w:id="22"/>
    </w:p>
    <w:p w14:paraId="55286C6D">
      <w:pPr>
        <w:pStyle w:val="5"/>
        <w:numPr>
          <w:ilvl w:val="0"/>
          <w:numId w:val="65"/>
        </w:numPr>
        <w:ind w:left="0" w:leftChars="0" w:firstLine="0" w:firstLineChars="0"/>
        <w:outlineLvl w:val="1"/>
        <w:rPr>
          <w:rFonts w:eastAsia="黑体"/>
          <w:b w:val="0"/>
          <w:bCs w:val="0"/>
          <w:sz w:val="30"/>
          <w:szCs w:val="24"/>
        </w:rPr>
      </w:pPr>
      <w:bookmarkStart w:id="23" w:name="_Toc1657"/>
      <w:r>
        <w:rPr>
          <w:rFonts w:ascii="Times New Roman" w:hAnsi="Times New Roman" w:eastAsia="黑体" w:cs="Times New Roman"/>
          <w:b w:val="0"/>
          <w:bCs w:val="0"/>
          <w:sz w:val="30"/>
          <w:szCs w:val="24"/>
        </w:rPr>
        <w:t>用能结构分析</w:t>
      </w:r>
      <w:bookmarkEnd w:id="23"/>
    </w:p>
    <w:p w14:paraId="1862A81A">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43"/>
                    <a:stretch>
                      <a:fillRect/>
                    </a:stretch>
                  </pic:blipFill>
                  <pic:spPr>
                    <a:xfrm>
                      <a:off x="0" y="0"/>
                      <a:ext cx="5900420" cy="2925445"/>
                    </a:xfrm>
                    <a:prstGeom prst="rect">
                      <a:avLst/>
                    </a:prstGeom>
                    <a:noFill/>
                    <a:ln>
                      <a:noFill/>
                    </a:ln>
                  </pic:spPr>
                </pic:pic>
              </a:graphicData>
            </a:graphic>
          </wp:inline>
        </w:drawing>
      </w:r>
    </w:p>
    <w:p w14:paraId="6C837094">
      <w:pPr>
        <w:pStyle w:val="6"/>
        <w:numPr>
          <w:ilvl w:val="0"/>
          <w:numId w:val="6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7968715">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：全集团能源消费介质结构占比与历史推移结构分析，支撑"以电代气、以绿代灰"的能源清洁化替代决策。</w:t>
      </w:r>
    </w:p>
    <w:p w14:paraId="05704EBB">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园区能碳专员、能耗分析专家。</w:t>
      </w:r>
    </w:p>
    <w:p w14:paraId="15957C48">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/monitor/analysis/structure </w:t>
      </w:r>
      <w:r>
        <w:rPr>
          <w:rFonts w:ascii="Times New Roman" w:hAnsi="Times New Roman" w:eastAsia="宋体" w:cs="Times New Roman"/>
          <w:i w:val="0"/>
          <w:color w:val="1F2937"/>
          <w:sz w:val="24"/>
          <w:szCs w:val="24"/>
        </w:rPr>
        <w:t>。</w:t>
      </w:r>
    </w:p>
    <w:p w14:paraId="0AE8F536">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：用能在线监测介质消耗数据、折标系数版本库、组织架构四级维度。</w:t>
      </w:r>
    </w:p>
    <w:p w14:paraId="190D7EA9">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：能源替代方案依据、零碳工厂自评估能源利用维度数据。</w:t>
      </w:r>
    </w:p>
    <w:p w14:paraId="658118AF">
      <w:pPr>
        <w:pStyle w:val="6"/>
        <w:numPr>
          <w:ilvl w:val="0"/>
          <w:numId w:val="6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3A0C89E">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：全集团各园区在电力、天然气、工业蒸汽、柴油等不同能源介质上的当量消费占比与推移结构分析。</w:t>
      </w:r>
    </w:p>
    <w:p w14:paraId="29A0E4FC">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9696428">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能耗分析专家</w:t>
      </w:r>
      <w:r>
        <w:rPr>
          <w:rFonts w:ascii="Times New Roman" w:hAnsi="Times New Roman" w:eastAsia="宋体" w:cs="Times New Roman"/>
          <w:i w:val="0"/>
          <w:color w:val="1F2937"/>
          <w:sz w:val="24"/>
          <w:szCs w:val="24"/>
        </w:rPr>
        <w:t>，</w:t>
      </w:r>
    </w:p>
    <w:p w14:paraId="6CDDD331">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穿透分析各生产基地的能源消费结构占比与历史月度推移</w:t>
      </w:r>
      <w:r>
        <w:rPr>
          <w:rFonts w:ascii="Times New Roman" w:hAnsi="Times New Roman" w:eastAsia="宋体" w:cs="Times New Roman"/>
          <w:i w:val="0"/>
          <w:color w:val="1F2937"/>
          <w:sz w:val="24"/>
          <w:szCs w:val="24"/>
        </w:rPr>
        <w:t>，</w:t>
      </w:r>
    </w:p>
    <w:p w14:paraId="02EDF80B">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我能制定以电代气、以绿代灰的能源清洁化替代方案</w:t>
      </w:r>
      <w:r>
        <w:rPr>
          <w:rFonts w:ascii="Times New Roman" w:hAnsi="Times New Roman" w:eastAsia="宋体" w:cs="Times New Roman"/>
          <w:i w:val="0"/>
          <w:color w:val="1F2937"/>
          <w:sz w:val="24"/>
          <w:szCs w:val="24"/>
        </w:rPr>
        <w:t>。</w:t>
      </w:r>
    </w:p>
    <w:p w14:paraId="53D919EC">
      <w:pPr>
        <w:pStyle w:val="6"/>
        <w:numPr>
          <w:ilvl w:val="0"/>
          <w:numId w:val="6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1F298B5C">
      <w:pPr>
        <w:pStyle w:val="19"/>
        <w:widowControl/>
        <w:numPr>
          <w:ilvl w:val="0"/>
          <w:numId w:val="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全域能源消费圆环图</w:t>
      </w:r>
      <w:r>
        <w:rPr>
          <w:rFonts w:ascii="Times New Roman" w:hAnsi="Times New Roman" w:eastAsia="宋体" w:cs="Times New Roman"/>
          <w:i w:val="0"/>
          <w:color w:val="1F2937"/>
          <w:sz w:val="24"/>
          <w:szCs w:val="24"/>
        </w:rPr>
        <w:t>：展示电力、蒸汽、天然气等按折标煤当量的占比分布。</w:t>
      </w:r>
    </w:p>
    <w:p w14:paraId="4E592145">
      <w:pPr>
        <w:pStyle w:val="19"/>
        <w:widowControl/>
        <w:numPr>
          <w:ilvl w:val="0"/>
          <w:numId w:val="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月度用能结构推移堆叠柱状图</w:t>
      </w:r>
      <w:r>
        <w:rPr>
          <w:rFonts w:ascii="Times New Roman" w:hAnsi="Times New Roman" w:eastAsia="宋体" w:cs="Times New Roman"/>
          <w:i w:val="0"/>
          <w:color w:val="1F2937"/>
          <w:sz w:val="24"/>
          <w:szCs w:val="24"/>
        </w:rPr>
        <w:t>：按月份展示各介质消费推移，鼠标悬停展示各分项 tce。</w:t>
      </w:r>
    </w:p>
    <w:p w14:paraId="2F8E8FD1">
      <w:pPr>
        <w:pStyle w:val="19"/>
        <w:widowControl/>
        <w:numPr>
          <w:ilvl w:val="0"/>
          <w:numId w:val="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车间能耗横向对比柱状图</w:t>
      </w:r>
      <w:r>
        <w:rPr>
          <w:rFonts w:ascii="Times New Roman" w:hAnsi="Times New Roman" w:eastAsia="宋体" w:cs="Times New Roman"/>
          <w:i w:val="0"/>
          <w:color w:val="1F2937"/>
          <w:sz w:val="24"/>
          <w:szCs w:val="24"/>
        </w:rPr>
        <w:t>：客观呈现各生产车间综合能耗排序。</w:t>
      </w:r>
    </w:p>
    <w:p w14:paraId="3F20F602">
      <w:pPr>
        <w:pStyle w:val="19"/>
        <w:widowControl/>
        <w:numPr>
          <w:ilvl w:val="0"/>
          <w:numId w:val="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维度选择器</w:t>
      </w:r>
      <w:r>
        <w:rPr>
          <w:rFonts w:ascii="Times New Roman" w:hAnsi="Times New Roman" w:eastAsia="宋体" w:cs="Times New Roman"/>
          <w:i w:val="0"/>
          <w:color w:val="1F2937"/>
          <w:sz w:val="24"/>
          <w:szCs w:val="24"/>
        </w:rPr>
        <w:t>：组织（集团 / 产业 / 二级公司 / 车间）+ 时间（月 / 年 / 区间）；上级变更逐级重置下级到首项。</w:t>
      </w:r>
    </w:p>
    <w:p w14:paraId="2A971163">
      <w:pPr>
        <w:pStyle w:val="19"/>
        <w:widowControl/>
        <w:numPr>
          <w:ilvl w:val="0"/>
          <w:numId w:val="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口径切换</w:t>
      </w:r>
      <w:r>
        <w:rPr>
          <w:rFonts w:ascii="Times New Roman" w:hAnsi="Times New Roman" w:eastAsia="宋体" w:cs="Times New Roman"/>
          <w:i w:val="0"/>
          <w:color w:val="1F2937"/>
          <w:sz w:val="24"/>
          <w:szCs w:val="24"/>
        </w:rPr>
        <w:t>：支持"当量值 / 等价值"折标口径切换，切换后全页图表同步重算并标注当前口径。</w:t>
      </w:r>
    </w:p>
    <w:p w14:paraId="6F462482">
      <w:pPr>
        <w:pStyle w:val="19"/>
        <w:widowControl/>
        <w:numPr>
          <w:ilvl w:val="0"/>
          <w:numId w:val="0"/>
        </w:numPr>
        <w:adjustRightInd w:val="0"/>
        <w:spacing w:before="100" w:after="100" w:afterLines="0" w:afterAutospacing="0" w:line="300" w:lineRule="auto"/>
        <w:jc w:val="both"/>
        <w:rPr>
          <w:rFonts w:hint="default" w:ascii="Times New Roman" w:hAnsi="Times New Roman" w:eastAsia="宋体" w:cs="Times New Roman"/>
          <w:i w:val="0"/>
          <w:color w:val="1F2937"/>
          <w:sz w:val="24"/>
          <w:szCs w:val="24"/>
          <w:lang w:val="en-US" w:eastAsia="zh-CN"/>
        </w:rPr>
      </w:pPr>
      <w:r>
        <w:rPr>
          <w:rFonts w:hint="eastAsia" w:cs="Times New Roman"/>
          <w:i w:val="0"/>
          <w:color w:val="1F2937"/>
          <w:sz w:val="24"/>
          <w:szCs w:val="24"/>
          <w:lang w:val="en-US" w:eastAsia="zh-CN"/>
        </w:rPr>
        <w:t>能源消耗量概览：</w:t>
      </w:r>
    </w:p>
    <w:p w14:paraId="67271C3A">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r>
        <w:drawing>
          <wp:inline distT="0" distB="0" distL="114300" distR="114300">
            <wp:extent cx="5905500" cy="1049655"/>
            <wp:effectExtent l="0" t="0" r="0" b="17145"/>
            <wp:docPr id="112"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66"/>
                    <pic:cNvPicPr>
                      <a:picLocks noChangeAspect="1"/>
                    </pic:cNvPicPr>
                  </pic:nvPicPr>
                  <pic:blipFill>
                    <a:blip r:embed="rId44"/>
                    <a:stretch>
                      <a:fillRect/>
                    </a:stretch>
                  </pic:blipFill>
                  <pic:spPr>
                    <a:xfrm>
                      <a:off x="0" y="0"/>
                      <a:ext cx="5905500" cy="1049655"/>
                    </a:xfrm>
                    <a:prstGeom prst="rect">
                      <a:avLst/>
                    </a:prstGeom>
                    <a:noFill/>
                    <a:ln>
                      <a:noFill/>
                    </a:ln>
                  </pic:spPr>
                </pic:pic>
              </a:graphicData>
            </a:graphic>
          </wp:inline>
        </w:drawing>
      </w:r>
    </w:p>
    <w:p w14:paraId="62F99666">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470BB6E7">
      <w:pPr>
        <w:pStyle w:val="19"/>
        <w:widowControl/>
        <w:numPr>
          <w:ilvl w:val="0"/>
          <w:numId w:val="0"/>
        </w:numPr>
        <w:adjustRightInd w:val="0"/>
        <w:spacing w:before="100" w:after="100" w:afterLines="0" w:afterAutospacing="0" w:line="300" w:lineRule="auto"/>
        <w:jc w:val="both"/>
      </w:pPr>
      <w:r>
        <w:rPr>
          <w:rFonts w:hint="eastAsia" w:cs="Times New Roman"/>
          <w:i w:val="0"/>
          <w:color w:val="1F2937"/>
          <w:sz w:val="24"/>
          <w:szCs w:val="24"/>
          <w:lang w:val="en-US" w:eastAsia="zh-CN"/>
        </w:rPr>
        <w:t>能源消耗总量：</w:t>
      </w:r>
      <w:r>
        <w:rPr>
          <w:rFonts w:hint="eastAsia" w:cs="Times New Roman"/>
          <w:i w:val="0"/>
          <w:color w:val="1F2937"/>
          <w:sz w:val="24"/>
          <w:szCs w:val="24"/>
          <w:lang w:val="en-US" w:eastAsia="zh-CN"/>
        </w:rPr>
        <w:br w:type="textWrapping"/>
      </w:r>
      <w:r>
        <w:drawing>
          <wp:inline distT="0" distB="0" distL="114300" distR="114300">
            <wp:extent cx="5913755" cy="3120390"/>
            <wp:effectExtent l="0" t="0" r="10795" b="3810"/>
            <wp:docPr id="113"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67"/>
                    <pic:cNvPicPr>
                      <a:picLocks noChangeAspect="1"/>
                    </pic:cNvPicPr>
                  </pic:nvPicPr>
                  <pic:blipFill>
                    <a:blip r:embed="rId45"/>
                    <a:stretch>
                      <a:fillRect/>
                    </a:stretch>
                  </pic:blipFill>
                  <pic:spPr>
                    <a:xfrm>
                      <a:off x="0" y="0"/>
                      <a:ext cx="5913755" cy="3120390"/>
                    </a:xfrm>
                    <a:prstGeom prst="rect">
                      <a:avLst/>
                    </a:prstGeom>
                    <a:noFill/>
                    <a:ln>
                      <a:noFill/>
                    </a:ln>
                  </pic:spPr>
                </pic:pic>
              </a:graphicData>
            </a:graphic>
          </wp:inline>
        </w:drawing>
      </w:r>
    </w:p>
    <w:p w14:paraId="272500DC">
      <w:pPr>
        <w:pStyle w:val="19"/>
        <w:widowControl/>
        <w:numPr>
          <w:ilvl w:val="0"/>
          <w:numId w:val="0"/>
        </w:numPr>
        <w:adjustRightInd w:val="0"/>
        <w:spacing w:before="100" w:after="100" w:afterLines="0" w:afterAutospacing="0" w:line="300" w:lineRule="auto"/>
        <w:jc w:val="both"/>
      </w:pPr>
    </w:p>
    <w:p w14:paraId="1FC5E8F1">
      <w:pPr>
        <w:pStyle w:val="19"/>
        <w:widowControl/>
        <w:numPr>
          <w:ilvl w:val="0"/>
          <w:numId w:val="0"/>
        </w:numPr>
        <w:adjustRightInd w:val="0"/>
        <w:spacing w:before="100" w:after="100" w:afterLines="0" w:afterAutospacing="0" w:line="300" w:lineRule="auto"/>
        <w:jc w:val="both"/>
        <w:rPr>
          <w:rFonts w:hint="default" w:eastAsia="宋体"/>
          <w:lang w:val="en-US" w:eastAsia="zh-CN"/>
        </w:rPr>
      </w:pPr>
      <w:r>
        <w:rPr>
          <w:rFonts w:hint="eastAsia"/>
          <w:lang w:val="en-US" w:eastAsia="zh-CN"/>
        </w:rPr>
        <w:t>台账明细：</w:t>
      </w:r>
      <w:r>
        <w:rPr>
          <w:rFonts w:hint="eastAsia"/>
          <w:lang w:val="en-US" w:eastAsia="zh-CN"/>
        </w:rPr>
        <w:br w:type="textWrapping"/>
      </w:r>
      <w:r>
        <w:drawing>
          <wp:inline distT="0" distB="0" distL="114300" distR="114300">
            <wp:extent cx="5913755" cy="2054860"/>
            <wp:effectExtent l="0" t="0" r="10795" b="2540"/>
            <wp:docPr id="114"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68"/>
                    <pic:cNvPicPr>
                      <a:picLocks noChangeAspect="1"/>
                    </pic:cNvPicPr>
                  </pic:nvPicPr>
                  <pic:blipFill>
                    <a:blip r:embed="rId46"/>
                    <a:stretch>
                      <a:fillRect/>
                    </a:stretch>
                  </pic:blipFill>
                  <pic:spPr>
                    <a:xfrm>
                      <a:off x="0" y="0"/>
                      <a:ext cx="5913755" cy="2054860"/>
                    </a:xfrm>
                    <a:prstGeom prst="rect">
                      <a:avLst/>
                    </a:prstGeom>
                    <a:noFill/>
                    <a:ln>
                      <a:noFill/>
                    </a:ln>
                  </pic:spPr>
                </pic:pic>
              </a:graphicData>
            </a:graphic>
          </wp:inline>
        </w:drawing>
      </w:r>
    </w:p>
    <w:p w14:paraId="42C49377">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38D7F602">
      <w:pPr>
        <w:pStyle w:val="6"/>
        <w:numPr>
          <w:ilvl w:val="0"/>
          <w:numId w:val="6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54"/>
        <w:gridCol w:w="2150"/>
        <w:gridCol w:w="1163"/>
        <w:gridCol w:w="1643"/>
        <w:gridCol w:w="4174"/>
      </w:tblGrid>
      <w:tr w14:paraId="1F7C694C">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F6F88E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F5541D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82D9DB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D513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4D9DA0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计算模型/来源</w:t>
            </w:r>
          </w:p>
        </w:tc>
      </w:tr>
      <w:tr w14:paraId="2D5B4A6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7EB8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DBAE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介质实物消费量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984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0D14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 / m³ / t</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A2B9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用能在线监测按介质汇总</w:t>
            </w:r>
          </w:p>
        </w:tc>
      </w:tr>
      <w:tr w14:paraId="678E3D5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2AE6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12B9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折标准煤当量值</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A6AE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5B7D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884A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实物量 × GB/T 2589 当量折标系数</w:t>
            </w:r>
          </w:p>
        </w:tc>
      </w:tr>
      <w:tr w14:paraId="5943D3A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2A156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373F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折标准煤等价值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B465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0C22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EF65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实物量 × GB/T 2589 等价折标系数</w:t>
            </w:r>
          </w:p>
        </w:tc>
      </w:tr>
      <w:tr w14:paraId="537F348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1B74D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AE21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介质折标占比</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531DF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8CB2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71CC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该介质折标量 / 折标总量 × 100%</w:t>
            </w:r>
          </w:p>
        </w:tc>
      </w:tr>
      <w:tr w14:paraId="24CB820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F1246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66F6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结构推移量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2FB6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91F6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BCED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按月份分组的各介质折标量</w:t>
            </w:r>
          </w:p>
        </w:tc>
      </w:tr>
      <w:tr w14:paraId="284C37B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AFF89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7532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车间综合能耗排序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C5B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DF61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名次</w:t>
            </w:r>
          </w:p>
        </w:tc>
        <w:tc>
          <w:tcPr>
            <w:tcW w:w="4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7C3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按折标总量降序，同值并列</w:t>
            </w:r>
          </w:p>
        </w:tc>
      </w:tr>
      <w:tr w14:paraId="24FEDB62">
        <w:tblPrEx>
          <w:tblCellMar>
            <w:top w:w="0" w:type="dxa"/>
            <w:left w:w="108" w:type="dxa"/>
            <w:bottom w:w="0" w:type="dxa"/>
            <w:right w:w="108" w:type="dxa"/>
          </w:tblCellMar>
        </w:tblPrEx>
        <w:trPr>
          <w:jc w:val="center"/>
        </w:trPr>
        <w:tc>
          <w:tcPr>
            <w:tcW w:w="6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A972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1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9309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折标口径标识</w:t>
            </w:r>
          </w:p>
        </w:tc>
        <w:tc>
          <w:tcPr>
            <w:tcW w:w="11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E937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4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386C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B861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当量值 / 等价值</w:t>
            </w:r>
          </w:p>
        </w:tc>
      </w:tr>
    </w:tbl>
    <w:p w14:paraId="1237DE00">
      <w:pPr>
        <w:spacing w:after="60"/>
        <w:rPr>
          <w:rFonts w:hint="eastAsia" w:ascii="宋体" w:hAnsi="宋体" w:eastAsia="宋体" w:cs="宋体"/>
          <w:i w:val="0"/>
          <w:iCs w:val="0"/>
          <w:sz w:val="24"/>
          <w:szCs w:val="24"/>
        </w:rPr>
      </w:pPr>
    </w:p>
    <w:p w14:paraId="31760A1A">
      <w:pPr>
        <w:pStyle w:val="6"/>
        <w:numPr>
          <w:ilvl w:val="0"/>
          <w:numId w:val="6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4576758">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56E4D3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E_tce_j = Q_j × k_j                            介质折标煤量（当量或等价口径）</w:t>
            </w:r>
          </w:p>
          <w:p w14:paraId="7335F1D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R_j = E_tce_j / Σ ( E_tce_n ) × 100%          介质折标占比</w:t>
            </w:r>
          </w:p>
          <w:p w14:paraId="162E03E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E_shift_m = Σ_j ( E_tce_j,m )                  第 m 月结构推移总量</w:t>
            </w:r>
          </w:p>
          <w:p w14:paraId="3D505F1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Rank_ws = RANK_DESC( E_tce_ws )                 车间能耗排名（降序）</w:t>
            </w:r>
          </w:p>
        </w:tc>
      </w:tr>
    </w:tbl>
    <w:p w14:paraId="446B5B06">
      <w:pPr>
        <w:spacing w:after="40"/>
        <w:rPr>
          <w:rFonts w:hint="eastAsia" w:ascii="宋体" w:hAnsi="宋体" w:eastAsia="宋体" w:cs="宋体"/>
          <w:i w:val="0"/>
          <w:iCs w:val="0"/>
          <w:sz w:val="24"/>
          <w:szCs w:val="24"/>
        </w:rPr>
      </w:pPr>
    </w:p>
    <w:p w14:paraId="3A6901C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k_j </w:t>
      </w:r>
      <w:r>
        <w:rPr>
          <w:rFonts w:ascii="Times New Roman" w:hAnsi="Times New Roman" w:eastAsia="宋体" w:cs="Times New Roman"/>
          <w:i w:val="0"/>
          <w:color w:val="1F2937"/>
          <w:sz w:val="24"/>
          <w:szCs w:val="24"/>
        </w:rPr>
        <w:t xml:space="preserve"> 为该介质折标系数（当量值 / 等价值两套，取自折标系数管理模块当前生效版本）；占比之和须配平至 100.0%。</w:t>
      </w:r>
    </w:p>
    <w:p w14:paraId="202B0EAB">
      <w:pPr>
        <w:pStyle w:val="6"/>
        <w:numPr>
          <w:ilvl w:val="0"/>
          <w:numId w:val="6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B8F184D">
      <w:pPr>
        <w:pStyle w:val="19"/>
        <w:widowControl/>
        <w:numPr>
          <w:ilvl w:val="0"/>
          <w:numId w:val="7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占比口径</w:t>
      </w:r>
      <w:r>
        <w:rPr>
          <w:rFonts w:ascii="Times New Roman" w:hAnsi="Times New Roman" w:eastAsia="宋体" w:cs="Times New Roman"/>
          <w:i w:val="0"/>
          <w:color w:val="1F2937"/>
          <w:sz w:val="24"/>
          <w:szCs w:val="24"/>
        </w:rPr>
        <w:t>：圆环图与堆叠图占比之和强制配平至 100.0%，浮动超过 ±0.1% 触发自检提示。</w:t>
      </w:r>
    </w:p>
    <w:p w14:paraId="70FC9F6E">
      <w:pPr>
        <w:pStyle w:val="19"/>
        <w:widowControl/>
        <w:numPr>
          <w:ilvl w:val="0"/>
          <w:numId w:val="7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口径一致性</w:t>
      </w:r>
      <w:r>
        <w:rPr>
          <w:rFonts w:ascii="Times New Roman" w:hAnsi="Times New Roman" w:eastAsia="宋体" w:cs="Times New Roman"/>
          <w:i w:val="0"/>
          <w:color w:val="1F2937"/>
          <w:sz w:val="24"/>
          <w:szCs w:val="24"/>
        </w:rPr>
        <w:t>：同一页面内所有图表必须使用同一折标口径，禁止混用当量值与等价值。</w:t>
      </w:r>
    </w:p>
    <w:p w14:paraId="253CBF85">
      <w:pPr>
        <w:pStyle w:val="19"/>
        <w:widowControl/>
        <w:numPr>
          <w:ilvl w:val="0"/>
          <w:numId w:val="7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排序口径</w:t>
      </w:r>
      <w:r>
        <w:rPr>
          <w:rFonts w:ascii="Times New Roman" w:hAnsi="Times New Roman" w:eastAsia="宋体" w:cs="Times New Roman"/>
          <w:i w:val="0"/>
          <w:color w:val="1F2937"/>
          <w:sz w:val="24"/>
          <w:szCs w:val="24"/>
        </w:rPr>
        <w:t>：车间能耗横向对比仅展示客观排序，不标注"先进""落后"等定性标签。</w:t>
      </w:r>
    </w:p>
    <w:p w14:paraId="3BADE003">
      <w:pPr>
        <w:pStyle w:val="6"/>
        <w:numPr>
          <w:ilvl w:val="0"/>
          <w:numId w:val="6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56BA80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F775D8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折标口径标识缺失：页面禁止渲染，强制先选定口径。</w:t>
            </w:r>
          </w:p>
          <w:p w14:paraId="786CF04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某介质无消耗数据：该切片置为 0 并保留图例，不隐藏图例以免误导结构占比。</w:t>
            </w:r>
          </w:p>
          <w:p w14:paraId="0479275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折标系数版本过期：触发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，图表顶部标注"系数待升级"。</w:t>
            </w:r>
          </w:p>
          <w:p w14:paraId="3870553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除零兜底：折标总量为 0 时全部占比显示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48F83008">
      <w:pPr>
        <w:spacing w:after="40"/>
        <w:rPr>
          <w:rFonts w:hint="eastAsia" w:ascii="宋体" w:hAnsi="宋体" w:eastAsia="宋体" w:cs="宋体"/>
          <w:i w:val="0"/>
          <w:iCs w:val="0"/>
          <w:sz w:val="24"/>
          <w:szCs w:val="24"/>
        </w:rPr>
      </w:pPr>
    </w:p>
    <w:p w14:paraId="017883D7">
      <w:pPr>
        <w:pStyle w:val="6"/>
        <w:numPr>
          <w:ilvl w:val="0"/>
          <w:numId w:val="66"/>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24D03422">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DC9E88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用能结构分析口径一致性</w:t>
            </w:r>
          </w:p>
          <w:p w14:paraId="7BD1A2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占比配平自检</w:t>
            </w:r>
          </w:p>
          <w:p w14:paraId="6B612F6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园区当月已录入电力、蒸汽、天然气、水等介质实物量</w:t>
            </w:r>
          </w:p>
          <w:p w14:paraId="32C7F44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系统渲染全域能源消费圆环图</w:t>
            </w:r>
          </w:p>
          <w:p w14:paraId="02F1E69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各介质折标占比之和等于 100.0%</w:t>
            </w:r>
          </w:p>
          <w:p w14:paraId="16929A4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偏差超过 ±0.1% 时触发配平自检提示</w:t>
            </w:r>
          </w:p>
          <w:p w14:paraId="4E5E8B9C">
            <w:pPr>
              <w:spacing w:before="0" w:after="20" w:line="264" w:lineRule="auto"/>
              <w:rPr>
                <w:rFonts w:hint="eastAsia" w:ascii="宋体" w:hAnsi="宋体" w:eastAsia="宋体" w:cs="宋体"/>
                <w:i w:val="0"/>
                <w:iCs w:val="0"/>
                <w:sz w:val="24"/>
                <w:szCs w:val="24"/>
              </w:rPr>
            </w:pPr>
          </w:p>
          <w:p w14:paraId="40E3B97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折标口径切换全页联动</w:t>
            </w:r>
          </w:p>
          <w:p w14:paraId="490A3FB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页面当前折标口径为"当量值"</w:t>
            </w:r>
          </w:p>
          <w:p w14:paraId="3DE1439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用户切换口径为"等价值"</w:t>
            </w:r>
          </w:p>
          <w:p w14:paraId="4592CC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圆环图、推移堆叠图与车间对比图同步重算</w:t>
            </w:r>
          </w:p>
          <w:p w14:paraId="15513E2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页面统一标注当前口径为"等价值"</w:t>
            </w:r>
          </w:p>
          <w:p w14:paraId="345532D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同一页面内不同图表不出现口径混用</w:t>
            </w:r>
          </w:p>
        </w:tc>
      </w:tr>
    </w:tbl>
    <w:p w14:paraId="2C2E6F75">
      <w:pPr>
        <w:spacing w:after="40"/>
        <w:rPr>
          <w:rFonts w:hint="eastAsia" w:ascii="宋体" w:hAnsi="宋体" w:eastAsia="宋体" w:cs="宋体"/>
          <w:i w:val="0"/>
          <w:iCs w:val="0"/>
          <w:sz w:val="24"/>
          <w:szCs w:val="24"/>
        </w:rPr>
      </w:pPr>
    </w:p>
    <w:p w14:paraId="17651FC7">
      <w:pPr>
        <w:spacing w:after="40"/>
        <w:rPr>
          <w:rFonts w:hint="eastAsia" w:ascii="宋体" w:hAnsi="宋体" w:eastAsia="宋体" w:cs="宋体"/>
          <w:i w:val="0"/>
          <w:iCs w:val="0"/>
          <w:sz w:val="24"/>
          <w:szCs w:val="24"/>
        </w:rPr>
      </w:pPr>
    </w:p>
    <w:p w14:paraId="3F042077">
      <w:pPr>
        <w:pStyle w:val="5"/>
        <w:numPr>
          <w:ilvl w:val="0"/>
          <w:numId w:val="65"/>
        </w:numPr>
        <w:ind w:left="0" w:leftChars="0" w:firstLine="0" w:firstLineChars="0"/>
        <w:outlineLvl w:val="1"/>
        <w:rPr>
          <w:rFonts w:eastAsia="黑体"/>
          <w:b w:val="0"/>
          <w:bCs w:val="0"/>
          <w:sz w:val="30"/>
          <w:szCs w:val="24"/>
        </w:rPr>
      </w:pPr>
      <w:bookmarkStart w:id="24" w:name="_Toc8696"/>
      <w:r>
        <w:rPr>
          <w:rFonts w:ascii="Times New Roman" w:hAnsi="Times New Roman" w:eastAsia="黑体" w:cs="Times New Roman"/>
          <w:b w:val="0"/>
          <w:bCs w:val="0"/>
          <w:sz w:val="30"/>
          <w:szCs w:val="24"/>
        </w:rPr>
        <w:t>单位产品能耗</w:t>
      </w:r>
      <w:bookmarkEnd w:id="24"/>
    </w:p>
    <w:p w14:paraId="31C6FF75">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47"/>
                    <a:stretch>
                      <a:fillRect/>
                    </a:stretch>
                  </pic:blipFill>
                  <pic:spPr>
                    <a:xfrm>
                      <a:off x="0" y="0"/>
                      <a:ext cx="5900420" cy="2925445"/>
                    </a:xfrm>
                    <a:prstGeom prst="rect">
                      <a:avLst/>
                    </a:prstGeom>
                    <a:noFill/>
                    <a:ln>
                      <a:noFill/>
                    </a:ln>
                  </pic:spPr>
                </pic:pic>
              </a:graphicData>
            </a:graphic>
          </wp:inline>
        </w:drawing>
      </w:r>
    </w:p>
    <w:p w14:paraId="631D6A94">
      <w:pPr>
        <w:pStyle w:val="6"/>
        <w:numPr>
          <w:ilvl w:val="0"/>
          <w:numId w:val="7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1472AA69">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：变压器、电线电缆两大核心制造主业的单位产品综合能耗与单位电耗核算与权威基准对标。</w:t>
      </w:r>
    </w:p>
    <w:p w14:paraId="68844F4C">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：制造车间主任、P2 园区能碳专员。</w:t>
      </w:r>
    </w:p>
    <w:p w14:paraId="0DE511DA">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/monitor/analysis/unit-product </w:t>
      </w:r>
      <w:r>
        <w:rPr>
          <w:rFonts w:ascii="Times New Roman" w:hAnsi="Times New Roman" w:eastAsia="宋体" w:cs="Times New Roman"/>
          <w:i w:val="0"/>
          <w:color w:val="1F2937"/>
          <w:sz w:val="24"/>
          <w:szCs w:val="24"/>
        </w:rPr>
        <w:t>。</w:t>
      </w:r>
    </w:p>
    <w:p w14:paraId="2DFAD8E9">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：ERP 物料主数据、MES 报工质检入库数据、车间能源分摊台账、基准管理国家准入先进值。</w:t>
      </w:r>
    </w:p>
    <w:p w14:paraId="7F0DCA74">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：单耗报表、对标管理排名、零碳工厂自评估产品生态维度数据。</w:t>
      </w:r>
    </w:p>
    <w:p w14:paraId="31E4B3C6">
      <w:pPr>
        <w:pStyle w:val="6"/>
        <w:numPr>
          <w:ilvl w:val="0"/>
          <w:numId w:val="7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28DE765A">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：变压器、电线电缆两大核心制造主业的单位产品综合能耗与单位电耗核算与权威基准对标。</w:t>
      </w:r>
    </w:p>
    <w:p w14:paraId="0012E66C">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BADAE09">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制造车间主任</w:t>
      </w:r>
      <w:r>
        <w:rPr>
          <w:rFonts w:ascii="Times New Roman" w:hAnsi="Times New Roman" w:eastAsia="宋体" w:cs="Times New Roman"/>
          <w:i w:val="0"/>
          <w:color w:val="1F2937"/>
          <w:sz w:val="24"/>
          <w:szCs w:val="24"/>
        </w:rPr>
        <w:t>，</w:t>
      </w:r>
    </w:p>
    <w:p w14:paraId="5C458BD6">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依据本车间变压器额定容量（万 kVA）或线缆长度（km）核算单台产品单耗，与行业先进基准对比</w:t>
      </w:r>
      <w:r>
        <w:rPr>
          <w:rFonts w:ascii="Times New Roman" w:hAnsi="Times New Roman" w:eastAsia="宋体" w:cs="Times New Roman"/>
          <w:i w:val="0"/>
          <w:color w:val="1F2937"/>
          <w:sz w:val="24"/>
          <w:szCs w:val="24"/>
        </w:rPr>
        <w:t>，</w:t>
      </w:r>
    </w:p>
    <w:p w14:paraId="6FC5E403">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我能掌握生产工艺能效水平，推进技改升级</w:t>
      </w:r>
      <w:r>
        <w:rPr>
          <w:rFonts w:ascii="Times New Roman" w:hAnsi="Times New Roman" w:eastAsia="宋体" w:cs="Times New Roman"/>
          <w:i w:val="0"/>
          <w:color w:val="1F2937"/>
          <w:sz w:val="24"/>
          <w:szCs w:val="24"/>
        </w:rPr>
        <w:t>。</w:t>
      </w:r>
    </w:p>
    <w:p w14:paraId="309B6EF1">
      <w:pPr>
        <w:pStyle w:val="6"/>
        <w:numPr>
          <w:ilvl w:val="0"/>
          <w:numId w:val="7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9F3404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核心硬红线 1：分产业单耗物理量绝对隔离模型</w:t>
      </w:r>
    </w:p>
    <w:p w14:paraId="58A4723A">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变压器产业（沈变、衡变、新变）：分母统一采用额定容量 </w:t>
      </w:r>
      <w:r>
        <w:rPr>
          <w:rFonts w:ascii="Times New Roman" w:hAnsi="Times New Roman" w:eastAsia="宋体" w:cs="Times New Roman"/>
          <w:b w:val="0"/>
          <w:i w:val="0"/>
          <w:color w:val="0284C7"/>
          <w:sz w:val="24"/>
          <w:szCs w:val="24"/>
        </w:rPr>
        <w:t xml:space="preserve"> 万kVA </w:t>
      </w:r>
      <w:r>
        <w:rPr>
          <w:rFonts w:ascii="Times New Roman" w:hAnsi="Times New Roman" w:eastAsia="宋体" w:cs="Times New Roman"/>
          <w:i w:val="0"/>
          <w:color w:val="1F2937"/>
          <w:sz w:val="24"/>
          <w:szCs w:val="24"/>
        </w:rPr>
        <w:t>（超特高压可折为 MVA），核算指标为</w:t>
      </w:r>
      <w:r>
        <w:rPr>
          <w:rFonts w:ascii="Times New Roman" w:hAnsi="Times New Roman" w:eastAsia="宋体" w:cs="Times New Roman"/>
          <w:b/>
          <w:i w:val="0"/>
          <w:color w:val="1E3A8A"/>
          <w:sz w:val="24"/>
          <w:szCs w:val="24"/>
        </w:rPr>
        <w:t>单位产品综合能耗 (tce/万kVA)</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单位产品电耗 (kWh/万kVA)</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单位产品蒸汽消耗 (t/万kVA)</w:t>
      </w:r>
      <w:r>
        <w:rPr>
          <w:rFonts w:ascii="Times New Roman" w:hAnsi="Times New Roman" w:eastAsia="宋体" w:cs="Times New Roman"/>
          <w:i w:val="0"/>
          <w:color w:val="1F2937"/>
          <w:sz w:val="24"/>
          <w:szCs w:val="24"/>
        </w:rPr>
        <w:t>。</w:t>
      </w:r>
    </w:p>
    <w:p w14:paraId="22AAE6AE">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电线电缆产业（鲁缆、新缆、德缆）：分母统一采用产品长度 </w:t>
      </w:r>
      <w:r>
        <w:rPr>
          <w:rFonts w:ascii="Times New Roman" w:hAnsi="Times New Roman" w:eastAsia="宋体" w:cs="Times New Roman"/>
          <w:b w:val="0"/>
          <w:i w:val="0"/>
          <w:color w:val="0284C7"/>
          <w:sz w:val="24"/>
          <w:szCs w:val="24"/>
        </w:rPr>
        <w:t xml:space="preserve"> km </w:t>
      </w:r>
      <w:r>
        <w:rPr>
          <w:rFonts w:ascii="Times New Roman" w:hAnsi="Times New Roman" w:eastAsia="宋体" w:cs="Times New Roman"/>
          <w:i w:val="0"/>
          <w:color w:val="1F2937"/>
          <w:sz w:val="24"/>
          <w:szCs w:val="24"/>
        </w:rPr>
        <w:t xml:space="preserve">（或截面标称 </w:t>
      </w:r>
      <w:r>
        <w:rPr>
          <w:rFonts w:ascii="Times New Roman" w:hAnsi="Times New Roman" w:eastAsia="宋体" w:cs="Times New Roman"/>
          <w:b w:val="0"/>
          <w:i w:val="0"/>
          <w:color w:val="0284C7"/>
          <w:sz w:val="24"/>
          <w:szCs w:val="24"/>
        </w:rPr>
        <w:t xml:space="preserve"> 万km·mm² </w:t>
      </w:r>
      <w:r>
        <w:rPr>
          <w:rFonts w:ascii="Times New Roman" w:hAnsi="Times New Roman" w:eastAsia="宋体" w:cs="Times New Roman"/>
          <w:i w:val="0"/>
          <w:color w:val="1F2937"/>
          <w:sz w:val="24"/>
          <w:szCs w:val="24"/>
        </w:rPr>
        <w:t>），核算指标为</w:t>
      </w:r>
      <w:r>
        <w:rPr>
          <w:rFonts w:ascii="Times New Roman" w:hAnsi="Times New Roman" w:eastAsia="宋体" w:cs="Times New Roman"/>
          <w:b/>
          <w:i w:val="0"/>
          <w:color w:val="1E3A8A"/>
          <w:sz w:val="24"/>
          <w:szCs w:val="24"/>
        </w:rPr>
        <w:t>单位产品综合能耗 (tce/km)</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单位产品电耗 (kWh/km)</w:t>
      </w:r>
      <w:r>
        <w:rPr>
          <w:rFonts w:ascii="Times New Roman" w:hAnsi="Times New Roman" w:eastAsia="宋体" w:cs="Times New Roman"/>
          <w:i w:val="0"/>
          <w:color w:val="1F2937"/>
          <w:sz w:val="24"/>
          <w:szCs w:val="24"/>
        </w:rPr>
        <w:t>。</w:t>
      </w:r>
    </w:p>
    <w:p w14:paraId="1EA941F8">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隔离铁律</w:t>
      </w:r>
      <w:r>
        <w:rPr>
          <w:rFonts w:ascii="Times New Roman" w:hAnsi="Times New Roman" w:eastAsia="宋体" w:cs="Times New Roman"/>
          <w:i w:val="0"/>
          <w:color w:val="1F2937"/>
          <w:sz w:val="24"/>
          <w:szCs w:val="24"/>
        </w:rPr>
        <w:t>：两类产业单耗在数据库结构、底层 API 响应、页面表格及导出文件中绝对禁止混编在同一统计列中，禁止跨产业直接对比。</w:t>
      </w:r>
    </w:p>
    <w:p w14:paraId="41F63D0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核心硬红线 2：除零安全防御机制</w:t>
      </w:r>
      <w:r>
        <w:rPr>
          <w:rFonts w:ascii="Times New Roman" w:hAnsi="Times New Roman" w:eastAsia="宋体" w:cs="Times New Roman"/>
          <w:i w:val="0"/>
          <w:color w:val="1F2937"/>
          <w:sz w:val="24"/>
          <w:szCs w:val="24"/>
        </w:rPr>
        <w:t xml:space="preserve">：当统计周期内产量 = 0 时，前端与后端单耗统一安全兜底显示为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 xml:space="preserve">，严禁抛出 </w:t>
      </w:r>
      <w:r>
        <w:rPr>
          <w:rFonts w:ascii="Times New Roman" w:hAnsi="Times New Roman" w:eastAsia="宋体" w:cs="Times New Roman"/>
          <w:b w:val="0"/>
          <w:i w:val="0"/>
          <w:color w:val="0284C7"/>
          <w:sz w:val="24"/>
          <w:szCs w:val="24"/>
        </w:rPr>
        <w:t xml:space="preserve"> NaN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Infinity </w:t>
      </w:r>
      <w:r>
        <w:rPr>
          <w:rFonts w:ascii="Times New Roman" w:hAnsi="Times New Roman" w:eastAsia="宋体" w:cs="Times New Roman"/>
          <w:i w:val="0"/>
          <w:color w:val="1F2937"/>
          <w:sz w:val="24"/>
          <w:szCs w:val="24"/>
        </w:rPr>
        <w:t xml:space="preserve"> 或空指针异常。</w:t>
      </w:r>
    </w:p>
    <w:p w14:paraId="77F61F3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核心硬红线 3：10 家无工序单位精准判空</w:t>
      </w:r>
      <w:r>
        <w:rPr>
          <w:rFonts w:ascii="Times New Roman" w:hAnsi="Times New Roman" w:eastAsia="宋体" w:cs="Times New Roman"/>
          <w:i w:val="0"/>
          <w:color w:val="1F2937"/>
          <w:sz w:val="24"/>
          <w:szCs w:val="24"/>
        </w:rPr>
        <w:t>：当切换至沈变智慧能源、印能公司、衡变南京电研、衡变上开、衡变柯贝尔、新变智慧能源、新变银利电气、鲁缆智缆、鲁缆昭和、鲁缆曙光等 10 家无工序直属单位时，单耗工序业务区整行单行干练输出：</w:t>
      </w:r>
      <w:r>
        <w:rPr>
          <w:rFonts w:ascii="Times New Roman" w:hAnsi="Times New Roman" w:eastAsia="宋体" w:cs="Times New Roman"/>
          <w:b w:val="0"/>
          <w:i w:val="0"/>
          <w:color w:val="0284C7"/>
          <w:sz w:val="24"/>
          <w:szCs w:val="24"/>
        </w:rPr>
        <w:t xml:space="preserve"> 暂无相关工序！ </w:t>
      </w:r>
    </w:p>
    <w:p w14:paraId="72FB443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展示与交互规则：</w:t>
      </w:r>
    </w:p>
    <w:p w14:paraId="22957710">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维度选择</w:t>
      </w:r>
      <w:r>
        <w:rPr>
          <w:rFonts w:ascii="Times New Roman" w:hAnsi="Times New Roman" w:eastAsia="宋体" w:cs="Times New Roman"/>
          <w:i w:val="0"/>
          <w:color w:val="1F2937"/>
          <w:sz w:val="24"/>
          <w:szCs w:val="24"/>
        </w:rPr>
        <w:t>：组织（集团 / 产业 / 二级公司 / 车间）+ 产品型号 + 统计周期。</w:t>
      </w:r>
    </w:p>
    <w:p w14:paraId="3E50E3C9">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展示内容</w:t>
      </w:r>
      <w:r>
        <w:rPr>
          <w:rFonts w:ascii="Times New Roman" w:hAnsi="Times New Roman" w:eastAsia="宋体" w:cs="Times New Roman"/>
          <w:i w:val="0"/>
          <w:color w:val="1F2937"/>
          <w:sz w:val="24"/>
          <w:szCs w:val="24"/>
        </w:rPr>
        <w:t>：单位产品综合能耗趋势曲线、同比/环比变动率、与准入基准偏差。</w:t>
      </w:r>
    </w:p>
    <w:p w14:paraId="18EFD906">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纵向对比原则</w:t>
      </w:r>
      <w:r>
        <w:rPr>
          <w:rFonts w:ascii="Times New Roman" w:hAnsi="Times New Roman" w:eastAsia="宋体" w:cs="Times New Roman"/>
          <w:i w:val="0"/>
          <w:color w:val="1F2937"/>
          <w:sz w:val="24"/>
          <w:szCs w:val="24"/>
        </w:rPr>
        <w:t>：各基地与车间仅与自身历史对比，严禁跨产业/跨厂横向拉踩。</w:t>
      </w:r>
    </w:p>
    <w:p w14:paraId="4E9C22B5">
      <w:pPr>
        <w:pStyle w:val="19"/>
        <w:widowControl/>
        <w:numPr>
          <w:ilvl w:val="0"/>
          <w:numId w:val="0"/>
        </w:numPr>
        <w:adjustRightInd w:val="0"/>
        <w:spacing w:before="100" w:after="100" w:afterLines="0" w:afterAutospacing="0" w:line="300" w:lineRule="auto"/>
        <w:jc w:val="both"/>
      </w:pPr>
      <w:r>
        <w:rPr>
          <w:rFonts w:hint="eastAsia" w:cs="Times New Roman"/>
          <w:i w:val="0"/>
          <w:color w:val="1F2937"/>
          <w:sz w:val="24"/>
          <w:szCs w:val="24"/>
          <w:lang w:val="en-US" w:eastAsia="zh-CN"/>
        </w:rPr>
        <w:t>能耗指标明细：</w:t>
      </w:r>
      <w:r>
        <w:rPr>
          <w:rFonts w:hint="eastAsia" w:cs="Times New Roman"/>
          <w:i w:val="0"/>
          <w:color w:val="1F2937"/>
          <w:sz w:val="24"/>
          <w:szCs w:val="24"/>
          <w:lang w:val="en-US" w:eastAsia="zh-CN"/>
        </w:rPr>
        <w:br w:type="textWrapping"/>
      </w:r>
      <w:r>
        <w:drawing>
          <wp:inline distT="0" distB="0" distL="114300" distR="114300">
            <wp:extent cx="5906770" cy="2233295"/>
            <wp:effectExtent l="0" t="0" r="17780" b="14605"/>
            <wp:docPr id="115"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69"/>
                    <pic:cNvPicPr>
                      <a:picLocks noChangeAspect="1"/>
                    </pic:cNvPicPr>
                  </pic:nvPicPr>
                  <pic:blipFill>
                    <a:blip r:embed="rId48"/>
                    <a:stretch>
                      <a:fillRect/>
                    </a:stretch>
                  </pic:blipFill>
                  <pic:spPr>
                    <a:xfrm>
                      <a:off x="0" y="0"/>
                      <a:ext cx="5906770" cy="2233295"/>
                    </a:xfrm>
                    <a:prstGeom prst="rect">
                      <a:avLst/>
                    </a:prstGeom>
                    <a:noFill/>
                    <a:ln>
                      <a:noFill/>
                    </a:ln>
                  </pic:spPr>
                </pic:pic>
              </a:graphicData>
            </a:graphic>
          </wp:inline>
        </w:drawing>
      </w:r>
    </w:p>
    <w:p w14:paraId="4BDE1AB1">
      <w:pPr>
        <w:pStyle w:val="19"/>
        <w:widowControl/>
        <w:numPr>
          <w:ilvl w:val="0"/>
          <w:numId w:val="0"/>
        </w:numPr>
        <w:adjustRightInd w:val="0"/>
        <w:spacing w:before="100" w:after="100" w:afterLines="0" w:afterAutospacing="0" w:line="300" w:lineRule="auto"/>
        <w:jc w:val="both"/>
      </w:pPr>
    </w:p>
    <w:p w14:paraId="6D42B435">
      <w:pPr>
        <w:pStyle w:val="19"/>
        <w:widowControl/>
        <w:numPr>
          <w:ilvl w:val="0"/>
          <w:numId w:val="0"/>
        </w:numPr>
        <w:adjustRightInd w:val="0"/>
        <w:spacing w:before="100" w:after="100" w:afterLines="0" w:afterAutospacing="0" w:line="300" w:lineRule="auto"/>
        <w:jc w:val="both"/>
      </w:pPr>
      <w:r>
        <w:rPr>
          <w:rFonts w:hint="eastAsia"/>
          <w:lang w:val="en-US" w:eastAsia="zh-CN"/>
        </w:rPr>
        <w:t>产品管控指标：</w:t>
      </w:r>
      <w:r>
        <w:rPr>
          <w:rFonts w:hint="eastAsia"/>
          <w:lang w:val="en-US" w:eastAsia="zh-CN"/>
        </w:rPr>
        <w:br w:type="textWrapping"/>
      </w:r>
      <w:r>
        <w:drawing>
          <wp:inline distT="0" distB="0" distL="114300" distR="114300">
            <wp:extent cx="5909310" cy="2283460"/>
            <wp:effectExtent l="0" t="0" r="15240" b="2540"/>
            <wp:docPr id="116"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70"/>
                    <pic:cNvPicPr>
                      <a:picLocks noChangeAspect="1"/>
                    </pic:cNvPicPr>
                  </pic:nvPicPr>
                  <pic:blipFill>
                    <a:blip r:embed="rId49"/>
                    <a:stretch>
                      <a:fillRect/>
                    </a:stretch>
                  </pic:blipFill>
                  <pic:spPr>
                    <a:xfrm>
                      <a:off x="0" y="0"/>
                      <a:ext cx="5909310" cy="2283460"/>
                    </a:xfrm>
                    <a:prstGeom prst="rect">
                      <a:avLst/>
                    </a:prstGeom>
                    <a:noFill/>
                    <a:ln>
                      <a:noFill/>
                    </a:ln>
                  </pic:spPr>
                </pic:pic>
              </a:graphicData>
            </a:graphic>
          </wp:inline>
        </w:drawing>
      </w:r>
    </w:p>
    <w:p w14:paraId="1097686E">
      <w:pPr>
        <w:pStyle w:val="19"/>
        <w:widowControl/>
        <w:numPr>
          <w:ilvl w:val="0"/>
          <w:numId w:val="0"/>
        </w:numPr>
        <w:adjustRightInd w:val="0"/>
        <w:spacing w:before="100" w:after="100" w:afterLines="0" w:afterAutospacing="0" w:line="300" w:lineRule="auto"/>
        <w:jc w:val="both"/>
      </w:pPr>
    </w:p>
    <w:p w14:paraId="286383A5">
      <w:pPr>
        <w:pStyle w:val="19"/>
        <w:widowControl/>
        <w:numPr>
          <w:ilvl w:val="0"/>
          <w:numId w:val="0"/>
        </w:numPr>
        <w:adjustRightInd w:val="0"/>
        <w:spacing w:before="100" w:after="100" w:afterLines="0" w:afterAutospacing="0" w:line="300" w:lineRule="auto"/>
        <w:jc w:val="both"/>
        <w:rPr>
          <w:rFonts w:hint="default" w:eastAsia="宋体"/>
          <w:lang w:val="en-US" w:eastAsia="zh-CN"/>
        </w:rPr>
      </w:pPr>
      <w:r>
        <w:rPr>
          <w:rFonts w:hint="eastAsia"/>
          <w:lang w:val="en-US" w:eastAsia="zh-CN"/>
        </w:rPr>
        <w:t>产品能耗明细：</w:t>
      </w:r>
      <w:r>
        <w:rPr>
          <w:rFonts w:hint="eastAsia"/>
          <w:lang w:val="en-US" w:eastAsia="zh-CN"/>
        </w:rPr>
        <w:br w:type="textWrapping"/>
      </w:r>
      <w:r>
        <w:drawing>
          <wp:inline distT="0" distB="0" distL="114300" distR="114300">
            <wp:extent cx="5909310" cy="2954655"/>
            <wp:effectExtent l="0" t="0" r="15240" b="17145"/>
            <wp:docPr id="117"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71"/>
                    <pic:cNvPicPr>
                      <a:picLocks noChangeAspect="1"/>
                    </pic:cNvPicPr>
                  </pic:nvPicPr>
                  <pic:blipFill>
                    <a:blip r:embed="rId50"/>
                    <a:stretch>
                      <a:fillRect/>
                    </a:stretch>
                  </pic:blipFill>
                  <pic:spPr>
                    <a:xfrm>
                      <a:off x="0" y="0"/>
                      <a:ext cx="5909310" cy="2954655"/>
                    </a:xfrm>
                    <a:prstGeom prst="rect">
                      <a:avLst/>
                    </a:prstGeom>
                    <a:noFill/>
                    <a:ln>
                      <a:noFill/>
                    </a:ln>
                  </pic:spPr>
                </pic:pic>
              </a:graphicData>
            </a:graphic>
          </wp:inline>
        </w:drawing>
      </w:r>
    </w:p>
    <w:p w14:paraId="06DEF6A0">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4B6AE647">
      <w:pPr>
        <w:pStyle w:val="6"/>
        <w:numPr>
          <w:ilvl w:val="0"/>
          <w:numId w:val="7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56"/>
        <w:gridCol w:w="1900"/>
        <w:gridCol w:w="1339"/>
        <w:gridCol w:w="2139"/>
        <w:gridCol w:w="3550"/>
      </w:tblGrid>
      <w:tr w14:paraId="40B1999F">
        <w:tblPrEx>
          <w:tblCellMar>
            <w:top w:w="0" w:type="dxa"/>
            <w:left w:w="108" w:type="dxa"/>
            <w:bottom w:w="0" w:type="dxa"/>
            <w:right w:w="108" w:type="dxa"/>
          </w:tblCellMar>
        </w:tblPrEx>
        <w:trPr>
          <w:tblHeade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DA06F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D0096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2A594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21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C98DD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5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BE8E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736044A5">
        <w:tblPrEx>
          <w:tblCellMar>
            <w:top w:w="0" w:type="dxa"/>
            <w:left w:w="108" w:type="dxa"/>
            <w:bottom w:w="0" w:type="dxa"/>
            <w:right w:w="108" w:type="dxa"/>
          </w:tblCellMar>
        </w:tblPrEx>
        <w:trPr>
          <w:tblHeade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8097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1284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产品型号编码</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948D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2978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2689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物料主数据唯一编码</w:t>
            </w:r>
          </w:p>
        </w:tc>
      </w:tr>
      <w:tr w14:paraId="09F65791">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B1F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79AC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所属产业分类</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4EE7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8CB1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EE48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严格决定分母物理量量纲</w:t>
            </w:r>
          </w:p>
        </w:tc>
      </w:tr>
      <w:tr w14:paraId="33CE9147">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BEF6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ADB6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当期合格品产量</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732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7CC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或 km·mm²</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C434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MES 报工质检入库总量，若为 0 单耗置 </w:t>
            </w:r>
            <w:r>
              <w:rPr>
                <w:rFonts w:hint="eastAsia" w:ascii="宋体" w:hAnsi="宋体" w:eastAsia="宋体" w:cs="宋体"/>
                <w:b w:val="0"/>
                <w:i w:val="0"/>
                <w:iCs w:val="0"/>
                <w:color w:val="0284C7"/>
                <w:sz w:val="24"/>
                <w:szCs w:val="24"/>
              </w:rPr>
              <w:t xml:space="preserve"> -- </w:t>
            </w:r>
          </w:p>
        </w:tc>
      </w:tr>
      <w:tr w14:paraId="37C6DAE6">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DC1F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76F0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当期消耗总标煤量</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E35C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5189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26E7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车间各能源介质按工序分摊折标煤累加</w:t>
            </w:r>
          </w:p>
        </w:tc>
      </w:tr>
      <w:tr w14:paraId="46557018">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D6D8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35AC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C47B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DC95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tce/kVA 或 tce/km·mm²</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0828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period\_energy\_tce / period\_output</w:t>
            </w:r>
          </w:p>
        </w:tc>
      </w:tr>
      <w:tr w14:paraId="25713AD9">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0BFD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DE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同比变动率</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B1FF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0AD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ADFE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去年同期) / 去年同期 × 100%</w:t>
            </w:r>
          </w:p>
        </w:tc>
      </w:tr>
      <w:tr w14:paraId="52166B94">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7B96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A693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环比变动率</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B41A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6535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82FA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上月单耗) / 上月单耗 × 100%</w:t>
            </w:r>
          </w:p>
        </w:tc>
      </w:tr>
      <w:tr w14:paraId="78598039">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2D18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AAA4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与准入基准偏差</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4B6D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33E9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tce/单位</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EB2B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国家准入先进值</w:t>
            </w:r>
          </w:p>
        </w:tc>
      </w:tr>
    </w:tbl>
    <w:p w14:paraId="111B33A5">
      <w:pPr>
        <w:spacing w:after="60"/>
        <w:rPr>
          <w:rFonts w:hint="eastAsia" w:ascii="宋体" w:hAnsi="宋体" w:eastAsia="宋体" w:cs="宋体"/>
          <w:i w:val="0"/>
          <w:iCs w:val="0"/>
          <w:sz w:val="24"/>
          <w:szCs w:val="24"/>
        </w:rPr>
      </w:pPr>
    </w:p>
    <w:p w14:paraId="744FEE8F">
      <w:pPr>
        <w:pStyle w:val="6"/>
        <w:numPr>
          <w:ilvl w:val="0"/>
          <w:numId w:val="7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E032409">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43FDA3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e_unit = E_period / M_period                        单位产品综合能耗</w:t>
            </w:r>
          </w:p>
          <w:p w14:paraId="14EC3F3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q_unit = Q_period / M_period                        单位产品电耗</w:t>
            </w:r>
          </w:p>
          <w:p w14:paraId="53E660D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e_t - e_{t-1} ) / e_{t-1} × 100%            环比变动率</w:t>
            </w:r>
          </w:p>
          <w:p w14:paraId="5DA2A17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e_t - e_{t-12} ) / e_{t-12} × 100%          同比变动率</w:t>
            </w:r>
          </w:p>
          <w:p w14:paraId="7A3A8F1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 = e_unit - Benchmark_admission                  与准入基准偏差</w:t>
            </w:r>
          </w:p>
          <w:p w14:paraId="05EB98F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M_period = 0 → display "--"                  除零安全兜底</w:t>
            </w:r>
          </w:p>
        </w:tc>
      </w:tr>
    </w:tbl>
    <w:p w14:paraId="15157736">
      <w:pPr>
        <w:spacing w:after="40"/>
        <w:rPr>
          <w:rFonts w:hint="eastAsia" w:ascii="宋体" w:hAnsi="宋体" w:eastAsia="宋体" w:cs="宋体"/>
          <w:i w:val="0"/>
          <w:iCs w:val="0"/>
          <w:sz w:val="24"/>
          <w:szCs w:val="24"/>
        </w:rPr>
      </w:pPr>
    </w:p>
    <w:p w14:paraId="5D91DF2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E_period </w:t>
      </w:r>
      <w:r>
        <w:rPr>
          <w:rFonts w:ascii="Times New Roman" w:hAnsi="Times New Roman" w:eastAsia="宋体" w:cs="Times New Roman"/>
          <w:i w:val="0"/>
          <w:color w:val="1F2937"/>
          <w:sz w:val="24"/>
          <w:szCs w:val="24"/>
        </w:rPr>
        <w:t xml:space="preserve"> 为统计周期内该产品分摊的折标煤总量（tce）；</w:t>
      </w:r>
      <w:r>
        <w:rPr>
          <w:rFonts w:ascii="Times New Roman" w:hAnsi="Times New Roman" w:eastAsia="宋体" w:cs="Times New Roman"/>
          <w:b w:val="0"/>
          <w:i w:val="0"/>
          <w:color w:val="0284C7"/>
          <w:sz w:val="24"/>
          <w:szCs w:val="24"/>
        </w:rPr>
        <w:t xml:space="preserve"> M_period </w:t>
      </w:r>
      <w:r>
        <w:rPr>
          <w:rFonts w:ascii="Times New Roman" w:hAnsi="Times New Roman" w:eastAsia="宋体" w:cs="Times New Roman"/>
          <w:i w:val="0"/>
          <w:color w:val="1F2937"/>
          <w:sz w:val="24"/>
          <w:szCs w:val="24"/>
        </w:rPr>
        <w:t xml:space="preserve"> 为当期合格品产量（变压器：kVA 或万 kVA；线缆：km 或 km·mm²）；</w:t>
      </w:r>
      <w:r>
        <w:rPr>
          <w:rFonts w:ascii="Times New Roman" w:hAnsi="Times New Roman" w:eastAsia="宋体" w:cs="Times New Roman"/>
          <w:b w:val="0"/>
          <w:i w:val="0"/>
          <w:color w:val="0284C7"/>
          <w:sz w:val="24"/>
          <w:szCs w:val="24"/>
        </w:rPr>
        <w:t xml:space="preserve"> Benchmark_admission </w:t>
      </w:r>
      <w:r>
        <w:rPr>
          <w:rFonts w:ascii="Times New Roman" w:hAnsi="Times New Roman" w:eastAsia="宋体" w:cs="Times New Roman"/>
          <w:i w:val="0"/>
          <w:color w:val="1F2937"/>
          <w:sz w:val="24"/>
          <w:szCs w:val="24"/>
        </w:rPr>
        <w:t xml:space="preserve"> 为国家准入先进值。</w:t>
      </w:r>
    </w:p>
    <w:p w14:paraId="77D46BD3">
      <w:pPr>
        <w:pStyle w:val="6"/>
        <w:numPr>
          <w:ilvl w:val="0"/>
          <w:numId w:val="7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0170F122">
      <w:pPr>
        <w:pStyle w:val="19"/>
        <w:widowControl/>
        <w:numPr>
          <w:ilvl w:val="0"/>
          <w:numId w:val="7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分母口径</w:t>
      </w:r>
      <w:r>
        <w:rPr>
          <w:rFonts w:ascii="Times New Roman" w:hAnsi="Times New Roman" w:eastAsia="宋体" w:cs="Times New Roman"/>
          <w:i w:val="0"/>
          <w:color w:val="1F2937"/>
          <w:sz w:val="24"/>
          <w:szCs w:val="24"/>
        </w:rPr>
        <w:t>：分母量纲由产业分类严格决定，变压器为 kVA 系，线缆为 km·mm² 系。</w:t>
      </w:r>
    </w:p>
    <w:p w14:paraId="0FC0FEC8">
      <w:pPr>
        <w:pStyle w:val="19"/>
        <w:widowControl/>
        <w:numPr>
          <w:ilvl w:val="0"/>
          <w:numId w:val="7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：各基地与车间仅与自身历史对比，不跨产业、不跨厂横向拉踩。</w:t>
      </w:r>
    </w:p>
    <w:p w14:paraId="26301818">
      <w:pPr>
        <w:pStyle w:val="19"/>
        <w:widowControl/>
        <w:numPr>
          <w:ilvl w:val="0"/>
          <w:numId w:val="7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：叠加国家限额先进值与准入值参考线；距基准偏差以数值呈现。</w:t>
      </w:r>
    </w:p>
    <w:p w14:paraId="70F806B2">
      <w:pPr>
        <w:pStyle w:val="19"/>
        <w:widowControl/>
        <w:numPr>
          <w:ilvl w:val="0"/>
          <w:numId w:val="7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状态判定</w:t>
      </w:r>
      <w:r>
        <w:rPr>
          <w:rFonts w:ascii="Times New Roman" w:hAnsi="Times New Roman" w:eastAsia="宋体" w:cs="Times New Roman"/>
          <w:i w:val="0"/>
          <w:color w:val="1F2937"/>
          <w:sz w:val="24"/>
          <w:szCs w:val="24"/>
        </w:rPr>
        <w:t>：按标杆值/基准值三色判定，点击指标进入二级详情。</w:t>
      </w:r>
    </w:p>
    <w:p w14:paraId="7190A570">
      <w:pPr>
        <w:pStyle w:val="6"/>
        <w:numPr>
          <w:ilvl w:val="0"/>
          <w:numId w:val="7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B67973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D41986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月度产量为 0：单耗显示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 xml:space="preserve">，触发 </w:t>
            </w:r>
            <w:r>
              <w:rPr>
                <w:rFonts w:hint="eastAsia" w:ascii="宋体" w:hAnsi="宋体" w:eastAsia="宋体" w:cs="宋体"/>
                <w:b w:val="0"/>
                <w:i w:val="0"/>
                <w:iCs w:val="0"/>
                <w:color w:val="0284C7"/>
                <w:sz w:val="24"/>
                <w:szCs w:val="24"/>
              </w:rPr>
              <w:t xml:space="preserve"> E_CALC_UNIT_DIV_ZERO_SOFT </w:t>
            </w:r>
            <w:r>
              <w:rPr>
                <w:rFonts w:hint="eastAsia" w:ascii="宋体" w:hAnsi="宋体" w:eastAsia="宋体" w:cs="宋体"/>
                <w:i w:val="0"/>
                <w:iCs w:val="0"/>
                <w:color w:val="1F2937"/>
                <w:sz w:val="24"/>
                <w:szCs w:val="24"/>
              </w:rPr>
              <w:t>；严禁 NaN 或白屏。</w:t>
            </w:r>
          </w:p>
          <w:p w14:paraId="75BAF4F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产量录入负数：触发 </w:t>
            </w:r>
            <w:r>
              <w:rPr>
                <w:rFonts w:hint="eastAsia" w:ascii="宋体" w:hAnsi="宋体" w:eastAsia="宋体" w:cs="宋体"/>
                <w:b w:val="0"/>
                <w:i w:val="0"/>
                <w:iCs w:val="0"/>
                <w:color w:val="0284C7"/>
                <w:sz w:val="24"/>
                <w:szCs w:val="24"/>
              </w:rPr>
              <w:t xml:space="preserve"> E_VAL_PROD_QTY_NEGATIVE </w:t>
            </w:r>
            <w:r>
              <w:rPr>
                <w:rFonts w:hint="eastAsia" w:ascii="宋体" w:hAnsi="宋体" w:eastAsia="宋体" w:cs="宋体"/>
                <w:i w:val="0"/>
                <w:iCs w:val="0"/>
                <w:color w:val="1F2937"/>
                <w:sz w:val="24"/>
                <w:szCs w:val="24"/>
              </w:rPr>
              <w:t>，前端红框拦截阻断提交。</w:t>
            </w:r>
          </w:p>
          <w:p w14:paraId="7CD7F0F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无工序单位：触发 </w:t>
            </w:r>
            <w:r>
              <w:rPr>
                <w:rFonts w:hint="eastAsia" w:ascii="宋体" w:hAnsi="宋体" w:eastAsia="宋体" w:cs="宋体"/>
                <w:b w:val="0"/>
                <w:i w:val="0"/>
                <w:iCs w:val="0"/>
                <w:color w:val="0284C7"/>
                <w:sz w:val="24"/>
                <w:szCs w:val="24"/>
              </w:rPr>
              <w:t xml:space="preserve"> E_QM_WHITE_LIST_MISS </w:t>
            </w:r>
            <w:r>
              <w:rPr>
                <w:rFonts w:hint="eastAsia" w:ascii="宋体" w:hAnsi="宋体" w:eastAsia="宋体" w:cs="宋体"/>
                <w:i w:val="0"/>
                <w:iCs w:val="0"/>
                <w:color w:val="1F2937"/>
                <w:sz w:val="24"/>
                <w:szCs w:val="24"/>
              </w:rPr>
              <w:t>，整行输出"暂无相关工序！"。</w:t>
            </w:r>
          </w:p>
          <w:p w14:paraId="3CEC447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跨产业混算：数据库与 API 层面通过量纲字段强约束，禁止跨产业同列。</w:t>
            </w:r>
          </w:p>
          <w:p w14:paraId="7D7D5C5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锁账拦截：已关账月度的产量数据禁止修改，触发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w:t>
            </w:r>
          </w:p>
        </w:tc>
      </w:tr>
    </w:tbl>
    <w:p w14:paraId="3CCEE185">
      <w:pPr>
        <w:spacing w:after="40"/>
        <w:rPr>
          <w:rFonts w:hint="eastAsia" w:ascii="宋体" w:hAnsi="宋体" w:eastAsia="宋体" w:cs="宋体"/>
          <w:i w:val="0"/>
          <w:iCs w:val="0"/>
          <w:sz w:val="24"/>
          <w:szCs w:val="24"/>
        </w:rPr>
      </w:pPr>
    </w:p>
    <w:p w14:paraId="6E6783CB">
      <w:pPr>
        <w:pStyle w:val="6"/>
        <w:numPr>
          <w:ilvl w:val="0"/>
          <w:numId w:val="71"/>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494CF27">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436E219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单位产品能耗分产业隔离核算</w:t>
            </w:r>
          </w:p>
          <w:p w14:paraId="5130C25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极限除零边界防御</w:t>
            </w:r>
          </w:p>
          <w:p w14:paraId="50D011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某车间当月变压器合格品产量录入为 0</w:t>
            </w:r>
          </w:p>
          <w:p w14:paraId="41984C9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系统渲染单位产品综合能耗与单位产品电耗</w:t>
            </w:r>
          </w:p>
          <w:p w14:paraId="26E77F7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两项单耗均安全显示为 "--"</w:t>
            </w:r>
          </w:p>
          <w:p w14:paraId="2AF89EB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后台记录 E_CALC_UNIT_DIV_ZERO_SOFT</w:t>
            </w:r>
          </w:p>
          <w:p w14:paraId="65B376E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 NaN、Infinity 或白屏</w:t>
            </w:r>
          </w:p>
          <w:p w14:paraId="6D4B4D7F">
            <w:pPr>
              <w:spacing w:before="0" w:after="20" w:line="264" w:lineRule="auto"/>
              <w:rPr>
                <w:rFonts w:hint="eastAsia" w:ascii="宋体" w:hAnsi="宋体" w:eastAsia="宋体" w:cs="宋体"/>
                <w:i w:val="0"/>
                <w:iCs w:val="0"/>
                <w:sz w:val="24"/>
                <w:szCs w:val="24"/>
              </w:rPr>
            </w:pPr>
          </w:p>
          <w:p w14:paraId="378B182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产量负数拦截</w:t>
            </w:r>
          </w:p>
          <w:p w14:paraId="6E4F19D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车间填报员在数据录入工作台录入产量</w:t>
            </w:r>
          </w:p>
          <w:p w14:paraId="1928243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输入数值为 -500 kVA</w:t>
            </w:r>
          </w:p>
          <w:p w14:paraId="0C7A237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前端即时红框高亮并阻断提交</w:t>
            </w:r>
          </w:p>
          <w:p w14:paraId="113A40E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E_VAL_PROD_QTY_NEGATIVE</w:t>
            </w:r>
          </w:p>
          <w:p w14:paraId="42E921E2">
            <w:pPr>
              <w:spacing w:before="0" w:after="20" w:line="264" w:lineRule="auto"/>
              <w:rPr>
                <w:rFonts w:hint="eastAsia" w:ascii="宋体" w:hAnsi="宋体" w:eastAsia="宋体" w:cs="宋体"/>
                <w:i w:val="0"/>
                <w:iCs w:val="0"/>
                <w:sz w:val="24"/>
                <w:szCs w:val="24"/>
              </w:rPr>
            </w:pPr>
          </w:p>
          <w:p w14:paraId="7EA65BF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无工序单位单行判空</w:t>
            </w:r>
          </w:p>
          <w:p w14:paraId="0ACF670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组织树选中"鲁缆昭和"等 10 家无工序直属单位之一</w:t>
            </w:r>
          </w:p>
          <w:p w14:paraId="49F1768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页面渲染单耗工序业务区</w:t>
            </w:r>
          </w:p>
          <w:p w14:paraId="5D8FC2E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整行仅输出单行文本 "暂无相关工序！"</w:t>
            </w:r>
          </w:p>
          <w:p w14:paraId="67A2434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不出现任何解释性长文案</w:t>
            </w:r>
          </w:p>
          <w:p w14:paraId="183F0EF8">
            <w:pPr>
              <w:spacing w:before="0" w:after="20" w:line="264" w:lineRule="auto"/>
              <w:rPr>
                <w:rFonts w:hint="eastAsia" w:ascii="宋体" w:hAnsi="宋体" w:eastAsia="宋体" w:cs="宋体"/>
                <w:i w:val="0"/>
                <w:iCs w:val="0"/>
                <w:sz w:val="24"/>
                <w:szCs w:val="24"/>
              </w:rPr>
            </w:pPr>
          </w:p>
          <w:p w14:paraId="514786E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跨产业混算阻断</w:t>
            </w:r>
          </w:p>
          <w:p w14:paraId="389B3BB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数据集中同时存在变压器产业与线缆产业单耗记录</w:t>
            </w:r>
          </w:p>
          <w:p w14:paraId="562D4E7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系统生成页面表格与 Excel 导出文件</w:t>
            </w:r>
          </w:p>
          <w:p w14:paraId="7B54A3E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两类产业单耗分列独立呈现</w:t>
            </w:r>
          </w:p>
          <w:p w14:paraId="4B0103E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不存在跨产业同一统计列或跨产业排名</w:t>
            </w:r>
          </w:p>
        </w:tc>
      </w:tr>
    </w:tbl>
    <w:p w14:paraId="27735735">
      <w:pPr>
        <w:spacing w:after="40"/>
        <w:rPr>
          <w:rFonts w:hint="eastAsia" w:ascii="宋体" w:hAnsi="宋体" w:eastAsia="宋体" w:cs="宋体"/>
          <w:i w:val="0"/>
          <w:iCs w:val="0"/>
          <w:sz w:val="24"/>
          <w:szCs w:val="24"/>
        </w:rPr>
      </w:pPr>
    </w:p>
    <w:p w14:paraId="489E0456">
      <w:pPr>
        <w:pStyle w:val="5"/>
        <w:numPr>
          <w:ilvl w:val="0"/>
          <w:numId w:val="65"/>
        </w:numPr>
        <w:ind w:left="0" w:leftChars="0" w:firstLine="0" w:firstLineChars="0"/>
        <w:outlineLvl w:val="1"/>
        <w:rPr>
          <w:rFonts w:eastAsia="黑体"/>
          <w:b w:val="0"/>
          <w:bCs w:val="0"/>
          <w:sz w:val="30"/>
          <w:szCs w:val="24"/>
        </w:rPr>
      </w:pPr>
      <w:bookmarkStart w:id="25" w:name="_Toc11046"/>
      <w:r>
        <w:rPr>
          <w:rFonts w:ascii="Times New Roman" w:hAnsi="Times New Roman" w:eastAsia="黑体" w:cs="Times New Roman"/>
          <w:b w:val="0"/>
          <w:bCs w:val="0"/>
          <w:sz w:val="30"/>
          <w:szCs w:val="24"/>
        </w:rPr>
        <w:t>单位产值能耗</w:t>
      </w:r>
      <w:bookmarkEnd w:id="25"/>
    </w:p>
    <w:p w14:paraId="3B1BEEA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51"/>
                    <a:stretch>
                      <a:fillRect/>
                    </a:stretch>
                  </pic:blipFill>
                  <pic:spPr>
                    <a:xfrm>
                      <a:off x="0" y="0"/>
                      <a:ext cx="5900420" cy="2925445"/>
                    </a:xfrm>
                    <a:prstGeom prst="rect">
                      <a:avLst/>
                    </a:prstGeom>
                    <a:noFill/>
                    <a:ln>
                      <a:noFill/>
                    </a:ln>
                  </pic:spPr>
                </pic:pic>
              </a:graphicData>
            </a:graphic>
          </wp:inline>
        </w:drawing>
      </w:r>
    </w:p>
    <w:p w14:paraId="6C533739">
      <w:pPr>
        <w:pStyle w:val="6"/>
        <w:numPr>
          <w:ilvl w:val="0"/>
          <w:numId w:val="7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023ACFF7">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：核算全集团及直属经营单位的"万元产值综合能耗（tce/万元）"与"万元产值电耗（kWh/万元）"，支撑发改委能耗双控考核。</w:t>
      </w:r>
    </w:p>
    <w:p w14:paraId="31045316">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：集团能碳战略规划员、P2 园区能碳专员。</w:t>
      </w:r>
    </w:p>
    <w:p w14:paraId="6F9DD949">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/monitor/analysis/unit-output </w:t>
      </w:r>
      <w:r>
        <w:rPr>
          <w:rFonts w:ascii="Times New Roman" w:hAnsi="Times New Roman" w:eastAsia="宋体" w:cs="Times New Roman"/>
          <w:i w:val="0"/>
          <w:color w:val="1F2937"/>
          <w:sz w:val="24"/>
          <w:szCs w:val="24"/>
        </w:rPr>
        <w:t>。</w:t>
      </w:r>
    </w:p>
    <w:p w14:paraId="6D0173ED">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：用能在线监测综合能耗、ERP 产值数据、国家限额先进值与准入值字典。</w:t>
      </w:r>
    </w:p>
    <w:p w14:paraId="4E9545B7">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：北极星指标"万元产值综合能耗下降率"、零碳工厂自评估、集团能耗双控上报数据。</w:t>
      </w:r>
    </w:p>
    <w:p w14:paraId="487CA8E6">
      <w:pPr>
        <w:pStyle w:val="6"/>
        <w:numPr>
          <w:ilvl w:val="0"/>
          <w:numId w:val="7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738D01E6">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：核算全集团及直属经营单位的万元产值综合能耗与万元产值电耗，支撑发改委能耗双控考核。</w:t>
      </w:r>
    </w:p>
    <w:p w14:paraId="0C53BEF0">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E047480">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集团能碳战略规划员</w:t>
      </w:r>
      <w:r>
        <w:rPr>
          <w:rFonts w:ascii="Times New Roman" w:hAnsi="Times New Roman" w:eastAsia="宋体" w:cs="Times New Roman"/>
          <w:i w:val="0"/>
          <w:color w:val="1F2937"/>
          <w:sz w:val="24"/>
          <w:szCs w:val="24"/>
        </w:rPr>
        <w:t>，</w:t>
      </w:r>
    </w:p>
    <w:p w14:paraId="29AF6817">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分析历年各分子公司万元产值能耗推移与行业标杆基准偏差</w:t>
      </w:r>
      <w:r>
        <w:rPr>
          <w:rFonts w:ascii="Times New Roman" w:hAnsi="Times New Roman" w:eastAsia="宋体" w:cs="Times New Roman"/>
          <w:i w:val="0"/>
          <w:color w:val="1F2937"/>
          <w:sz w:val="24"/>
          <w:szCs w:val="24"/>
        </w:rPr>
        <w:t>，</w:t>
      </w:r>
    </w:p>
    <w:p w14:paraId="77D0B5A3">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识别高产低耗标杆实体，推进节能降耗考核</w:t>
      </w:r>
      <w:r>
        <w:rPr>
          <w:rFonts w:ascii="Times New Roman" w:hAnsi="Times New Roman" w:eastAsia="宋体" w:cs="Times New Roman"/>
          <w:i w:val="0"/>
          <w:color w:val="1F2937"/>
          <w:sz w:val="24"/>
          <w:szCs w:val="24"/>
        </w:rPr>
        <w:t>。</w:t>
      </w:r>
    </w:p>
    <w:p w14:paraId="41F4AA29">
      <w:pPr>
        <w:pStyle w:val="6"/>
        <w:numPr>
          <w:ilvl w:val="0"/>
          <w:numId w:val="7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139CBB30">
      <w:pPr>
        <w:pStyle w:val="19"/>
        <w:widowControl/>
        <w:numPr>
          <w:ilvl w:val="0"/>
          <w:numId w:val="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万元产值能耗推移折线图</w:t>
      </w:r>
      <w:r>
        <w:rPr>
          <w:rFonts w:ascii="Times New Roman" w:hAnsi="Times New Roman" w:eastAsia="宋体" w:cs="Times New Roman"/>
          <w:i w:val="0"/>
          <w:color w:val="1F2937"/>
          <w:sz w:val="24"/>
          <w:szCs w:val="24"/>
        </w:rPr>
        <w:t>：展示近 36 个月连续走势，叠加国家限额先进值与准入值参考线。</w:t>
      </w:r>
    </w:p>
    <w:p w14:paraId="023E20D3">
      <w:pPr>
        <w:pStyle w:val="19"/>
        <w:numPr>
          <w:ilvl w:val="0"/>
          <w:numId w:val="79"/>
        </w:numPr>
        <w:bidi w:val="0"/>
        <w:rPr>
          <w:rFonts w:eastAsia="宋体"/>
          <w:b/>
          <w:i w:val="0"/>
          <w:color w:val="0284C7"/>
          <w:sz w:val="24"/>
          <w:szCs w:val="24"/>
        </w:rPr>
      </w:pPr>
      <w:r>
        <w:rPr>
          <w:rFonts w:ascii="Times New Roman" w:hAnsi="Times New Roman" w:eastAsia="宋体" w:cs="Times New Roman"/>
          <w:b/>
          <w:i w:val="0"/>
          <w:color w:val="1E3A8A"/>
          <w:sz w:val="24"/>
          <w:szCs w:val="24"/>
        </w:rPr>
        <w:t>6 大经营单位万元产值单耗柱状图</w:t>
      </w:r>
      <w:r>
        <w:rPr>
          <w:rFonts w:ascii="Times New Roman" w:hAnsi="Times New Roman" w:eastAsia="宋体" w:cs="Times New Roman"/>
          <w:i w:val="0"/>
          <w:color w:val="1F2937"/>
          <w:sz w:val="24"/>
          <w:szCs w:val="24"/>
        </w:rPr>
        <w:t>：客观展示各单位当期数值与行业基准偏差量。</w:t>
      </w:r>
    </w:p>
    <w:p w14:paraId="76D99D63">
      <w:pPr>
        <w:pStyle w:val="19"/>
        <w:widowControl/>
        <w:numPr>
          <w:ilvl w:val="0"/>
          <w:numId w:val="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单位切换</w:t>
      </w:r>
      <w:r>
        <w:rPr>
          <w:rFonts w:ascii="Times New Roman" w:hAnsi="Times New Roman" w:eastAsia="宋体" w:cs="Times New Roman"/>
          <w:i w:val="0"/>
          <w:color w:val="1F2937"/>
          <w:sz w:val="24"/>
          <w:szCs w:val="24"/>
        </w:rPr>
        <w:t>：支持 tce/万元 与 kgce/万元 单位切换，切换后全部图表与表格同步换算。</w:t>
      </w:r>
    </w:p>
    <w:p w14:paraId="4715C280">
      <w:pPr>
        <w:pStyle w:val="19"/>
        <w:widowControl/>
        <w:numPr>
          <w:ilvl w:val="0"/>
          <w:numId w:val="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分产业视图</w:t>
      </w:r>
      <w:r>
        <w:rPr>
          <w:rFonts w:ascii="Times New Roman" w:hAnsi="Times New Roman" w:eastAsia="宋体" w:cs="Times New Roman"/>
          <w:i w:val="0"/>
          <w:color w:val="1F2937"/>
          <w:sz w:val="24"/>
          <w:szCs w:val="24"/>
        </w:rPr>
        <w:t>：支持按变压器产业、线缆产业分别查看产值能耗推移，避免产业差异干扰。</w:t>
      </w:r>
    </w:p>
    <w:p w14:paraId="1BCE2481">
      <w:pPr>
        <w:pStyle w:val="19"/>
        <w:widowControl/>
        <w:numPr>
          <w:ilvl w:val="0"/>
          <w:numId w:val="0"/>
        </w:numPr>
        <w:adjustRightInd w:val="0"/>
        <w:spacing w:before="100" w:after="100" w:afterLines="0" w:afterAutospacing="0" w:line="300" w:lineRule="auto"/>
        <w:jc w:val="both"/>
      </w:pPr>
      <w:r>
        <w:rPr>
          <w:rFonts w:hint="eastAsia" w:cs="Times New Roman"/>
          <w:i w:val="0"/>
          <w:color w:val="1F2937"/>
          <w:sz w:val="24"/>
          <w:szCs w:val="24"/>
          <w:lang w:val="en-US" w:eastAsia="zh-CN"/>
        </w:rPr>
        <w:t>产品产值概览：</w:t>
      </w:r>
      <w:r>
        <w:rPr>
          <w:rFonts w:hint="eastAsia" w:cs="Times New Roman"/>
          <w:i w:val="0"/>
          <w:color w:val="1F2937"/>
          <w:sz w:val="24"/>
          <w:szCs w:val="24"/>
          <w:lang w:val="en-US" w:eastAsia="zh-CN"/>
        </w:rPr>
        <w:br w:type="textWrapping"/>
      </w:r>
      <w:r>
        <w:drawing>
          <wp:inline distT="0" distB="0" distL="114300" distR="114300">
            <wp:extent cx="5901690" cy="2171065"/>
            <wp:effectExtent l="0" t="0" r="3810" b="635"/>
            <wp:docPr id="118"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72"/>
                    <pic:cNvPicPr>
                      <a:picLocks noChangeAspect="1"/>
                    </pic:cNvPicPr>
                  </pic:nvPicPr>
                  <pic:blipFill>
                    <a:blip r:embed="rId52"/>
                    <a:stretch>
                      <a:fillRect/>
                    </a:stretch>
                  </pic:blipFill>
                  <pic:spPr>
                    <a:xfrm>
                      <a:off x="0" y="0"/>
                      <a:ext cx="5901690" cy="2171065"/>
                    </a:xfrm>
                    <a:prstGeom prst="rect">
                      <a:avLst/>
                    </a:prstGeom>
                    <a:noFill/>
                    <a:ln>
                      <a:noFill/>
                    </a:ln>
                  </pic:spPr>
                </pic:pic>
              </a:graphicData>
            </a:graphic>
          </wp:inline>
        </w:drawing>
      </w:r>
    </w:p>
    <w:p w14:paraId="63A6E76F">
      <w:pPr>
        <w:pStyle w:val="19"/>
        <w:widowControl/>
        <w:numPr>
          <w:ilvl w:val="0"/>
          <w:numId w:val="0"/>
        </w:numPr>
        <w:adjustRightInd w:val="0"/>
        <w:spacing w:before="100" w:after="100" w:afterLines="0" w:afterAutospacing="0" w:line="300" w:lineRule="auto"/>
        <w:jc w:val="both"/>
      </w:pPr>
    </w:p>
    <w:p w14:paraId="56DD4858">
      <w:pPr>
        <w:pStyle w:val="19"/>
        <w:widowControl/>
        <w:numPr>
          <w:ilvl w:val="0"/>
          <w:numId w:val="0"/>
        </w:numPr>
        <w:adjustRightInd w:val="0"/>
        <w:spacing w:before="100" w:after="100" w:afterLines="0" w:afterAutospacing="0" w:line="300" w:lineRule="auto"/>
        <w:jc w:val="both"/>
      </w:pPr>
      <w:r>
        <w:rPr>
          <w:rFonts w:hint="eastAsia"/>
          <w:lang w:val="en-US" w:eastAsia="zh-CN"/>
        </w:rPr>
        <w:t>产品产值能耗：</w:t>
      </w:r>
      <w:r>
        <w:rPr>
          <w:rFonts w:hint="eastAsia"/>
          <w:lang w:val="en-US" w:eastAsia="zh-CN"/>
        </w:rPr>
        <w:br w:type="textWrapping"/>
      </w:r>
      <w:r>
        <w:drawing>
          <wp:inline distT="0" distB="0" distL="114300" distR="114300">
            <wp:extent cx="5904865" cy="1804035"/>
            <wp:effectExtent l="0" t="0" r="635" b="5715"/>
            <wp:docPr id="119"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73"/>
                    <pic:cNvPicPr>
                      <a:picLocks noChangeAspect="1"/>
                    </pic:cNvPicPr>
                  </pic:nvPicPr>
                  <pic:blipFill>
                    <a:blip r:embed="rId53"/>
                    <a:stretch>
                      <a:fillRect/>
                    </a:stretch>
                  </pic:blipFill>
                  <pic:spPr>
                    <a:xfrm>
                      <a:off x="0" y="0"/>
                      <a:ext cx="5904865" cy="1804035"/>
                    </a:xfrm>
                    <a:prstGeom prst="rect">
                      <a:avLst/>
                    </a:prstGeom>
                    <a:noFill/>
                    <a:ln>
                      <a:noFill/>
                    </a:ln>
                  </pic:spPr>
                </pic:pic>
              </a:graphicData>
            </a:graphic>
          </wp:inline>
        </w:drawing>
      </w:r>
    </w:p>
    <w:p w14:paraId="179C5311">
      <w:pPr>
        <w:pStyle w:val="19"/>
        <w:widowControl/>
        <w:numPr>
          <w:ilvl w:val="0"/>
          <w:numId w:val="0"/>
        </w:numPr>
        <w:adjustRightInd w:val="0"/>
        <w:spacing w:before="100" w:after="100" w:afterLines="0" w:afterAutospacing="0" w:line="300" w:lineRule="auto"/>
        <w:jc w:val="both"/>
      </w:pPr>
    </w:p>
    <w:p w14:paraId="7B95C509">
      <w:pPr>
        <w:pStyle w:val="19"/>
        <w:widowControl/>
        <w:numPr>
          <w:ilvl w:val="0"/>
          <w:numId w:val="0"/>
        </w:numPr>
        <w:adjustRightInd w:val="0"/>
        <w:spacing w:before="100" w:after="100" w:afterLines="0" w:afterAutospacing="0" w:line="300" w:lineRule="auto"/>
        <w:jc w:val="both"/>
        <w:rPr>
          <w:rFonts w:hint="default"/>
          <w:lang w:val="en-US" w:eastAsia="zh-CN"/>
        </w:rPr>
      </w:pPr>
      <w:r>
        <w:rPr>
          <w:rFonts w:hint="eastAsia"/>
          <w:lang w:val="en-US" w:eastAsia="zh-CN"/>
        </w:rPr>
        <w:t>万元产值能耗</w:t>
      </w:r>
      <w:r>
        <w:rPr>
          <w:rFonts w:hint="eastAsia"/>
          <w:lang w:val="en-US" w:eastAsia="zh-CN"/>
        </w:rPr>
        <w:br w:type="textWrapping"/>
      </w:r>
      <w:r>
        <w:drawing>
          <wp:inline distT="0" distB="0" distL="114300" distR="114300">
            <wp:extent cx="5913755" cy="1661160"/>
            <wp:effectExtent l="0" t="0" r="10795" b="15240"/>
            <wp:docPr id="122"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76"/>
                    <pic:cNvPicPr>
                      <a:picLocks noChangeAspect="1"/>
                    </pic:cNvPicPr>
                  </pic:nvPicPr>
                  <pic:blipFill>
                    <a:blip r:embed="rId54"/>
                    <a:stretch>
                      <a:fillRect/>
                    </a:stretch>
                  </pic:blipFill>
                  <pic:spPr>
                    <a:xfrm>
                      <a:off x="0" y="0"/>
                      <a:ext cx="5913755" cy="1661160"/>
                    </a:xfrm>
                    <a:prstGeom prst="rect">
                      <a:avLst/>
                    </a:prstGeom>
                    <a:noFill/>
                    <a:ln>
                      <a:noFill/>
                    </a:ln>
                  </pic:spPr>
                </pic:pic>
              </a:graphicData>
            </a:graphic>
          </wp:inline>
        </w:drawing>
      </w:r>
    </w:p>
    <w:p w14:paraId="61D66874">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1D0D17FD">
      <w:pPr>
        <w:pStyle w:val="6"/>
        <w:numPr>
          <w:ilvl w:val="0"/>
          <w:numId w:val="7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44"/>
        <w:gridCol w:w="2365"/>
        <w:gridCol w:w="1145"/>
        <w:gridCol w:w="1393"/>
        <w:gridCol w:w="4237"/>
      </w:tblGrid>
      <w:tr w14:paraId="09842B1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1A7B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FC0E6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AA4B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39B0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2583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6DF4CE4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AD09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2A0B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综合能源消费量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6A4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49E9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4897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组织层级汇总，≥ 0</w:t>
            </w:r>
          </w:p>
        </w:tc>
      </w:tr>
      <w:tr w14:paraId="5DDF630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6464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F30E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工业总产值</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08F7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51BC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42E1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财务口径，含税/不含税口径须标注</w:t>
            </w:r>
          </w:p>
        </w:tc>
      </w:tr>
      <w:tr w14:paraId="10E03DA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BEBA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427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工业增加值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71EB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25CE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C6A3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财务口径</w:t>
            </w:r>
          </w:p>
        </w:tc>
      </w:tr>
      <w:tr w14:paraId="62A0674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42D0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1175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万元产值综合能耗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8D0C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A4D8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BA35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G</w:t>
            </w:r>
            <w:r>
              <w:rPr>
                <w:rFonts w:hint="eastAsia" w:ascii="宋体" w:hAnsi="宋体" w:eastAsia="宋体" w:cs="宋体"/>
                <w:i w:val="0"/>
                <w:iCs w:val="0"/>
                <w:color w:val="1F2937"/>
                <w:sz w:val="24"/>
                <w:szCs w:val="24"/>
              </w:rPr>
              <w:t xml:space="preserve">，分母为 0 显示 </w:t>
            </w:r>
            <w:r>
              <w:rPr>
                <w:rFonts w:hint="eastAsia" w:ascii="宋体" w:hAnsi="宋体" w:eastAsia="宋体" w:cs="宋体"/>
                <w:b w:val="0"/>
                <w:i w:val="0"/>
                <w:iCs w:val="0"/>
                <w:color w:val="0284C7"/>
                <w:sz w:val="24"/>
                <w:szCs w:val="24"/>
              </w:rPr>
              <w:t xml:space="preserve"> -- </w:t>
            </w:r>
          </w:p>
        </w:tc>
      </w:tr>
      <w:tr w14:paraId="4E8EF5C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155B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25CA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万元产值电耗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DF02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882E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374C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Q_电 / G</w:t>
            </w:r>
            <w:r>
              <w:rPr>
                <w:rFonts w:hint="eastAsia" w:ascii="宋体" w:hAnsi="宋体" w:eastAsia="宋体" w:cs="宋体"/>
                <w:i w:val="0"/>
                <w:iCs w:val="0"/>
                <w:color w:val="1F2937"/>
                <w:sz w:val="24"/>
                <w:szCs w:val="24"/>
              </w:rPr>
              <w:t xml:space="preserve">，分母为 0 显示 </w:t>
            </w:r>
            <w:r>
              <w:rPr>
                <w:rFonts w:hint="eastAsia" w:ascii="宋体" w:hAnsi="宋体" w:eastAsia="宋体" w:cs="宋体"/>
                <w:b w:val="0"/>
                <w:i w:val="0"/>
                <w:iCs w:val="0"/>
                <w:color w:val="0284C7"/>
                <w:sz w:val="24"/>
                <w:szCs w:val="24"/>
              </w:rPr>
              <w:t xml:space="preserve"> -- </w:t>
            </w:r>
          </w:p>
        </w:tc>
      </w:tr>
      <w:tr w14:paraId="756EE14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B403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2CA2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单位工业增加值能耗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AE2A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400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5D9E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G_{nva}</w:t>
            </w:r>
          </w:p>
        </w:tc>
      </w:tr>
      <w:tr w14:paraId="54A645A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029C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C8A3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与先进值偏差</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F22D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C5E2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988A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 − 国家限额先进值</w:t>
            </w:r>
          </w:p>
        </w:tc>
      </w:tr>
      <w:tr w14:paraId="15EA5CE1">
        <w:tblPrEx>
          <w:tblCellMar>
            <w:top w:w="0" w:type="dxa"/>
            <w:left w:w="108" w:type="dxa"/>
            <w:bottom w:w="0" w:type="dxa"/>
            <w:right w:w="108" w:type="dxa"/>
          </w:tblCellMar>
        </w:tblPrEx>
        <w:trPr>
          <w:jc w:val="center"/>
        </w:trPr>
        <w:tc>
          <w:tcPr>
            <w:tcW w:w="6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6DA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EB13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与准入值偏差</w:t>
            </w:r>
          </w:p>
        </w:tc>
        <w:tc>
          <w:tcPr>
            <w:tcW w:w="11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0E06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6D3D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BCE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 − 国家限额准入值</w:t>
            </w:r>
          </w:p>
        </w:tc>
      </w:tr>
    </w:tbl>
    <w:p w14:paraId="42187B40">
      <w:pPr>
        <w:pStyle w:val="6"/>
        <w:numPr>
          <w:ilvl w:val="0"/>
          <w:numId w:val="7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C8A7634">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8B2AEB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 = E / G                                           万元产值综合能耗</w:t>
            </w:r>
          </w:p>
          <w:p w14:paraId="24B784C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g_e = Q_elec / G                                    万元产值电耗</w:t>
            </w:r>
          </w:p>
          <w:p w14:paraId="663F4F3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g_nva = E / G_nva                                   单位工业增加值能耗</w:t>
            </w:r>
          </w:p>
          <w:p w14:paraId="5E11F1A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Gap_adv = g - Limit_advanced                        与先进值偏差</w:t>
            </w:r>
          </w:p>
          <w:p w14:paraId="0737ABB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Gap_adm = g - Limit_admission                       与准入值偏差</w:t>
            </w:r>
          </w:p>
          <w:p w14:paraId="001A388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Decline_rate = ( g_current - g_base ) / g_base × 100%   万元产值综合能耗下降率</w:t>
            </w:r>
          </w:p>
        </w:tc>
      </w:tr>
    </w:tbl>
    <w:p w14:paraId="606683BB">
      <w:pPr>
        <w:spacing w:after="40"/>
        <w:rPr>
          <w:rFonts w:hint="eastAsia" w:ascii="宋体" w:hAnsi="宋体" w:eastAsia="宋体" w:cs="宋体"/>
          <w:i w:val="0"/>
          <w:iCs w:val="0"/>
          <w:sz w:val="24"/>
          <w:szCs w:val="24"/>
        </w:rPr>
      </w:pPr>
    </w:p>
    <w:p w14:paraId="22DCEB1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G </w:t>
      </w:r>
      <w:r>
        <w:rPr>
          <w:rFonts w:ascii="Times New Roman" w:hAnsi="Times New Roman" w:eastAsia="宋体" w:cs="Times New Roman"/>
          <w:i w:val="0"/>
          <w:color w:val="1F2937"/>
          <w:sz w:val="24"/>
          <w:szCs w:val="24"/>
        </w:rPr>
        <w:t xml:space="preserve"> 为当期工业总产值（万元）；</w:t>
      </w:r>
      <w:r>
        <w:rPr>
          <w:rFonts w:ascii="Times New Roman" w:hAnsi="Times New Roman" w:eastAsia="宋体" w:cs="Times New Roman"/>
          <w:b w:val="0"/>
          <w:i w:val="0"/>
          <w:color w:val="0284C7"/>
          <w:sz w:val="24"/>
          <w:szCs w:val="24"/>
        </w:rPr>
        <w:t xml:space="preserve"> G_nva </w:t>
      </w:r>
      <w:r>
        <w:rPr>
          <w:rFonts w:ascii="Times New Roman" w:hAnsi="Times New Roman" w:eastAsia="宋体" w:cs="Times New Roman"/>
          <w:i w:val="0"/>
          <w:color w:val="1F2937"/>
          <w:sz w:val="24"/>
          <w:szCs w:val="24"/>
        </w:rPr>
        <w:t xml:space="preserve"> 为工业增加值（万元）；</w:t>
      </w:r>
      <w:r>
        <w:rPr>
          <w:rFonts w:ascii="Times New Roman" w:hAnsi="Times New Roman" w:eastAsia="宋体" w:cs="Times New Roman"/>
          <w:b w:val="0"/>
          <w:i w:val="0"/>
          <w:color w:val="0284C7"/>
          <w:sz w:val="24"/>
          <w:szCs w:val="24"/>
        </w:rPr>
        <w:t xml:space="preserve"> Limit_advanced </w:t>
      </w:r>
      <w:r>
        <w:rPr>
          <w:rFonts w:ascii="Times New Roman" w:hAnsi="Times New Roman" w:eastAsia="宋体" w:cs="Times New Roman"/>
          <w:i w:val="0"/>
          <w:color w:val="1F2937"/>
          <w:sz w:val="24"/>
          <w:szCs w:val="24"/>
        </w:rPr>
        <w:t xml:space="preserve"> 与 </w:t>
      </w:r>
      <w:r>
        <w:rPr>
          <w:rFonts w:ascii="Times New Roman" w:hAnsi="Times New Roman" w:eastAsia="宋体" w:cs="Times New Roman"/>
          <w:b w:val="0"/>
          <w:i w:val="0"/>
          <w:color w:val="0284C7"/>
          <w:sz w:val="24"/>
          <w:szCs w:val="24"/>
        </w:rPr>
        <w:t xml:space="preserve"> Limit_admission </w:t>
      </w:r>
      <w:r>
        <w:rPr>
          <w:rFonts w:ascii="Times New Roman" w:hAnsi="Times New Roman" w:eastAsia="宋体" w:cs="Times New Roman"/>
          <w:i w:val="0"/>
          <w:color w:val="1F2937"/>
          <w:sz w:val="24"/>
          <w:szCs w:val="24"/>
        </w:rPr>
        <w:t xml:space="preserve"> 为国家限额先进值与准入值，取自基准管理模块；</w:t>
      </w:r>
      <w:r>
        <w:rPr>
          <w:rFonts w:ascii="Times New Roman" w:hAnsi="Times New Roman" w:eastAsia="宋体" w:cs="Times New Roman"/>
          <w:b w:val="0"/>
          <w:i w:val="0"/>
          <w:color w:val="0284C7"/>
          <w:sz w:val="24"/>
          <w:szCs w:val="24"/>
        </w:rPr>
        <w:t xml:space="preserve"> g_base </w:t>
      </w:r>
      <w:r>
        <w:rPr>
          <w:rFonts w:ascii="Times New Roman" w:hAnsi="Times New Roman" w:eastAsia="宋体" w:cs="Times New Roman"/>
          <w:i w:val="0"/>
          <w:color w:val="1F2937"/>
          <w:sz w:val="24"/>
          <w:szCs w:val="24"/>
        </w:rPr>
        <w:t xml:space="preserve"> 为基准年取值。</w:t>
      </w:r>
    </w:p>
    <w:p w14:paraId="70904D49">
      <w:pPr>
        <w:pStyle w:val="6"/>
        <w:numPr>
          <w:ilvl w:val="0"/>
          <w:numId w:val="7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5569D78">
      <w:pPr>
        <w:pStyle w:val="19"/>
        <w:widowControl/>
        <w:numPr>
          <w:ilvl w:val="0"/>
          <w:numId w:val="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产值口径</w:t>
      </w:r>
      <w:r>
        <w:rPr>
          <w:rFonts w:ascii="Times New Roman" w:hAnsi="Times New Roman" w:eastAsia="宋体" w:cs="Times New Roman"/>
          <w:i w:val="0"/>
          <w:color w:val="1F2937"/>
          <w:sz w:val="24"/>
          <w:szCs w:val="24"/>
        </w:rPr>
        <w:t>：明确标注含税/不含税与现价/可比价口径，同一视图内口径不可混用。</w:t>
      </w:r>
    </w:p>
    <w:p w14:paraId="1A4B5CEF">
      <w:pPr>
        <w:pStyle w:val="19"/>
        <w:widowControl/>
        <w:numPr>
          <w:ilvl w:val="0"/>
          <w:numId w:val="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：叠加国家限额先进值与准入值双参考线；达标判定以先进值为首选基准。</w:t>
      </w:r>
    </w:p>
    <w:p w14:paraId="0073D08B">
      <w:pPr>
        <w:pStyle w:val="19"/>
        <w:widowControl/>
        <w:numPr>
          <w:ilvl w:val="0"/>
          <w:numId w:val="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纵向对比原则</w:t>
      </w:r>
      <w:r>
        <w:rPr>
          <w:rFonts w:ascii="Times New Roman" w:hAnsi="Times New Roman" w:eastAsia="宋体" w:cs="Times New Roman"/>
          <w:i w:val="0"/>
          <w:color w:val="1F2937"/>
          <w:sz w:val="24"/>
          <w:szCs w:val="24"/>
        </w:rPr>
        <w:t>：各单位仅与自身历史对比及与国家级基准对比，不进行跨单位拉踩式排名表述。</w:t>
      </w:r>
    </w:p>
    <w:p w14:paraId="0CA73B1C">
      <w:pPr>
        <w:pStyle w:val="19"/>
        <w:widowControl/>
        <w:numPr>
          <w:ilvl w:val="0"/>
          <w:numId w:val="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推移口径</w:t>
      </w:r>
      <w:r>
        <w:rPr>
          <w:rFonts w:ascii="Times New Roman" w:hAnsi="Times New Roman" w:eastAsia="宋体" w:cs="Times New Roman"/>
          <w:i w:val="0"/>
          <w:color w:val="1F2937"/>
          <w:sz w:val="24"/>
          <w:szCs w:val="24"/>
        </w:rPr>
        <w:t>：36 个月推移中缺失月份保持断层，不插值。</w:t>
      </w:r>
    </w:p>
    <w:p w14:paraId="614875AB">
      <w:pPr>
        <w:pStyle w:val="6"/>
        <w:numPr>
          <w:ilvl w:val="0"/>
          <w:numId w:val="7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61A349FB">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9159B1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产值为 0 或未上报：单耗显示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，卡片标注"产值数据待上报"。</w:t>
            </w:r>
          </w:p>
          <w:p w14:paraId="21E5C7F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产值口径未标注：页面禁止渲染，强制先选定口径。</w:t>
            </w:r>
          </w:p>
          <w:p w14:paraId="1A62650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国家限额值缺失：基准线不绘制，不以 0 代替。</w:t>
            </w:r>
          </w:p>
          <w:p w14:paraId="3D575B9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除零兜底：任意分母为 0 的场景统一安全显示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342B6177">
      <w:pPr>
        <w:spacing w:after="40"/>
        <w:rPr>
          <w:rFonts w:hint="eastAsia" w:ascii="宋体" w:hAnsi="宋体" w:eastAsia="宋体" w:cs="宋体"/>
          <w:i w:val="0"/>
          <w:iCs w:val="0"/>
          <w:sz w:val="24"/>
          <w:szCs w:val="24"/>
        </w:rPr>
      </w:pPr>
    </w:p>
    <w:p w14:paraId="6F4D0FBB">
      <w:pPr>
        <w:pStyle w:val="6"/>
        <w:numPr>
          <w:ilvl w:val="0"/>
          <w:numId w:val="76"/>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06A1F12">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D712DE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单位产值能耗核算与双控对标</w:t>
            </w:r>
          </w:p>
          <w:p w14:paraId="6FCDE9E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万元产值能耗核算</w:t>
            </w:r>
          </w:p>
          <w:p w14:paraId="4C6A21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集团已上报当期综合能源消费量与工业总产值</w:t>
            </w:r>
          </w:p>
          <w:p w14:paraId="4DF5FED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系统核算万元产值综合能耗</w:t>
            </w:r>
          </w:p>
          <w:p w14:paraId="043CAB8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计算结果等于 综合能源消费量 ÷ 工业总产值</w:t>
            </w:r>
          </w:p>
          <w:p w14:paraId="40CB89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结果单位标注为 tce/万元</w:t>
            </w:r>
          </w:p>
          <w:p w14:paraId="69E3CD39">
            <w:pPr>
              <w:spacing w:before="0" w:after="20" w:line="264" w:lineRule="auto"/>
              <w:rPr>
                <w:rFonts w:hint="eastAsia" w:ascii="宋体" w:hAnsi="宋体" w:eastAsia="宋体" w:cs="宋体"/>
                <w:i w:val="0"/>
                <w:iCs w:val="0"/>
                <w:sz w:val="24"/>
                <w:szCs w:val="24"/>
              </w:rPr>
            </w:pPr>
          </w:p>
          <w:p w14:paraId="2FD36C2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产值缺失安全兜底</w:t>
            </w:r>
          </w:p>
          <w:p w14:paraId="08749A6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某经营单位当期工业总产值尚未上报</w:t>
            </w:r>
          </w:p>
          <w:p w14:paraId="63DA08E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页面渲染该单位的万元产值能耗卡片</w:t>
            </w:r>
          </w:p>
          <w:p w14:paraId="66FE5B9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指标值显示为 "--" 并标注"产值数据待上报"</w:t>
            </w:r>
          </w:p>
          <w:p w14:paraId="705AAB1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 NaN 或 0 值冒充</w:t>
            </w:r>
          </w:p>
          <w:p w14:paraId="76FC7C97">
            <w:pPr>
              <w:spacing w:before="0" w:after="20" w:line="264" w:lineRule="auto"/>
              <w:rPr>
                <w:rFonts w:hint="eastAsia" w:ascii="宋体" w:hAnsi="宋体" w:eastAsia="宋体" w:cs="宋体"/>
                <w:i w:val="0"/>
                <w:iCs w:val="0"/>
                <w:sz w:val="24"/>
                <w:szCs w:val="24"/>
              </w:rPr>
            </w:pPr>
          </w:p>
          <w:p w14:paraId="467A48E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基准线绘制</w:t>
            </w:r>
          </w:p>
          <w:p w14:paraId="04DABCE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国家限额先进值与准入值已配置</w:t>
            </w:r>
          </w:p>
          <w:p w14:paraId="7B37F72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渲染 36 个月万元产值能耗推移折线图</w:t>
            </w:r>
          </w:p>
          <w:p w14:paraId="5001301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折线图叠加先进值与准入值两条参考线</w:t>
            </w:r>
          </w:p>
          <w:p w14:paraId="39E9F7E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缺失月份保持断层不插值</w:t>
            </w:r>
          </w:p>
        </w:tc>
      </w:tr>
    </w:tbl>
    <w:p w14:paraId="5B063A01">
      <w:pPr>
        <w:spacing w:after="40"/>
        <w:rPr>
          <w:rFonts w:hint="eastAsia" w:ascii="宋体" w:hAnsi="宋体" w:eastAsia="宋体" w:cs="宋体"/>
          <w:i w:val="0"/>
          <w:iCs w:val="0"/>
          <w:sz w:val="24"/>
          <w:szCs w:val="24"/>
        </w:rPr>
      </w:pPr>
    </w:p>
    <w:p w14:paraId="027CB06C">
      <w:pPr>
        <w:pStyle w:val="5"/>
        <w:numPr>
          <w:ilvl w:val="0"/>
          <w:numId w:val="65"/>
        </w:numPr>
        <w:ind w:left="0" w:leftChars="0" w:firstLine="0" w:firstLineChars="0"/>
        <w:outlineLvl w:val="1"/>
        <w:rPr>
          <w:rFonts w:eastAsia="黑体"/>
          <w:b w:val="0"/>
          <w:bCs w:val="0"/>
          <w:sz w:val="30"/>
          <w:szCs w:val="24"/>
        </w:rPr>
      </w:pPr>
      <w:bookmarkStart w:id="26" w:name="_Toc24077"/>
      <w:r>
        <w:rPr>
          <w:rFonts w:ascii="Times New Roman" w:hAnsi="Times New Roman" w:eastAsia="黑体" w:cs="Times New Roman"/>
          <w:b w:val="0"/>
          <w:bCs w:val="0"/>
          <w:sz w:val="30"/>
          <w:szCs w:val="24"/>
        </w:rPr>
        <w:t>对标管理</w:t>
      </w:r>
      <w:bookmarkEnd w:id="26"/>
    </w:p>
    <w:p w14:paraId="52C1848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55"/>
                    <a:stretch>
                      <a:fillRect/>
                    </a:stretch>
                  </pic:blipFill>
                  <pic:spPr>
                    <a:xfrm>
                      <a:off x="0" y="0"/>
                      <a:ext cx="5900420" cy="2925445"/>
                    </a:xfrm>
                    <a:prstGeom prst="rect">
                      <a:avLst/>
                    </a:prstGeom>
                    <a:noFill/>
                    <a:ln>
                      <a:noFill/>
                    </a:ln>
                  </pic:spPr>
                </pic:pic>
              </a:graphicData>
            </a:graphic>
          </wp:inline>
        </w:drawing>
      </w:r>
    </w:p>
    <w:p w14:paraId="35BA35FA">
      <w:pPr>
        <w:pStyle w:val="6"/>
        <w:numPr>
          <w:ilvl w:val="0"/>
          <w:numId w:val="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2980834">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：引入【国家先进值】【国家准入值】【特变电工领跑线】三线对标体系，实现工厂、产线、产品、型号、生产计划 5 维度、6 指标的全景对标与红黑榜排名。</w:t>
      </w:r>
    </w:p>
    <w:p w14:paraId="13A29E88">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：P1 集团决策层、P2 园区能碳专员。</w:t>
      </w:r>
    </w:p>
    <w:p w14:paraId="6DE38911">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/monitor/analysis/benchmark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/indicator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/horizontal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/vertical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/process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/baseline </w:t>
      </w:r>
      <w:r>
        <w:rPr>
          <w:rFonts w:ascii="Times New Roman" w:hAnsi="Times New Roman" w:eastAsia="宋体" w:cs="Times New Roman"/>
          <w:i w:val="0"/>
          <w:color w:val="1F2937"/>
          <w:sz w:val="24"/>
          <w:szCs w:val="24"/>
        </w:rPr>
        <w:t>。</w:t>
      </w:r>
    </w:p>
    <w:p w14:paraId="139C990B">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：指标管控核算结果、单位产品/产值能耗、零碳工厂自评估得分、基准管理模块。</w:t>
      </w:r>
    </w:p>
    <w:p w14:paraId="6F22D1EE">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：管理抓手清单、整改督办派单、零碳工厂星级评定输入。</w:t>
      </w:r>
    </w:p>
    <w:p w14:paraId="2ED72086">
      <w:pPr>
        <w:pStyle w:val="6"/>
        <w:numPr>
          <w:ilvl w:val="0"/>
          <w:numId w:val="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CB34F49">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：集团季度对标分析场景，需在统一口径下横向比较各工厂与产线，识别达标情况并锁定最需改进的对象与指标。</w:t>
      </w:r>
    </w:p>
    <w:p w14:paraId="365133C7">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4BAF34A">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P2 园区能碳专员</w:t>
      </w:r>
      <w:r>
        <w:rPr>
          <w:rFonts w:ascii="Times New Roman" w:hAnsi="Times New Roman" w:eastAsia="宋体" w:cs="Times New Roman"/>
          <w:i w:val="0"/>
          <w:color w:val="1F2937"/>
          <w:sz w:val="24"/>
          <w:szCs w:val="24"/>
        </w:rPr>
        <w:t>，</w:t>
      </w:r>
    </w:p>
    <w:p w14:paraId="2ABAA6C5">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 5 个对标维度间切换并查看 6 项指标的达标状态、红黑榜排名与多指标明细表</w:t>
      </w:r>
      <w:r>
        <w:rPr>
          <w:rFonts w:ascii="Times New Roman" w:hAnsi="Times New Roman" w:eastAsia="宋体" w:cs="Times New Roman"/>
          <w:i w:val="0"/>
          <w:color w:val="1F2937"/>
          <w:sz w:val="24"/>
          <w:szCs w:val="24"/>
        </w:rPr>
        <w:t>，</w:t>
      </w:r>
    </w:p>
    <w:p w14:paraId="37B58412">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我能直接定位"抓哪个单位、抓哪个指标"，形成可执行的整改抓手</w:t>
      </w:r>
      <w:r>
        <w:rPr>
          <w:rFonts w:ascii="Times New Roman" w:hAnsi="Times New Roman" w:eastAsia="宋体" w:cs="Times New Roman"/>
          <w:i w:val="0"/>
          <w:color w:val="1F2937"/>
          <w:sz w:val="24"/>
          <w:szCs w:val="24"/>
        </w:rPr>
        <w:t>。</w:t>
      </w:r>
    </w:p>
    <w:p w14:paraId="3CF43139">
      <w:pPr>
        <w:pStyle w:val="6"/>
        <w:numPr>
          <w:ilvl w:val="0"/>
          <w:numId w:val="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4E9996A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对标维度与指标：</w:t>
      </w:r>
    </w:p>
    <w:p w14:paraId="7BE0C61B">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5 个对标维度</w:t>
      </w:r>
      <w:r>
        <w:rPr>
          <w:rFonts w:ascii="Times New Roman" w:hAnsi="Times New Roman" w:eastAsia="宋体" w:cs="Times New Roman"/>
          <w:i w:val="0"/>
          <w:color w:val="1F2937"/>
          <w:sz w:val="24"/>
          <w:szCs w:val="24"/>
        </w:rPr>
        <w:t>：工厂（不同工厂横向对标）、产线（同/跨工厂产线对标）、产品种类、产品型号、生产计划（相同产品·不同时间批次对标，右侧切换为减碳趋势折线并锁定示例产品）；项目公司/在建单位置灰、不参与排名与达标统计。</w:t>
      </w:r>
    </w:p>
    <w:p w14:paraId="4BBB416E">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6 项对标指标</w:t>
      </w:r>
      <w:r>
        <w:rPr>
          <w:rFonts w:ascii="Times New Roman" w:hAnsi="Times New Roman" w:eastAsia="宋体" w:cs="Times New Roman"/>
          <w:i w:val="0"/>
          <w:color w:val="1F2937"/>
          <w:sz w:val="24"/>
          <w:szCs w:val="24"/>
        </w:rPr>
        <w:t>：零碳综合得分 + 5 项关键指标（单位产品综合能耗、单位产值能耗、单位产品碳排放、绿电占比、单位产品碳足迹）。</w:t>
      </w:r>
    </w:p>
    <w:p w14:paraId="6E587D4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零碳关键对标指标基准（V1.4）：</w:t>
      </w:r>
    </w:p>
    <w:tbl>
      <w:tblPr>
        <w:tblStyle w:val="38"/>
        <w:tblW w:w="4998" w:type="pct"/>
        <w:jc w:val="center"/>
        <w:tblLayout w:type="autofit"/>
        <w:tblCellMar>
          <w:top w:w="0" w:type="dxa"/>
          <w:left w:w="108" w:type="dxa"/>
          <w:bottom w:w="0" w:type="dxa"/>
          <w:right w:w="108" w:type="dxa"/>
        </w:tblCellMar>
      </w:tblPr>
      <w:tblGrid>
        <w:gridCol w:w="3150"/>
        <w:gridCol w:w="3150"/>
        <w:gridCol w:w="3150"/>
      </w:tblGrid>
      <w:tr w14:paraId="0967DD86">
        <w:tblPrEx>
          <w:tblCellMar>
            <w:top w:w="0" w:type="dxa"/>
            <w:left w:w="108" w:type="dxa"/>
            <w:bottom w:w="0" w:type="dxa"/>
            <w:right w:w="108" w:type="dxa"/>
          </w:tblCellMar>
        </w:tblPrEx>
        <w:trPr>
          <w:tblHeade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32FF6CC">
            <w:pPr>
              <w:spacing w:before="0" w:after="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w:t>
            </w:r>
          </w:p>
        </w:tc>
        <w:tc>
          <w:tcPr>
            <w:tcW w:w="1666"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8518811">
            <w:pPr>
              <w:spacing w:before="0" w:after="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零碳标杆</w:t>
            </w:r>
          </w:p>
        </w:tc>
        <w:tc>
          <w:tcPr>
            <w:tcW w:w="1666"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37B0FA3">
            <w:pPr>
              <w:spacing w:before="0" w:after="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生成基准</w:t>
            </w:r>
          </w:p>
        </w:tc>
      </w:tr>
      <w:tr w14:paraId="78D36515">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C37FC">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098775">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 kgce/台</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4B05FC">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430</w:t>
            </w:r>
          </w:p>
        </w:tc>
      </w:tr>
      <w:tr w14:paraId="3998696A">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6E63B0">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812658">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0.30 tce/万元</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A9791D">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0.34</w:t>
            </w:r>
          </w:p>
        </w:tc>
      </w:tr>
      <w:tr w14:paraId="0F2AFD86">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947BCB">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单位产品碳排放</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58CEC8">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900 kgCO2/台</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4D5DB2">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980</w:t>
            </w:r>
          </w:p>
        </w:tc>
      </w:tr>
      <w:tr w14:paraId="401EBF27">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2E7E7F">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绿电占比</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44EE21">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60 %（越高越好）</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C80CA8">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52</w:t>
            </w:r>
          </w:p>
        </w:tc>
      </w:tr>
      <w:tr w14:paraId="7F73BECD">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67EC79">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C941E1">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1000 kgCO2e/台</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2145AD">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1080</w:t>
            </w:r>
          </w:p>
        </w:tc>
      </w:tr>
    </w:tbl>
    <w:p w14:paraId="0E11ED4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计算口径（`lib/benchmark.ts` 实现，供研发核对）：</w:t>
      </w:r>
    </w:p>
    <w:p w14:paraId="717DEE7C">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达标系数 achievement</w:t>
      </w:r>
      <w:r>
        <w:rPr>
          <w:rFonts w:ascii="Times New Roman" w:hAnsi="Times New Roman" w:eastAsia="宋体" w:cs="Times New Roman"/>
          <w:i w:val="0"/>
          <w:color w:val="1F2937"/>
          <w:sz w:val="24"/>
          <w:szCs w:val="24"/>
        </w:rPr>
        <w:t>：越低越好 = 标杆/实测；越高越好 = 实测/标杆；≥1 即达到或优于标杆。</w:t>
      </w:r>
    </w:p>
    <w:p w14:paraId="6EB7BA75">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距标杆差距 gapPct</w:t>
      </w:r>
      <w:r>
        <w:rPr>
          <w:rFonts w:ascii="Times New Roman" w:hAnsi="Times New Roman" w:eastAsia="宋体" w:cs="Times New Roman"/>
          <w:i w:val="0"/>
          <w:color w:val="1F2937"/>
          <w:sz w:val="24"/>
          <w:szCs w:val="24"/>
        </w:rPr>
        <w:t>：越低越好 = (实测−标杆)/标杆×100%；越高越好 = (标杆−实测)/标杆×100%。</w:t>
      </w:r>
    </w:p>
    <w:p w14:paraId="05B8953A">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单指标状态</w:t>
      </w:r>
      <w:r>
        <w:rPr>
          <w:rFonts w:ascii="Times New Roman" w:hAnsi="Times New Roman" w:eastAsia="宋体" w:cs="Times New Roman"/>
          <w:i w:val="0"/>
          <w:color w:val="1F2937"/>
          <w:sz w:val="24"/>
          <w:szCs w:val="24"/>
        </w:rPr>
        <w:t>：达标系数 ≥1.00 优秀；0.85~1.00 正常；&lt;0.85 异常。</w:t>
      </w:r>
    </w:p>
    <w:p w14:paraId="2CA130CA">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零碳综合得分（0~100）</w:t>
      </w:r>
      <w:r>
        <w:rPr>
          <w:rFonts w:ascii="Times New Roman" w:hAnsi="Times New Roman" w:eastAsia="宋体" w:cs="Times New Roman"/>
          <w:i w:val="0"/>
          <w:color w:val="1F2937"/>
          <w:sz w:val="24"/>
          <w:szCs w:val="24"/>
        </w:rPr>
        <w:t xml:space="preserve">：对 5 项指标各取 </w:t>
      </w:r>
      <w:r>
        <w:rPr>
          <w:rFonts w:ascii="Times New Roman" w:hAnsi="Times New Roman" w:eastAsia="宋体" w:cs="Times New Roman"/>
          <w:i w:val="0"/>
          <w:color w:val="15803D"/>
          <w:sz w:val="24"/>
          <w:szCs w:val="24"/>
        </w:rPr>
        <w:t>min(1.15, 达标系数)</w:t>
      </w:r>
      <w:r>
        <w:rPr>
          <w:rFonts w:ascii="Times New Roman" w:hAnsi="Times New Roman" w:eastAsia="宋体" w:cs="Times New Roman"/>
          <w:i w:val="0"/>
          <w:color w:val="1F2937"/>
          <w:sz w:val="24"/>
          <w:szCs w:val="24"/>
        </w:rPr>
        <w:t xml:space="preserve"> 后求平均，再 ×86，夹逼到 [45, 99]。</w:t>
      </w:r>
    </w:p>
    <w:p w14:paraId="604F3384">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综合得分三色阈值</w:t>
      </w:r>
      <w:r>
        <w:rPr>
          <w:rFonts w:ascii="Times New Roman" w:hAnsi="Times New Roman" w:eastAsia="宋体" w:cs="Times New Roman"/>
          <w:i w:val="0"/>
          <w:color w:val="1F2937"/>
          <w:sz w:val="24"/>
          <w:szCs w:val="24"/>
        </w:rPr>
        <w:t>：≥90 优秀（绿）；78~89 正常（黄）；&lt;78 异常（红）。</w:t>
      </w:r>
    </w:p>
    <w:p w14:paraId="4DD0F43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页面区块与联动：</w:t>
      </w:r>
    </w:p>
    <w:p w14:paraId="1679EF71">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总览 5 卡</w:t>
      </w:r>
      <w:r>
        <w:rPr>
          <w:rFonts w:ascii="Times New Roman" w:hAnsi="Times New Roman" w:eastAsia="宋体" w:cs="Times New Roman"/>
          <w:i w:val="0"/>
          <w:color w:val="1F2937"/>
          <w:sz w:val="24"/>
          <w:szCs w:val="24"/>
        </w:rPr>
        <w:t>：恒定展示全部 5 项指标（不随所选指标变化），每卡含状态徽章、超大数值、标杆值、"已达标 / 差 N%"与达标度进度条（标杆刻度竖线固定 83.3% 处）。</w:t>
      </w:r>
    </w:p>
    <w:p w14:paraId="25314B9A">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宏观概要 4 卡</w:t>
      </w:r>
      <w:r>
        <w:rPr>
          <w:rFonts w:ascii="Times New Roman" w:hAnsi="Times New Roman" w:eastAsia="宋体" w:cs="Times New Roman"/>
          <w:i w:val="0"/>
          <w:color w:val="1F2937"/>
          <w:sz w:val="24"/>
          <w:szCs w:val="24"/>
        </w:rPr>
        <w:t>：平均零碳得分、达到零碳标杆（达标 = 综合得分 ≥90）实体数/总数、标杆对象（得分最高实体）、管理抓手（得分最低实体 + 其 gapPct 最大的指标，直接点名"抓什么"）。</w:t>
      </w:r>
    </w:p>
    <w:p w14:paraId="69FE1491">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对标红黑榜</w:t>
      </w:r>
      <w:r>
        <w:rPr>
          <w:rFonts w:ascii="Times New Roman" w:hAnsi="Times New Roman" w:eastAsia="宋体" w:cs="Times New Roman"/>
          <w:i w:val="0"/>
          <w:color w:val="1F2937"/>
          <w:sz w:val="24"/>
          <w:szCs w:val="24"/>
        </w:rPr>
        <w:t xml:space="preserve">：横向条形排名，score 降序、越低越好升序、越高越好降序；前 3 名序号徽章金/银/铜，其余中性灰；条形比例尺 = </w:t>
      </w:r>
      <w:r>
        <w:rPr>
          <w:rFonts w:ascii="Times New Roman" w:hAnsi="Times New Roman" w:eastAsia="宋体" w:cs="Times New Roman"/>
          <w:i w:val="0"/>
          <w:color w:val="15803D"/>
          <w:sz w:val="24"/>
          <w:szCs w:val="24"/>
        </w:rPr>
        <w:t>min(100, achievement/1.2×100)%</w:t>
      </w:r>
      <w:r>
        <w:rPr>
          <w:rFonts w:ascii="Times New Roman" w:hAnsi="Times New Roman" w:eastAsia="宋体" w:cs="Times New Roman"/>
          <w:i w:val="0"/>
          <w:color w:val="1F2937"/>
          <w:sz w:val="24"/>
          <w:szCs w:val="24"/>
        </w:rPr>
        <w:t>，标杆竖线固定 1/1.2 处。</w:t>
      </w:r>
    </w:p>
    <w:p w14:paraId="577FE3F0">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趋势/结构</w:t>
      </w:r>
      <w:r>
        <w:rPr>
          <w:rFonts w:ascii="Times New Roman" w:hAnsi="Times New Roman" w:eastAsia="宋体" w:cs="Times New Roman"/>
          <w:i w:val="0"/>
          <w:color w:val="1F2937"/>
          <w:sz w:val="24"/>
          <w:szCs w:val="24"/>
        </w:rPr>
        <w:t>：生产计划维度（temporal）且非 score 时显示"相同产品·减碳趋势"折线（实测 + 零碳标杆恒定线）；其他情况显示"综合得分分布"折线（实测 + 标杆线 90）。</w:t>
      </w:r>
    </w:p>
    <w:p w14:paraId="10C9BD2B">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多指标对标明细表</w:t>
      </w:r>
      <w:r>
        <w:rPr>
          <w:rFonts w:ascii="Times New Roman" w:hAnsi="Times New Roman" w:eastAsia="宋体" w:cs="Times New Roman"/>
          <w:i w:val="0"/>
          <w:color w:val="1F2937"/>
          <w:sz w:val="24"/>
          <w:szCs w:val="24"/>
        </w:rPr>
        <w:t>：行 = 当前维度全部实体（固定按综合得分降序，与红黑榜指标排序解耦）；列 = 排名、实体、综合得分、5 项关键指标；每行 gapPct 最大的指标单元格红底高亮（管理抓手）。</w:t>
      </w:r>
    </w:p>
    <w:p w14:paraId="241D1278">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联动</w:t>
      </w:r>
      <w:r>
        <w:rPr>
          <w:rFonts w:ascii="Times New Roman" w:hAnsi="Times New Roman" w:eastAsia="宋体" w:cs="Times New Roman"/>
          <w:i w:val="0"/>
          <w:color w:val="1F2937"/>
          <w:sz w:val="24"/>
          <w:szCs w:val="24"/>
        </w:rPr>
        <w:t>：维度/指标切换即时刷新全部区块，无需刷新按钮；顶部工厂筛选器在本视图隐藏（语义冲突）。</w:t>
      </w:r>
    </w:p>
    <w:p w14:paraId="30C3897B">
      <w:pPr>
        <w:pStyle w:val="19"/>
        <w:widowControl/>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5.1 核心指标对比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5.2 产品单耗对比（横向）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5.3 产品单耗对比（纵向）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5.4 关键工序单耗对比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5.5 基准管理 </w:t>
      </w:r>
      <w:r>
        <w:rPr>
          <w:rFonts w:ascii="Times New Roman" w:hAnsi="Times New Roman" w:eastAsia="宋体" w:cs="Times New Roman"/>
          <w:i w:val="0"/>
          <w:color w:val="1F2937"/>
          <w:sz w:val="24"/>
          <w:szCs w:val="24"/>
        </w:rPr>
        <w:t>。</w:t>
      </w:r>
      <w:r>
        <w:rPr>
          <w:rFonts w:ascii="Times New Roman" w:hAnsi="Times New Roman" w:eastAsia="宋体" w:cs="Times New Roman"/>
          <w:i w:val="0"/>
          <w:color w:val="1F2937"/>
          <w:sz w:val="24"/>
          <w:szCs w:val="24"/>
        </w:rPr>
        <w:br w:type="textWrapping"/>
      </w:r>
      <w:r>
        <w:rPr>
          <w:rFonts w:hint="eastAsia" w:cs="Times New Roman"/>
          <w:i w:val="0"/>
          <w:color w:val="1F2937"/>
          <w:sz w:val="24"/>
          <w:szCs w:val="24"/>
          <w:lang w:val="en-US" w:eastAsia="zh-CN"/>
        </w:rPr>
        <w:t>核心指标对比：</w:t>
      </w:r>
      <w:r>
        <w:rPr>
          <w:rFonts w:ascii="Times New Roman" w:hAnsi="Times New Roman" w:eastAsia="宋体" w:cs="Times New Roman"/>
          <w:i w:val="0"/>
          <w:color w:val="1F2937"/>
          <w:sz w:val="24"/>
          <w:szCs w:val="24"/>
        </w:rPr>
        <w:br w:type="textWrapping"/>
      </w:r>
      <w:r>
        <w:drawing>
          <wp:inline distT="0" distB="0" distL="114300" distR="114300">
            <wp:extent cx="5908675" cy="2294255"/>
            <wp:effectExtent l="0" t="0" r="15875" b="10795"/>
            <wp:docPr id="123"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77"/>
                    <pic:cNvPicPr>
                      <a:picLocks noChangeAspect="1"/>
                    </pic:cNvPicPr>
                  </pic:nvPicPr>
                  <pic:blipFill>
                    <a:blip r:embed="rId56"/>
                    <a:stretch>
                      <a:fillRect/>
                    </a:stretch>
                  </pic:blipFill>
                  <pic:spPr>
                    <a:xfrm>
                      <a:off x="0" y="0"/>
                      <a:ext cx="5908675" cy="2294255"/>
                    </a:xfrm>
                    <a:prstGeom prst="rect">
                      <a:avLst/>
                    </a:prstGeom>
                    <a:noFill/>
                    <a:ln>
                      <a:noFill/>
                    </a:ln>
                  </pic:spPr>
                </pic:pic>
              </a:graphicData>
            </a:graphic>
          </wp:inline>
        </w:drawing>
      </w:r>
      <w:r>
        <w:br w:type="textWrapping"/>
      </w:r>
      <w:r>
        <w:br w:type="textWrapping"/>
      </w:r>
      <w:r>
        <w:rPr>
          <w:rFonts w:hint="eastAsia"/>
          <w:lang w:val="en-US" w:eastAsia="zh-CN"/>
        </w:rPr>
        <w:t>零碳指标排名：</w:t>
      </w:r>
      <w:r>
        <w:rPr>
          <w:rFonts w:hint="eastAsia"/>
          <w:lang w:val="en-US" w:eastAsia="zh-CN"/>
        </w:rPr>
        <w:br w:type="textWrapping"/>
      </w:r>
      <w:r>
        <w:drawing>
          <wp:inline distT="0" distB="0" distL="114300" distR="114300">
            <wp:extent cx="5900420" cy="2258695"/>
            <wp:effectExtent l="0" t="0" r="5080" b="8255"/>
            <wp:docPr id="124"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78"/>
                    <pic:cNvPicPr>
                      <a:picLocks noChangeAspect="1"/>
                    </pic:cNvPicPr>
                  </pic:nvPicPr>
                  <pic:blipFill>
                    <a:blip r:embed="rId57"/>
                    <a:stretch>
                      <a:fillRect/>
                    </a:stretch>
                  </pic:blipFill>
                  <pic:spPr>
                    <a:xfrm>
                      <a:off x="0" y="0"/>
                      <a:ext cx="5900420" cy="2258695"/>
                    </a:xfrm>
                    <a:prstGeom prst="rect">
                      <a:avLst/>
                    </a:prstGeom>
                    <a:noFill/>
                    <a:ln>
                      <a:noFill/>
                    </a:ln>
                  </pic:spPr>
                </pic:pic>
              </a:graphicData>
            </a:graphic>
          </wp:inline>
        </w:drawing>
      </w:r>
      <w:r>
        <w:br w:type="textWrapping"/>
      </w:r>
    </w:p>
    <w:p w14:paraId="00B335B3">
      <w:pPr>
        <w:pStyle w:val="19"/>
        <w:widowControl/>
        <w:ind w:left="0" w:leftChars="0" w:firstLine="0" w:firstLineChars="0"/>
      </w:pPr>
      <w:r>
        <w:rPr>
          <w:rFonts w:hint="eastAsia"/>
          <w:lang w:val="en-US" w:eastAsia="zh-CN"/>
        </w:rPr>
        <w:t>产品单耗对比（横向）：</w:t>
      </w:r>
      <w:r>
        <w:rPr>
          <w:rFonts w:hint="eastAsia"/>
          <w:lang w:val="en-US" w:eastAsia="zh-CN"/>
        </w:rPr>
        <w:br w:type="textWrapping"/>
      </w:r>
      <w:r>
        <w:drawing>
          <wp:inline distT="0" distB="0" distL="114300" distR="114300">
            <wp:extent cx="5908675" cy="2981960"/>
            <wp:effectExtent l="0" t="0" r="15875" b="8890"/>
            <wp:docPr id="125"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79"/>
                    <pic:cNvPicPr>
                      <a:picLocks noChangeAspect="1"/>
                    </pic:cNvPicPr>
                  </pic:nvPicPr>
                  <pic:blipFill>
                    <a:blip r:embed="rId58"/>
                    <a:stretch>
                      <a:fillRect/>
                    </a:stretch>
                  </pic:blipFill>
                  <pic:spPr>
                    <a:xfrm>
                      <a:off x="0" y="0"/>
                      <a:ext cx="5908675" cy="2981960"/>
                    </a:xfrm>
                    <a:prstGeom prst="rect">
                      <a:avLst/>
                    </a:prstGeom>
                    <a:noFill/>
                    <a:ln>
                      <a:noFill/>
                    </a:ln>
                  </pic:spPr>
                </pic:pic>
              </a:graphicData>
            </a:graphic>
          </wp:inline>
        </w:drawing>
      </w:r>
      <w:r>
        <w:br w:type="textWrapping"/>
      </w:r>
    </w:p>
    <w:p w14:paraId="1E59210A">
      <w:pPr>
        <w:pStyle w:val="19"/>
        <w:widowControl/>
        <w:ind w:left="0" w:leftChars="0" w:firstLine="0" w:firstLineChars="0"/>
      </w:pPr>
      <w:r>
        <w:rPr>
          <w:rFonts w:hint="eastAsia"/>
          <w:lang w:val="en-US" w:eastAsia="zh-CN"/>
        </w:rPr>
        <w:t>工厂单耗分析：</w:t>
      </w:r>
      <w:r>
        <w:rPr>
          <w:rFonts w:hint="eastAsia"/>
          <w:lang w:val="en-US" w:eastAsia="zh-CN"/>
        </w:rPr>
        <w:br w:type="textWrapping"/>
      </w:r>
      <w:r>
        <w:drawing>
          <wp:inline distT="0" distB="0" distL="114300" distR="114300">
            <wp:extent cx="5913120" cy="4327525"/>
            <wp:effectExtent l="0" t="0" r="11430" b="15875"/>
            <wp:docPr id="126"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80"/>
                    <pic:cNvPicPr>
                      <a:picLocks noChangeAspect="1"/>
                    </pic:cNvPicPr>
                  </pic:nvPicPr>
                  <pic:blipFill>
                    <a:blip r:embed="rId59"/>
                    <a:stretch>
                      <a:fillRect/>
                    </a:stretch>
                  </pic:blipFill>
                  <pic:spPr>
                    <a:xfrm>
                      <a:off x="0" y="0"/>
                      <a:ext cx="5913120" cy="4327525"/>
                    </a:xfrm>
                    <a:prstGeom prst="rect">
                      <a:avLst/>
                    </a:prstGeom>
                    <a:noFill/>
                    <a:ln>
                      <a:noFill/>
                    </a:ln>
                  </pic:spPr>
                </pic:pic>
              </a:graphicData>
            </a:graphic>
          </wp:inline>
        </w:drawing>
      </w:r>
    </w:p>
    <w:p w14:paraId="354856E9">
      <w:pPr>
        <w:pStyle w:val="19"/>
        <w:widowControl/>
        <w:ind w:left="0" w:leftChars="0" w:firstLine="0" w:firstLineChars="0"/>
      </w:pPr>
      <w:r>
        <w:rPr>
          <w:rFonts w:hint="default"/>
          <w:lang w:val="en-US" w:eastAsia="zh-CN"/>
        </w:rPr>
        <w:br w:type="textWrapping"/>
      </w:r>
      <w:r>
        <w:rPr>
          <w:rFonts w:hint="eastAsia"/>
          <w:lang w:val="en-US" w:eastAsia="zh-CN"/>
        </w:rPr>
        <w:t>产品单耗分析（纵向）：</w:t>
      </w:r>
      <w:r>
        <w:rPr>
          <w:rFonts w:hint="eastAsia"/>
          <w:lang w:val="en-US" w:eastAsia="zh-CN"/>
        </w:rPr>
        <w:br w:type="textWrapping"/>
      </w:r>
      <w:r>
        <w:drawing>
          <wp:inline distT="0" distB="0" distL="114300" distR="114300">
            <wp:extent cx="5908675" cy="3249930"/>
            <wp:effectExtent l="0" t="0" r="15875" b="7620"/>
            <wp:docPr id="127"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81"/>
                    <pic:cNvPicPr>
                      <a:picLocks noChangeAspect="1"/>
                    </pic:cNvPicPr>
                  </pic:nvPicPr>
                  <pic:blipFill>
                    <a:blip r:embed="rId60"/>
                    <a:stretch>
                      <a:fillRect/>
                    </a:stretch>
                  </pic:blipFill>
                  <pic:spPr>
                    <a:xfrm>
                      <a:off x="0" y="0"/>
                      <a:ext cx="5908675" cy="3249930"/>
                    </a:xfrm>
                    <a:prstGeom prst="rect">
                      <a:avLst/>
                    </a:prstGeom>
                    <a:noFill/>
                    <a:ln>
                      <a:noFill/>
                    </a:ln>
                  </pic:spPr>
                </pic:pic>
              </a:graphicData>
            </a:graphic>
          </wp:inline>
        </w:drawing>
      </w:r>
    </w:p>
    <w:p w14:paraId="76740A2E">
      <w:pPr>
        <w:pStyle w:val="19"/>
        <w:widowControl/>
        <w:ind w:left="0" w:leftChars="0" w:firstLine="0" w:firstLineChars="0"/>
      </w:pPr>
    </w:p>
    <w:p w14:paraId="20733BA9">
      <w:pPr>
        <w:pStyle w:val="19"/>
        <w:widowControl/>
        <w:ind w:left="0" w:leftChars="0" w:firstLine="0" w:firstLineChars="0"/>
      </w:pPr>
      <w:r>
        <w:rPr>
          <w:rFonts w:hint="eastAsia"/>
          <w:lang w:val="en-US" w:eastAsia="zh-CN"/>
        </w:rPr>
        <w:t>关键工序对比分析：</w:t>
      </w:r>
      <w:r>
        <w:rPr>
          <w:rFonts w:hint="eastAsia"/>
          <w:lang w:val="en-US" w:eastAsia="zh-CN"/>
        </w:rPr>
        <w:br w:type="textWrapping"/>
      </w:r>
      <w:r>
        <w:drawing>
          <wp:inline distT="0" distB="0" distL="114300" distR="114300">
            <wp:extent cx="5912485" cy="3147695"/>
            <wp:effectExtent l="0" t="0" r="12065" b="14605"/>
            <wp:docPr id="128"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82"/>
                    <pic:cNvPicPr>
                      <a:picLocks noChangeAspect="1"/>
                    </pic:cNvPicPr>
                  </pic:nvPicPr>
                  <pic:blipFill>
                    <a:blip r:embed="rId61"/>
                    <a:stretch>
                      <a:fillRect/>
                    </a:stretch>
                  </pic:blipFill>
                  <pic:spPr>
                    <a:xfrm>
                      <a:off x="0" y="0"/>
                      <a:ext cx="5912485" cy="3147695"/>
                    </a:xfrm>
                    <a:prstGeom prst="rect">
                      <a:avLst/>
                    </a:prstGeom>
                    <a:noFill/>
                    <a:ln>
                      <a:noFill/>
                    </a:ln>
                  </pic:spPr>
                </pic:pic>
              </a:graphicData>
            </a:graphic>
          </wp:inline>
        </w:drawing>
      </w:r>
    </w:p>
    <w:p w14:paraId="5AA05ABB">
      <w:pPr>
        <w:pStyle w:val="19"/>
        <w:widowControl/>
        <w:ind w:left="0" w:leftChars="0" w:firstLine="0" w:firstLineChars="0"/>
      </w:pPr>
    </w:p>
    <w:p w14:paraId="39C25D2D">
      <w:pPr>
        <w:pStyle w:val="19"/>
        <w:widowControl/>
        <w:ind w:left="0" w:leftChars="0" w:firstLine="0" w:firstLineChars="0"/>
      </w:pPr>
      <w:r>
        <w:rPr>
          <w:rFonts w:hint="eastAsia"/>
          <w:lang w:val="en-US" w:eastAsia="zh-CN"/>
        </w:rPr>
        <w:t>基准管理：</w:t>
      </w:r>
      <w:r>
        <w:rPr>
          <w:rFonts w:hint="eastAsia"/>
          <w:lang w:val="en-US" w:eastAsia="zh-CN"/>
        </w:rPr>
        <w:br w:type="textWrapping"/>
      </w:r>
      <w:r>
        <w:drawing>
          <wp:inline distT="0" distB="0" distL="114300" distR="114300">
            <wp:extent cx="5899785" cy="2308225"/>
            <wp:effectExtent l="0" t="0" r="5715" b="15875"/>
            <wp:docPr id="130"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84"/>
                    <pic:cNvPicPr>
                      <a:picLocks noChangeAspect="1"/>
                    </pic:cNvPicPr>
                  </pic:nvPicPr>
                  <pic:blipFill>
                    <a:blip r:embed="rId62"/>
                    <a:stretch>
                      <a:fillRect/>
                    </a:stretch>
                  </pic:blipFill>
                  <pic:spPr>
                    <a:xfrm>
                      <a:off x="0" y="0"/>
                      <a:ext cx="5899785" cy="2308225"/>
                    </a:xfrm>
                    <a:prstGeom prst="rect">
                      <a:avLst/>
                    </a:prstGeom>
                    <a:noFill/>
                    <a:ln>
                      <a:noFill/>
                    </a:ln>
                  </pic:spPr>
                </pic:pic>
              </a:graphicData>
            </a:graphic>
          </wp:inline>
        </w:drawing>
      </w:r>
    </w:p>
    <w:p w14:paraId="7154BD1A">
      <w:pPr>
        <w:pStyle w:val="19"/>
        <w:widowControl/>
        <w:ind w:left="0" w:leftChars="0" w:firstLine="0" w:firstLineChars="0"/>
      </w:pPr>
    </w:p>
    <w:p w14:paraId="51E885BC">
      <w:pPr>
        <w:pStyle w:val="19"/>
        <w:widowControl/>
        <w:ind w:left="0" w:leftChars="0" w:firstLine="0" w:firstLineChars="0"/>
        <w:rPr>
          <w:rFonts w:hint="default"/>
          <w:lang w:val="en-US" w:eastAsia="zh-CN"/>
        </w:rPr>
      </w:pPr>
      <w:r>
        <w:rPr>
          <w:rFonts w:hint="default"/>
          <w:lang w:val="en-US" w:eastAsia="zh-CN"/>
        </w:rPr>
        <w:br w:type="textWrapping"/>
      </w:r>
      <w:r>
        <w:rPr>
          <w:rFonts w:hint="eastAsia"/>
          <w:lang w:val="en-US" w:eastAsia="zh-CN"/>
        </w:rPr>
        <w:t>基准数据参数：</w:t>
      </w:r>
      <w:r>
        <w:rPr>
          <w:rFonts w:hint="eastAsia"/>
          <w:lang w:val="en-US" w:eastAsia="zh-CN"/>
        </w:rPr>
        <w:br w:type="textWrapping"/>
      </w:r>
      <w:r>
        <w:drawing>
          <wp:inline distT="0" distB="0" distL="114300" distR="114300">
            <wp:extent cx="4772660" cy="4821555"/>
            <wp:effectExtent l="0" t="0" r="8890" b="17145"/>
            <wp:docPr id="132"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86"/>
                    <pic:cNvPicPr>
                      <a:picLocks noChangeAspect="1"/>
                    </pic:cNvPicPr>
                  </pic:nvPicPr>
                  <pic:blipFill>
                    <a:blip r:embed="rId63"/>
                    <a:stretch>
                      <a:fillRect/>
                    </a:stretch>
                  </pic:blipFill>
                  <pic:spPr>
                    <a:xfrm>
                      <a:off x="0" y="0"/>
                      <a:ext cx="4772660" cy="4821555"/>
                    </a:xfrm>
                    <a:prstGeom prst="rect">
                      <a:avLst/>
                    </a:prstGeom>
                    <a:noFill/>
                    <a:ln>
                      <a:noFill/>
                    </a:ln>
                  </pic:spPr>
                </pic:pic>
              </a:graphicData>
            </a:graphic>
          </wp:inline>
        </w:drawing>
      </w:r>
    </w:p>
    <w:p w14:paraId="2725AA47">
      <w:pPr>
        <w:pStyle w:val="6"/>
        <w:numPr>
          <w:ilvl w:val="0"/>
          <w:numId w:val="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2"/>
        <w:gridCol w:w="1896"/>
        <w:gridCol w:w="1364"/>
        <w:gridCol w:w="1364"/>
        <w:gridCol w:w="4278"/>
      </w:tblGrid>
      <w:tr w14:paraId="4B6C73DF">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A3D0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391A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D62C9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5855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7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35FB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03D831B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E2DA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4135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对标实体名称</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0CB0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B642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31C8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工厂/产线/产品/型号/生产计划层级名称</w:t>
            </w:r>
          </w:p>
        </w:tc>
      </w:tr>
      <w:tr w14:paraId="4A3DF025">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D85A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30A8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对标维度标识</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38A1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841B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E50F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factory / line / category / model / plan</w:t>
            </w:r>
          </w:p>
        </w:tc>
      </w:tr>
      <w:tr w14:paraId="393458E0">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B814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F762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单项达标系数</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4FDE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AD3D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4AA7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越低越好 = 标杆/实测；越高越好 = 实测/标杆</w:t>
            </w:r>
          </w:p>
        </w:tc>
      </w:tr>
      <w:tr w14:paraId="28D4078B">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B4C9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116A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单项距标杆差距</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6E3F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18B5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EDF3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按越低越好/越高越好两种口径分别计算</w:t>
            </w:r>
          </w:p>
        </w:tc>
      </w:tr>
      <w:tr w14:paraId="64C015FE">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917E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6784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单项状态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197D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A3FF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A9BE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优秀 ≥1.00 / 正常 0.85~1.00 / 异常 &lt;0.85</w:t>
            </w:r>
          </w:p>
        </w:tc>
      </w:tr>
      <w:tr w14:paraId="7C477FB7">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4476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A75B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零碳综合得分</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95E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0F3E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6E2B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clamp(AVG(min(1.15, Ach)) × 86, 45, 99)</w:t>
            </w:r>
          </w:p>
        </w:tc>
      </w:tr>
      <w:tr w14:paraId="1B9044A4">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D07D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F9FB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综合得分状态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6F86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7BB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9C60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优秀 ≥90 / 正常 78~89 / 异常 &lt;78</w:t>
            </w:r>
          </w:p>
        </w:tc>
      </w:tr>
      <w:tr w14:paraId="28F9FDD1">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94C5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8153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管理抓手指标</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A391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B1DB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DF11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该实体 gapPct 最大的指标名称</w:t>
            </w:r>
          </w:p>
        </w:tc>
      </w:tr>
      <w:tr w14:paraId="33E6A22D">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16B7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D7A8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排名序号</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9EF9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ABCD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2189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前 3 名金/银/铜徽章，其余中性灰</w:t>
            </w:r>
          </w:p>
        </w:tc>
      </w:tr>
      <w:tr w14:paraId="112512E6">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7973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FCD5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条形比例尺</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370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550B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B0A1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min(100, achievement/1.2×100)</w:t>
            </w:r>
          </w:p>
        </w:tc>
      </w:tr>
    </w:tbl>
    <w:p w14:paraId="4CB6690A">
      <w:pPr>
        <w:spacing w:after="60"/>
        <w:rPr>
          <w:rFonts w:hint="eastAsia" w:ascii="宋体" w:hAnsi="宋体" w:eastAsia="宋体" w:cs="宋体"/>
          <w:i w:val="0"/>
          <w:iCs w:val="0"/>
          <w:sz w:val="24"/>
          <w:szCs w:val="24"/>
        </w:rPr>
      </w:pPr>
    </w:p>
    <w:p w14:paraId="5FCDA8D7">
      <w:pPr>
        <w:pStyle w:val="6"/>
        <w:numPr>
          <w:ilvl w:val="0"/>
          <w:numId w:val="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AF825CA">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15B918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Ach = 越低越好 ? ( Benchmark / Actual ) : ( Actual / Benchmark )</w:t>
            </w:r>
          </w:p>
          <w:p w14:paraId="2FEFFD2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gapPct = 越低越好 ? ( (Actual - Benchmark)/Benchmark×100% ) : ( (Benchmark - Actual)/Benchmark×100% )</w:t>
            </w:r>
          </w:p>
          <w:p w14:paraId="1E45100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Status_item = Ach &gt;= 1.00 ? 优秀 : ( Ach &gt;= 0.85 ? 正常 : 异常 )</w:t>
            </w:r>
          </w:p>
          <w:p w14:paraId="32FB5E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Score_total = CLAMP( AVG_i ( MIN(1.15, Ach_i) ) × 86, 45, 99 )</w:t>
            </w:r>
          </w:p>
          <w:p w14:paraId="3DF7134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Status_total = Score_total &gt;= 90 ? 优秀 : ( Score_total &gt;= 78 ? 正常 : 异常 )</w:t>
            </w:r>
          </w:p>
          <w:p w14:paraId="088430C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Bar_ratio = MIN( 100, Ach / 1.2 × 100% )</w:t>
            </w:r>
          </w:p>
        </w:tc>
      </w:tr>
    </w:tbl>
    <w:p w14:paraId="70F342DE">
      <w:pPr>
        <w:spacing w:after="40"/>
        <w:rPr>
          <w:rFonts w:hint="eastAsia" w:ascii="宋体" w:hAnsi="宋体" w:eastAsia="宋体" w:cs="宋体"/>
          <w:i w:val="0"/>
          <w:iCs w:val="0"/>
          <w:sz w:val="24"/>
          <w:szCs w:val="24"/>
        </w:rPr>
      </w:pPr>
    </w:p>
    <w:p w14:paraId="1CA0BCD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5 项关键指标分别为单位产品综合能耗、单位产值能耗、单位产品碳排放、绿电占比、单位产品碳足迹；</w:t>
      </w:r>
      <w:r>
        <w:rPr>
          <w:rFonts w:ascii="Times New Roman" w:hAnsi="Times New Roman" w:eastAsia="宋体" w:cs="Times New Roman"/>
          <w:b w:val="0"/>
          <w:i w:val="0"/>
          <w:color w:val="0284C7"/>
          <w:sz w:val="24"/>
          <w:szCs w:val="24"/>
        </w:rPr>
        <w:t xml:space="preserve"> min </w:t>
      </w:r>
      <w:r>
        <w:rPr>
          <w:rFonts w:ascii="Times New Roman" w:hAnsi="Times New Roman" w:eastAsia="宋体" w:cs="Times New Roman"/>
          <w:i w:val="0"/>
          <w:color w:val="1F2937"/>
          <w:sz w:val="24"/>
          <w:szCs w:val="24"/>
        </w:rPr>
        <w:t xml:space="preserve"> 上限 1.15 用于限制单项过度领先；</w:t>
      </w:r>
      <w:r>
        <w:rPr>
          <w:rFonts w:ascii="Times New Roman" w:hAnsi="Times New Roman" w:eastAsia="宋体" w:cs="Times New Roman"/>
          <w:b w:val="0"/>
          <w:i w:val="0"/>
          <w:color w:val="0284C7"/>
          <w:sz w:val="24"/>
          <w:szCs w:val="24"/>
        </w:rPr>
        <w:t xml:space="preserve"> ×86 </w:t>
      </w:r>
      <w:r>
        <w:rPr>
          <w:rFonts w:ascii="Times New Roman" w:hAnsi="Times New Roman" w:eastAsia="宋体" w:cs="Times New Roman"/>
          <w:i w:val="0"/>
          <w:color w:val="1F2937"/>
          <w:sz w:val="24"/>
          <w:szCs w:val="24"/>
        </w:rPr>
        <w:t xml:space="preserve"> 为得分放大系数；夹逼区间 [45, 99] 保证得分可视性。</w:t>
      </w:r>
    </w:p>
    <w:p w14:paraId="57E71D72">
      <w:pPr>
        <w:pStyle w:val="6"/>
        <w:numPr>
          <w:ilvl w:val="0"/>
          <w:numId w:val="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21D9D02">
      <w:pPr>
        <w:pStyle w:val="19"/>
        <w:widowControl/>
        <w:numPr>
          <w:ilvl w:val="0"/>
          <w:numId w:val="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：三线对标体系固定为【国家先进值】【国家准入值】【特变电工领跑线】。</w:t>
      </w:r>
    </w:p>
    <w:p w14:paraId="64ED00D7">
      <w:pPr>
        <w:pStyle w:val="19"/>
        <w:widowControl/>
        <w:numPr>
          <w:ilvl w:val="0"/>
          <w:numId w:val="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排名口径</w:t>
      </w:r>
      <w:r>
        <w:rPr>
          <w:rFonts w:ascii="Times New Roman" w:hAnsi="Times New Roman" w:eastAsia="宋体" w:cs="Times New Roman"/>
          <w:i w:val="0"/>
          <w:color w:val="1F2937"/>
          <w:sz w:val="24"/>
          <w:szCs w:val="24"/>
        </w:rPr>
        <w:t>：红黑榜排序随所选指标动态切换（score 降序、越低越好升序、越高越好降序），明细表固定按综合得分降序，二者解耦。</w:t>
      </w:r>
    </w:p>
    <w:p w14:paraId="64AB57BB">
      <w:pPr>
        <w:pStyle w:val="19"/>
        <w:widowControl/>
        <w:numPr>
          <w:ilvl w:val="0"/>
          <w:numId w:val="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排除口径</w:t>
      </w:r>
      <w:r>
        <w:rPr>
          <w:rFonts w:ascii="Times New Roman" w:hAnsi="Times New Roman" w:eastAsia="宋体" w:cs="Times New Roman"/>
          <w:i w:val="0"/>
          <w:color w:val="1F2937"/>
          <w:sz w:val="24"/>
          <w:szCs w:val="24"/>
        </w:rPr>
        <w:t>：项目公司/在建单位置灰、不参与排名与达标统计。</w:t>
      </w:r>
    </w:p>
    <w:p w14:paraId="7DEB48F3">
      <w:pPr>
        <w:pStyle w:val="19"/>
        <w:widowControl/>
        <w:numPr>
          <w:ilvl w:val="0"/>
          <w:numId w:val="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高亮口径</w:t>
      </w:r>
      <w:r>
        <w:rPr>
          <w:rFonts w:ascii="Times New Roman" w:hAnsi="Times New Roman" w:eastAsia="宋体" w:cs="Times New Roman"/>
          <w:i w:val="0"/>
          <w:color w:val="1F2937"/>
          <w:sz w:val="24"/>
          <w:szCs w:val="24"/>
        </w:rPr>
        <w:t>：每行 gapPct 最大的指标单元格红底高亮，作为该行的管理抓手。</w:t>
      </w:r>
    </w:p>
    <w:p w14:paraId="0B73AA31">
      <w:pPr>
        <w:pStyle w:val="6"/>
        <w:numPr>
          <w:ilvl w:val="0"/>
          <w:numId w:val="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E467956">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EC396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标杆值为 0：达标系数与差距率均显示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，不参与排名与平均分计算。</w:t>
            </w:r>
          </w:p>
          <w:p w14:paraId="0963C4C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某实体指标数据缺失：该实体在明细表中该项留空并整体降权，不参与达标统计。</w:t>
            </w:r>
          </w:p>
          <w:p w14:paraId="24AF257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项目公司/在建单位：强制置灰并排除出排名与达标统计，不允许手工纳入。</w:t>
            </w:r>
          </w:p>
          <w:p w14:paraId="0635D59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除零兜底：所有比值类字段分母为 0 时统一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1C75D349">
      <w:pPr>
        <w:spacing w:after="40"/>
        <w:rPr>
          <w:rFonts w:hint="eastAsia" w:ascii="宋体" w:hAnsi="宋体" w:eastAsia="宋体" w:cs="宋体"/>
          <w:i w:val="0"/>
          <w:iCs w:val="0"/>
          <w:sz w:val="24"/>
          <w:szCs w:val="24"/>
        </w:rPr>
      </w:pPr>
    </w:p>
    <w:p w14:paraId="2F0AF7E6">
      <w:pPr>
        <w:pStyle w:val="6"/>
        <w:numPr>
          <w:ilvl w:val="0"/>
          <w:numId w:val="81"/>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04B1AF95">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258ED6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对标管理三线体系与红黑榜</w:t>
            </w:r>
          </w:p>
          <w:p w14:paraId="5B65C05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综合得分计算与夹逼</w:t>
            </w:r>
          </w:p>
          <w:p w14:paraId="31A6219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某实体 5 项关键指标的达标系数分别为 1.02、0.92、1.20、0.78、1.05</w:t>
            </w:r>
          </w:p>
          <w:p w14:paraId="58A595B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系统计算零碳综合得分</w:t>
            </w:r>
          </w:p>
          <w:p w14:paraId="38AE833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各项先取 min(1.15, 达标系数)，即 1.02、0.92、1.15、0.78、1.05</w:t>
            </w:r>
          </w:p>
          <w:p w14:paraId="0C6F22C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求平均后乘以 86 并夹逼至 [45, 99] 区间</w:t>
            </w:r>
          </w:p>
          <w:p w14:paraId="113C31C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得分状态按 ≥90 优秀 / 78~89 正常 / &lt;78 异常 判定</w:t>
            </w:r>
          </w:p>
          <w:p w14:paraId="4D679A9B">
            <w:pPr>
              <w:spacing w:before="0" w:after="20" w:line="264" w:lineRule="auto"/>
              <w:rPr>
                <w:rFonts w:hint="eastAsia" w:ascii="宋体" w:hAnsi="宋体" w:eastAsia="宋体" w:cs="宋体"/>
                <w:i w:val="0"/>
                <w:iCs w:val="0"/>
                <w:sz w:val="24"/>
                <w:szCs w:val="24"/>
              </w:rPr>
            </w:pPr>
          </w:p>
          <w:p w14:paraId="743EE71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管理抓手自动点名</w:t>
            </w:r>
          </w:p>
          <w:p w14:paraId="4E0716C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某实体 5 项指标的 gapPct 分别为 2%、5%、18%、1%、3%</w:t>
            </w:r>
          </w:p>
          <w:p w14:paraId="2D4FCEC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页面渲染宏观概要区的"管理抓手"卡片</w:t>
            </w:r>
          </w:p>
          <w:p w14:paraId="739225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卡片直接点名 gapPct 最大的指标（本例为 gapPct = 18% 的指标）</w:t>
            </w:r>
          </w:p>
          <w:p w14:paraId="3CB4659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明细表中该指标单元格红底高亮</w:t>
            </w:r>
          </w:p>
          <w:p w14:paraId="670C5B0A">
            <w:pPr>
              <w:spacing w:before="0" w:after="20" w:line="264" w:lineRule="auto"/>
              <w:rPr>
                <w:rFonts w:hint="eastAsia" w:ascii="宋体" w:hAnsi="宋体" w:eastAsia="宋体" w:cs="宋体"/>
                <w:i w:val="0"/>
                <w:iCs w:val="0"/>
                <w:sz w:val="24"/>
                <w:szCs w:val="24"/>
              </w:rPr>
            </w:pPr>
          </w:p>
          <w:p w14:paraId="0162E2B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项目公司排除排名</w:t>
            </w:r>
          </w:p>
          <w:p w14:paraId="2888625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对标维度中存在项目公司与在建单位</w:t>
            </w:r>
          </w:p>
          <w:p w14:paraId="7B2546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系统生成对标红黑榜排名</w:t>
            </w:r>
          </w:p>
          <w:p w14:paraId="65DBFCF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项目公司与在建单位置灰且不计入排名序号</w:t>
            </w:r>
          </w:p>
          <w:p w14:paraId="52C0E99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不参与达标统计与平均得分计算</w:t>
            </w:r>
          </w:p>
          <w:p w14:paraId="1B00F114">
            <w:pPr>
              <w:spacing w:before="0" w:after="20" w:line="264" w:lineRule="auto"/>
              <w:rPr>
                <w:rFonts w:hint="eastAsia" w:ascii="宋体" w:hAnsi="宋体" w:eastAsia="宋体" w:cs="宋体"/>
                <w:i w:val="0"/>
                <w:iCs w:val="0"/>
                <w:sz w:val="24"/>
                <w:szCs w:val="24"/>
              </w:rPr>
            </w:pPr>
          </w:p>
          <w:p w14:paraId="78A4CEC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维度切换即时刷新</w:t>
            </w:r>
          </w:p>
          <w:p w14:paraId="3286A40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用户当前位于"工厂"维度</w:t>
            </w:r>
          </w:p>
          <w:p w14:paraId="776A3F2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用户切换维度至"生产计划"</w:t>
            </w:r>
          </w:p>
          <w:p w14:paraId="7B2201E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全部区块即时刷新且无需点击刷新按钮</w:t>
            </w:r>
          </w:p>
          <w:p w14:paraId="1E9025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右侧趋势区切换为"相同产品·减碳趋势"折线并锁定示例产品</w:t>
            </w:r>
          </w:p>
          <w:p w14:paraId="6729957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顶部工厂筛选器在本视图隐藏</w:t>
            </w:r>
          </w:p>
        </w:tc>
      </w:tr>
    </w:tbl>
    <w:p w14:paraId="2C9987CC">
      <w:pPr>
        <w:spacing w:after="40"/>
        <w:rPr>
          <w:rFonts w:hint="eastAsia" w:ascii="宋体" w:hAnsi="宋体" w:eastAsia="宋体" w:cs="宋体"/>
          <w:i w:val="0"/>
          <w:iCs w:val="0"/>
          <w:sz w:val="24"/>
          <w:szCs w:val="24"/>
        </w:rPr>
      </w:pPr>
    </w:p>
    <w:p w14:paraId="6809D421">
      <w:pPr>
        <w:pStyle w:val="4"/>
        <w:numPr>
          <w:ilvl w:val="0"/>
          <w:numId w:val="15"/>
        </w:numPr>
        <w:topLinePunct w:val="0"/>
        <w:ind w:left="0" w:leftChars="0" w:firstLine="0" w:firstLineChars="0"/>
        <w:outlineLvl w:val="0"/>
        <w:rPr>
          <w:rFonts w:hint="eastAsia" w:eastAsia="黑体"/>
          <w:b w:val="0"/>
          <w:bCs w:val="0"/>
          <w:sz w:val="30"/>
          <w:szCs w:val="32"/>
        </w:rPr>
      </w:pPr>
      <w:bookmarkStart w:id="27" w:name="_Toc30127"/>
      <w:r>
        <w:rPr>
          <w:rFonts w:ascii="Times New Roman" w:hAnsi="Times New Roman" w:eastAsia="黑体" w:cs="Times New Roman"/>
          <w:b w:val="0"/>
          <w:bCs w:val="0"/>
          <w:sz w:val="30"/>
          <w:szCs w:val="32"/>
        </w:rPr>
        <w:t>零碳项目评估</w:t>
      </w:r>
      <w:bookmarkEnd w:id="27"/>
    </w:p>
    <w:p w14:paraId="23F1C6EE">
      <w:pPr>
        <w:pStyle w:val="5"/>
        <w:numPr>
          <w:ilvl w:val="0"/>
          <w:numId w:val="86"/>
        </w:numPr>
        <w:ind w:left="0" w:leftChars="0" w:firstLine="0" w:firstLineChars="0"/>
        <w:outlineLvl w:val="1"/>
        <w:rPr>
          <w:rFonts w:eastAsia="黑体"/>
          <w:b w:val="0"/>
          <w:bCs w:val="0"/>
          <w:sz w:val="30"/>
          <w:szCs w:val="24"/>
        </w:rPr>
      </w:pPr>
      <w:bookmarkStart w:id="28" w:name="_Toc2741"/>
      <w:r>
        <w:rPr>
          <w:rFonts w:ascii="Times New Roman" w:hAnsi="Times New Roman" w:eastAsia="黑体" w:cs="Times New Roman"/>
          <w:b w:val="0"/>
          <w:bCs w:val="0"/>
          <w:sz w:val="30"/>
          <w:szCs w:val="24"/>
        </w:rPr>
        <w:t>项目档案管理</w:t>
      </w:r>
      <w:bookmarkEnd w:id="28"/>
    </w:p>
    <w:p w14:paraId="15AF614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64"/>
                    <a:stretch>
                      <a:fillRect/>
                    </a:stretch>
                  </pic:blipFill>
                  <pic:spPr>
                    <a:xfrm>
                      <a:off x="0" y="0"/>
                      <a:ext cx="5900420" cy="2925445"/>
                    </a:xfrm>
                    <a:prstGeom prst="rect">
                      <a:avLst/>
                    </a:prstGeom>
                    <a:noFill/>
                    <a:ln>
                      <a:noFill/>
                    </a:ln>
                  </pic:spPr>
                </pic:pic>
              </a:graphicData>
            </a:graphic>
          </wp:inline>
        </w:drawing>
      </w:r>
    </w:p>
    <w:p w14:paraId="33396B7F">
      <w:pPr>
        <w:pStyle w:val="6"/>
        <w:numPr>
          <w:ilvl w:val="0"/>
          <w:numId w:val="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05BDBF18">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：管理全集团分布式光伏、储能电站、变频改造、余热回收、空压机优化等低碳技改项目的台账、立项文档与生命周期属性。</w:t>
      </w:r>
    </w:p>
    <w:p w14:paraId="32DB0E8D">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：技改项目经理、P2 园区能碳专员。</w:t>
      </w:r>
    </w:p>
    <w:p w14:paraId="1FDF3A1E">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/monitor/project/archive </w:t>
      </w:r>
      <w:r>
        <w:rPr>
          <w:rFonts w:ascii="Times New Roman" w:hAnsi="Times New Roman" w:eastAsia="宋体" w:cs="Times New Roman"/>
          <w:i w:val="0"/>
          <w:color w:val="1F2937"/>
          <w:sz w:val="24"/>
          <w:szCs w:val="24"/>
        </w:rPr>
        <w:t>。</w:t>
      </w:r>
    </w:p>
    <w:p w14:paraId="6989914B">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：项目立项审批流、投资与设计节能量台账、并网验收资料。</w:t>
      </w:r>
    </w:p>
    <w:p w14:paraId="4CA8492E">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：实时监控纳管清单、项目运行评估基线数据、绿色资产档案。</w:t>
      </w:r>
    </w:p>
    <w:p w14:paraId="4DB7E852">
      <w:pPr>
        <w:pStyle w:val="6"/>
        <w:numPr>
          <w:ilvl w:val="0"/>
          <w:numId w:val="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F5B0059">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：管理全集团分布式光伏、储能电站、变频改造、余热回收、空压机优化等低碳技改项目的台账、立项文档与生命周期属性。</w:t>
      </w:r>
    </w:p>
    <w:p w14:paraId="10050FBE">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E7C5B43">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技改项目经理</w:t>
      </w:r>
      <w:r>
        <w:rPr>
          <w:rFonts w:ascii="Times New Roman" w:hAnsi="Times New Roman" w:eastAsia="宋体" w:cs="Times New Roman"/>
          <w:i w:val="0"/>
          <w:color w:val="1F2937"/>
          <w:sz w:val="24"/>
          <w:szCs w:val="24"/>
        </w:rPr>
        <w:t>，</w:t>
      </w:r>
    </w:p>
    <w:p w14:paraId="63708AA7">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统一录入和查询各园区节能减碳项目的投资额、设计节能量、施工周期与并网状态</w:t>
      </w:r>
      <w:r>
        <w:rPr>
          <w:rFonts w:ascii="Times New Roman" w:hAnsi="Times New Roman" w:eastAsia="宋体" w:cs="Times New Roman"/>
          <w:i w:val="0"/>
          <w:color w:val="1F2937"/>
          <w:sz w:val="24"/>
          <w:szCs w:val="24"/>
        </w:rPr>
        <w:t>，</w:t>
      </w:r>
    </w:p>
    <w:p w14:paraId="7FC74FB8">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形成全集团清晰的绿色资产档案</w:t>
      </w:r>
      <w:r>
        <w:rPr>
          <w:rFonts w:ascii="Times New Roman" w:hAnsi="Times New Roman" w:eastAsia="宋体" w:cs="Times New Roman"/>
          <w:i w:val="0"/>
          <w:color w:val="1F2937"/>
          <w:sz w:val="24"/>
          <w:szCs w:val="24"/>
        </w:rPr>
        <w:t>。</w:t>
      </w:r>
    </w:p>
    <w:p w14:paraId="4D7E1D69">
      <w:pPr>
        <w:pStyle w:val="6"/>
        <w:numPr>
          <w:ilvl w:val="0"/>
          <w:numId w:val="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647A709">
      <w:pPr>
        <w:pStyle w:val="19"/>
        <w:widowControl/>
        <w:numPr>
          <w:ilvl w:val="0"/>
          <w:numId w:val="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状态自解释徽章</w:t>
      </w:r>
      <w:r>
        <w:rPr>
          <w:rFonts w:ascii="Times New Roman" w:hAnsi="Times New Roman" w:eastAsia="宋体" w:cs="Times New Roman"/>
          <w:i w:val="0"/>
          <w:color w:val="1F2937"/>
          <w:sz w:val="24"/>
          <w:szCs w:val="24"/>
        </w:rPr>
        <w:t>：拟建、在建、并网运行、竣工归档四种状态，仅以徽章色彩与文案承载，不附加过程标签。</w:t>
      </w:r>
    </w:p>
    <w:p w14:paraId="6D68BBC9">
      <w:pPr>
        <w:pStyle w:val="19"/>
        <w:widowControl/>
        <w:numPr>
          <w:ilvl w:val="0"/>
          <w:numId w:val="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搜索与筛选栏</w:t>
      </w:r>
      <w:r>
        <w:rPr>
          <w:rFonts w:ascii="Times New Roman" w:hAnsi="Times New Roman" w:eastAsia="宋体" w:cs="Times New Roman"/>
          <w:i w:val="0"/>
          <w:color w:val="1F2937"/>
          <w:sz w:val="24"/>
          <w:szCs w:val="24"/>
        </w:rPr>
        <w:t>：支持按园区、按改造类型（光伏/储能/电机/余热）、投资额范围筛选。</w:t>
      </w:r>
    </w:p>
    <w:p w14:paraId="15C176B1">
      <w:pPr>
        <w:pStyle w:val="19"/>
        <w:widowControl/>
        <w:numPr>
          <w:ilvl w:val="0"/>
          <w:numId w:val="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操作抽屉</w:t>
      </w:r>
      <w:r>
        <w:rPr>
          <w:rFonts w:ascii="Times New Roman" w:hAnsi="Times New Roman" w:eastAsia="宋体" w:cs="Times New Roman"/>
          <w:i w:val="0"/>
          <w:color w:val="1F2937"/>
          <w:sz w:val="24"/>
          <w:szCs w:val="24"/>
        </w:rPr>
        <w:t>：点击行展开项目档案详情抽屉，查看立项批文与设计指标。</w:t>
      </w:r>
    </w:p>
    <w:p w14:paraId="7280331D">
      <w:pPr>
        <w:pStyle w:val="19"/>
        <w:widowControl/>
        <w:numPr>
          <w:ilvl w:val="0"/>
          <w:numId w:val="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状态流转</w:t>
      </w:r>
      <w:r>
        <w:rPr>
          <w:rFonts w:ascii="Times New Roman" w:hAnsi="Times New Roman" w:eastAsia="宋体" w:cs="Times New Roman"/>
          <w:i w:val="0"/>
          <w:color w:val="1F2937"/>
          <w:sz w:val="24"/>
          <w:szCs w:val="24"/>
        </w:rPr>
        <w:t>：拟建 → 在建 → 并网运行 → 竣工归档；状态变更须记录操作人与时间戳。</w:t>
      </w:r>
    </w:p>
    <w:p w14:paraId="1D465D59">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5C049352">
      <w:pPr>
        <w:pStyle w:val="19"/>
        <w:widowControl/>
        <w:numPr>
          <w:ilvl w:val="0"/>
          <w:numId w:val="0"/>
        </w:numPr>
        <w:adjustRightInd w:val="0"/>
        <w:spacing w:before="100" w:after="100" w:afterLines="0" w:afterAutospacing="0" w:line="300" w:lineRule="auto"/>
        <w:jc w:val="both"/>
      </w:pPr>
      <w:r>
        <w:rPr>
          <w:rFonts w:hint="eastAsia" w:cs="Times New Roman"/>
          <w:i w:val="0"/>
          <w:color w:val="1F2937"/>
          <w:sz w:val="24"/>
          <w:szCs w:val="24"/>
          <w:lang w:val="en-US" w:eastAsia="zh-CN"/>
        </w:rPr>
        <w:t>添加档案管理：</w:t>
      </w:r>
      <w:r>
        <w:rPr>
          <w:rFonts w:hint="eastAsia" w:cs="Times New Roman"/>
          <w:i w:val="0"/>
          <w:color w:val="1F2937"/>
          <w:sz w:val="24"/>
          <w:szCs w:val="24"/>
          <w:lang w:val="en-US" w:eastAsia="zh-CN"/>
        </w:rPr>
        <w:br w:type="textWrapping"/>
      </w:r>
      <w:r>
        <w:drawing>
          <wp:inline distT="0" distB="0" distL="114300" distR="114300">
            <wp:extent cx="5911215" cy="4638040"/>
            <wp:effectExtent l="0" t="0" r="13335" b="10160"/>
            <wp:docPr id="133"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87"/>
                    <pic:cNvPicPr>
                      <a:picLocks noChangeAspect="1"/>
                    </pic:cNvPicPr>
                  </pic:nvPicPr>
                  <pic:blipFill>
                    <a:blip r:embed="rId65"/>
                    <a:stretch>
                      <a:fillRect/>
                    </a:stretch>
                  </pic:blipFill>
                  <pic:spPr>
                    <a:xfrm>
                      <a:off x="0" y="0"/>
                      <a:ext cx="5911215" cy="4638040"/>
                    </a:xfrm>
                    <a:prstGeom prst="rect">
                      <a:avLst/>
                    </a:prstGeom>
                    <a:noFill/>
                    <a:ln>
                      <a:noFill/>
                    </a:ln>
                  </pic:spPr>
                </pic:pic>
              </a:graphicData>
            </a:graphic>
          </wp:inline>
        </w:drawing>
      </w:r>
    </w:p>
    <w:p w14:paraId="03FE7B55">
      <w:pPr>
        <w:pStyle w:val="19"/>
        <w:widowControl/>
        <w:numPr>
          <w:ilvl w:val="0"/>
          <w:numId w:val="0"/>
        </w:numPr>
        <w:adjustRightInd w:val="0"/>
        <w:spacing w:before="100" w:after="100" w:afterLines="0" w:afterAutospacing="0" w:line="300" w:lineRule="auto"/>
        <w:jc w:val="both"/>
        <w:rPr>
          <w:rFonts w:hint="default"/>
          <w:lang w:val="en-US" w:eastAsia="zh-CN"/>
        </w:rPr>
      </w:pPr>
    </w:p>
    <w:p w14:paraId="550E1E5D">
      <w:pPr>
        <w:pStyle w:val="6"/>
        <w:numPr>
          <w:ilvl w:val="0"/>
          <w:numId w:val="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1"/>
        <w:gridCol w:w="1845"/>
        <w:gridCol w:w="1363"/>
        <w:gridCol w:w="1203"/>
        <w:gridCol w:w="4492"/>
      </w:tblGrid>
      <w:tr w14:paraId="6E6A4561">
        <w:tblPrEx>
          <w:tblCellMar>
            <w:top w:w="0" w:type="dxa"/>
            <w:left w:w="108" w:type="dxa"/>
            <w:bottom w:w="0" w:type="dxa"/>
            <w:right w:w="108" w:type="dxa"/>
          </w:tblCellMar>
        </w:tblPrEx>
        <w:trPr>
          <w:tblHeade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2763A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0690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B715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1676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49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BA9B8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7718A90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42CE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9663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项目编号</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872C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9255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5056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唯一主键，命名规则 </w:t>
            </w:r>
            <w:r>
              <w:rPr>
                <w:rFonts w:hint="eastAsia" w:ascii="宋体" w:hAnsi="宋体" w:eastAsia="宋体" w:cs="宋体"/>
                <w:b w:val="0"/>
                <w:i w:val="0"/>
                <w:iCs w:val="0"/>
                <w:color w:val="0284C7"/>
                <w:sz w:val="24"/>
                <w:szCs w:val="24"/>
              </w:rPr>
              <w:t xml:space="preserve"> PRJ-&lt;年&gt;-&lt;园区码&gt;-&lt;序号&gt; </w:t>
            </w:r>
          </w:p>
        </w:tc>
      </w:tr>
      <w:tr w14:paraId="1C14B896">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9C29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AD68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项目名称</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BFD1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A41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33AC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128 字符</w:t>
            </w:r>
          </w:p>
        </w:tc>
      </w:tr>
      <w:tr w14:paraId="5BE40C1E">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B67F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5D1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所属园区</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ACE3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C418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3100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必须在六级组织架构有效园区内</w:t>
            </w:r>
          </w:p>
        </w:tc>
      </w:tr>
      <w:tr w14:paraId="7154531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D3DA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AFC1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改造类型</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6290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B51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6BA6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 / 储能 / 电机变频 / 余热回收 / 空压机</w:t>
            </w:r>
          </w:p>
        </w:tc>
      </w:tr>
      <w:tr w14:paraId="4B800466">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8F8E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FCCC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项目投资额</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090F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9328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3216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0，保留两位小数</w:t>
            </w:r>
          </w:p>
        </w:tc>
      </w:tr>
      <w:tr w14:paraId="2BE45B61">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DB99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FD3B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设计节能量</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68F3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4C8F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tce/年</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3D02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0，否则触发 E_VAL_PRJ_MV_BASELINE_EMPTY 相关校验</w:t>
            </w:r>
          </w:p>
        </w:tc>
      </w:tr>
      <w:tr w14:paraId="22D93DC3">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E9D7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6418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并网状态</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C997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A051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9724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拟建 / 在建 / 并网运行 / 竣工归档</w:t>
            </w:r>
          </w:p>
        </w:tc>
      </w:tr>
      <w:tr w14:paraId="2B376F20">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0E36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F551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立项批文附件</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60D8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9F48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8827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支持 PDF / 图片，单个不超过 20MB</w:t>
            </w:r>
          </w:p>
        </w:tc>
      </w:tr>
      <w:tr w14:paraId="01B5456F">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D689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577B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计划开工日期</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5B32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4839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50B6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不得晚于计划竣工日期</w:t>
            </w:r>
          </w:p>
        </w:tc>
      </w:tr>
      <w:tr w14:paraId="5C1378D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F62E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53C3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计划竣工日期</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15F3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2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398E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08D8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w:t>
            </w:r>
          </w:p>
        </w:tc>
      </w:tr>
    </w:tbl>
    <w:p w14:paraId="27AEF240">
      <w:pPr>
        <w:spacing w:after="60"/>
        <w:rPr>
          <w:rFonts w:hint="eastAsia" w:ascii="宋体" w:hAnsi="宋体" w:eastAsia="宋体" w:cs="宋体"/>
          <w:i w:val="0"/>
          <w:iCs w:val="0"/>
          <w:sz w:val="24"/>
          <w:szCs w:val="24"/>
        </w:rPr>
      </w:pPr>
    </w:p>
    <w:p w14:paraId="3A07A06F">
      <w:pPr>
        <w:pStyle w:val="6"/>
        <w:numPr>
          <w:ilvl w:val="0"/>
          <w:numId w:val="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085C427">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C1D5E5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Payback_static = I_0 / CF_annual                      静态投资回收期</w:t>
            </w:r>
          </w:p>
          <w:p w14:paraId="0282F4F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CF_annual = E_saved × P_energy                       年节能现金流</w:t>
            </w:r>
          </w:p>
          <w:p w14:paraId="1251D2A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ROI = CF_annual / I_0 × 100%                         年化投资回报率</w:t>
            </w:r>
          </w:p>
        </w:tc>
      </w:tr>
    </w:tbl>
    <w:p w14:paraId="548F94CD">
      <w:pPr>
        <w:spacing w:after="40"/>
        <w:rPr>
          <w:rFonts w:hint="eastAsia" w:ascii="宋体" w:hAnsi="宋体" w:eastAsia="宋体" w:cs="宋体"/>
          <w:i w:val="0"/>
          <w:iCs w:val="0"/>
          <w:sz w:val="24"/>
          <w:szCs w:val="24"/>
        </w:rPr>
      </w:pPr>
    </w:p>
    <w:p w14:paraId="778DF41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I_0 </w:t>
      </w:r>
      <w:r>
        <w:rPr>
          <w:rFonts w:ascii="Times New Roman" w:hAnsi="Times New Roman" w:eastAsia="宋体" w:cs="Times New Roman"/>
          <w:i w:val="0"/>
          <w:color w:val="1F2937"/>
          <w:sz w:val="24"/>
          <w:szCs w:val="24"/>
        </w:rPr>
        <w:t xml:space="preserve"> 为项目初次投资额（万元）；</w:t>
      </w:r>
      <w:r>
        <w:rPr>
          <w:rFonts w:ascii="Times New Roman" w:hAnsi="Times New Roman" w:eastAsia="宋体" w:cs="Times New Roman"/>
          <w:b w:val="0"/>
          <w:i w:val="0"/>
          <w:color w:val="0284C7"/>
          <w:sz w:val="24"/>
          <w:szCs w:val="24"/>
        </w:rPr>
        <w:t xml:space="preserve"> E_saved </w:t>
      </w:r>
      <w:r>
        <w:rPr>
          <w:rFonts w:ascii="Times New Roman" w:hAnsi="Times New Roman" w:eastAsia="宋体" w:cs="Times New Roman"/>
          <w:i w:val="0"/>
          <w:color w:val="1F2937"/>
          <w:sz w:val="24"/>
          <w:szCs w:val="24"/>
        </w:rPr>
        <w:t xml:space="preserve"> 为年节能量（tce 或 kWh）；</w:t>
      </w:r>
      <w:r>
        <w:rPr>
          <w:rFonts w:ascii="Times New Roman" w:hAnsi="Times New Roman" w:eastAsia="宋体" w:cs="Times New Roman"/>
          <w:b w:val="0"/>
          <w:i w:val="0"/>
          <w:color w:val="0284C7"/>
          <w:sz w:val="24"/>
          <w:szCs w:val="24"/>
        </w:rPr>
        <w:t xml:space="preserve"> P_energy </w:t>
      </w:r>
      <w:r>
        <w:rPr>
          <w:rFonts w:ascii="Times New Roman" w:hAnsi="Times New Roman" w:eastAsia="宋体" w:cs="Times New Roman"/>
          <w:i w:val="0"/>
          <w:color w:val="1F2937"/>
          <w:sz w:val="24"/>
          <w:szCs w:val="24"/>
        </w:rPr>
        <w:t xml:space="preserve"> 为能量单价；</w:t>
      </w:r>
      <w:r>
        <w:rPr>
          <w:rFonts w:ascii="Times New Roman" w:hAnsi="Times New Roman" w:eastAsia="宋体" w:cs="Times New Roman"/>
          <w:b w:val="0"/>
          <w:i w:val="0"/>
          <w:color w:val="0284C7"/>
          <w:sz w:val="24"/>
          <w:szCs w:val="24"/>
        </w:rPr>
        <w:t xml:space="preserve"> CF_annual </w:t>
      </w:r>
      <w:r>
        <w:rPr>
          <w:rFonts w:ascii="Times New Roman" w:hAnsi="Times New Roman" w:eastAsia="宋体" w:cs="Times New Roman"/>
          <w:i w:val="0"/>
          <w:color w:val="1F2937"/>
          <w:sz w:val="24"/>
          <w:szCs w:val="24"/>
        </w:rPr>
        <w:t xml:space="preserve"> 为年净节能现金流。</w:t>
      </w:r>
    </w:p>
    <w:p w14:paraId="54E08048">
      <w:pPr>
        <w:pStyle w:val="6"/>
        <w:numPr>
          <w:ilvl w:val="0"/>
          <w:numId w:val="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16674109">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：四态互斥，同一项目任一时刻仅有一个状态。</w:t>
      </w:r>
    </w:p>
    <w:p w14:paraId="5B41BA03">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节能量口径</w:t>
      </w:r>
      <w:r>
        <w:rPr>
          <w:rFonts w:ascii="Times New Roman" w:hAnsi="Times New Roman" w:eastAsia="宋体" w:cs="Times New Roman"/>
          <w:i w:val="0"/>
          <w:color w:val="1F2937"/>
          <w:sz w:val="24"/>
          <w:szCs w:val="24"/>
        </w:rPr>
        <w:t>：设计节能量为立项承诺值，实际节能量以项目运行评估结论为准，二者分列不混用。</w:t>
      </w:r>
    </w:p>
    <w:p w14:paraId="3A18FC48">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筛选口径</w:t>
      </w:r>
      <w:r>
        <w:rPr>
          <w:rFonts w:ascii="Times New Roman" w:hAnsi="Times New Roman" w:eastAsia="宋体" w:cs="Times New Roman"/>
          <w:i w:val="0"/>
          <w:color w:val="1F2937"/>
          <w:sz w:val="24"/>
          <w:szCs w:val="24"/>
        </w:rPr>
        <w:t>：投资额区间为闭区间筛选。</w:t>
      </w:r>
    </w:p>
    <w:p w14:paraId="0A099502">
      <w:pPr>
        <w:pStyle w:val="6"/>
        <w:numPr>
          <w:ilvl w:val="0"/>
          <w:numId w:val="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BA2047F">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69EF6D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投资额或设计节能量录入负数：触发 </w:t>
            </w:r>
            <w:r>
              <w:rPr>
                <w:rFonts w:hint="eastAsia" w:ascii="宋体" w:hAnsi="宋体" w:eastAsia="宋体" w:cs="宋体"/>
                <w:b w:val="0"/>
                <w:i w:val="0"/>
                <w:iCs w:val="0"/>
                <w:color w:val="0284C7"/>
                <w:sz w:val="24"/>
                <w:szCs w:val="24"/>
              </w:rPr>
              <w:t xml:space="preserve"> E_VAL_ENERGY_NEGATIVE </w:t>
            </w:r>
            <w:r>
              <w:rPr>
                <w:rFonts w:hint="eastAsia" w:ascii="宋体" w:hAnsi="宋体" w:eastAsia="宋体" w:cs="宋体"/>
                <w:i w:val="0"/>
                <w:iCs w:val="0"/>
                <w:color w:val="1F2937"/>
                <w:sz w:val="24"/>
                <w:szCs w:val="24"/>
              </w:rPr>
              <w:t xml:space="preserve"> 类校验，前端红框拦截。</w:t>
            </w:r>
          </w:p>
          <w:p w14:paraId="5BF4305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竣工日期早于开工日期：前端即时拦截并阻断提交。</w:t>
            </w:r>
          </w:p>
          <w:p w14:paraId="1478508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无立项批文的项目：状态不得流转至"并网运行"，流转按钮置灰。</w:t>
            </w:r>
          </w:p>
          <w:p w14:paraId="4473200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已竣工归档项目：档案只读，修改须走变更审批。</w:t>
            </w:r>
          </w:p>
        </w:tc>
      </w:tr>
    </w:tbl>
    <w:p w14:paraId="711A5244">
      <w:pPr>
        <w:spacing w:after="40"/>
        <w:rPr>
          <w:rFonts w:hint="eastAsia" w:ascii="宋体" w:hAnsi="宋体" w:eastAsia="宋体" w:cs="宋体"/>
          <w:i w:val="0"/>
          <w:iCs w:val="0"/>
          <w:sz w:val="24"/>
          <w:szCs w:val="24"/>
        </w:rPr>
      </w:pPr>
    </w:p>
    <w:p w14:paraId="6FEEDCB6">
      <w:pPr>
        <w:pStyle w:val="6"/>
        <w:numPr>
          <w:ilvl w:val="0"/>
          <w:numId w:val="8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401EEBEA">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BEC3E2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零碳项目档案管理</w:t>
            </w:r>
          </w:p>
          <w:p w14:paraId="0AF41FE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日期逻辑校验</w:t>
            </w:r>
          </w:p>
          <w:p w14:paraId="6DBCB4C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技改项目经理正在录入一个余热回收项目</w:t>
            </w:r>
          </w:p>
          <w:p w14:paraId="617D938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填写的计划竣工日期早于计划开工日期</w:t>
            </w:r>
          </w:p>
          <w:p w14:paraId="7066003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前端即时拦截并阻断提交</w:t>
            </w:r>
          </w:p>
          <w:p w14:paraId="757B82B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页面提示日期逻辑不成立</w:t>
            </w:r>
          </w:p>
          <w:p w14:paraId="16932AFC">
            <w:pPr>
              <w:spacing w:before="0" w:after="20" w:line="264" w:lineRule="auto"/>
              <w:rPr>
                <w:rFonts w:hint="eastAsia" w:ascii="宋体" w:hAnsi="宋体" w:eastAsia="宋体" w:cs="宋体"/>
                <w:i w:val="0"/>
                <w:iCs w:val="0"/>
                <w:sz w:val="24"/>
                <w:szCs w:val="24"/>
              </w:rPr>
            </w:pPr>
          </w:p>
          <w:p w14:paraId="61D9192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立项批文缺失阻断状态流转</w:t>
            </w:r>
          </w:p>
          <w:p w14:paraId="230BCA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某项目尚未上传立项批文附件</w:t>
            </w:r>
          </w:p>
          <w:p w14:paraId="17A95F8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项目经理尝试将项目状态流转至"并网运行"</w:t>
            </w:r>
          </w:p>
          <w:p w14:paraId="7C15143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流转按钮置灰不可点击</w:t>
            </w:r>
          </w:p>
          <w:p w14:paraId="61A7835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页面不提供任何绕过入口</w:t>
            </w:r>
          </w:p>
        </w:tc>
      </w:tr>
    </w:tbl>
    <w:p w14:paraId="0816B58B">
      <w:pPr>
        <w:spacing w:after="40"/>
        <w:rPr>
          <w:rFonts w:hint="eastAsia" w:ascii="宋体" w:hAnsi="宋体" w:eastAsia="宋体" w:cs="宋体"/>
          <w:i w:val="0"/>
          <w:iCs w:val="0"/>
          <w:sz w:val="24"/>
          <w:szCs w:val="24"/>
        </w:rPr>
      </w:pPr>
    </w:p>
    <w:p w14:paraId="6B2A9630">
      <w:pPr>
        <w:pStyle w:val="5"/>
        <w:numPr>
          <w:ilvl w:val="0"/>
          <w:numId w:val="86"/>
        </w:numPr>
        <w:ind w:left="0" w:leftChars="0" w:firstLine="0" w:firstLineChars="0"/>
        <w:outlineLvl w:val="1"/>
        <w:rPr>
          <w:rFonts w:eastAsia="黑体"/>
          <w:b w:val="0"/>
          <w:bCs w:val="0"/>
          <w:sz w:val="30"/>
          <w:szCs w:val="24"/>
        </w:rPr>
      </w:pPr>
      <w:bookmarkStart w:id="29" w:name="_Toc12557"/>
      <w:r>
        <w:rPr>
          <w:rFonts w:ascii="Times New Roman" w:hAnsi="Times New Roman" w:eastAsia="黑体" w:cs="Times New Roman"/>
          <w:b w:val="0"/>
          <w:bCs w:val="0"/>
          <w:sz w:val="30"/>
          <w:szCs w:val="24"/>
        </w:rPr>
        <w:t>实时监控</w:t>
      </w:r>
      <w:bookmarkEnd w:id="29"/>
    </w:p>
    <w:p w14:paraId="73FE0B80">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66"/>
                    <a:stretch>
                      <a:fillRect/>
                    </a:stretch>
                  </pic:blipFill>
                  <pic:spPr>
                    <a:xfrm>
                      <a:off x="0" y="0"/>
                      <a:ext cx="5900420" cy="2925445"/>
                    </a:xfrm>
                    <a:prstGeom prst="rect">
                      <a:avLst/>
                    </a:prstGeom>
                    <a:noFill/>
                    <a:ln>
                      <a:noFill/>
                    </a:ln>
                  </pic:spPr>
                </pic:pic>
              </a:graphicData>
            </a:graphic>
          </wp:inline>
        </w:drawing>
      </w:r>
    </w:p>
    <w:p w14:paraId="1007803F">
      <w:pPr>
        <w:pStyle w:val="6"/>
        <w:numPr>
          <w:ilvl w:val="0"/>
          <w:numId w:val="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7274BCB">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：对已投运的分布式光伏、储能系统及电机变频节能装置的实时运行参数与瞬时功率进行秒级监控。</w:t>
      </w:r>
    </w:p>
    <w:p w14:paraId="4F3DB8D8">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：现场值班工程师、P2 园区能碳专员。</w:t>
      </w:r>
    </w:p>
    <w:p w14:paraId="3036BDC7">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/monitor/project/realtime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/pv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/storage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/heatpump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/hvac </w:t>
      </w:r>
      <w:r>
        <w:rPr>
          <w:rFonts w:ascii="Times New Roman" w:hAnsi="Times New Roman" w:eastAsia="宋体" w:cs="Times New Roman"/>
          <w:i w:val="0"/>
          <w:color w:val="1F2937"/>
          <w:sz w:val="24"/>
          <w:szCs w:val="24"/>
        </w:rPr>
        <w:t>。</w:t>
      </w:r>
    </w:p>
    <w:p w14:paraId="1EEED898">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：项目档案管理纳管清单、新能源资产遥测、设备遥测点位。</w:t>
      </w:r>
    </w:p>
    <w:p w14:paraId="0BB0936A">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：项目运行评估实测数据、微电网调度依据。</w:t>
      </w:r>
    </w:p>
    <w:p w14:paraId="4CE4BAB7">
      <w:pPr>
        <w:pStyle w:val="6"/>
        <w:numPr>
          <w:ilvl w:val="0"/>
          <w:numId w:val="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B220A0B">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：对已投运的分布式光伏、储能系统及电机变频节能装置的实时运行参数与瞬时功率进行秒级监控。</w:t>
      </w:r>
    </w:p>
    <w:p w14:paraId="63700099">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F491AF8">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现场值班工程师</w:t>
      </w:r>
      <w:r>
        <w:rPr>
          <w:rFonts w:ascii="Times New Roman" w:hAnsi="Times New Roman" w:eastAsia="宋体" w:cs="Times New Roman"/>
          <w:i w:val="0"/>
          <w:color w:val="1F2937"/>
          <w:sz w:val="24"/>
          <w:szCs w:val="24"/>
        </w:rPr>
        <w:t>，</w:t>
      </w:r>
    </w:p>
    <w:p w14:paraId="10B060F5">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实时查看各已投运项目的瞬时节电功率与设备工况</w:t>
      </w:r>
      <w:r>
        <w:rPr>
          <w:rFonts w:ascii="Times New Roman" w:hAnsi="Times New Roman" w:eastAsia="宋体" w:cs="Times New Roman"/>
          <w:i w:val="0"/>
          <w:color w:val="1F2937"/>
          <w:sz w:val="24"/>
          <w:szCs w:val="24"/>
        </w:rPr>
        <w:t>，</w:t>
      </w:r>
    </w:p>
    <w:p w14:paraId="205363B2">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确保节能装置处于额定最佳工况</w:t>
      </w:r>
      <w:r>
        <w:rPr>
          <w:rFonts w:ascii="Times New Roman" w:hAnsi="Times New Roman" w:eastAsia="宋体" w:cs="Times New Roman"/>
          <w:i w:val="0"/>
          <w:color w:val="1F2937"/>
          <w:sz w:val="24"/>
          <w:szCs w:val="24"/>
        </w:rPr>
        <w:t>。</w:t>
      </w:r>
    </w:p>
    <w:p w14:paraId="4DC7D3ED">
      <w:pPr>
        <w:pStyle w:val="6"/>
        <w:numPr>
          <w:ilvl w:val="0"/>
          <w:numId w:val="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350444A9">
      <w:pPr>
        <w:pStyle w:val="19"/>
        <w:widowControl/>
        <w:numPr>
          <w:ilvl w:val="0"/>
          <w:numId w:val="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实时参数微卡片</w:t>
      </w:r>
      <w:r>
        <w:rPr>
          <w:rFonts w:ascii="Times New Roman" w:hAnsi="Times New Roman" w:eastAsia="宋体" w:cs="Times New Roman"/>
          <w:i w:val="0"/>
          <w:color w:val="1F2937"/>
          <w:sz w:val="24"/>
          <w:szCs w:val="24"/>
        </w:rPr>
        <w:t>：展示瞬时出力、当日累计节能电量、实时设备温度。</w:t>
      </w:r>
    </w:p>
    <w:p w14:paraId="6AFC09AD">
      <w:pPr>
        <w:pStyle w:val="19"/>
        <w:widowControl/>
        <w:numPr>
          <w:ilvl w:val="0"/>
          <w:numId w:val="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时序运行折线图</w:t>
      </w:r>
      <w:r>
        <w:rPr>
          <w:rFonts w:ascii="Times New Roman" w:hAnsi="Times New Roman" w:eastAsia="宋体" w:cs="Times New Roman"/>
          <w:i w:val="0"/>
          <w:color w:val="1F2937"/>
          <w:sz w:val="24"/>
          <w:szCs w:val="24"/>
        </w:rPr>
        <w:t>：采样周期 5 分钟，展示实际功率曲线与设计功率基线对比。</w:t>
      </w:r>
    </w:p>
    <w:p w14:paraId="7A9B58FD">
      <w:pPr>
        <w:pStyle w:val="19"/>
        <w:widowControl/>
        <w:numPr>
          <w:ilvl w:val="0"/>
          <w:numId w:val="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2.1 光伏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2.2 储能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2.3 热泵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2.4 空调 </w:t>
      </w:r>
      <w:r>
        <w:rPr>
          <w:rFonts w:ascii="Times New Roman" w:hAnsi="Times New Roman" w:eastAsia="宋体" w:cs="Times New Roman"/>
          <w:i w:val="0"/>
          <w:color w:val="1F2937"/>
          <w:sz w:val="24"/>
          <w:szCs w:val="24"/>
        </w:rPr>
        <w:t xml:space="preserve"> 四类项目分页监控，各自呈现其专属关键参数。</w:t>
      </w:r>
    </w:p>
    <w:p w14:paraId="5C3F568C">
      <w:pPr>
        <w:pStyle w:val="19"/>
        <w:widowControl/>
        <w:numPr>
          <w:ilvl w:val="0"/>
          <w:numId w:val="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项目选择器</w:t>
      </w:r>
      <w:r>
        <w:rPr>
          <w:rFonts w:ascii="Times New Roman" w:hAnsi="Times New Roman" w:eastAsia="宋体" w:cs="Times New Roman"/>
          <w:i w:val="0"/>
          <w:color w:val="1F2937"/>
          <w:sz w:val="24"/>
          <w:szCs w:val="24"/>
        </w:rPr>
        <w:t>：左侧按园区 → 项目两级展开，仅展示状态为"并网运行"的项目；未投运项目不出现在选择器内。</w:t>
      </w:r>
    </w:p>
    <w:p w14:paraId="541AE5EE">
      <w:pPr>
        <w:pStyle w:val="19"/>
        <w:widowControl/>
        <w:numPr>
          <w:ilvl w:val="0"/>
          <w:numId w:val="0"/>
        </w:numPr>
        <w:adjustRightInd w:val="0"/>
        <w:spacing w:before="100" w:after="100" w:afterLines="0" w:afterAutospacing="0" w:line="300" w:lineRule="auto"/>
        <w:jc w:val="both"/>
      </w:pPr>
      <w:r>
        <w:rPr>
          <w:rFonts w:hint="eastAsia" w:cs="Times New Roman"/>
          <w:i w:val="0"/>
          <w:color w:val="1F2937"/>
          <w:sz w:val="24"/>
          <w:szCs w:val="24"/>
          <w:lang w:val="en-US" w:eastAsia="zh-CN"/>
        </w:rPr>
        <w:t>光伏：</w:t>
      </w:r>
      <w:r>
        <w:rPr>
          <w:rFonts w:hint="eastAsia" w:cs="Times New Roman"/>
          <w:i w:val="0"/>
          <w:color w:val="1F2937"/>
          <w:sz w:val="24"/>
          <w:szCs w:val="24"/>
          <w:lang w:val="en-US" w:eastAsia="zh-CN"/>
        </w:rPr>
        <w:br w:type="textWrapping"/>
      </w:r>
      <w:r>
        <w:drawing>
          <wp:inline distT="0" distB="0" distL="114300" distR="114300">
            <wp:extent cx="5904865" cy="3836670"/>
            <wp:effectExtent l="0" t="0" r="635" b="11430"/>
            <wp:docPr id="134"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88"/>
                    <pic:cNvPicPr>
                      <a:picLocks noChangeAspect="1"/>
                    </pic:cNvPicPr>
                  </pic:nvPicPr>
                  <pic:blipFill>
                    <a:blip r:embed="rId67"/>
                    <a:stretch>
                      <a:fillRect/>
                    </a:stretch>
                  </pic:blipFill>
                  <pic:spPr>
                    <a:xfrm>
                      <a:off x="0" y="0"/>
                      <a:ext cx="5904865" cy="3836670"/>
                    </a:xfrm>
                    <a:prstGeom prst="rect">
                      <a:avLst/>
                    </a:prstGeom>
                    <a:noFill/>
                    <a:ln>
                      <a:noFill/>
                    </a:ln>
                  </pic:spPr>
                </pic:pic>
              </a:graphicData>
            </a:graphic>
          </wp:inline>
        </w:drawing>
      </w:r>
    </w:p>
    <w:p w14:paraId="59C7CAD6">
      <w:pPr>
        <w:pStyle w:val="19"/>
        <w:widowControl/>
        <w:numPr>
          <w:ilvl w:val="0"/>
          <w:numId w:val="0"/>
        </w:numPr>
        <w:adjustRightInd w:val="0"/>
        <w:spacing w:before="100" w:after="100" w:afterLines="0" w:afterAutospacing="0" w:line="300" w:lineRule="auto"/>
        <w:jc w:val="both"/>
      </w:pPr>
    </w:p>
    <w:p w14:paraId="576CFD3B">
      <w:pPr>
        <w:pStyle w:val="19"/>
        <w:widowControl/>
        <w:numPr>
          <w:ilvl w:val="0"/>
          <w:numId w:val="0"/>
        </w:numPr>
        <w:adjustRightInd w:val="0"/>
        <w:spacing w:before="100" w:after="100" w:afterLines="0" w:afterAutospacing="0" w:line="300" w:lineRule="auto"/>
        <w:jc w:val="both"/>
      </w:pPr>
      <w:r>
        <w:rPr>
          <w:rFonts w:hint="eastAsia"/>
          <w:lang w:val="en-US" w:eastAsia="zh-CN"/>
        </w:rPr>
        <w:t>储能：</w:t>
      </w:r>
      <w:r>
        <w:rPr>
          <w:rFonts w:hint="eastAsia"/>
          <w:lang w:val="en-US" w:eastAsia="zh-CN"/>
        </w:rPr>
        <w:br w:type="textWrapping"/>
      </w:r>
      <w:r>
        <w:drawing>
          <wp:inline distT="0" distB="0" distL="114300" distR="114300">
            <wp:extent cx="5913755" cy="3926205"/>
            <wp:effectExtent l="0" t="0" r="10795" b="17145"/>
            <wp:docPr id="135"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89"/>
                    <pic:cNvPicPr>
                      <a:picLocks noChangeAspect="1"/>
                    </pic:cNvPicPr>
                  </pic:nvPicPr>
                  <pic:blipFill>
                    <a:blip r:embed="rId68"/>
                    <a:stretch>
                      <a:fillRect/>
                    </a:stretch>
                  </pic:blipFill>
                  <pic:spPr>
                    <a:xfrm>
                      <a:off x="0" y="0"/>
                      <a:ext cx="5913755" cy="3926205"/>
                    </a:xfrm>
                    <a:prstGeom prst="rect">
                      <a:avLst/>
                    </a:prstGeom>
                    <a:noFill/>
                    <a:ln>
                      <a:noFill/>
                    </a:ln>
                  </pic:spPr>
                </pic:pic>
              </a:graphicData>
            </a:graphic>
          </wp:inline>
        </w:drawing>
      </w:r>
    </w:p>
    <w:p w14:paraId="4B783382">
      <w:pPr>
        <w:pStyle w:val="19"/>
        <w:widowControl/>
        <w:numPr>
          <w:ilvl w:val="0"/>
          <w:numId w:val="0"/>
        </w:numPr>
        <w:adjustRightInd w:val="0"/>
        <w:spacing w:before="100" w:after="100" w:afterLines="0" w:afterAutospacing="0" w:line="300" w:lineRule="auto"/>
        <w:jc w:val="both"/>
      </w:pPr>
    </w:p>
    <w:p w14:paraId="5C79657D">
      <w:pPr>
        <w:pStyle w:val="19"/>
        <w:widowControl/>
        <w:numPr>
          <w:ilvl w:val="0"/>
          <w:numId w:val="0"/>
        </w:numPr>
        <w:adjustRightInd w:val="0"/>
        <w:spacing w:before="100" w:after="100" w:afterLines="0" w:afterAutospacing="0" w:line="300" w:lineRule="auto"/>
        <w:jc w:val="both"/>
      </w:pPr>
      <w:r>
        <w:rPr>
          <w:rFonts w:hint="eastAsia"/>
          <w:lang w:val="en-US" w:eastAsia="zh-CN"/>
        </w:rPr>
        <w:t>热泵：</w:t>
      </w:r>
      <w:r>
        <w:rPr>
          <w:rFonts w:hint="eastAsia"/>
          <w:lang w:val="en-US" w:eastAsia="zh-CN"/>
        </w:rPr>
        <w:br w:type="textWrapping"/>
      </w:r>
      <w:r>
        <w:drawing>
          <wp:inline distT="0" distB="0" distL="114300" distR="114300">
            <wp:extent cx="5909310" cy="3850005"/>
            <wp:effectExtent l="0" t="0" r="15240" b="17145"/>
            <wp:docPr id="136"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90"/>
                    <pic:cNvPicPr>
                      <a:picLocks noChangeAspect="1"/>
                    </pic:cNvPicPr>
                  </pic:nvPicPr>
                  <pic:blipFill>
                    <a:blip r:embed="rId69"/>
                    <a:stretch>
                      <a:fillRect/>
                    </a:stretch>
                  </pic:blipFill>
                  <pic:spPr>
                    <a:xfrm>
                      <a:off x="0" y="0"/>
                      <a:ext cx="5909310" cy="3850005"/>
                    </a:xfrm>
                    <a:prstGeom prst="rect">
                      <a:avLst/>
                    </a:prstGeom>
                    <a:noFill/>
                    <a:ln>
                      <a:noFill/>
                    </a:ln>
                  </pic:spPr>
                </pic:pic>
              </a:graphicData>
            </a:graphic>
          </wp:inline>
        </w:drawing>
      </w:r>
    </w:p>
    <w:p w14:paraId="22294CC3">
      <w:pPr>
        <w:pStyle w:val="19"/>
        <w:widowControl/>
        <w:numPr>
          <w:ilvl w:val="0"/>
          <w:numId w:val="0"/>
        </w:numPr>
        <w:adjustRightInd w:val="0"/>
        <w:spacing w:before="100" w:after="100" w:afterLines="0" w:afterAutospacing="0" w:line="300" w:lineRule="auto"/>
        <w:jc w:val="both"/>
      </w:pPr>
    </w:p>
    <w:p w14:paraId="06551AD5">
      <w:pPr>
        <w:pStyle w:val="19"/>
        <w:widowControl/>
        <w:numPr>
          <w:ilvl w:val="0"/>
          <w:numId w:val="0"/>
        </w:numPr>
        <w:adjustRightInd w:val="0"/>
        <w:spacing w:before="100" w:after="100" w:afterLines="0" w:afterAutospacing="0" w:line="300" w:lineRule="auto"/>
        <w:jc w:val="both"/>
        <w:rPr>
          <w:rFonts w:hint="eastAsia" w:eastAsia="宋体"/>
          <w:lang w:val="en-US" w:eastAsia="zh-CN"/>
        </w:rPr>
      </w:pPr>
      <w:r>
        <w:rPr>
          <w:rFonts w:hint="eastAsia"/>
          <w:lang w:val="en-US" w:eastAsia="zh-CN"/>
        </w:rPr>
        <w:t>空调：</w:t>
      </w:r>
      <w:r>
        <w:rPr>
          <w:rFonts w:hint="eastAsia"/>
          <w:lang w:val="en-US" w:eastAsia="zh-CN"/>
        </w:rPr>
        <w:br w:type="textWrapping"/>
      </w:r>
      <w:r>
        <w:drawing>
          <wp:inline distT="0" distB="0" distL="114300" distR="114300">
            <wp:extent cx="5913755" cy="3881120"/>
            <wp:effectExtent l="0" t="0" r="10795" b="5080"/>
            <wp:docPr id="137"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91"/>
                    <pic:cNvPicPr>
                      <a:picLocks noChangeAspect="1"/>
                    </pic:cNvPicPr>
                  </pic:nvPicPr>
                  <pic:blipFill>
                    <a:blip r:embed="rId70"/>
                    <a:stretch>
                      <a:fillRect/>
                    </a:stretch>
                  </pic:blipFill>
                  <pic:spPr>
                    <a:xfrm>
                      <a:off x="0" y="0"/>
                      <a:ext cx="5913755" cy="3881120"/>
                    </a:xfrm>
                    <a:prstGeom prst="rect">
                      <a:avLst/>
                    </a:prstGeom>
                    <a:noFill/>
                    <a:ln>
                      <a:noFill/>
                    </a:ln>
                  </pic:spPr>
                </pic:pic>
              </a:graphicData>
            </a:graphic>
          </wp:inline>
        </w:drawing>
      </w:r>
    </w:p>
    <w:p w14:paraId="05D3EBC0">
      <w:pPr>
        <w:pStyle w:val="19"/>
        <w:widowControl/>
        <w:numPr>
          <w:ilvl w:val="0"/>
          <w:numId w:val="0"/>
        </w:numPr>
        <w:adjustRightInd w:val="0"/>
        <w:spacing w:before="100" w:after="100" w:afterLines="0" w:afterAutospacing="0" w:line="300" w:lineRule="auto"/>
        <w:jc w:val="both"/>
        <w:rPr>
          <w:rFonts w:hint="default"/>
          <w:lang w:val="en-US" w:eastAsia="zh-CN"/>
        </w:rPr>
      </w:pPr>
    </w:p>
    <w:p w14:paraId="53374346">
      <w:pPr>
        <w:pStyle w:val="19"/>
        <w:widowControl/>
        <w:numPr>
          <w:ilvl w:val="0"/>
          <w:numId w:val="0"/>
        </w:numPr>
        <w:adjustRightInd w:val="0"/>
        <w:spacing w:before="100" w:after="100" w:afterLines="0" w:afterAutospacing="0" w:line="300" w:lineRule="auto"/>
        <w:jc w:val="both"/>
        <w:rPr>
          <w:rFonts w:hint="default"/>
          <w:lang w:val="en-US" w:eastAsia="zh-CN"/>
        </w:rPr>
      </w:pPr>
    </w:p>
    <w:p w14:paraId="33476929">
      <w:pPr>
        <w:pStyle w:val="6"/>
        <w:numPr>
          <w:ilvl w:val="0"/>
          <w:numId w:val="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24"/>
        <w:gridCol w:w="1788"/>
        <w:gridCol w:w="1306"/>
        <w:gridCol w:w="893"/>
        <w:gridCol w:w="1716"/>
        <w:gridCol w:w="3257"/>
      </w:tblGrid>
      <w:tr w14:paraId="1A487E66">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EE25C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78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E22D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32AE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62B0C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8D94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适用项目类型</w:t>
            </w:r>
          </w:p>
        </w:tc>
        <w:tc>
          <w:tcPr>
            <w:tcW w:w="32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7DCF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9A4A94D">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2AC5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B21D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瞬时出力</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D834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50B4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1D2A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光伏/储能/热泵/空调</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7650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0，采样周期 5 分钟</w:t>
            </w:r>
          </w:p>
        </w:tc>
      </w:tr>
      <w:tr w14:paraId="612A7D40">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4D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9E5D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当日累计节能电量</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BEEA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8D4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898B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8DE8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0，每日 0 点清零日累计</w:t>
            </w:r>
          </w:p>
        </w:tc>
      </w:tr>
      <w:tr w14:paraId="14C6A07C">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70B2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FA99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实时设备温度</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8268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D82D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F39C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热泵/空调/储能</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13E3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超额定上限触发越限告警</w:t>
            </w:r>
          </w:p>
        </w:tc>
      </w:tr>
      <w:tr w14:paraId="36A34133">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1802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FF7E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设计功率基线</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A9D7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83E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F898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C01E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取自项目设计节能量折算值</w:t>
            </w:r>
          </w:p>
        </w:tc>
      </w:tr>
      <w:tr w14:paraId="6599FAB9">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27D8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81E6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实测功率偏差</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5FC0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F4D0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EFF9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B902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(实测 − 设计) / 设计 × 100%，分母为 0 显示 </w:t>
            </w:r>
            <w:r>
              <w:rPr>
                <w:rFonts w:hint="eastAsia" w:ascii="宋体" w:hAnsi="宋体" w:eastAsia="宋体" w:cs="宋体"/>
                <w:b w:val="0"/>
                <w:i w:val="0"/>
                <w:iCs w:val="0"/>
                <w:color w:val="0284C7"/>
                <w:sz w:val="24"/>
                <w:szCs w:val="24"/>
              </w:rPr>
              <w:t xml:space="preserve"> -- </w:t>
            </w:r>
          </w:p>
        </w:tc>
      </w:tr>
      <w:tr w14:paraId="2AA6261E">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B5D2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1457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设备运行状态</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AAC7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79D5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F67A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7A54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运行 / 待机 / 离线 / 故障</w:t>
            </w:r>
          </w:p>
        </w:tc>
      </w:tr>
      <w:tr w14:paraId="3FD6D32B">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1DC2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8BF4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累计节能量</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F50E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EA8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1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8E7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258C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0，用于项目运行评估输入</w:t>
            </w:r>
          </w:p>
        </w:tc>
      </w:tr>
    </w:tbl>
    <w:p w14:paraId="6F995E70">
      <w:pPr>
        <w:spacing w:after="60"/>
        <w:rPr>
          <w:rFonts w:hint="eastAsia" w:ascii="宋体" w:hAnsi="宋体" w:eastAsia="宋体" w:cs="宋体"/>
          <w:i w:val="0"/>
          <w:iCs w:val="0"/>
          <w:sz w:val="24"/>
          <w:szCs w:val="24"/>
        </w:rPr>
      </w:pPr>
    </w:p>
    <w:p w14:paraId="171CB2BE">
      <w:pPr>
        <w:pStyle w:val="6"/>
        <w:numPr>
          <w:ilvl w:val="0"/>
          <w:numId w:val="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2FF82EF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8342BA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Deviation = ( P_actual - P_design ) / P_design × 100%   实测功率与设计基线偏差</w:t>
            </w:r>
          </w:p>
          <w:p w14:paraId="16F1A23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E_saved_day = Σ ( P_actual × Δt ) / 1000              当日累计节能电量</w:t>
            </w:r>
          </w:p>
          <w:p w14:paraId="6EFB09F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E_saved_tce = E_saved_day × k_elec                      节能量折标煤</w:t>
            </w:r>
          </w:p>
          <w:p w14:paraId="65F8564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η_sys = P_out / P_in × 100%                            系统综合效率</w:t>
            </w:r>
          </w:p>
        </w:tc>
      </w:tr>
    </w:tbl>
    <w:p w14:paraId="46B5F521">
      <w:pPr>
        <w:spacing w:after="40"/>
        <w:rPr>
          <w:rFonts w:hint="eastAsia" w:ascii="宋体" w:hAnsi="宋体" w:eastAsia="宋体" w:cs="宋体"/>
          <w:i w:val="0"/>
          <w:iCs w:val="0"/>
          <w:sz w:val="24"/>
          <w:szCs w:val="24"/>
        </w:rPr>
      </w:pPr>
    </w:p>
    <w:p w14:paraId="6E1B458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P_design </w:t>
      </w:r>
      <w:r>
        <w:rPr>
          <w:rFonts w:ascii="Times New Roman" w:hAnsi="Times New Roman" w:eastAsia="宋体" w:cs="Times New Roman"/>
          <w:i w:val="0"/>
          <w:color w:val="1F2937"/>
          <w:sz w:val="24"/>
          <w:szCs w:val="24"/>
        </w:rPr>
        <w:t xml:space="preserve"> 为项目设计功率基线；</w:t>
      </w:r>
      <w:r>
        <w:rPr>
          <w:rFonts w:ascii="Times New Roman" w:hAnsi="Times New Roman" w:eastAsia="宋体" w:cs="Times New Roman"/>
          <w:b w:val="0"/>
          <w:i w:val="0"/>
          <w:color w:val="0284C7"/>
          <w:sz w:val="24"/>
          <w:szCs w:val="24"/>
        </w:rPr>
        <w:t xml:space="preserve"> Δt </w:t>
      </w:r>
      <w:r>
        <w:rPr>
          <w:rFonts w:ascii="Times New Roman" w:hAnsi="Times New Roman" w:eastAsia="宋体" w:cs="Times New Roman"/>
          <w:i w:val="0"/>
          <w:color w:val="1F2937"/>
          <w:sz w:val="24"/>
          <w:szCs w:val="24"/>
        </w:rPr>
        <w:t xml:space="preserve"> 为 5 分钟采样间隔；</w:t>
      </w:r>
      <w:r>
        <w:rPr>
          <w:rFonts w:ascii="Times New Roman" w:hAnsi="Times New Roman" w:eastAsia="宋体" w:cs="Times New Roman"/>
          <w:b w:val="0"/>
          <w:i w:val="0"/>
          <w:color w:val="0284C7"/>
          <w:sz w:val="24"/>
          <w:szCs w:val="24"/>
        </w:rPr>
        <w:t xml:space="preserve"> k_elec </w:t>
      </w:r>
      <w:r>
        <w:rPr>
          <w:rFonts w:ascii="Times New Roman" w:hAnsi="Times New Roman" w:eastAsia="宋体" w:cs="Times New Roman"/>
          <w:i w:val="0"/>
          <w:color w:val="1F2937"/>
          <w:sz w:val="24"/>
          <w:szCs w:val="24"/>
        </w:rPr>
        <w:t xml:space="preserve"> 为电力折标准煤系数。</w:t>
      </w:r>
    </w:p>
    <w:p w14:paraId="0E6B475E">
      <w:pPr>
        <w:pStyle w:val="6"/>
        <w:numPr>
          <w:ilvl w:val="0"/>
          <w:numId w:val="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3370E85">
      <w:pPr>
        <w:pStyle w:val="19"/>
        <w:widowControl/>
        <w:numPr>
          <w:ilvl w:val="0"/>
          <w:numId w:val="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：实测功率必须与设计功率基线同图对比，偏差以百分比呈现。</w:t>
      </w:r>
    </w:p>
    <w:p w14:paraId="668B7653">
      <w:pPr>
        <w:pStyle w:val="19"/>
        <w:widowControl/>
        <w:numPr>
          <w:ilvl w:val="0"/>
          <w:numId w:val="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采样口径</w:t>
      </w:r>
      <w:r>
        <w:rPr>
          <w:rFonts w:ascii="Times New Roman" w:hAnsi="Times New Roman" w:eastAsia="宋体" w:cs="Times New Roman"/>
          <w:i w:val="0"/>
          <w:color w:val="1F2937"/>
          <w:sz w:val="24"/>
          <w:szCs w:val="24"/>
        </w:rPr>
        <w:t>：实时监控采样周期固定 5 分钟；秒级刷新仅用于设备关键点位。</w:t>
      </w:r>
    </w:p>
    <w:p w14:paraId="14C3A7ED">
      <w:pPr>
        <w:pStyle w:val="19"/>
        <w:widowControl/>
        <w:numPr>
          <w:ilvl w:val="0"/>
          <w:numId w:val="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节能口径</w:t>
      </w:r>
      <w:r>
        <w:rPr>
          <w:rFonts w:ascii="Times New Roman" w:hAnsi="Times New Roman" w:eastAsia="宋体" w:cs="Times New Roman"/>
          <w:i w:val="0"/>
          <w:color w:val="1F2937"/>
          <w:sz w:val="24"/>
          <w:szCs w:val="24"/>
        </w:rPr>
        <w:t>：当日累计节能电量为实测值，实测功率低于设计基线的时段按 0 计而不计负值。</w:t>
      </w:r>
    </w:p>
    <w:p w14:paraId="68AC47B6">
      <w:pPr>
        <w:pStyle w:val="6"/>
        <w:numPr>
          <w:ilvl w:val="0"/>
          <w:numId w:val="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DF4A970">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143F75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项目离线：卡片显示"设备离线"并保留最后一次有效读数，不阻断其他项目渲染。</w:t>
            </w:r>
          </w:p>
          <w:p w14:paraId="591F204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设备温度越限：触发告警中心事件并红框高亮卡片。</w:t>
            </w:r>
          </w:p>
          <w:p w14:paraId="080A591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设计基线为 0 或缺失：偏差显示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，不以 0 代替。</w:t>
            </w:r>
          </w:p>
          <w:p w14:paraId="06E19FB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未投运项目：不出现在监控选择器内，无解释性文案。</w:t>
            </w:r>
          </w:p>
        </w:tc>
      </w:tr>
    </w:tbl>
    <w:p w14:paraId="20E5DAFB">
      <w:pPr>
        <w:spacing w:after="40"/>
        <w:rPr>
          <w:rFonts w:hint="eastAsia" w:ascii="宋体" w:hAnsi="宋体" w:eastAsia="宋体" w:cs="宋体"/>
          <w:i w:val="0"/>
          <w:iCs w:val="0"/>
          <w:sz w:val="24"/>
          <w:szCs w:val="24"/>
        </w:rPr>
      </w:pPr>
    </w:p>
    <w:p w14:paraId="135EB583">
      <w:pPr>
        <w:pStyle w:val="6"/>
        <w:numPr>
          <w:ilvl w:val="0"/>
          <w:numId w:val="9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A870E2A">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C6094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零碳项目实时监控</w:t>
            </w:r>
          </w:p>
          <w:p w14:paraId="1D1DA8E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实测与设计基线对比</w:t>
            </w:r>
          </w:p>
          <w:p w14:paraId="2D04117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某分布式光伏项目已并网运行且配置了设计功率基线</w:t>
            </w:r>
          </w:p>
          <w:p w14:paraId="036EF86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页面以 5 分钟采样周期渲染时序运行折线图</w:t>
            </w:r>
          </w:p>
          <w:p w14:paraId="2A1B101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同图呈现实际功率曲线与设计功率基线</w:t>
            </w:r>
          </w:p>
          <w:p w14:paraId="5E9D9DF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实测功率偏差按（实测 − 设计）÷ 设计 × 100% 计算</w:t>
            </w:r>
          </w:p>
          <w:p w14:paraId="2C99B84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设计基线为 0 时偏差显示 "--"</w:t>
            </w:r>
          </w:p>
          <w:p w14:paraId="2A641BFC">
            <w:pPr>
              <w:spacing w:before="0" w:after="20" w:line="264" w:lineRule="auto"/>
              <w:rPr>
                <w:rFonts w:hint="eastAsia" w:ascii="宋体" w:hAnsi="宋体" w:eastAsia="宋体" w:cs="宋体"/>
                <w:i w:val="0"/>
                <w:iCs w:val="0"/>
                <w:sz w:val="24"/>
                <w:szCs w:val="24"/>
              </w:rPr>
            </w:pPr>
          </w:p>
          <w:p w14:paraId="68CED4A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未投运项目不可监控</w:t>
            </w:r>
          </w:p>
          <w:p w14:paraId="260E67B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某储能项目状态仍为"在建"</w:t>
            </w:r>
          </w:p>
          <w:p w14:paraId="62B8BA7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用户展开实时监控左侧项目选择器</w:t>
            </w:r>
          </w:p>
          <w:p w14:paraId="1D8771B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该项目不出现在选择器列表中</w:t>
            </w:r>
          </w:p>
          <w:p w14:paraId="7028C66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页面不弹出任何解释性文案</w:t>
            </w:r>
          </w:p>
        </w:tc>
      </w:tr>
    </w:tbl>
    <w:p w14:paraId="113DDEF2">
      <w:pPr>
        <w:pStyle w:val="5"/>
        <w:numPr>
          <w:ilvl w:val="0"/>
          <w:numId w:val="86"/>
        </w:numPr>
        <w:ind w:left="0" w:leftChars="0" w:firstLine="0" w:firstLineChars="0"/>
        <w:outlineLvl w:val="1"/>
        <w:rPr>
          <w:rFonts w:eastAsia="黑体"/>
          <w:b w:val="0"/>
          <w:bCs w:val="0"/>
          <w:sz w:val="30"/>
          <w:szCs w:val="24"/>
        </w:rPr>
      </w:pPr>
      <w:bookmarkStart w:id="30" w:name="_Toc25143"/>
      <w:r>
        <w:rPr>
          <w:rFonts w:ascii="Times New Roman" w:hAnsi="Times New Roman" w:eastAsia="黑体" w:cs="Times New Roman"/>
          <w:b w:val="0"/>
          <w:bCs w:val="0"/>
          <w:sz w:val="30"/>
          <w:szCs w:val="24"/>
        </w:rPr>
        <w:t>项目运行评估</w:t>
      </w:r>
      <w:bookmarkEnd w:id="30"/>
    </w:p>
    <w:p w14:paraId="4D3A633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3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4"/>
                    <pic:cNvPicPr>
                      <a:picLocks noChangeAspect="1"/>
                    </pic:cNvPicPr>
                  </pic:nvPicPr>
                  <pic:blipFill>
                    <a:blip r:embed="rId71"/>
                    <a:stretch>
                      <a:fillRect/>
                    </a:stretch>
                  </pic:blipFill>
                  <pic:spPr>
                    <a:xfrm>
                      <a:off x="0" y="0"/>
                      <a:ext cx="5900420" cy="2925445"/>
                    </a:xfrm>
                    <a:prstGeom prst="rect">
                      <a:avLst/>
                    </a:prstGeom>
                    <a:noFill/>
                    <a:ln>
                      <a:noFill/>
                    </a:ln>
                  </pic:spPr>
                </pic:pic>
              </a:graphicData>
            </a:graphic>
          </wp:inline>
        </w:drawing>
      </w:r>
    </w:p>
    <w:p w14:paraId="08ED313A">
      <w:pPr>
        <w:pStyle w:val="6"/>
        <w:numPr>
          <w:ilvl w:val="0"/>
          <w:numId w:val="9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B0A2E10">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：遵循国际通用 IPMVP 测量与验证（M&amp;V）规程，测算节能量、节约费用与动态投资回收期，形成节能技改项目效益闭环。</w:t>
      </w:r>
    </w:p>
    <w:p w14:paraId="344E8211">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：技改项目经理、P2 园区能碳专员、P6 外部审计机构（只读核验）。</w:t>
      </w:r>
    </w:p>
    <w:p w14:paraId="044D3AA6">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/monitor/project/evaluation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/storage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/pv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/heatpump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/hvac </w:t>
      </w:r>
      <w:r>
        <w:rPr>
          <w:rFonts w:ascii="Times New Roman" w:hAnsi="Times New Roman" w:eastAsia="宋体" w:cs="Times New Roman"/>
          <w:i w:val="0"/>
          <w:color w:val="1F2937"/>
          <w:sz w:val="24"/>
          <w:szCs w:val="24"/>
        </w:rPr>
        <w:t>。</w:t>
      </w:r>
    </w:p>
    <w:p w14:paraId="3CFF45C0">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：项目档案管理设计指标、实时监控实测能耗、财务节能现金流数据。</w:t>
      </w:r>
    </w:p>
    <w:p w14:paraId="17AD8E1C">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：节能效益评估状态机流转结论、零碳工厂自评估佐证材料。</w:t>
      </w:r>
    </w:p>
    <w:p w14:paraId="07674421">
      <w:pPr>
        <w:pStyle w:val="6"/>
        <w:numPr>
          <w:ilvl w:val="0"/>
          <w:numId w:val="9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A268C99">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：年度节能技改项目效益复盘场景，需按 IPMVP 规程建立基线能耗模型，排除产量与气象波动影响后测算真实节能量。</w:t>
      </w:r>
    </w:p>
    <w:p w14:paraId="1A6DD70E">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220D77B">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技改项目经理</w:t>
      </w:r>
      <w:r>
        <w:rPr>
          <w:rFonts w:ascii="Times New Roman" w:hAnsi="Times New Roman" w:eastAsia="宋体" w:cs="Times New Roman"/>
          <w:i w:val="0"/>
          <w:color w:val="1F2937"/>
          <w:sz w:val="24"/>
          <w:szCs w:val="24"/>
        </w:rPr>
        <w:t>，</w:t>
      </w:r>
    </w:p>
    <w:p w14:paraId="2A0A14BE">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 M&amp;V 四要素测算节能量与考虑贴现率的动态投资回收期</w:t>
      </w:r>
      <w:r>
        <w:rPr>
          <w:rFonts w:ascii="Times New Roman" w:hAnsi="Times New Roman" w:eastAsia="宋体" w:cs="Times New Roman"/>
          <w:i w:val="0"/>
          <w:color w:val="1F2937"/>
          <w:sz w:val="24"/>
          <w:szCs w:val="24"/>
        </w:rPr>
        <w:t>，</w:t>
      </w:r>
    </w:p>
    <w:p w14:paraId="67AA17F4">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我能客观证明技改投资效益并支撑下一年度技改立项</w:t>
      </w:r>
      <w:r>
        <w:rPr>
          <w:rFonts w:ascii="Times New Roman" w:hAnsi="Times New Roman" w:eastAsia="宋体" w:cs="Times New Roman"/>
          <w:i w:val="0"/>
          <w:color w:val="1F2937"/>
          <w:sz w:val="24"/>
          <w:szCs w:val="24"/>
        </w:rPr>
        <w:t>。</w:t>
      </w:r>
    </w:p>
    <w:p w14:paraId="4FADF90F">
      <w:pPr>
        <w:pStyle w:val="6"/>
        <w:numPr>
          <w:ilvl w:val="0"/>
          <w:numId w:val="9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19DF12C5">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M&amp;V 测算四要素</w:t>
      </w:r>
      <w:r>
        <w:rPr>
          <w:rFonts w:ascii="Times New Roman" w:hAnsi="Times New Roman" w:eastAsia="宋体" w:cs="Times New Roman"/>
          <w:i w:val="0"/>
          <w:color w:val="1F2937"/>
          <w:sz w:val="24"/>
          <w:szCs w:val="24"/>
        </w:rPr>
        <w:t>：</w:t>
      </w:r>
    </w:p>
    <w:p w14:paraId="6A195511">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基准期能耗</w:t>
      </w:r>
      <w:r>
        <w:rPr>
          <w:rFonts w:ascii="Times New Roman" w:hAnsi="Times New Roman" w:eastAsia="宋体" w:cs="Times New Roman"/>
          <w:i w:val="0"/>
          <w:color w:val="1F2937"/>
          <w:sz w:val="24"/>
          <w:szCs w:val="24"/>
        </w:rPr>
        <w:t>：改造前可验证的基线能耗（不少于 12 个月数据，取自用能在线监测日结库与能源台账；不足 12 个月时按邻近同类园区同工序基线折算，并在报表中标注折算来源与数据区间）。</w:t>
      </w:r>
    </w:p>
    <w:p w14:paraId="5C508F00">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报告期能耗</w:t>
      </w:r>
      <w:r>
        <w:rPr>
          <w:rFonts w:ascii="Times New Roman" w:hAnsi="Times New Roman" w:eastAsia="宋体" w:cs="Times New Roman"/>
          <w:i w:val="0"/>
          <w:color w:val="1F2937"/>
          <w:sz w:val="24"/>
          <w:szCs w:val="24"/>
        </w:rPr>
        <w:t>：改造后实际计量能耗。</w:t>
      </w:r>
    </w:p>
    <w:p w14:paraId="0856B3B5">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调整量</w:t>
      </w:r>
      <w:r>
        <w:rPr>
          <w:rFonts w:ascii="Times New Roman" w:hAnsi="Times New Roman" w:eastAsia="宋体" w:cs="Times New Roman"/>
          <w:i w:val="0"/>
          <w:color w:val="1F2937"/>
          <w:sz w:val="24"/>
          <w:szCs w:val="24"/>
        </w:rPr>
        <w:t>：依据产量、天气等独立变量对基准期能耗的修正值。</w:t>
      </w:r>
    </w:p>
    <w:p w14:paraId="5BCBD879">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节能量</w:t>
      </w:r>
      <w:r>
        <w:rPr>
          <w:rFonts w:ascii="Times New Roman" w:hAnsi="Times New Roman" w:eastAsia="宋体" w:cs="Times New Roman"/>
          <w:i w:val="0"/>
          <w:color w:val="1F2937"/>
          <w:sz w:val="24"/>
          <w:szCs w:val="24"/>
        </w:rPr>
        <w:t>：</w:t>
      </w:r>
      <w:r>
        <w:rPr>
          <w:rFonts w:ascii="Times New Roman" w:hAnsi="Times New Roman" w:eastAsia="宋体" w:cs="Times New Roman"/>
          <w:i w:val="0"/>
          <w:color w:val="15803D"/>
          <w:sz w:val="24"/>
          <w:szCs w:val="24"/>
        </w:rPr>
        <w:t>E\_saved = 基准期调整后能耗 − 报告期能耗</w:t>
      </w:r>
      <w:r>
        <w:rPr>
          <w:rFonts w:ascii="Times New Roman" w:hAnsi="Times New Roman" w:eastAsia="宋体" w:cs="Times New Roman"/>
          <w:i w:val="0"/>
          <w:color w:val="1F2937"/>
          <w:sz w:val="24"/>
          <w:szCs w:val="24"/>
        </w:rPr>
        <w:t>；动态投资回收期 = 项目投资额 / 年节约费用。</w:t>
      </w:r>
    </w:p>
    <w:p w14:paraId="29CF3C0B">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3.1 储能运行评估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3.2 光伏运行评估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3.3 热泵运行评估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3.4 空调运行评估 </w:t>
      </w:r>
      <w:r>
        <w:rPr>
          <w:rFonts w:ascii="Times New Roman" w:hAnsi="Times New Roman" w:eastAsia="宋体" w:cs="Times New Roman"/>
          <w:i w:val="0"/>
          <w:color w:val="1F2937"/>
          <w:sz w:val="24"/>
          <w:szCs w:val="24"/>
        </w:rPr>
        <w:t>。</w:t>
      </w:r>
    </w:p>
    <w:p w14:paraId="4EC7E5AF">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评估状态机可视化</w:t>
      </w:r>
      <w:r>
        <w:rPr>
          <w:rFonts w:ascii="Times New Roman" w:hAnsi="Times New Roman" w:eastAsia="宋体" w:cs="Times New Roman"/>
          <w:i w:val="0"/>
          <w:color w:val="1F2937"/>
          <w:sz w:val="24"/>
          <w:szCs w:val="24"/>
        </w:rPr>
        <w:t>：项目立项 → 建设施工 → 并网试运行 → 稳定运行 → 已完结；并网试运行需满足 90 天 M&amp;V 连续采数，验收通过方可流转至"稳定运行"。</w:t>
      </w:r>
    </w:p>
    <w:p w14:paraId="2DA46DE4">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回归模型展示</w:t>
      </w:r>
      <w:r>
        <w:rPr>
          <w:rFonts w:ascii="Times New Roman" w:hAnsi="Times New Roman" w:eastAsia="宋体" w:cs="Times New Roman"/>
          <w:i w:val="0"/>
          <w:color w:val="1F2937"/>
          <w:sz w:val="24"/>
          <w:szCs w:val="24"/>
        </w:rPr>
        <w:t xml:space="preserve">：展示基准期能耗与独立变量（产量、度日数）的回归拟合优度 </w:t>
      </w:r>
      <w:r>
        <w:rPr>
          <w:rFonts w:ascii="Times New Roman" w:hAnsi="Times New Roman" w:eastAsia="宋体" w:cs="Times New Roman"/>
          <w:i w:val="0"/>
          <w:color w:val="15803D"/>
          <w:sz w:val="24"/>
          <w:szCs w:val="24"/>
        </w:rPr>
        <w:t>R^2</w:t>
      </w:r>
      <w:r>
        <w:rPr>
          <w:rFonts w:ascii="Times New Roman" w:hAnsi="Times New Roman" w:eastAsia="宋体" w:cs="Times New Roman"/>
          <w:i w:val="0"/>
          <w:color w:val="1F2937"/>
          <w:sz w:val="24"/>
          <w:szCs w:val="24"/>
        </w:rPr>
        <w:t>，</w:t>
      </w:r>
      <w:r>
        <w:rPr>
          <w:rFonts w:ascii="Times New Roman" w:hAnsi="Times New Roman" w:eastAsia="宋体" w:cs="Times New Roman"/>
          <w:i w:val="0"/>
          <w:color w:val="15803D"/>
          <w:sz w:val="24"/>
          <w:szCs w:val="24"/>
        </w:rPr>
        <w:t>R^2 &lt; 0.75</w:t>
      </w:r>
      <w:r>
        <w:rPr>
          <w:rFonts w:ascii="Times New Roman" w:hAnsi="Times New Roman" w:eastAsia="宋体" w:cs="Times New Roman"/>
          <w:i w:val="0"/>
          <w:color w:val="1F2937"/>
          <w:sz w:val="24"/>
          <w:szCs w:val="24"/>
        </w:rPr>
        <w:t xml:space="preserve"> 时提示基线模型可靠性不足。</w:t>
      </w:r>
    </w:p>
    <w:p w14:paraId="0E230662">
      <w:pPr>
        <w:pStyle w:val="6"/>
        <w:numPr>
          <w:ilvl w:val="0"/>
          <w:numId w:val="9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2"/>
        <w:gridCol w:w="1924"/>
        <w:gridCol w:w="1364"/>
        <w:gridCol w:w="1364"/>
        <w:gridCol w:w="4250"/>
      </w:tblGrid>
      <w:tr w14:paraId="6F82B711">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0256C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5AAD8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92EC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610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D1E01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3F0A09DC">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3C2E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3E7D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基准期调整后能耗</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1E71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0B25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3473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基于不少于 12 个月数据建立回归模型</w:t>
            </w:r>
          </w:p>
        </w:tc>
      </w:tr>
      <w:tr w14:paraId="130BB6E0">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E5A9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7EA1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报告期实际能耗</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BB53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51EE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B26D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改造后实际计量值</w:t>
            </w:r>
          </w:p>
        </w:tc>
      </w:tr>
      <w:tr w14:paraId="603249E2">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19A9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125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工况修正量</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0D2D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05F0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F35B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依据产量、气象等独立变量修正</w:t>
            </w:r>
          </w:p>
        </w:tc>
      </w:tr>
      <w:tr w14:paraId="4059A899">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9F21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67CB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节能量</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3DA9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5C55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4D8D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基准期调整后能耗 − 报告期能耗</w:t>
            </w:r>
          </w:p>
        </w:tc>
      </w:tr>
      <w:tr w14:paraId="036C599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09C0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BC60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年净节能现金流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6975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9668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7BC3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节能量 × 能量单价 − 运维成本</w:t>
            </w:r>
          </w:p>
        </w:tc>
      </w:tr>
      <w:tr w14:paraId="11F80EAE">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6AB6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7E99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贴现率</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6E8F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493E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472F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基准取值 8%</w:t>
            </w:r>
          </w:p>
        </w:tc>
      </w:tr>
      <w:tr w14:paraId="70E6BEC3">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E30F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E5FD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动态投资回收期</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E107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A015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F192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ln(CF/(CF − I_0 × r)) / ln(1 + r)</w:t>
            </w:r>
          </w:p>
        </w:tc>
      </w:tr>
      <w:tr w14:paraId="7605B57B">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4A5F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4ED3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回归拟合优度</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7DCF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2C71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8DA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R^2</w:t>
            </w:r>
            <w:r>
              <w:rPr>
                <w:rFonts w:hint="eastAsia" w:ascii="宋体" w:hAnsi="宋体" w:eastAsia="宋体" w:cs="宋体"/>
                <w:i w:val="0"/>
                <w:iCs w:val="0"/>
                <w:color w:val="1F2937"/>
                <w:sz w:val="24"/>
                <w:szCs w:val="24"/>
              </w:rPr>
              <w:t>，低于 0.75 提示模型可靠性不足</w:t>
            </w:r>
          </w:p>
        </w:tc>
      </w:tr>
      <w:tr w14:paraId="564EEB57">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F5E5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59C3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评估状态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8543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97B4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26AB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立项 / 施工 / 并网试运行 / 稳定运行 / 已完结</w:t>
            </w:r>
          </w:p>
        </w:tc>
      </w:tr>
      <w:tr w14:paraId="61B9A42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E76F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9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DC6F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连续采数天数</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26DB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2FD4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D3F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90 天才允许流转至稳定运行</w:t>
            </w:r>
          </w:p>
        </w:tc>
      </w:tr>
    </w:tbl>
    <w:p w14:paraId="0F30D262">
      <w:pPr>
        <w:spacing w:after="60"/>
        <w:rPr>
          <w:rFonts w:hint="eastAsia" w:ascii="宋体" w:hAnsi="宋体" w:eastAsia="宋体" w:cs="宋体"/>
          <w:i w:val="0"/>
          <w:iCs w:val="0"/>
          <w:sz w:val="24"/>
          <w:szCs w:val="24"/>
        </w:rPr>
      </w:pPr>
    </w:p>
    <w:p w14:paraId="5FC1AC28">
      <w:pPr>
        <w:pStyle w:val="6"/>
        <w:numPr>
          <w:ilvl w:val="0"/>
          <w:numId w:val="9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1541C58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FA708F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 = ( E_baseline - E_post ) ± ΔE_adj               节能量</w:t>
            </w:r>
          </w:p>
          <w:p w14:paraId="498416D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PBP_dynamic = ln( CF / ( CF - I_0 × r ) ) / ln( 1 + r )   动态投资回收期（考虑贴现率 r）</w:t>
            </w:r>
          </w:p>
          <w:p w14:paraId="7126CE0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E_baseline = f( X_prod, X_hdd, X_cdd )                     基准期能耗回归模型</w:t>
            </w:r>
          </w:p>
          <w:p w14:paraId="2CE7090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R² = 1 - SS_res / SS_tot                                   回归拟合优度</w:t>
            </w:r>
          </w:p>
        </w:tc>
      </w:tr>
    </w:tbl>
    <w:p w14:paraId="015D50F3">
      <w:pPr>
        <w:spacing w:after="40"/>
        <w:rPr>
          <w:rFonts w:hint="eastAsia" w:ascii="宋体" w:hAnsi="宋体" w:eastAsia="宋体" w:cs="宋体"/>
          <w:i w:val="0"/>
          <w:iCs w:val="0"/>
          <w:sz w:val="24"/>
          <w:szCs w:val="24"/>
        </w:rPr>
      </w:pPr>
    </w:p>
    <w:p w14:paraId="3879149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E_baseline </w:t>
      </w:r>
      <w:r>
        <w:rPr>
          <w:rFonts w:ascii="Times New Roman" w:hAnsi="Times New Roman" w:eastAsia="宋体" w:cs="Times New Roman"/>
          <w:i w:val="0"/>
          <w:color w:val="1F2937"/>
          <w:sz w:val="24"/>
          <w:szCs w:val="24"/>
        </w:rPr>
        <w:t xml:space="preserve"> 为基准期调整后能耗；</w:t>
      </w:r>
      <w:r>
        <w:rPr>
          <w:rFonts w:ascii="Times New Roman" w:hAnsi="Times New Roman" w:eastAsia="宋体" w:cs="Times New Roman"/>
          <w:b w:val="0"/>
          <w:i w:val="0"/>
          <w:color w:val="0284C7"/>
          <w:sz w:val="24"/>
          <w:szCs w:val="24"/>
        </w:rPr>
        <w:t xml:space="preserve"> E_post </w:t>
      </w:r>
      <w:r>
        <w:rPr>
          <w:rFonts w:ascii="Times New Roman" w:hAnsi="Times New Roman" w:eastAsia="宋体" w:cs="Times New Roman"/>
          <w:i w:val="0"/>
          <w:color w:val="1F2937"/>
          <w:sz w:val="24"/>
          <w:szCs w:val="24"/>
        </w:rPr>
        <w:t xml:space="preserve"> 为改造后实际能耗；</w:t>
      </w:r>
      <w:r>
        <w:rPr>
          <w:rFonts w:ascii="Times New Roman" w:hAnsi="Times New Roman" w:eastAsia="宋体" w:cs="Times New Roman"/>
          <w:b w:val="0"/>
          <w:i w:val="0"/>
          <w:color w:val="0284C7"/>
          <w:sz w:val="24"/>
          <w:szCs w:val="24"/>
        </w:rPr>
        <w:t xml:space="preserve"> ΔE_adj </w:t>
      </w:r>
      <w:r>
        <w:rPr>
          <w:rFonts w:ascii="Times New Roman" w:hAnsi="Times New Roman" w:eastAsia="宋体" w:cs="Times New Roman"/>
          <w:i w:val="0"/>
          <w:color w:val="1F2937"/>
          <w:sz w:val="24"/>
          <w:szCs w:val="24"/>
        </w:rPr>
        <w:t xml:space="preserve"> 为生产工况修正量；</w:t>
      </w:r>
      <w:r>
        <w:rPr>
          <w:rFonts w:ascii="Times New Roman" w:hAnsi="Times New Roman" w:eastAsia="宋体" w:cs="Times New Roman"/>
          <w:b w:val="0"/>
          <w:i w:val="0"/>
          <w:color w:val="0284C7"/>
          <w:sz w:val="24"/>
          <w:szCs w:val="24"/>
        </w:rPr>
        <w:t xml:space="preserve"> I_0 </w:t>
      </w:r>
      <w:r>
        <w:rPr>
          <w:rFonts w:ascii="Times New Roman" w:hAnsi="Times New Roman" w:eastAsia="宋体" w:cs="Times New Roman"/>
          <w:i w:val="0"/>
          <w:color w:val="1F2937"/>
          <w:sz w:val="24"/>
          <w:szCs w:val="24"/>
        </w:rPr>
        <w:t xml:space="preserve"> 为技改初次投资；</w:t>
      </w:r>
      <w:r>
        <w:rPr>
          <w:rFonts w:ascii="Times New Roman" w:hAnsi="Times New Roman" w:eastAsia="宋体" w:cs="Times New Roman"/>
          <w:b w:val="0"/>
          <w:i w:val="0"/>
          <w:color w:val="0284C7"/>
          <w:sz w:val="24"/>
          <w:szCs w:val="24"/>
        </w:rPr>
        <w:t xml:space="preserve"> CF </w:t>
      </w:r>
      <w:r>
        <w:rPr>
          <w:rFonts w:ascii="Times New Roman" w:hAnsi="Times New Roman" w:eastAsia="宋体" w:cs="Times New Roman"/>
          <w:i w:val="0"/>
          <w:color w:val="1F2937"/>
          <w:sz w:val="24"/>
          <w:szCs w:val="24"/>
        </w:rPr>
        <w:t xml:space="preserve"> 为年净节能现金流；</w:t>
      </w:r>
      <w:r>
        <w:rPr>
          <w:rFonts w:ascii="Times New Roman" w:hAnsi="Times New Roman" w:eastAsia="宋体" w:cs="Times New Roman"/>
          <w:b w:val="0"/>
          <w:i w:val="0"/>
          <w:color w:val="0284C7"/>
          <w:sz w:val="24"/>
          <w:szCs w:val="24"/>
        </w:rPr>
        <w:t xml:space="preserve"> r </w:t>
      </w:r>
      <w:r>
        <w:rPr>
          <w:rFonts w:ascii="Times New Roman" w:hAnsi="Times New Roman" w:eastAsia="宋体" w:cs="Times New Roman"/>
          <w:i w:val="0"/>
          <w:color w:val="1F2937"/>
          <w:sz w:val="24"/>
          <w:szCs w:val="24"/>
        </w:rPr>
        <w:t xml:space="preserve"> 为贴现率（基准 8%）。依据国际 IPMVP 规程选项 B/C 建立基线能耗模型，排除气象温湿度与产量波动影响。</w:t>
      </w:r>
    </w:p>
    <w:p w14:paraId="49F640D9">
      <w:pPr>
        <w:pStyle w:val="6"/>
        <w:numPr>
          <w:ilvl w:val="0"/>
          <w:numId w:val="9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E66CC89">
      <w:pPr>
        <w:pStyle w:val="19"/>
        <w:widowControl/>
        <w:numPr>
          <w:ilvl w:val="0"/>
          <w:numId w:val="10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基线口径</w:t>
      </w:r>
      <w:r>
        <w:rPr>
          <w:rFonts w:ascii="Times New Roman" w:hAnsi="Times New Roman" w:eastAsia="宋体" w:cs="Times New Roman"/>
          <w:i w:val="0"/>
          <w:color w:val="1F2937"/>
          <w:sz w:val="24"/>
          <w:szCs w:val="24"/>
        </w:rPr>
        <w:t>：基准期数据不得少于 12 个月，不足时评估功能置灰。</w:t>
      </w:r>
    </w:p>
    <w:p w14:paraId="7D0E0036">
      <w:pPr>
        <w:pStyle w:val="19"/>
        <w:widowControl/>
        <w:numPr>
          <w:ilvl w:val="0"/>
          <w:numId w:val="10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调整口径</w:t>
      </w:r>
      <w:r>
        <w:rPr>
          <w:rFonts w:ascii="Times New Roman" w:hAnsi="Times New Roman" w:eastAsia="宋体" w:cs="Times New Roman"/>
          <w:i w:val="0"/>
          <w:color w:val="1F2937"/>
          <w:sz w:val="24"/>
          <w:szCs w:val="24"/>
        </w:rPr>
        <w:t>：调整量必须基于统计显著的独立变量（产量、度日数）计算，不接受人工拍脑袋修正。</w:t>
      </w:r>
    </w:p>
    <w:p w14:paraId="313391DC">
      <w:pPr>
        <w:pStyle w:val="19"/>
        <w:widowControl/>
        <w:numPr>
          <w:ilvl w:val="0"/>
          <w:numId w:val="10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回收期口径</w:t>
      </w:r>
      <w:r>
        <w:rPr>
          <w:rFonts w:ascii="Times New Roman" w:hAnsi="Times New Roman" w:eastAsia="宋体" w:cs="Times New Roman"/>
          <w:i w:val="0"/>
          <w:color w:val="1F2937"/>
          <w:sz w:val="24"/>
          <w:szCs w:val="24"/>
        </w:rPr>
        <w:t>：以动态投资回收期（含贴现）为唯一对外口径，静态回收期仅作内部参考。</w:t>
      </w:r>
    </w:p>
    <w:p w14:paraId="340EEE88">
      <w:pPr>
        <w:pStyle w:val="19"/>
        <w:widowControl/>
        <w:numPr>
          <w:ilvl w:val="0"/>
          <w:numId w:val="10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：并网试运行阶段须连续采数 ≥90 天方可流转，流转动作写入审计日志。</w:t>
      </w:r>
    </w:p>
    <w:p w14:paraId="31B962D5">
      <w:pPr>
        <w:pStyle w:val="6"/>
        <w:numPr>
          <w:ilvl w:val="0"/>
          <w:numId w:val="9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B330FF8">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6C8245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缺少基准期能耗记录：触发 </w:t>
            </w:r>
            <w:r>
              <w:rPr>
                <w:rFonts w:hint="eastAsia" w:ascii="宋体" w:hAnsi="宋体" w:eastAsia="宋体" w:cs="宋体"/>
                <w:b w:val="0"/>
                <w:i w:val="0"/>
                <w:iCs w:val="0"/>
                <w:color w:val="0284C7"/>
                <w:sz w:val="24"/>
                <w:szCs w:val="24"/>
              </w:rPr>
              <w:t xml:space="preserve"> E_VAL_PRJ_MV_BASELINE_EMPTY </w:t>
            </w:r>
            <w:r>
              <w:rPr>
                <w:rFonts w:hint="eastAsia" w:ascii="宋体" w:hAnsi="宋体" w:eastAsia="宋体" w:cs="宋体"/>
                <w:i w:val="0"/>
                <w:iCs w:val="0"/>
                <w:color w:val="1F2937"/>
                <w:sz w:val="24"/>
                <w:szCs w:val="24"/>
              </w:rPr>
              <w:t>，阻断评估并提示"必须录入技改前至少 12 个月的基准期负荷数据"。</w:t>
            </w:r>
          </w:p>
          <w:p w14:paraId="4F000A4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基准期数据点少于 12 个月：评估按钮置灰，不允许强行测算。</w:t>
            </w:r>
          </w:p>
          <w:p w14:paraId="39E5FE2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现金流小于等于投资额与贴现率乘积：动态回收期公式失效，输出"投资效益不成立，需重新评估"。</w:t>
            </w:r>
          </w:p>
          <w:p w14:paraId="7D0F43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连续采数不足 90 天：状态流转按钮置灰。</w:t>
            </w:r>
          </w:p>
        </w:tc>
      </w:tr>
    </w:tbl>
    <w:p w14:paraId="3B36B53B">
      <w:pPr>
        <w:spacing w:after="40"/>
        <w:rPr>
          <w:rFonts w:hint="eastAsia" w:ascii="宋体" w:hAnsi="宋体" w:eastAsia="宋体" w:cs="宋体"/>
          <w:i w:val="0"/>
          <w:iCs w:val="0"/>
          <w:sz w:val="24"/>
          <w:szCs w:val="24"/>
        </w:rPr>
      </w:pPr>
    </w:p>
    <w:p w14:paraId="29F29BED">
      <w:pPr>
        <w:pStyle w:val="6"/>
        <w:numPr>
          <w:ilvl w:val="0"/>
          <w:numId w:val="9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2C94AC8">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108E4E4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项目运行评估 M&amp;V 节能量测算</w:t>
            </w:r>
          </w:p>
          <w:p w14:paraId="7A7D85D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缺少基准期数据阻断评估</w:t>
            </w:r>
          </w:p>
          <w:p w14:paraId="115EE87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某技改项目尚未录入改造前的基准期能耗记录</w:t>
            </w:r>
          </w:p>
          <w:p w14:paraId="28FB273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用户点击"启动 M&amp;V 效益评估"</w:t>
            </w:r>
          </w:p>
          <w:p w14:paraId="42EDE40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系统阻断评估并返回 E_VAL_PRJ_MV_BASELINE_EMPTY</w:t>
            </w:r>
          </w:p>
          <w:p w14:paraId="353C6B2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页面提示"必须录入技改前至少 12 个月的基准期负荷数据"</w:t>
            </w:r>
          </w:p>
          <w:p w14:paraId="25AD7821">
            <w:pPr>
              <w:spacing w:before="0" w:after="20" w:line="264" w:lineRule="auto"/>
              <w:rPr>
                <w:rFonts w:hint="eastAsia" w:ascii="宋体" w:hAnsi="宋体" w:eastAsia="宋体" w:cs="宋体"/>
                <w:i w:val="0"/>
                <w:iCs w:val="0"/>
                <w:sz w:val="24"/>
                <w:szCs w:val="24"/>
              </w:rPr>
            </w:pPr>
          </w:p>
          <w:p w14:paraId="1F0BBD6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动态投资回收期测算</w:t>
            </w:r>
          </w:p>
          <w:p w14:paraId="4B3108B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项目初次投资 I_0、年净节能现金流 CF 与贴现率 r 均已录入</w:t>
            </w:r>
          </w:p>
          <w:p w14:paraId="668D0D8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系统测算动态投资回收期</w:t>
            </w:r>
          </w:p>
          <w:p w14:paraId="47DE4B5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结果按 ln(CF ÷ (CF − I_0 × r)) ÷ ln(1 + r) 计算</w:t>
            </w:r>
          </w:p>
          <w:p w14:paraId="4A07311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贴现率基准取值 8%</w:t>
            </w:r>
          </w:p>
          <w:p w14:paraId="64D606A4">
            <w:pPr>
              <w:spacing w:before="0" w:after="20" w:line="264" w:lineRule="auto"/>
              <w:rPr>
                <w:rFonts w:hint="eastAsia" w:ascii="宋体" w:hAnsi="宋体" w:eastAsia="宋体" w:cs="宋体"/>
                <w:i w:val="0"/>
                <w:iCs w:val="0"/>
                <w:sz w:val="24"/>
                <w:szCs w:val="24"/>
              </w:rPr>
            </w:pPr>
          </w:p>
          <w:p w14:paraId="58BD596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稳定运行状态流转门槛</w:t>
            </w:r>
          </w:p>
          <w:p w14:paraId="10D6EAD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某项目处于"并网试运行"状态且已连续采数 62 天</w:t>
            </w:r>
          </w:p>
          <w:p w14:paraId="018D2A6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用户尝试将状态流转至"稳定运行"</w:t>
            </w:r>
          </w:p>
          <w:p w14:paraId="6B00B03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流转按钮置灰不可点击</w:t>
            </w:r>
          </w:p>
          <w:p w14:paraId="7BC2BD5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连续采数满 90 天后按钮方可激活</w:t>
            </w:r>
          </w:p>
        </w:tc>
      </w:tr>
    </w:tbl>
    <w:p w14:paraId="61374379">
      <w:pPr>
        <w:spacing w:after="40"/>
        <w:rPr>
          <w:rFonts w:hint="eastAsia" w:ascii="宋体" w:hAnsi="宋体" w:eastAsia="宋体" w:cs="宋体"/>
          <w:i w:val="0"/>
          <w:iCs w:val="0"/>
          <w:sz w:val="24"/>
          <w:szCs w:val="24"/>
        </w:rPr>
      </w:pPr>
    </w:p>
    <w:p w14:paraId="0F9943D8">
      <w:pPr>
        <w:pStyle w:val="5"/>
        <w:numPr>
          <w:ilvl w:val="0"/>
          <w:numId w:val="86"/>
        </w:numPr>
        <w:ind w:left="0" w:leftChars="0" w:firstLine="0" w:firstLineChars="0"/>
        <w:outlineLvl w:val="1"/>
        <w:rPr>
          <w:rFonts w:eastAsia="黑体"/>
          <w:b w:val="0"/>
          <w:bCs w:val="0"/>
          <w:sz w:val="30"/>
          <w:szCs w:val="24"/>
        </w:rPr>
      </w:pPr>
      <w:bookmarkStart w:id="31" w:name="_Toc9430"/>
      <w:r>
        <w:rPr>
          <w:rFonts w:ascii="Times New Roman" w:hAnsi="Times New Roman" w:eastAsia="黑体" w:cs="Times New Roman"/>
          <w:b w:val="0"/>
          <w:bCs w:val="0"/>
          <w:sz w:val="30"/>
          <w:szCs w:val="24"/>
        </w:rPr>
        <w:t>零碳工厂自评估</w:t>
      </w:r>
      <w:bookmarkEnd w:id="31"/>
    </w:p>
    <w:p w14:paraId="71C7792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4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5"/>
                    <pic:cNvPicPr>
                      <a:picLocks noChangeAspect="1"/>
                    </pic:cNvPicPr>
                  </pic:nvPicPr>
                  <pic:blipFill>
                    <a:blip r:embed="rId72"/>
                    <a:stretch>
                      <a:fillRect/>
                    </a:stretch>
                  </pic:blipFill>
                  <pic:spPr>
                    <a:xfrm>
                      <a:off x="0" y="0"/>
                      <a:ext cx="5900420" cy="2925445"/>
                    </a:xfrm>
                    <a:prstGeom prst="rect">
                      <a:avLst/>
                    </a:prstGeom>
                    <a:noFill/>
                    <a:ln>
                      <a:noFill/>
                    </a:ln>
                  </pic:spPr>
                </pic:pic>
              </a:graphicData>
            </a:graphic>
          </wp:inline>
        </w:drawing>
      </w:r>
    </w:p>
    <w:p w14:paraId="70707075">
      <w:pPr>
        <w:pStyle w:val="6"/>
        <w:numPr>
          <w:ilvl w:val="0"/>
          <w:numId w:val="10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782EF41">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：构建三层穿透的零碳工厂自评估体系，输出星级评定结果与整改清单，是集团零碳建设成效的权威量化抓手。</w:t>
      </w:r>
    </w:p>
    <w:p w14:paraId="4FEAC250">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园区能碳专员（填报）、二级公司（复核）、P1 集团决策层（审批）。</w:t>
      </w:r>
    </w:p>
    <w:p w14:paraId="79369CFD">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/monitor/project/self-assessment </w:t>
      </w:r>
      <w:r>
        <w:rPr>
          <w:rFonts w:ascii="Times New Roman" w:hAnsi="Times New Roman" w:eastAsia="宋体" w:cs="Times New Roman"/>
          <w:i w:val="0"/>
          <w:color w:val="1F2937"/>
          <w:sz w:val="24"/>
          <w:szCs w:val="24"/>
        </w:rPr>
        <w:t>。</w:t>
      </w:r>
    </w:p>
    <w:p w14:paraId="73F9CA6F">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：指标管控、用能结构分析、碳排监测、因子库、绿证核销凭证、ISO 体系证书。</w:t>
      </w:r>
    </w:p>
    <w:p w14:paraId="6FDBFDF9">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：星级评定结果、领导驾驶舱星级分布数据、对标管理零碳综合得分输入。</w:t>
      </w:r>
    </w:p>
    <w:p w14:paraId="462053B7">
      <w:pPr>
        <w:pStyle w:val="6"/>
        <w:numPr>
          <w:ilvl w:val="0"/>
          <w:numId w:val="10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37FEDB6">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：年度零碳工厂评价场景，各园区按 6 大维度提交佐证材料，系统自动计分并分级评级，集团据此认定零碳工厂名单。</w:t>
      </w:r>
    </w:p>
    <w:p w14:paraId="34EC39A9">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4A5150F">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P2 园区能碳专员</w:t>
      </w:r>
      <w:r>
        <w:rPr>
          <w:rFonts w:ascii="Times New Roman" w:hAnsi="Times New Roman" w:eastAsia="宋体" w:cs="Times New Roman"/>
          <w:i w:val="0"/>
          <w:color w:val="1F2937"/>
          <w:sz w:val="24"/>
          <w:szCs w:val="24"/>
        </w:rPr>
        <w:t>，</w:t>
      </w:r>
    </w:p>
    <w:p w14:paraId="1EB0FD31">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 6 大维度 100 分细化考核表上传佐证材料并由系统自动计分评级</w:t>
      </w:r>
      <w:r>
        <w:rPr>
          <w:rFonts w:ascii="Times New Roman" w:hAnsi="Times New Roman" w:eastAsia="宋体" w:cs="Times New Roman"/>
          <w:i w:val="0"/>
          <w:color w:val="1F2937"/>
          <w:sz w:val="24"/>
          <w:szCs w:val="24"/>
        </w:rPr>
        <w:t>，</w:t>
      </w:r>
    </w:p>
    <w:p w14:paraId="438A11D3">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我能清晰掌握本园区零碳建设短板并针对性整改</w:t>
      </w:r>
      <w:r>
        <w:rPr>
          <w:rFonts w:ascii="Times New Roman" w:hAnsi="Times New Roman" w:eastAsia="宋体" w:cs="Times New Roman"/>
          <w:i w:val="0"/>
          <w:color w:val="1F2937"/>
          <w:sz w:val="24"/>
          <w:szCs w:val="24"/>
        </w:rPr>
        <w:t>。</w:t>
      </w:r>
    </w:p>
    <w:p w14:paraId="7BCF3324">
      <w:pPr>
        <w:pStyle w:val="6"/>
        <w:numPr>
          <w:ilvl w:val="0"/>
          <w:numId w:val="10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567B583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三层评估架构</w:t>
      </w:r>
      <w:r>
        <w:rPr>
          <w:rFonts w:ascii="Times New Roman" w:hAnsi="Times New Roman" w:eastAsia="宋体" w:cs="Times New Roman"/>
          <w:i w:val="0"/>
          <w:color w:val="1F2937"/>
          <w:sz w:val="24"/>
          <w:szCs w:val="24"/>
        </w:rPr>
        <w:t>：第 1 层集团大盘雷达与星级分布 → 第 2 层二级公司总分达标率 → 第 3 层工厂 6 大维度 100 分细化考核表。</w:t>
      </w:r>
    </w:p>
    <w:p w14:paraId="2EBF653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0284C7"/>
          <w:sz w:val="24"/>
          <w:szCs w:val="24"/>
        </w:rPr>
        <w:t xml:space="preserve">• </w:t>
      </w:r>
      <w:r>
        <w:rPr>
          <w:rFonts w:ascii="Times New Roman" w:hAnsi="Times New Roman" w:eastAsia="宋体" w:cs="Times New Roman"/>
          <w:b/>
          <w:i w:val="0"/>
          <w:color w:val="1E3A8A"/>
          <w:sz w:val="24"/>
          <w:szCs w:val="24"/>
        </w:rPr>
        <w:t>评级星级标准</w:t>
      </w:r>
      <w:r>
        <w:rPr>
          <w:rFonts w:ascii="Times New Roman" w:hAnsi="Times New Roman" w:eastAsia="宋体" w:cs="Times New Roman"/>
          <w:i w:val="0"/>
          <w:color w:val="1F2937"/>
          <w:sz w:val="24"/>
          <w:szCs w:val="24"/>
        </w:rPr>
        <w:t>：五星级（≥90 分）、四星级（80~89 分）、三星级（70~79 分）、未达标（&lt;70 分）。</w:t>
      </w:r>
    </w:p>
    <w:tbl>
      <w:tblPr>
        <w:tblStyle w:val="38"/>
        <w:tblW w:w="9784" w:type="dxa"/>
        <w:jc w:val="center"/>
        <w:tblLayout w:type="autofit"/>
        <w:tblCellMar>
          <w:top w:w="0" w:type="dxa"/>
          <w:left w:w="108" w:type="dxa"/>
          <w:bottom w:w="0" w:type="dxa"/>
          <w:right w:w="108" w:type="dxa"/>
        </w:tblCellMar>
      </w:tblPr>
      <w:tblGrid>
        <w:gridCol w:w="781"/>
        <w:gridCol w:w="1383"/>
        <w:gridCol w:w="5037"/>
        <w:gridCol w:w="2583"/>
      </w:tblGrid>
      <w:tr w14:paraId="212BAF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758A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评估维度</w:t>
            </w:r>
          </w:p>
        </w:tc>
        <w:tc>
          <w:tcPr>
            <w:tcW w:w="13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0C1F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标准分值</w:t>
            </w:r>
          </w:p>
        </w:tc>
        <w:tc>
          <w:tcPr>
            <w:tcW w:w="50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A27C1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核心考评条款与扣分规则</w:t>
            </w:r>
          </w:p>
        </w:tc>
        <w:tc>
          <w:tcPr>
            <w:tcW w:w="25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E7444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数据来源与佐证材料</w:t>
            </w:r>
          </w:p>
        </w:tc>
      </w:tr>
      <w:tr w14:paraId="09A8C8E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4A84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基础设施</w:t>
            </w:r>
          </w:p>
        </w:tc>
        <w:tc>
          <w:tcPr>
            <w:tcW w:w="13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39AB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w:t>
            </w:r>
          </w:p>
        </w:tc>
        <w:tc>
          <w:tcPr>
            <w:tcW w:w="50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5025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厂房采光天窗采光比、一级能效节能变压器配置率。不达标扣 2 分/项</w:t>
            </w:r>
          </w:p>
        </w:tc>
        <w:tc>
          <w:tcPr>
            <w:tcW w:w="25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BF01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基础设施台账、工程竣工图纸</w:t>
            </w:r>
          </w:p>
        </w:tc>
      </w:tr>
      <w:tr w14:paraId="7969EE0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9D64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能源利用</w:t>
            </w:r>
          </w:p>
        </w:tc>
        <w:tc>
          <w:tcPr>
            <w:tcW w:w="13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1C95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 分</w:t>
            </w:r>
          </w:p>
        </w:tc>
        <w:tc>
          <w:tcPr>
            <w:tcW w:w="50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DB23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屋顶分布式光伏消纳率（≥30%）、储能削峰填谷、工业余热余压回收。消纳每低 5% 扣 2 分</w:t>
            </w:r>
          </w:p>
        </w:tc>
        <w:tc>
          <w:tcPr>
            <w:tcW w:w="25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BAB0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微电网采集数据、绿电交易凭证</w:t>
            </w:r>
          </w:p>
        </w:tc>
      </w:tr>
      <w:tr w14:paraId="495ED08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A477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产品生态</w:t>
            </w:r>
          </w:p>
        </w:tc>
        <w:tc>
          <w:tcPr>
            <w:tcW w:w="13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7A0A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 分</w:t>
            </w:r>
          </w:p>
        </w:tc>
        <w:tc>
          <w:tcPr>
            <w:tcW w:w="50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B4B1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主力产品全生命周期 LCA 碳足迹认证、绿色包装材料使用率。出口产品无碳标签扣 3 分</w:t>
            </w:r>
          </w:p>
        </w:tc>
        <w:tc>
          <w:tcPr>
            <w:tcW w:w="25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8553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 第三方认证证书</w:t>
            </w:r>
          </w:p>
        </w:tc>
      </w:tr>
      <w:tr w14:paraId="325FE8B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B1ED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w:t>
            </w:r>
          </w:p>
        </w:tc>
        <w:tc>
          <w:tcPr>
            <w:tcW w:w="13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B38F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w:t>
            </w:r>
          </w:p>
        </w:tc>
        <w:tc>
          <w:tcPr>
            <w:tcW w:w="50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C2FB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14064 组织碳盘查报告、年度减排目标达成率。未出具盘查报告扣 5 分</w:t>
            </w:r>
          </w:p>
        </w:tc>
        <w:tc>
          <w:tcPr>
            <w:tcW w:w="25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FFF3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权威第三方核查声明</w:t>
            </w:r>
          </w:p>
        </w:tc>
      </w:tr>
      <w:tr w14:paraId="3ED8E91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E73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碳抵消</w:t>
            </w:r>
          </w:p>
        </w:tc>
        <w:tc>
          <w:tcPr>
            <w:tcW w:w="13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A2F9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 分</w:t>
            </w:r>
          </w:p>
        </w:tc>
        <w:tc>
          <w:tcPr>
            <w:tcW w:w="50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D104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国家绿色电力证书（GEC）批量核销、CCER 碳资产抵消额度。未核销绿证扣 3 分</w:t>
            </w:r>
          </w:p>
        </w:tc>
        <w:tc>
          <w:tcPr>
            <w:tcW w:w="25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2F6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国家绿证平台核销证明文件</w:t>
            </w:r>
          </w:p>
        </w:tc>
      </w:tr>
      <w:tr w14:paraId="0ED3436C">
        <w:tblPrEx>
          <w:tblCellMar>
            <w:top w:w="0" w:type="dxa"/>
            <w:left w:w="108" w:type="dxa"/>
            <w:bottom w:w="0" w:type="dxa"/>
            <w:right w:w="108" w:type="dxa"/>
          </w:tblCellMar>
        </w:tblPrEx>
        <w:trPr>
          <w:jc w:val="center"/>
        </w:trPr>
        <w:tc>
          <w:tcPr>
            <w:tcW w:w="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355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运营管理</w:t>
            </w:r>
          </w:p>
        </w:tc>
        <w:tc>
          <w:tcPr>
            <w:tcW w:w="13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8521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 分</w:t>
            </w:r>
          </w:p>
        </w:tc>
        <w:tc>
          <w:tcPr>
            <w:tcW w:w="50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17C2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50001 能源管理体系认证、专职能碳工程师岗位。体系未年审扣 3 分</w:t>
            </w:r>
          </w:p>
        </w:tc>
        <w:tc>
          <w:tcPr>
            <w:tcW w:w="25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A665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体系证书、管理制度任命文件</w:t>
            </w:r>
          </w:p>
        </w:tc>
      </w:tr>
    </w:tbl>
    <w:p w14:paraId="325A2EB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评估流程</w:t>
      </w:r>
      <w:r>
        <w:rPr>
          <w:rFonts w:ascii="Times New Roman" w:hAnsi="Times New Roman" w:eastAsia="宋体" w:cs="Times New Roman"/>
          <w:i w:val="0"/>
          <w:color w:val="1F2937"/>
          <w:sz w:val="24"/>
          <w:szCs w:val="24"/>
        </w:rPr>
        <w:t>：填报（各维度佐证材料上传）→ 系统按评分表自动计分 → 星级评级 → 二级公司复核 → 集团审批；评分表、佐证材料与审批记录全程留痕。</w:t>
      </w:r>
    </w:p>
    <w:p w14:paraId="63635455">
      <w:pPr>
        <w:pStyle w:val="6"/>
        <w:numPr>
          <w:ilvl w:val="0"/>
          <w:numId w:val="10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714"/>
        <w:gridCol w:w="1891"/>
        <w:gridCol w:w="1271"/>
        <w:gridCol w:w="1271"/>
        <w:gridCol w:w="4637"/>
      </w:tblGrid>
      <w:tr w14:paraId="7A6B70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32A51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9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D05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D40F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AEF0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41DD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763BBC7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2370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9B95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评估年度</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F265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4441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C7EF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不得晚于当前年度</w:t>
            </w:r>
          </w:p>
        </w:tc>
      </w:tr>
      <w:tr w14:paraId="7E83745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88E1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FAD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评估维度</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8AEF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9A38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9D8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 大维度固定枚举</w:t>
            </w:r>
          </w:p>
        </w:tc>
      </w:tr>
      <w:tr w14:paraId="705EA2B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4F17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9D77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标准分值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528C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457B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0616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各维度分值固定，合计 100 分</w:t>
            </w:r>
          </w:p>
        </w:tc>
      </w:tr>
      <w:tr w14:paraId="377F2C7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DFA2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2E0D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自评得分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15D4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5F65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477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 ≤ 得分 ≤ 标准分值</w:t>
            </w:r>
          </w:p>
        </w:tc>
      </w:tr>
      <w:tr w14:paraId="6DE1EFC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CF48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DF12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扣分项明细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B674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4B0A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E0BF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非空，须注明扣分条款编号</w:t>
            </w:r>
          </w:p>
        </w:tc>
      </w:tr>
      <w:tr w14:paraId="7AAAA41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D839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7275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佐证材料附件</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2AD8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BC07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2B60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按维度强制上传，缺失即不可提交</w:t>
            </w:r>
          </w:p>
        </w:tc>
      </w:tr>
      <w:tr w14:paraId="5CE5693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1B2A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68D5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综合得分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DEA7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CAFA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ACF5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各维度得分求和，0~100</w:t>
            </w:r>
          </w:p>
        </w:tc>
      </w:tr>
      <w:tr w14:paraId="179986F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5EC7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E243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星级评定</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9538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9738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D47F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五星/四星/三星/未达标</w:t>
            </w:r>
          </w:p>
        </w:tc>
      </w:tr>
      <w:tr w14:paraId="0152111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3058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31CD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复核意见</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F759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E53A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4B2E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二级公司复核必填</w:t>
            </w:r>
          </w:p>
        </w:tc>
      </w:tr>
      <w:tr w14:paraId="0DFB3D57">
        <w:tblPrEx>
          <w:tblCellMar>
            <w:top w:w="0" w:type="dxa"/>
            <w:left w:w="108" w:type="dxa"/>
            <w:bottom w:w="0" w:type="dxa"/>
            <w:right w:w="108" w:type="dxa"/>
          </w:tblCellMar>
        </w:tblPrEx>
        <w:trPr>
          <w:jc w:val="center"/>
        </w:trPr>
        <w:tc>
          <w:tcPr>
            <w:tcW w:w="7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D245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6E34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审批状态</w:t>
            </w:r>
          </w:p>
        </w:tc>
        <w:tc>
          <w:tcPr>
            <w:tcW w:w="12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45A3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2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D67A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20A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填报中 / 待复核 / 待审批 / 已认定</w:t>
            </w:r>
          </w:p>
        </w:tc>
      </w:tr>
    </w:tbl>
    <w:p w14:paraId="69A3CAB8">
      <w:pPr>
        <w:spacing w:after="60"/>
        <w:rPr>
          <w:rFonts w:hint="eastAsia" w:ascii="宋体" w:hAnsi="宋体" w:eastAsia="宋体" w:cs="宋体"/>
          <w:i w:val="0"/>
          <w:iCs w:val="0"/>
          <w:sz w:val="24"/>
          <w:szCs w:val="24"/>
        </w:rPr>
      </w:pPr>
    </w:p>
    <w:p w14:paraId="15DFBBB7">
      <w:pPr>
        <w:pStyle w:val="6"/>
        <w:numPr>
          <w:ilvl w:val="0"/>
          <w:numId w:val="10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09AADBC">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22E5D97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Score_dim = Standard_dim - Σ ( Deduction_item )    维度得分 = 标准分值 − 扣分合计</w:t>
            </w:r>
          </w:p>
          <w:p w14:paraId="3EE39E3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Score_total = Σ Score_dim                          综合得分 = 各维度得分求和</w:t>
            </w:r>
          </w:p>
          <w:p w14:paraId="490151F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Star = Score_total &gt;= 90 ? 五星 : ( Score_total &gt;= 80 ? 四星 : ( Score_total &gt;= 70 ? 三星 : 未达标 ) )</w:t>
            </w:r>
          </w:p>
          <w:p w14:paraId="50A3888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Rate_pass = N_pass / N_total × 100%                二级公司达标率</w:t>
            </w:r>
          </w:p>
        </w:tc>
      </w:tr>
    </w:tbl>
    <w:p w14:paraId="4161D3FD">
      <w:pPr>
        <w:spacing w:after="40"/>
        <w:rPr>
          <w:rFonts w:hint="eastAsia" w:ascii="宋体" w:hAnsi="宋体" w:eastAsia="宋体" w:cs="宋体"/>
          <w:i w:val="0"/>
          <w:iCs w:val="0"/>
          <w:sz w:val="24"/>
          <w:szCs w:val="24"/>
        </w:rPr>
      </w:pPr>
    </w:p>
    <w:p w14:paraId="6D79B68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各维度标准分值固定（基础设施 15、能源利用 30、产品生态 20、温室气体 15、碳抵消 10、运营管理 10），合计 100 分；扣分规则按考评条款逐项计算，单项扣分不超出该维度标准分值。</w:t>
      </w:r>
    </w:p>
    <w:p w14:paraId="49888303">
      <w:pPr>
        <w:pStyle w:val="6"/>
        <w:numPr>
          <w:ilvl w:val="0"/>
          <w:numId w:val="10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65DB96DB">
      <w:pPr>
        <w:pStyle w:val="19"/>
        <w:widowControl/>
        <w:numPr>
          <w:ilvl w:val="0"/>
          <w:numId w:val="10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分值口径</w:t>
      </w:r>
      <w:r>
        <w:rPr>
          <w:rFonts w:ascii="Times New Roman" w:hAnsi="Times New Roman" w:eastAsia="宋体" w:cs="Times New Roman"/>
          <w:i w:val="0"/>
          <w:color w:val="1F2937"/>
          <w:sz w:val="24"/>
          <w:szCs w:val="24"/>
        </w:rPr>
        <w:t>：6 大维度分值合计恒为 100 分，不允许自定义权重。</w:t>
      </w:r>
    </w:p>
    <w:p w14:paraId="47645F05">
      <w:pPr>
        <w:pStyle w:val="19"/>
        <w:widowControl/>
        <w:numPr>
          <w:ilvl w:val="0"/>
          <w:numId w:val="10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星级口径</w:t>
      </w:r>
      <w:r>
        <w:rPr>
          <w:rFonts w:ascii="Times New Roman" w:hAnsi="Times New Roman" w:eastAsia="宋体" w:cs="Times New Roman"/>
          <w:i w:val="0"/>
          <w:color w:val="1F2937"/>
          <w:sz w:val="24"/>
          <w:szCs w:val="24"/>
        </w:rPr>
        <w:t>：四档阈值为固定铁律，不允许按园区自定义调整。</w:t>
      </w:r>
    </w:p>
    <w:p w14:paraId="65417EC5">
      <w:pPr>
        <w:pStyle w:val="19"/>
        <w:widowControl/>
        <w:numPr>
          <w:ilvl w:val="0"/>
          <w:numId w:val="10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留痕口径</w:t>
      </w:r>
      <w:r>
        <w:rPr>
          <w:rFonts w:ascii="Times New Roman" w:hAnsi="Times New Roman" w:eastAsia="宋体" w:cs="Times New Roman"/>
          <w:i w:val="0"/>
          <w:color w:val="1F2937"/>
          <w:sz w:val="24"/>
          <w:szCs w:val="24"/>
        </w:rPr>
        <w:t>：评分表、佐证材料与审批记录全程留痕，审批通过后不可修改。</w:t>
      </w:r>
    </w:p>
    <w:p w14:paraId="7ADA15F6">
      <w:pPr>
        <w:pStyle w:val="19"/>
        <w:widowControl/>
        <w:numPr>
          <w:ilvl w:val="0"/>
          <w:numId w:val="10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复核口径</w:t>
      </w:r>
      <w:r>
        <w:rPr>
          <w:rFonts w:ascii="Times New Roman" w:hAnsi="Times New Roman" w:eastAsia="宋体" w:cs="Times New Roman"/>
          <w:i w:val="0"/>
          <w:color w:val="1F2937"/>
          <w:sz w:val="24"/>
          <w:szCs w:val="24"/>
        </w:rPr>
        <w:t>：二级公司复核为必经环节，未复核不得进入集团审批。</w:t>
      </w:r>
    </w:p>
    <w:p w14:paraId="7CA8A6AA">
      <w:pPr>
        <w:pStyle w:val="6"/>
        <w:numPr>
          <w:ilvl w:val="0"/>
          <w:numId w:val="10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ABA8777">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AFA799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佐证材料缺失：该维度得分置为 0 且不可提交评估，页面明确列出缺失材料清单。</w:t>
            </w:r>
          </w:p>
          <w:p w14:paraId="36D8FD1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自评得分超出标准分值：前端即时拦截并阻断保存。</w:t>
            </w:r>
          </w:p>
          <w:p w14:paraId="5A3AA78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已认定年度的评估结果：只读锁定，修改须走特批变更流程。</w:t>
            </w:r>
          </w:p>
          <w:p w14:paraId="38B3FCC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二级公司未复核：集团审批按钮置灰。</w:t>
            </w:r>
          </w:p>
        </w:tc>
      </w:tr>
    </w:tbl>
    <w:p w14:paraId="355B9F42">
      <w:pPr>
        <w:spacing w:after="40"/>
        <w:rPr>
          <w:rFonts w:hint="eastAsia" w:ascii="宋体" w:hAnsi="宋体" w:eastAsia="宋体" w:cs="宋体"/>
          <w:i w:val="0"/>
          <w:iCs w:val="0"/>
          <w:sz w:val="24"/>
          <w:szCs w:val="24"/>
        </w:rPr>
      </w:pPr>
    </w:p>
    <w:p w14:paraId="1DA0D055">
      <w:pPr>
        <w:pStyle w:val="6"/>
        <w:numPr>
          <w:ilvl w:val="0"/>
          <w:numId w:val="10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2EDBCC1">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1104F37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零碳工厂自评估三层穿透与星级评定</w:t>
            </w:r>
          </w:p>
          <w:p w14:paraId="3BBA9F8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六维度自动计分与星级映射</w:t>
            </w:r>
          </w:p>
          <w:p w14:paraId="4287F5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某工厂已上传 6 大维度全部佐证材料</w:t>
            </w:r>
          </w:p>
          <w:p w14:paraId="2E5DE93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系统按评分表自动计分</w:t>
            </w:r>
          </w:p>
          <w:p w14:paraId="066F579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综合得分等于 6 个维度得分之和且不超过 100 分</w:t>
            </w:r>
          </w:p>
          <w:p w14:paraId="6D5F7C7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综合得分 ≥90 映射五星、80~89 映射四星、70~79 映射三星、&lt;70 映射未达标</w:t>
            </w:r>
          </w:p>
          <w:p w14:paraId="1594295E">
            <w:pPr>
              <w:spacing w:before="0" w:after="20" w:line="264" w:lineRule="auto"/>
              <w:rPr>
                <w:rFonts w:hint="eastAsia" w:ascii="宋体" w:hAnsi="宋体" w:eastAsia="宋体" w:cs="宋体"/>
                <w:i w:val="0"/>
                <w:iCs w:val="0"/>
                <w:sz w:val="24"/>
                <w:szCs w:val="24"/>
              </w:rPr>
            </w:pPr>
          </w:p>
          <w:p w14:paraId="1CA12D5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佐证材料缺失阻断提交</w:t>
            </w:r>
          </w:p>
          <w:p w14:paraId="557F4DD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某工厂"温室气体"维度尚未上传 ISO 14064 碳盘查报告</w:t>
            </w:r>
          </w:p>
          <w:p w14:paraId="5EEAADF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用户尝试提交自评估</w:t>
            </w:r>
          </w:p>
          <w:p w14:paraId="39AD55B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系统阻断提交并列出缺失材料清单</w:t>
            </w:r>
          </w:p>
          <w:p w14:paraId="19C2DAF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该维度得分置为 0</w:t>
            </w:r>
          </w:p>
          <w:p w14:paraId="5CF36432">
            <w:pPr>
              <w:spacing w:before="0" w:after="20" w:line="264" w:lineRule="auto"/>
              <w:rPr>
                <w:rFonts w:hint="eastAsia" w:ascii="宋体" w:hAnsi="宋体" w:eastAsia="宋体" w:cs="宋体"/>
                <w:i w:val="0"/>
                <w:iCs w:val="0"/>
                <w:sz w:val="24"/>
                <w:szCs w:val="24"/>
              </w:rPr>
            </w:pPr>
          </w:p>
          <w:p w14:paraId="2E3290C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复核前置校验</w:t>
            </w:r>
          </w:p>
          <w:p w14:paraId="692337A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某工厂自评估已提交但二级公司尚未复核</w:t>
            </w:r>
          </w:p>
          <w:p w14:paraId="3753FE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集团审批人打开审批页面</w:t>
            </w:r>
          </w:p>
          <w:p w14:paraId="55FF706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审批按钮置灰不可点击</w:t>
            </w:r>
          </w:p>
          <w:p w14:paraId="2FBCD1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页面提示须先完成二级公司复核</w:t>
            </w:r>
          </w:p>
        </w:tc>
      </w:tr>
    </w:tbl>
    <w:p w14:paraId="2CFE6F7F">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3D522A28">
      <w:pPr>
        <w:pStyle w:val="4"/>
        <w:numPr>
          <w:ilvl w:val="0"/>
          <w:numId w:val="15"/>
        </w:numPr>
        <w:topLinePunct w:val="0"/>
        <w:ind w:left="0" w:leftChars="0" w:firstLine="0" w:firstLineChars="0"/>
        <w:outlineLvl w:val="0"/>
        <w:rPr>
          <w:rFonts w:hint="eastAsia" w:eastAsia="黑体"/>
          <w:b w:val="0"/>
          <w:bCs w:val="0"/>
          <w:sz w:val="30"/>
          <w:szCs w:val="32"/>
        </w:rPr>
      </w:pPr>
      <w:bookmarkStart w:id="32" w:name="_Toc21137"/>
      <w:r>
        <w:rPr>
          <w:rFonts w:ascii="Times New Roman" w:hAnsi="Times New Roman" w:eastAsia="黑体" w:cs="Times New Roman"/>
          <w:b w:val="0"/>
          <w:bCs w:val="0"/>
          <w:sz w:val="30"/>
          <w:szCs w:val="32"/>
        </w:rPr>
        <w:t>统计报表</w:t>
      </w:r>
      <w:bookmarkEnd w:id="32"/>
    </w:p>
    <w:p w14:paraId="67D9D936">
      <w:pPr>
        <w:pStyle w:val="5"/>
        <w:numPr>
          <w:ilvl w:val="0"/>
          <w:numId w:val="106"/>
        </w:numPr>
        <w:ind w:left="0" w:leftChars="0" w:firstLine="0" w:firstLineChars="0"/>
        <w:outlineLvl w:val="1"/>
        <w:rPr>
          <w:rFonts w:eastAsia="黑体"/>
          <w:b w:val="0"/>
          <w:bCs w:val="0"/>
          <w:sz w:val="30"/>
          <w:szCs w:val="24"/>
        </w:rPr>
      </w:pPr>
      <w:bookmarkStart w:id="33" w:name="_Toc16583"/>
      <w:r>
        <w:rPr>
          <w:rFonts w:ascii="Times New Roman" w:hAnsi="Times New Roman" w:eastAsia="黑体" w:cs="Times New Roman"/>
          <w:b w:val="0"/>
          <w:bCs w:val="0"/>
          <w:sz w:val="30"/>
          <w:szCs w:val="24"/>
        </w:rPr>
        <w:t>用能报表</w:t>
      </w:r>
      <w:bookmarkEnd w:id="33"/>
    </w:p>
    <w:p w14:paraId="5930AEB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4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6"/>
                    <pic:cNvPicPr>
                      <a:picLocks noChangeAspect="1"/>
                    </pic:cNvPicPr>
                  </pic:nvPicPr>
                  <pic:blipFill>
                    <a:blip r:embed="rId73"/>
                    <a:stretch>
                      <a:fillRect/>
                    </a:stretch>
                  </pic:blipFill>
                  <pic:spPr>
                    <a:xfrm>
                      <a:off x="0" y="0"/>
                      <a:ext cx="5900420" cy="2925445"/>
                    </a:xfrm>
                    <a:prstGeom prst="rect">
                      <a:avLst/>
                    </a:prstGeom>
                    <a:noFill/>
                    <a:ln>
                      <a:noFill/>
                    </a:ln>
                  </pic:spPr>
                </pic:pic>
              </a:graphicData>
            </a:graphic>
          </wp:inline>
        </w:drawing>
      </w:r>
    </w:p>
    <w:p w14:paraId="39613AA7">
      <w:pPr>
        <w:pStyle w:val="6"/>
        <w:numPr>
          <w:ilvl w:val="0"/>
          <w:numId w:val="10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147851F">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：按组织 × 时间 × 介质三维交叉输出园区用能台账，支撑日/月/年报与集团汇总上报。</w:t>
      </w:r>
    </w:p>
    <w:p w14:paraId="5CD2FD9A">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园区能碳专员（生成）、P3 车间填报员（数据核对）。</w:t>
      </w:r>
    </w:p>
    <w:p w14:paraId="01107E43">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/monitor/report/energy </w:t>
      </w:r>
      <w:r>
        <w:rPr>
          <w:rFonts w:ascii="Times New Roman" w:hAnsi="Times New Roman" w:eastAsia="宋体" w:cs="Times New Roman"/>
          <w:i w:val="0"/>
          <w:color w:val="1F2937"/>
          <w:sz w:val="24"/>
          <w:szCs w:val="24"/>
        </w:rPr>
        <w:t>。</w:t>
      </w:r>
    </w:p>
    <w:p w14:paraId="3EBEF505">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：用能在线监测、折标系数版本库、月度锁账状态。</w:t>
      </w:r>
    </w:p>
    <w:p w14:paraId="65441A75">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：集团上报报表、能源管理体系内审台账。</w:t>
      </w:r>
    </w:p>
    <w:p w14:paraId="3FDD6D45">
      <w:pPr>
        <w:pStyle w:val="6"/>
        <w:numPr>
          <w:ilvl w:val="0"/>
          <w:numId w:val="10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0AD9A57">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：月度能源统计上报场景，需按组织层级与介质维度生成标准化用能台账，并带防伪水印导出对外报送。</w:t>
      </w:r>
    </w:p>
    <w:p w14:paraId="43F07242">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110ABC4">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359BCD98">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按组织 × 时间 × 介质三维交叉生成用能台账并带防伪水印导出 Excel/PDF</w:t>
      </w:r>
      <w:r>
        <w:rPr>
          <w:rFonts w:ascii="Times New Roman" w:hAnsi="Times New Roman" w:eastAsia="宋体" w:cs="Times New Roman"/>
          <w:i w:val="0"/>
          <w:color w:val="1F2937"/>
          <w:sz w:val="24"/>
          <w:szCs w:val="24"/>
        </w:rPr>
        <w:t>，</w:t>
      </w:r>
    </w:p>
    <w:p w14:paraId="4BB3D4AA">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我能高效完成月度能源统计上报且报表具备防篡改权威性</w:t>
      </w:r>
      <w:r>
        <w:rPr>
          <w:rFonts w:ascii="Times New Roman" w:hAnsi="Times New Roman" w:eastAsia="宋体" w:cs="Times New Roman"/>
          <w:i w:val="0"/>
          <w:color w:val="1F2937"/>
          <w:sz w:val="24"/>
          <w:szCs w:val="24"/>
        </w:rPr>
        <w:t>。</w:t>
      </w:r>
    </w:p>
    <w:p w14:paraId="4200C364">
      <w:pPr>
        <w:pStyle w:val="6"/>
        <w:numPr>
          <w:ilvl w:val="0"/>
          <w:numId w:val="10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06FD2F0">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输出粒度</w:t>
      </w:r>
      <w:r>
        <w:rPr>
          <w:rFonts w:ascii="Times New Roman" w:hAnsi="Times New Roman" w:eastAsia="宋体" w:cs="Times New Roman"/>
          <w:i w:val="0"/>
          <w:color w:val="1F2937"/>
          <w:sz w:val="24"/>
          <w:szCs w:val="24"/>
        </w:rPr>
        <w:t>：组织（集团/产业/二级公司/车间）× 时间（日/月/年）× 介质三维交叉输出。</w:t>
      </w:r>
    </w:p>
    <w:p w14:paraId="40B32A4D">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介质维度</w:t>
      </w:r>
      <w:r>
        <w:rPr>
          <w:rFonts w:ascii="Times New Roman" w:hAnsi="Times New Roman" w:eastAsia="宋体" w:cs="Times New Roman"/>
          <w:i w:val="0"/>
          <w:color w:val="1F2937"/>
          <w:sz w:val="24"/>
          <w:szCs w:val="24"/>
        </w:rPr>
        <w:t>：电（尖峰/高峰/平段/低谷分时段统计）、水、蒸汽、天然气、折标准煤合计。</w:t>
      </w:r>
    </w:p>
    <w:p w14:paraId="069810C3">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同比环比</w:t>
      </w:r>
      <w:r>
        <w:rPr>
          <w:rFonts w:ascii="Times New Roman" w:hAnsi="Times New Roman" w:eastAsia="宋体" w:cs="Times New Roman"/>
          <w:i w:val="0"/>
          <w:color w:val="1F2937"/>
          <w:sz w:val="24"/>
          <w:szCs w:val="24"/>
        </w:rPr>
        <w:t>：系统自动计算（环比 = 本期/上期 − 1；同比 = 本期/去年同期 − 1），手工录入带录入人与时间戳。</w:t>
      </w:r>
    </w:p>
    <w:p w14:paraId="47D590B0">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导出</w:t>
      </w:r>
      <w:r>
        <w:rPr>
          <w:rFonts w:ascii="Times New Roman" w:hAnsi="Times New Roman" w:eastAsia="宋体" w:cs="Times New Roman"/>
          <w:i w:val="0"/>
          <w:color w:val="1F2937"/>
          <w:sz w:val="24"/>
          <w:szCs w:val="24"/>
        </w:rPr>
        <w:t>：Excel/PDF 导出强制注入防伪动态水印（员工号、姓名、时间戳、哈希校验码）。</w:t>
      </w:r>
    </w:p>
    <w:p w14:paraId="1E4C2657">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打印模板</w:t>
      </w:r>
      <w:r>
        <w:rPr>
          <w:rFonts w:ascii="Times New Roman" w:hAnsi="Times New Roman" w:eastAsia="宋体" w:cs="Times New Roman"/>
          <w:i w:val="0"/>
          <w:color w:val="1F2937"/>
          <w:sz w:val="24"/>
          <w:szCs w:val="24"/>
        </w:rPr>
        <w:t>：其余格式与打印模板统一沿用导出中心的 A4 横向套打模板，含保密水印、页码与导出哈希校验码。</w:t>
      </w:r>
    </w:p>
    <w:tbl>
      <w:tblPr>
        <w:tblStyle w:val="38"/>
        <w:tblW w:w="9784" w:type="dxa"/>
        <w:jc w:val="center"/>
        <w:tblLayout w:type="autofit"/>
        <w:tblCellMar>
          <w:top w:w="0" w:type="dxa"/>
          <w:left w:w="108" w:type="dxa"/>
          <w:bottom w:w="0" w:type="dxa"/>
          <w:right w:w="108" w:type="dxa"/>
        </w:tblCellMar>
      </w:tblPr>
      <w:tblGrid>
        <w:gridCol w:w="1100"/>
        <w:gridCol w:w="8684"/>
      </w:tblGrid>
      <w:tr w14:paraId="2C3DE5DF">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09F6BE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规则项</w:t>
            </w:r>
          </w:p>
        </w:tc>
        <w:tc>
          <w:tcPr>
            <w:tcW w:w="86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139CD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规则明细</w:t>
            </w:r>
          </w:p>
        </w:tc>
      </w:tr>
      <w:tr w14:paraId="795AE58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3D51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输出粒度</w:t>
            </w:r>
          </w:p>
        </w:tc>
        <w:tc>
          <w:tcPr>
            <w:tcW w:w="86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2C00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组织（集团/产业/二级公司/车间）× 时间（日/月/年）× 介质三维交叉输出</w:t>
            </w:r>
          </w:p>
        </w:tc>
      </w:tr>
      <w:tr w14:paraId="5BC3F5B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1BD3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介质维度</w:t>
            </w:r>
          </w:p>
        </w:tc>
        <w:tc>
          <w:tcPr>
            <w:tcW w:w="86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8F7A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电（尖峰/高峰/平段/低谷分时段统计）、水、蒸汽、天然气、折标准煤合计</w:t>
            </w:r>
          </w:p>
        </w:tc>
      </w:tr>
      <w:tr w14:paraId="0B770C7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FB33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同比环比</w:t>
            </w:r>
          </w:p>
        </w:tc>
        <w:tc>
          <w:tcPr>
            <w:tcW w:w="86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64C3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系统自动计算，手工录入带录入人与时间戳</w:t>
            </w:r>
          </w:p>
        </w:tc>
      </w:tr>
      <w:tr w14:paraId="28296415">
        <w:tblPrEx>
          <w:tblCellMar>
            <w:top w:w="0" w:type="dxa"/>
            <w:left w:w="108" w:type="dxa"/>
            <w:bottom w:w="0" w:type="dxa"/>
            <w:right w:w="108" w:type="dxa"/>
          </w:tblCellMar>
        </w:tblPrEx>
        <w:trPr>
          <w:jc w:val="center"/>
        </w:trPr>
        <w:tc>
          <w:tcPr>
            <w:tcW w:w="11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BB26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w:t>
            </w:r>
          </w:p>
        </w:tc>
        <w:tc>
          <w:tcPr>
            <w:tcW w:w="86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74EF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Excel/PDF 导出强制注入防伪动态水印（员工号、姓名、时间戳、哈希校验码）</w:t>
            </w:r>
          </w:p>
        </w:tc>
      </w:tr>
    </w:tbl>
    <w:p w14:paraId="2B99172F">
      <w:pPr>
        <w:spacing w:after="60"/>
        <w:rPr>
          <w:rFonts w:hint="eastAsia" w:ascii="宋体" w:hAnsi="宋体" w:eastAsia="宋体" w:cs="宋体"/>
          <w:i w:val="0"/>
          <w:iCs w:val="0"/>
          <w:sz w:val="24"/>
          <w:szCs w:val="24"/>
        </w:rPr>
      </w:pPr>
    </w:p>
    <w:p w14:paraId="6F0274AF">
      <w:pPr>
        <w:pStyle w:val="6"/>
        <w:numPr>
          <w:ilvl w:val="0"/>
          <w:numId w:val="10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61"/>
        <w:gridCol w:w="1916"/>
        <w:gridCol w:w="1175"/>
        <w:gridCol w:w="1400"/>
        <w:gridCol w:w="4632"/>
      </w:tblGrid>
      <w:tr w14:paraId="22A62A1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4C1B3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BBD5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7C3A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4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DF48D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3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2051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聚合滚算规则</w:t>
            </w:r>
          </w:p>
        </w:tc>
      </w:tr>
      <w:tr w14:paraId="62A02BB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AC94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91BA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统计周期标签</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550E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A728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日/月/年</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CCE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日报按 0 点截断，月报按自然月自然闭环</w:t>
            </w:r>
          </w:p>
        </w:tc>
      </w:tr>
      <w:tr w14:paraId="15BF6FF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0A7F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AAD2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组织节点名称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72AF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DEF0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6E46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集团/产业/二级公司/车间层级树</w:t>
            </w:r>
          </w:p>
        </w:tc>
      </w:tr>
      <w:tr w14:paraId="31CECAA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53C8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8B32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用电量总计</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2461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A131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D141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(尖峰 + 高峰 + 平段 + 低谷)</w:t>
            </w:r>
          </w:p>
        </w:tc>
      </w:tr>
      <w:tr w14:paraId="25DD5A4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22C6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ADF1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自来水用量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B338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5CBC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D282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市政总表与自备井流量累加</w:t>
            </w:r>
          </w:p>
        </w:tc>
      </w:tr>
      <w:tr w14:paraId="6B6C842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715A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3935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外购蒸汽量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0EB1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7A20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5DE3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车间进汽流量计温压补偿积算</w:t>
            </w:r>
          </w:p>
        </w:tc>
      </w:tr>
      <w:tr w14:paraId="36A8335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C7FB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86F9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天然气消耗量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088E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9E46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7A30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燃气调压计量站流量计</w:t>
            </w:r>
          </w:p>
        </w:tc>
      </w:tr>
      <w:tr w14:paraId="49FAA2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CCC6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BD8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折标准煤总能耗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30FF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95A6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449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(各介质消耗量 × 当量折标系数)</w:t>
            </w:r>
          </w:p>
        </w:tc>
      </w:tr>
      <w:tr w14:paraId="248FECD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CE70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13B3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综合能源总成本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BC5C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965D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8276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(各介质实物量 × 现行能源单价)</w:t>
            </w:r>
          </w:p>
        </w:tc>
      </w:tr>
      <w:tr w14:paraId="45837C8F">
        <w:tblPrEx>
          <w:tblCellMar>
            <w:top w:w="0" w:type="dxa"/>
            <w:left w:w="108" w:type="dxa"/>
            <w:bottom w:w="0" w:type="dxa"/>
            <w:right w:w="108" w:type="dxa"/>
          </w:tblCellMar>
        </w:tblPrEx>
        <w:trPr>
          <w:jc w:val="center"/>
        </w:trPr>
        <w:tc>
          <w:tcPr>
            <w:tcW w:w="6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EB1B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9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F1FA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防伪水印哈希</w:t>
            </w:r>
          </w:p>
        </w:tc>
        <w:tc>
          <w:tcPr>
            <w:tcW w:w="11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C79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722C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26D6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导出时强制生成，与文件内容绑定</w:t>
            </w:r>
          </w:p>
        </w:tc>
      </w:tr>
    </w:tbl>
    <w:p w14:paraId="50679025">
      <w:pPr>
        <w:spacing w:after="60"/>
        <w:rPr>
          <w:rFonts w:hint="eastAsia" w:ascii="宋体" w:hAnsi="宋体" w:eastAsia="宋体" w:cs="宋体"/>
          <w:i w:val="0"/>
          <w:iCs w:val="0"/>
          <w:sz w:val="24"/>
          <w:szCs w:val="24"/>
        </w:rPr>
      </w:pPr>
    </w:p>
    <w:p w14:paraId="0B8E529D">
      <w:pPr>
        <w:pStyle w:val="6"/>
        <w:numPr>
          <w:ilvl w:val="0"/>
          <w:numId w:val="10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D17B46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2B8B785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Q_elec_total = Q_tip + Q_peak + Q_flat + Q_valley     用电量总计</w:t>
            </w:r>
          </w:p>
          <w:p w14:paraId="7B1D1B0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 = Σ ( Q_media × k_media )                     折标准煤总能耗</w:t>
            </w:r>
          </w:p>
          <w:p w14:paraId="71E9570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V_t / V_{t-1} - 1 ) × 100%                   环比</w:t>
            </w:r>
          </w:p>
          <w:p w14:paraId="0B9B09F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V_t / V_{t-12} - 1 ) × 100%                  同比</w:t>
            </w:r>
          </w:p>
          <w:p w14:paraId="758BFE7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 = SHA256( Content + EmpID + Timestamp )          防伪水印哈希</w:t>
            </w:r>
          </w:p>
        </w:tc>
      </w:tr>
    </w:tbl>
    <w:p w14:paraId="210398C8">
      <w:pPr>
        <w:spacing w:after="40"/>
        <w:rPr>
          <w:rFonts w:hint="eastAsia" w:ascii="宋体" w:hAnsi="宋体" w:eastAsia="宋体" w:cs="宋体"/>
          <w:i w:val="0"/>
          <w:iCs w:val="0"/>
          <w:sz w:val="24"/>
          <w:szCs w:val="24"/>
        </w:rPr>
      </w:pPr>
    </w:p>
    <w:p w14:paraId="56681A2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k_media </w:t>
      </w:r>
      <w:r>
        <w:rPr>
          <w:rFonts w:ascii="Times New Roman" w:hAnsi="Times New Roman" w:eastAsia="宋体" w:cs="Times New Roman"/>
          <w:i w:val="0"/>
          <w:color w:val="1F2937"/>
          <w:sz w:val="24"/>
          <w:szCs w:val="24"/>
        </w:rPr>
        <w:t xml:space="preserve"> 为介质折标准煤当量系数；同比环比均以百分比表示，基准值为 0 时显示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w:t>
      </w:r>
    </w:p>
    <w:p w14:paraId="6857ABDB">
      <w:pPr>
        <w:pStyle w:val="6"/>
        <w:numPr>
          <w:ilvl w:val="0"/>
          <w:numId w:val="10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812B2AD">
      <w:pPr>
        <w:pStyle w:val="19"/>
        <w:widowControl/>
        <w:numPr>
          <w:ilvl w:val="0"/>
          <w:numId w:val="1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汇总口径</w:t>
      </w:r>
      <w:r>
        <w:rPr>
          <w:rFonts w:ascii="Times New Roman" w:hAnsi="Times New Roman" w:eastAsia="宋体" w:cs="Times New Roman"/>
          <w:i w:val="0"/>
          <w:color w:val="1F2937"/>
          <w:sz w:val="24"/>
          <w:szCs w:val="24"/>
        </w:rPr>
        <w:t>：绝对量类字段逐级累加；比率与单耗类字段先汇总分子分母再计算。</w:t>
      </w:r>
    </w:p>
    <w:p w14:paraId="45C3881C">
      <w:pPr>
        <w:pStyle w:val="19"/>
        <w:widowControl/>
        <w:numPr>
          <w:ilvl w:val="0"/>
          <w:numId w:val="1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锁账口径</w:t>
      </w:r>
      <w:r>
        <w:rPr>
          <w:rFonts w:ascii="Times New Roman" w:hAnsi="Times New Roman" w:eastAsia="宋体" w:cs="Times New Roman"/>
          <w:i w:val="0"/>
          <w:color w:val="1F2937"/>
          <w:sz w:val="24"/>
          <w:szCs w:val="24"/>
        </w:rPr>
        <w:t>：已关账月度的报表数据冻结，导出时标注"已锁账"。</w:t>
      </w:r>
    </w:p>
    <w:p w14:paraId="17593164">
      <w:pPr>
        <w:pStyle w:val="19"/>
        <w:widowControl/>
        <w:numPr>
          <w:ilvl w:val="0"/>
          <w:numId w:val="1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水印口径</w:t>
      </w:r>
      <w:r>
        <w:rPr>
          <w:rFonts w:ascii="Times New Roman" w:hAnsi="Times New Roman" w:eastAsia="宋体" w:cs="Times New Roman"/>
          <w:i w:val="0"/>
          <w:color w:val="1F2937"/>
          <w:sz w:val="24"/>
          <w:szCs w:val="24"/>
        </w:rPr>
        <w:t>：任何导出行为强制注入水印，无豁免通道。</w:t>
      </w:r>
    </w:p>
    <w:p w14:paraId="0EAEB00A">
      <w:pPr>
        <w:pStyle w:val="19"/>
        <w:widowControl/>
        <w:numPr>
          <w:ilvl w:val="0"/>
          <w:numId w:val="1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舍入口径</w:t>
      </w:r>
      <w:r>
        <w:rPr>
          <w:rFonts w:ascii="Times New Roman" w:hAnsi="Times New Roman" w:eastAsia="宋体" w:cs="Times New Roman"/>
          <w:i w:val="0"/>
          <w:color w:val="1F2937"/>
          <w:sz w:val="24"/>
          <w:szCs w:val="24"/>
        </w:rPr>
        <w:t>：报表数值保留两位小数，汇总行按未舍入原值计算后再舍入，避免累计误差。</w:t>
      </w:r>
    </w:p>
    <w:p w14:paraId="50FAB004">
      <w:pPr>
        <w:pStyle w:val="6"/>
        <w:numPr>
          <w:ilvl w:val="0"/>
          <w:numId w:val="10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CC1BE62">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EF76B1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已锁账月度数据被修改：触发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，提示需 P1 集团高管特批。</w:t>
            </w:r>
          </w:p>
          <w:p w14:paraId="51038BE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导出失败：保留水印参数重试，不输出无水印文件。</w:t>
            </w:r>
          </w:p>
          <w:p w14:paraId="6236C36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除零兜底：同比环比基准值为 0 时显示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77D165B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大数据量导出（如 10 万行）：异步生成并提供下载中心回链，【待补充】导出时限基线。</w:t>
            </w:r>
          </w:p>
        </w:tc>
      </w:tr>
    </w:tbl>
    <w:p w14:paraId="4FB8BB1F">
      <w:pPr>
        <w:spacing w:after="40"/>
        <w:rPr>
          <w:rFonts w:hint="eastAsia" w:ascii="宋体" w:hAnsi="宋体" w:eastAsia="宋体" w:cs="宋体"/>
          <w:i w:val="0"/>
          <w:iCs w:val="0"/>
          <w:sz w:val="24"/>
          <w:szCs w:val="24"/>
        </w:rPr>
      </w:pPr>
    </w:p>
    <w:p w14:paraId="23A0A661">
      <w:pPr>
        <w:pStyle w:val="6"/>
        <w:numPr>
          <w:ilvl w:val="0"/>
          <w:numId w:val="10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157556D">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6AC1901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用能统计报表三维交叉输出</w:t>
            </w:r>
          </w:p>
          <w:p w14:paraId="51BA2F8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三维交叉与折标汇总</w:t>
            </w:r>
          </w:p>
          <w:p w14:paraId="54A25B7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园区当月已录入电、水、蒸汽、天然气四类介质数据</w:t>
            </w:r>
          </w:p>
          <w:p w14:paraId="5FF9DEE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系统生成月度用能报表</w:t>
            </w:r>
          </w:p>
          <w:p w14:paraId="680FA61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报表按组织 × 时间 × 介质三维交叉输出</w:t>
            </w:r>
          </w:p>
          <w:p w14:paraId="6A15AE3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折标准煤总能耗等于各介质消耗量乘以当量折标系数后求和</w:t>
            </w:r>
          </w:p>
          <w:p w14:paraId="1E4CFF1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用电量总计等于尖峰、高峰、平段、低谷四段之和</w:t>
            </w:r>
          </w:p>
          <w:p w14:paraId="0066B1B8">
            <w:pPr>
              <w:spacing w:before="0" w:after="20" w:line="264" w:lineRule="auto"/>
              <w:rPr>
                <w:rFonts w:hint="eastAsia" w:ascii="宋体" w:hAnsi="宋体" w:eastAsia="宋体" w:cs="宋体"/>
                <w:i w:val="0"/>
                <w:iCs w:val="0"/>
                <w:sz w:val="24"/>
                <w:szCs w:val="24"/>
              </w:rPr>
            </w:pPr>
          </w:p>
          <w:p w14:paraId="730C362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导出强制防伪水印</w:t>
            </w:r>
          </w:p>
          <w:p w14:paraId="17DF083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用户点击导出 Excel</w:t>
            </w:r>
          </w:p>
          <w:p w14:paraId="7D96CE5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系统生成导出文件</w:t>
            </w:r>
          </w:p>
          <w:p w14:paraId="6F4D19C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文件内注入导出员工号、姓名、时间戳与哈希校验码</w:t>
            </w:r>
          </w:p>
          <w:p w14:paraId="5EA8343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不存在任何可绕过水印的导出通道</w:t>
            </w:r>
          </w:p>
          <w:p w14:paraId="00DD23B9">
            <w:pPr>
              <w:spacing w:before="0" w:after="20" w:line="264" w:lineRule="auto"/>
              <w:rPr>
                <w:rFonts w:hint="eastAsia" w:ascii="宋体" w:hAnsi="宋体" w:eastAsia="宋体" w:cs="宋体"/>
                <w:i w:val="0"/>
                <w:iCs w:val="0"/>
                <w:sz w:val="24"/>
                <w:szCs w:val="24"/>
              </w:rPr>
            </w:pPr>
          </w:p>
          <w:p w14:paraId="499CD16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锁账月度冻结</w:t>
            </w:r>
          </w:p>
          <w:p w14:paraId="3E85C43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目标月度已完成财务关账</w:t>
            </w:r>
          </w:p>
          <w:p w14:paraId="1CA0D83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用户尝试修改该月度的用能报表数据</w:t>
            </w:r>
          </w:p>
          <w:p w14:paraId="2F2D19B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系统返回 E_SYS_ENTRY_ALREADY_LOCKED</w:t>
            </w:r>
          </w:p>
          <w:p w14:paraId="2760669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提示需由 P1 集团高管特批</w:t>
            </w:r>
          </w:p>
        </w:tc>
      </w:tr>
    </w:tbl>
    <w:p w14:paraId="2AD35408">
      <w:pPr>
        <w:spacing w:after="40"/>
        <w:rPr>
          <w:rFonts w:hint="eastAsia" w:ascii="宋体" w:hAnsi="宋体" w:eastAsia="宋体" w:cs="宋体"/>
          <w:i w:val="0"/>
          <w:iCs w:val="0"/>
          <w:sz w:val="24"/>
          <w:szCs w:val="24"/>
        </w:rPr>
      </w:pPr>
    </w:p>
    <w:p w14:paraId="4BD5455A">
      <w:pPr>
        <w:pStyle w:val="5"/>
        <w:numPr>
          <w:ilvl w:val="0"/>
          <w:numId w:val="106"/>
        </w:numPr>
        <w:ind w:left="0" w:leftChars="0" w:firstLine="0" w:firstLineChars="0"/>
        <w:outlineLvl w:val="1"/>
        <w:rPr>
          <w:rFonts w:eastAsia="黑体"/>
          <w:b w:val="0"/>
          <w:bCs w:val="0"/>
          <w:sz w:val="30"/>
          <w:szCs w:val="24"/>
        </w:rPr>
      </w:pPr>
      <w:bookmarkStart w:id="34" w:name="_Toc18272"/>
      <w:r>
        <w:rPr>
          <w:rFonts w:ascii="Times New Roman" w:hAnsi="Times New Roman" w:eastAsia="黑体" w:cs="Times New Roman"/>
          <w:b w:val="0"/>
          <w:bCs w:val="0"/>
          <w:sz w:val="30"/>
          <w:szCs w:val="24"/>
        </w:rPr>
        <w:t>成本报表</w:t>
      </w:r>
      <w:bookmarkEnd w:id="34"/>
    </w:p>
    <w:p w14:paraId="294C3D15">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5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7"/>
                    <pic:cNvPicPr>
                      <a:picLocks noChangeAspect="1"/>
                    </pic:cNvPicPr>
                  </pic:nvPicPr>
                  <pic:blipFill>
                    <a:blip r:embed="rId74"/>
                    <a:stretch>
                      <a:fillRect/>
                    </a:stretch>
                  </pic:blipFill>
                  <pic:spPr>
                    <a:xfrm>
                      <a:off x="0" y="0"/>
                      <a:ext cx="5900420" cy="2925445"/>
                    </a:xfrm>
                    <a:prstGeom prst="rect">
                      <a:avLst/>
                    </a:prstGeom>
                    <a:noFill/>
                    <a:ln>
                      <a:noFill/>
                    </a:ln>
                  </pic:spPr>
                </pic:pic>
              </a:graphicData>
            </a:graphic>
          </wp:inline>
        </w:drawing>
      </w:r>
    </w:p>
    <w:p w14:paraId="51EBACF1">
      <w:pPr>
        <w:pStyle w:val="6"/>
        <w:numPr>
          <w:ilvl w:val="0"/>
          <w:numId w:val="11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228C2F2E">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：按电费构成与非电介质成本输出园区能源成本台账，单价取自能源价格管理最新生效版本。</w:t>
      </w:r>
    </w:p>
    <w:p w14:paraId="3CC406E2">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：园区财务兼能碳核算专员、P2 园区能碳专员。</w:t>
      </w:r>
    </w:p>
    <w:p w14:paraId="5D8BB272">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/monitor/report/cost </w:t>
      </w:r>
      <w:r>
        <w:rPr>
          <w:rFonts w:ascii="Times New Roman" w:hAnsi="Times New Roman" w:eastAsia="宋体" w:cs="Times New Roman"/>
          <w:i w:val="0"/>
          <w:color w:val="1F2937"/>
          <w:sz w:val="24"/>
          <w:szCs w:val="24"/>
        </w:rPr>
        <w:t>。</w:t>
      </w:r>
    </w:p>
    <w:p w14:paraId="6C0EC73D">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：能源价格管理版本库、用能报表介质用量、基本电费计费方式配置。</w:t>
      </w:r>
    </w:p>
    <w:p w14:paraId="4DF44E1D">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：财务对账依据、成本分析专题报告。</w:t>
      </w:r>
    </w:p>
    <w:p w14:paraId="75BF6FC7">
      <w:pPr>
        <w:pStyle w:val="6"/>
        <w:numPr>
          <w:ilvl w:val="0"/>
          <w:numId w:val="11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572009D">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：月度能源成本入账与对账场景，需按电费构成与非电介质成本分别出具台账，并与财务口径对账。</w:t>
      </w:r>
    </w:p>
    <w:p w14:paraId="030AF7B1">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C10FC4C">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园区财务兼能碳核算专员</w:t>
      </w:r>
      <w:r>
        <w:rPr>
          <w:rFonts w:ascii="Times New Roman" w:hAnsi="Times New Roman" w:eastAsia="宋体" w:cs="Times New Roman"/>
          <w:i w:val="0"/>
          <w:color w:val="1F2937"/>
          <w:sz w:val="24"/>
          <w:szCs w:val="24"/>
        </w:rPr>
        <w:t>，</w:t>
      </w:r>
    </w:p>
    <w:p w14:paraId="101123D8">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按电费构成与非电介质成本生成能源成本台账，单价自动取最新生效版本</w:t>
      </w:r>
      <w:r>
        <w:rPr>
          <w:rFonts w:ascii="Times New Roman" w:hAnsi="Times New Roman" w:eastAsia="宋体" w:cs="Times New Roman"/>
          <w:i w:val="0"/>
          <w:color w:val="1F2937"/>
          <w:sz w:val="24"/>
          <w:szCs w:val="24"/>
        </w:rPr>
        <w:t>，</w:t>
      </w:r>
    </w:p>
    <w:p w14:paraId="2D2D7245">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我能快速完成能源成本入账与财务对账，避免单价用错版本</w:t>
      </w:r>
      <w:r>
        <w:rPr>
          <w:rFonts w:ascii="Times New Roman" w:hAnsi="Times New Roman" w:eastAsia="宋体" w:cs="Times New Roman"/>
          <w:i w:val="0"/>
          <w:color w:val="1F2937"/>
          <w:sz w:val="24"/>
          <w:szCs w:val="24"/>
        </w:rPr>
        <w:t>。</w:t>
      </w:r>
    </w:p>
    <w:p w14:paraId="09C9BC19">
      <w:pPr>
        <w:pStyle w:val="6"/>
        <w:numPr>
          <w:ilvl w:val="0"/>
          <w:numId w:val="11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tbl>
      <w:tblPr>
        <w:tblStyle w:val="38"/>
        <w:tblW w:w="9784" w:type="dxa"/>
        <w:jc w:val="center"/>
        <w:tblLayout w:type="autofit"/>
        <w:tblCellMar>
          <w:top w:w="0" w:type="dxa"/>
          <w:left w:w="108" w:type="dxa"/>
          <w:bottom w:w="0" w:type="dxa"/>
          <w:right w:w="108" w:type="dxa"/>
        </w:tblCellMar>
      </w:tblPr>
      <w:tblGrid>
        <w:gridCol w:w="1880"/>
        <w:gridCol w:w="7904"/>
      </w:tblGrid>
      <w:tr w14:paraId="7D72F504">
        <w:tblPrEx>
          <w:tblCellMar>
            <w:top w:w="0" w:type="dxa"/>
            <w:left w:w="108" w:type="dxa"/>
            <w:bottom w:w="0" w:type="dxa"/>
            <w:right w:w="108" w:type="dxa"/>
          </w:tblCellMar>
        </w:tblPrEx>
        <w:trPr>
          <w:tblHeade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0E822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规则项</w:t>
            </w:r>
          </w:p>
        </w:tc>
        <w:tc>
          <w:tcPr>
            <w:tcW w:w="790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DAA57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规则明细</w:t>
            </w:r>
          </w:p>
        </w:tc>
      </w:tr>
      <w:tr w14:paraId="4AB95A77">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E3FB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电费构成</w:t>
            </w:r>
          </w:p>
        </w:tc>
        <w:tc>
          <w:tcPr>
            <w:tcW w:w="79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2778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尖峰/高峰/平时段/低谷时段电费、基本电费（按容量或最大需量）、功率因数调整电费、总用电成本、综合度电综合单价</w:t>
            </w:r>
          </w:p>
        </w:tc>
      </w:tr>
      <w:tr w14:paraId="7FC11DB0">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809D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非电介质成本</w:t>
            </w:r>
          </w:p>
        </w:tc>
        <w:tc>
          <w:tcPr>
            <w:tcW w:w="79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47C4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水/蒸汽/天然气等按用量 × 单价，单价取自能源价格管理最新生效版本</w:t>
            </w:r>
          </w:p>
        </w:tc>
      </w:tr>
      <w:tr w14:paraId="6D4245F2">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B0B1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力调预警</w:t>
            </w:r>
          </w:p>
        </w:tc>
        <w:tc>
          <w:tcPr>
            <w:tcW w:w="79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2A84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功率因数低于考核值 0.90 时预警提示（力调电费跟踪）</w:t>
            </w:r>
          </w:p>
        </w:tc>
      </w:tr>
      <w:tr w14:paraId="13D5990A">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61E1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w:t>
            </w:r>
          </w:p>
        </w:tc>
        <w:tc>
          <w:tcPr>
            <w:tcW w:w="79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0853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同用能报表防伪水印规则</w:t>
            </w:r>
          </w:p>
        </w:tc>
      </w:tr>
    </w:tbl>
    <w:p w14:paraId="40189151">
      <w:pPr>
        <w:spacing w:after="60"/>
        <w:rPr>
          <w:rFonts w:hint="eastAsia" w:ascii="宋体" w:hAnsi="宋体" w:eastAsia="宋体" w:cs="宋体"/>
          <w:i w:val="0"/>
          <w:iCs w:val="0"/>
          <w:sz w:val="24"/>
          <w:szCs w:val="24"/>
        </w:rPr>
      </w:pPr>
    </w:p>
    <w:p w14:paraId="41F48E34">
      <w:pPr>
        <w:pStyle w:val="19"/>
        <w:widowControl/>
        <w:numPr>
          <w:ilvl w:val="0"/>
          <w:numId w:val="11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单价版本提示</w:t>
      </w:r>
      <w:r>
        <w:rPr>
          <w:rFonts w:ascii="Times New Roman" w:hAnsi="Times New Roman" w:eastAsia="宋体" w:cs="Times New Roman"/>
          <w:i w:val="0"/>
          <w:color w:val="1F2937"/>
          <w:sz w:val="24"/>
          <w:szCs w:val="24"/>
        </w:rPr>
        <w:t>：报表顶部标注本期所用电价与介质单价的版本号及生效日期。</w:t>
      </w:r>
    </w:p>
    <w:p w14:paraId="0C38D49F">
      <w:pPr>
        <w:pStyle w:val="19"/>
        <w:widowControl/>
        <w:numPr>
          <w:ilvl w:val="0"/>
          <w:numId w:val="11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跨期价差调整</w:t>
      </w:r>
      <w:r>
        <w:rPr>
          <w:rFonts w:ascii="Times New Roman" w:hAnsi="Times New Roman" w:eastAsia="宋体" w:cs="Times New Roman"/>
          <w:i w:val="0"/>
          <w:color w:val="1F2937"/>
          <w:sz w:val="24"/>
          <w:szCs w:val="24"/>
        </w:rPr>
        <w:t>：电费发生跨期价差的，一律在调整当期新增「电费跨期调整项」计入当期损益，历史月份报表数值保持不变；已锁账月份（错误码  E_SYS_ENTRY_ALREADY_LOCKED ）严禁被新配置参数追溯重算。</w:t>
      </w:r>
    </w:p>
    <w:p w14:paraId="314AA3DB">
      <w:pPr>
        <w:pStyle w:val="6"/>
        <w:numPr>
          <w:ilvl w:val="0"/>
          <w:numId w:val="11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61"/>
        <w:gridCol w:w="2171"/>
        <w:gridCol w:w="1175"/>
        <w:gridCol w:w="1175"/>
        <w:gridCol w:w="4602"/>
      </w:tblGrid>
      <w:tr w14:paraId="67D256A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5D3227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F46C0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56037E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AF57B9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0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52B5E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1D55D1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FE0D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B756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377A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4B04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4DE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Q_尖 × P_尖</w:t>
            </w:r>
            <w:r>
              <w:rPr>
                <w:rFonts w:hint="eastAsia" w:ascii="宋体" w:hAnsi="宋体" w:eastAsia="宋体" w:cs="宋体"/>
                <w:i w:val="0"/>
                <w:iCs w:val="0"/>
                <w:color w:val="1F2937"/>
                <w:sz w:val="24"/>
                <w:szCs w:val="24"/>
              </w:rPr>
              <w:t>，价格版本须标注</w:t>
            </w:r>
          </w:p>
        </w:tc>
      </w:tr>
      <w:tr w14:paraId="5187288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20BB6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019A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4BCC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DBBA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8E32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Q_峰 × P_峰</w:t>
            </w:r>
          </w:p>
        </w:tc>
      </w:tr>
      <w:tr w14:paraId="4C91A13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0A865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361B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2EAA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D13F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4245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Q_平 × P_平</w:t>
            </w:r>
          </w:p>
        </w:tc>
      </w:tr>
      <w:tr w14:paraId="62DB1B9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87593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E595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ED14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6104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43F1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Q_谷 × P_谷</w:t>
            </w:r>
          </w:p>
        </w:tc>
      </w:tr>
      <w:tr w14:paraId="620BB42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90B5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6895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基本电费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F094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819A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E95E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按容量或最大需量计费</w:t>
            </w:r>
          </w:p>
        </w:tc>
      </w:tr>
      <w:tr w14:paraId="3D37B6D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1815A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1F56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功率因数调整电费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FD4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852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6D6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依据国家力率调整系数表</w:t>
            </w:r>
          </w:p>
        </w:tc>
      </w:tr>
      <w:tr w14:paraId="2E36504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2A2C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51FF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总用电成本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78AA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2480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9930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Σ(分时电费) + 基本电费 ± 力调电费</w:t>
            </w:r>
          </w:p>
        </w:tc>
      </w:tr>
      <w:tr w14:paraId="4B09052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BC76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A090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非电介质成本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293C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5A24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54DB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各介质用量 × 现行单价</w:t>
            </w:r>
          </w:p>
        </w:tc>
      </w:tr>
      <w:tr w14:paraId="7F57E3E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F741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C699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综合度电综合单价</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1642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AAB8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DC8F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总用能费用 / 总用能实物量</w:t>
            </w:r>
          </w:p>
        </w:tc>
      </w:tr>
      <w:tr w14:paraId="54BD0706">
        <w:tblPrEx>
          <w:tblCellMar>
            <w:top w:w="0" w:type="dxa"/>
            <w:left w:w="108" w:type="dxa"/>
            <w:bottom w:w="0" w:type="dxa"/>
            <w:right w:w="108" w:type="dxa"/>
          </w:tblCellMar>
        </w:tblPrEx>
        <w:trPr>
          <w:jc w:val="center"/>
        </w:trPr>
        <w:tc>
          <w:tcPr>
            <w:tcW w:w="6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C8CB8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1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89A9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单价版本号</w:t>
            </w:r>
          </w:p>
        </w:tc>
        <w:tc>
          <w:tcPr>
            <w:tcW w:w="11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0BA7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1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030A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5E41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非空，标注生效起止日期</w:t>
            </w:r>
          </w:p>
        </w:tc>
      </w:tr>
    </w:tbl>
    <w:p w14:paraId="461C4BF3">
      <w:pPr>
        <w:spacing w:after="60"/>
        <w:rPr>
          <w:rFonts w:hint="eastAsia" w:ascii="宋体" w:hAnsi="宋体" w:eastAsia="宋体" w:cs="宋体"/>
          <w:i w:val="0"/>
          <w:iCs w:val="0"/>
          <w:sz w:val="24"/>
          <w:szCs w:val="24"/>
        </w:rPr>
      </w:pPr>
    </w:p>
    <w:p w14:paraId="7EE86CBA">
      <w:pPr>
        <w:pStyle w:val="6"/>
        <w:numPr>
          <w:ilvl w:val="0"/>
          <w:numId w:val="11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1178B85B">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B9C6CC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Cost_tou = Σ ( Q_seg × P_seg )                        分时电度电费</w:t>
            </w:r>
          </w:p>
          <w:p w14:paraId="7D62374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Cost_total = Cost_tou + Cost_basic ± Cost_pf + Σ Cost_media</w:t>
            </w:r>
          </w:p>
          <w:p w14:paraId="085D72D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Unit_price = Cost_total / Σ Q_media                   综合度电综合单价</w:t>
            </w:r>
          </w:p>
          <w:p w14:paraId="177570A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Cost_media = Q_media × P_media                        非电介质成本</w:t>
            </w:r>
          </w:p>
        </w:tc>
      </w:tr>
    </w:tbl>
    <w:p w14:paraId="40A0CD2E">
      <w:pPr>
        <w:spacing w:after="40"/>
        <w:rPr>
          <w:rFonts w:hint="eastAsia" w:ascii="宋体" w:hAnsi="宋体" w:eastAsia="宋体" w:cs="宋体"/>
          <w:i w:val="0"/>
          <w:iCs w:val="0"/>
          <w:sz w:val="24"/>
          <w:szCs w:val="24"/>
        </w:rPr>
      </w:pPr>
    </w:p>
    <w:p w14:paraId="40686C4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：单价  </w:t>
      </w:r>
      <w:r>
        <w:rPr>
          <w:rFonts w:ascii="Times New Roman" w:hAnsi="Times New Roman" w:eastAsia="宋体" w:cs="Times New Roman"/>
          <w:b/>
          <w:i w:val="0"/>
          <w:color w:val="1E3A8A"/>
          <w:sz w:val="24"/>
          <w:szCs w:val="24"/>
        </w:rPr>
        <w:t>P_seg</w:t>
      </w:r>
      <w:r>
        <w:rPr>
          <w:rFonts w:ascii="Times New Roman" w:hAnsi="Times New Roman" w:eastAsia="宋体" w:cs="Times New Roman"/>
          <w:i w:val="0"/>
          <w:color w:val="1F2937"/>
          <w:sz w:val="24"/>
          <w:szCs w:val="24"/>
        </w:rPr>
        <w:t xml:space="preserve">  /  </w:t>
      </w:r>
      <w:r>
        <w:rPr>
          <w:rFonts w:ascii="Times New Roman" w:hAnsi="Times New Roman" w:eastAsia="宋体" w:cs="Times New Roman"/>
          <w:b/>
          <w:i w:val="0"/>
          <w:color w:val="1E3A8A"/>
          <w:sz w:val="24"/>
          <w:szCs w:val="24"/>
        </w:rPr>
        <w:t>P_media</w:t>
      </w:r>
      <w:r>
        <w:rPr>
          <w:rFonts w:ascii="Times New Roman" w:hAnsi="Times New Roman" w:eastAsia="宋体" w:cs="Times New Roman"/>
          <w:i w:val="0"/>
          <w:color w:val="1F2937"/>
          <w:sz w:val="24"/>
          <w:szCs w:val="24"/>
        </w:rPr>
        <w:t xml:space="preserve">  均取自与业务发生时间匹配的能源价格生效版本；跨期调整不得改写历史成本报表，仅允许在当期新增「电费跨期调整项」并留痕。</w:t>
      </w:r>
    </w:p>
    <w:p w14:paraId="0F27717D">
      <w:pPr>
        <w:pStyle w:val="6"/>
        <w:numPr>
          <w:ilvl w:val="0"/>
          <w:numId w:val="11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1EEA82F">
      <w:pPr>
        <w:pStyle w:val="19"/>
        <w:widowControl/>
        <w:numPr>
          <w:ilvl w:val="0"/>
          <w:numId w:val="11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单价口径</w:t>
      </w:r>
      <w:r>
        <w:rPr>
          <w:rFonts w:ascii="Times New Roman" w:hAnsi="Times New Roman" w:eastAsia="宋体" w:cs="Times New Roman"/>
          <w:i w:val="0"/>
          <w:color w:val="1F2937"/>
          <w:sz w:val="24"/>
          <w:szCs w:val="24"/>
        </w:rPr>
        <w:t>：单价版本随报表冻结，后续单价变更不影响已出报表。</w:t>
      </w:r>
    </w:p>
    <w:p w14:paraId="2DAA1962">
      <w:pPr>
        <w:pStyle w:val="19"/>
        <w:widowControl/>
        <w:numPr>
          <w:ilvl w:val="0"/>
          <w:numId w:val="11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电费口径</w:t>
      </w:r>
      <w:r>
        <w:rPr>
          <w:rFonts w:ascii="Times New Roman" w:hAnsi="Times New Roman" w:eastAsia="宋体" w:cs="Times New Roman"/>
          <w:i w:val="0"/>
          <w:color w:val="1F2937"/>
          <w:sz w:val="24"/>
          <w:szCs w:val="24"/>
        </w:rPr>
        <w:t>：基本电费计费方式与成本分析模块保持一致。</w:t>
      </w:r>
    </w:p>
    <w:p w14:paraId="365B5A54">
      <w:pPr>
        <w:pStyle w:val="19"/>
        <w:widowControl/>
        <w:numPr>
          <w:ilvl w:val="0"/>
          <w:numId w:val="11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力调口径</w:t>
      </w:r>
      <w:r>
        <w:rPr>
          <w:rFonts w:ascii="Times New Roman" w:hAnsi="Times New Roman" w:eastAsia="宋体" w:cs="Times New Roman"/>
          <w:i w:val="0"/>
          <w:color w:val="1F2937"/>
          <w:sz w:val="24"/>
          <w:szCs w:val="24"/>
        </w:rPr>
        <w:t>：功率因数低于 0.90 触发预警，报表中标注力调罚金方向。</w:t>
      </w:r>
    </w:p>
    <w:p w14:paraId="1127948F">
      <w:pPr>
        <w:pStyle w:val="19"/>
        <w:widowControl/>
        <w:numPr>
          <w:ilvl w:val="0"/>
          <w:numId w:val="11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对账口径</w:t>
      </w:r>
      <w:r>
        <w:rPr>
          <w:rFonts w:ascii="Times New Roman" w:hAnsi="Times New Roman" w:eastAsia="宋体" w:cs="Times New Roman"/>
          <w:i w:val="0"/>
          <w:color w:val="1F2937"/>
          <w:sz w:val="24"/>
          <w:szCs w:val="24"/>
        </w:rPr>
        <w:t>：报表须同时提供含税与不含税两列，便于与财务对账。</w:t>
      </w:r>
    </w:p>
    <w:p w14:paraId="360B671C">
      <w:pPr>
        <w:pStyle w:val="6"/>
        <w:numPr>
          <w:ilvl w:val="0"/>
          <w:numId w:val="11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60FBB31">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5DB25A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当期能源价格未配置：报表禁止生成，提示"待配置当期能源价格"。</w:t>
            </w:r>
          </w:p>
          <w:p w14:paraId="655FA69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单价版本缺失：导出时阻断并标注缺失行。</w:t>
            </w:r>
          </w:p>
          <w:p w14:paraId="467A1DF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除零兜底：总用能实物量为 0 时综合度电单价显示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7AE7C2D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已锁账月度：成本报表冻结，修改须走特批反冲。</w:t>
            </w:r>
          </w:p>
        </w:tc>
      </w:tr>
    </w:tbl>
    <w:p w14:paraId="0BECEBDA">
      <w:pPr>
        <w:spacing w:after="40"/>
        <w:rPr>
          <w:rFonts w:hint="eastAsia" w:ascii="宋体" w:hAnsi="宋体" w:eastAsia="宋体" w:cs="宋体"/>
          <w:i w:val="0"/>
          <w:iCs w:val="0"/>
          <w:sz w:val="24"/>
          <w:szCs w:val="24"/>
        </w:rPr>
      </w:pPr>
    </w:p>
    <w:p w14:paraId="1AECB470">
      <w:pPr>
        <w:pStyle w:val="6"/>
        <w:numPr>
          <w:ilvl w:val="0"/>
          <w:numId w:val="11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A0187DC">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25BB29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能源成本报表</w:t>
            </w:r>
          </w:p>
          <w:p w14:paraId="7AC24A7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电费构成完整输出</w:t>
            </w:r>
          </w:p>
          <w:p w14:paraId="74710AB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园区当期已配置分时电价与基本电费计费方式</w:t>
            </w:r>
          </w:p>
          <w:p w14:paraId="66AA530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系统生成月度成本报表</w:t>
            </w:r>
          </w:p>
          <w:p w14:paraId="03161AC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报表输出尖峰、高峰、平时段、低谷电费、基本电费、功率因数调整电费与总用电成本</w:t>
            </w:r>
          </w:p>
          <w:p w14:paraId="032176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综合度电综合单价 = 总用能费用 ÷ 总用能实物量</w:t>
            </w:r>
          </w:p>
          <w:p w14:paraId="488D8319">
            <w:pPr>
              <w:spacing w:before="0" w:after="20" w:line="264" w:lineRule="auto"/>
              <w:rPr>
                <w:rFonts w:hint="eastAsia" w:ascii="宋体" w:hAnsi="宋体" w:eastAsia="宋体" w:cs="宋体"/>
                <w:i w:val="0"/>
                <w:iCs w:val="0"/>
                <w:sz w:val="24"/>
                <w:szCs w:val="24"/>
              </w:rPr>
            </w:pPr>
          </w:p>
          <w:p w14:paraId="719B352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单价版本随表冻结</w:t>
            </w:r>
          </w:p>
          <w:p w14:paraId="43680FE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某月度成本报表已生成并锁定单价版本</w:t>
            </w:r>
          </w:p>
          <w:p w14:paraId="1BA1C66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后续能源价格发生变更</w:t>
            </w:r>
          </w:p>
          <w:p w14:paraId="49C85AD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已生成报表的单价保持不变</w:t>
            </w:r>
          </w:p>
          <w:p w14:paraId="2800C6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报表顶部仍标注原单价版本号与生效日期</w:t>
            </w:r>
          </w:p>
        </w:tc>
      </w:tr>
    </w:tbl>
    <w:p w14:paraId="2028FAD6">
      <w:pPr>
        <w:spacing w:after="40"/>
        <w:rPr>
          <w:rFonts w:hint="eastAsia" w:ascii="宋体" w:hAnsi="宋体" w:eastAsia="宋体" w:cs="宋体"/>
          <w:i w:val="0"/>
          <w:iCs w:val="0"/>
          <w:sz w:val="24"/>
          <w:szCs w:val="24"/>
        </w:rPr>
      </w:pPr>
    </w:p>
    <w:p w14:paraId="70E0F45C">
      <w:pPr>
        <w:pStyle w:val="5"/>
        <w:numPr>
          <w:ilvl w:val="0"/>
          <w:numId w:val="106"/>
        </w:numPr>
        <w:ind w:left="0" w:leftChars="0" w:firstLine="0" w:firstLineChars="0"/>
        <w:outlineLvl w:val="1"/>
        <w:rPr>
          <w:rFonts w:eastAsia="黑体"/>
          <w:b w:val="0"/>
          <w:bCs w:val="0"/>
          <w:sz w:val="30"/>
          <w:szCs w:val="24"/>
        </w:rPr>
      </w:pPr>
      <w:bookmarkStart w:id="35" w:name="_Toc22933"/>
      <w:r>
        <w:rPr>
          <w:rFonts w:ascii="Times New Roman" w:hAnsi="Times New Roman" w:eastAsia="黑体" w:cs="Times New Roman"/>
          <w:b w:val="0"/>
          <w:bCs w:val="0"/>
          <w:sz w:val="30"/>
          <w:szCs w:val="24"/>
        </w:rPr>
        <w:t>单耗报表</w:t>
      </w:r>
      <w:bookmarkEnd w:id="35"/>
    </w:p>
    <w:p w14:paraId="201D0B4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8"/>
                    <pic:cNvPicPr>
                      <a:picLocks noChangeAspect="1"/>
                    </pic:cNvPicPr>
                  </pic:nvPicPr>
                  <pic:blipFill>
                    <a:blip r:embed="rId75"/>
                    <a:stretch>
                      <a:fillRect/>
                    </a:stretch>
                  </pic:blipFill>
                  <pic:spPr>
                    <a:xfrm>
                      <a:off x="0" y="0"/>
                      <a:ext cx="5900420" cy="2925445"/>
                    </a:xfrm>
                    <a:prstGeom prst="rect">
                      <a:avLst/>
                    </a:prstGeom>
                    <a:noFill/>
                    <a:ln>
                      <a:noFill/>
                    </a:ln>
                  </pic:spPr>
                </pic:pic>
              </a:graphicData>
            </a:graphic>
          </wp:inline>
        </w:drawing>
      </w:r>
    </w:p>
    <w:p w14:paraId="6970784A">
      <w:pPr>
        <w:pStyle w:val="6"/>
        <w:numPr>
          <w:ilvl w:val="0"/>
          <w:numId w:val="1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1B077449">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：按产业分母隔离规则输出单位产品能耗，细化到产品型号，支撑能效对标与准入核查。</w:t>
      </w:r>
    </w:p>
    <w:p w14:paraId="6816DD98">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园区能碳专员、制造车间主任。</w:t>
      </w:r>
    </w:p>
    <w:p w14:paraId="48CC4E62">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/monitor/report/unit-consumption </w:t>
      </w:r>
      <w:r>
        <w:rPr>
          <w:rFonts w:ascii="Times New Roman" w:hAnsi="Times New Roman" w:eastAsia="宋体" w:cs="Times New Roman"/>
          <w:i w:val="0"/>
          <w:color w:val="1F2937"/>
          <w:sz w:val="24"/>
          <w:szCs w:val="24"/>
        </w:rPr>
        <w:t>。</w:t>
      </w:r>
    </w:p>
    <w:p w14:paraId="04D014BF">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：单位产品能耗核算结果、MES 报工产量、国家准入基准值。</w:t>
      </w:r>
    </w:p>
    <w:p w14:paraId="1783A753">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：能效对标核查材料、节能技改立项依据。</w:t>
      </w:r>
    </w:p>
    <w:p w14:paraId="2B2FEAE7">
      <w:pPr>
        <w:pStyle w:val="6"/>
        <w:numPr>
          <w:ilvl w:val="0"/>
          <w:numId w:val="1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72C6FA79">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：季度能效对标与准入核查场景，需按产业口径分别出具单耗报表，逐型号列示同比环比与准入偏差。</w:t>
      </w:r>
    </w:p>
    <w:p w14:paraId="412B478C">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5A4F9091">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制造车间主任</w:t>
      </w:r>
      <w:r>
        <w:rPr>
          <w:rFonts w:ascii="Times New Roman" w:hAnsi="Times New Roman" w:eastAsia="宋体" w:cs="Times New Roman"/>
          <w:i w:val="0"/>
          <w:color w:val="1F2937"/>
          <w:sz w:val="24"/>
          <w:szCs w:val="24"/>
        </w:rPr>
        <w:t>，</w:t>
      </w:r>
    </w:p>
    <w:p w14:paraId="254CBF0B">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按产业与产品型号导出单位产品能耗报表，含同比、环比与准入基准偏差列</w:t>
      </w:r>
      <w:r>
        <w:rPr>
          <w:rFonts w:ascii="Times New Roman" w:hAnsi="Times New Roman" w:eastAsia="宋体" w:cs="Times New Roman"/>
          <w:i w:val="0"/>
          <w:color w:val="1F2937"/>
          <w:sz w:val="24"/>
          <w:szCs w:val="24"/>
        </w:rPr>
        <w:t>，</w:t>
      </w:r>
    </w:p>
    <w:p w14:paraId="00A5B62D">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我能为能效对标与准入核查提供标准化数据支撑</w:t>
      </w:r>
      <w:r>
        <w:rPr>
          <w:rFonts w:ascii="Times New Roman" w:hAnsi="Times New Roman" w:eastAsia="宋体" w:cs="Times New Roman"/>
          <w:i w:val="0"/>
          <w:color w:val="1F2937"/>
          <w:sz w:val="24"/>
          <w:szCs w:val="24"/>
        </w:rPr>
        <w:t>。</w:t>
      </w:r>
    </w:p>
    <w:p w14:paraId="3E087949">
      <w:pPr>
        <w:pStyle w:val="19"/>
        <w:widowControl/>
        <w:numPr>
          <w:ilvl w:val="0"/>
          <w:numId w:val="119"/>
        </w:numPr>
        <w:ind w:left="0" w:leftChars="0" w:firstLine="482" w:firstLineChars="0"/>
        <w:rPr>
          <w:rFonts w:eastAsia="宋体"/>
          <w:b/>
          <w:i w:val="0"/>
          <w:color w:val="0284C7"/>
          <w:sz w:val="24"/>
          <w:szCs w:val="24"/>
        </w:rPr>
      </w:pPr>
    </w:p>
    <w:p w14:paraId="4D42ACA2">
      <w:pPr>
        <w:pStyle w:val="6"/>
        <w:numPr>
          <w:ilvl w:val="0"/>
          <w:numId w:val="1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tbl>
      <w:tblPr>
        <w:tblStyle w:val="38"/>
        <w:tblW w:w="9784" w:type="dxa"/>
        <w:jc w:val="center"/>
        <w:tblLayout w:type="autofit"/>
        <w:tblCellMar>
          <w:top w:w="0" w:type="dxa"/>
          <w:left w:w="108" w:type="dxa"/>
          <w:bottom w:w="0" w:type="dxa"/>
          <w:right w:w="108" w:type="dxa"/>
        </w:tblCellMar>
      </w:tblPr>
      <w:tblGrid>
        <w:gridCol w:w="1886"/>
        <w:gridCol w:w="7898"/>
      </w:tblGrid>
      <w:tr w14:paraId="46F5E64A">
        <w:tblPrEx>
          <w:tblCellMar>
            <w:top w:w="0" w:type="dxa"/>
            <w:left w:w="108" w:type="dxa"/>
            <w:bottom w:w="0" w:type="dxa"/>
            <w:right w:w="108" w:type="dxa"/>
          </w:tblCellMar>
        </w:tblPrEx>
        <w:trPr>
          <w:tblHeade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6E80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规则项</w:t>
            </w:r>
          </w:p>
        </w:tc>
        <w:tc>
          <w:tcPr>
            <w:tcW w:w="7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9E6DC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规则明细</w:t>
            </w:r>
          </w:p>
        </w:tc>
      </w:tr>
      <w:tr w14:paraId="528D3AB8">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C75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产业分母隔离</w:t>
            </w:r>
          </w:p>
        </w:tc>
        <w:tc>
          <w:tcPr>
            <w:tcW w:w="7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C373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变压器按 kVA / 万kVA 汇算；线缆按 km·mm² 汇算，严禁跨产业混算</w:t>
            </w:r>
          </w:p>
        </w:tc>
      </w:tr>
      <w:tr w14:paraId="7E1CAEF1">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C025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输出指标</w:t>
            </w:r>
          </w:p>
        </w:tc>
        <w:tc>
          <w:tcPr>
            <w:tcW w:w="7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5376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 / 电耗 / 蒸汽消耗 / 天然气消耗 / 水耗 5 项，细化到产品型号</w:t>
            </w:r>
          </w:p>
        </w:tc>
      </w:tr>
      <w:tr w14:paraId="722AFEF1">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009A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对比列</w:t>
            </w:r>
          </w:p>
        </w:tc>
        <w:tc>
          <w:tcPr>
            <w:tcW w:w="7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FC6C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同比、环比、与准入基准偏差</w:t>
            </w:r>
          </w:p>
        </w:tc>
      </w:tr>
      <w:tr w14:paraId="657C121E">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0ADF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除零拦截</w:t>
            </w:r>
          </w:p>
        </w:tc>
        <w:tc>
          <w:tcPr>
            <w:tcW w:w="7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FACF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月产量为 0 时单耗显示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tc>
      </w:tr>
    </w:tbl>
    <w:p w14:paraId="253BDA97">
      <w:pPr>
        <w:spacing w:after="60"/>
        <w:rPr>
          <w:rFonts w:hint="eastAsia" w:ascii="宋体" w:hAnsi="宋体" w:eastAsia="宋体" w:cs="宋体"/>
          <w:i w:val="0"/>
          <w:iCs w:val="0"/>
          <w:sz w:val="24"/>
          <w:szCs w:val="24"/>
        </w:rPr>
      </w:pPr>
    </w:p>
    <w:p w14:paraId="20868288">
      <w:pPr>
        <w:pStyle w:val="19"/>
        <w:widowControl/>
        <w:numPr>
          <w:ilvl w:val="0"/>
          <w:numId w:val="1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产业分离呈现</w:t>
      </w:r>
      <w:r>
        <w:rPr>
          <w:rFonts w:ascii="Times New Roman" w:hAnsi="Times New Roman" w:eastAsia="宋体" w:cs="Times New Roman"/>
          <w:i w:val="0"/>
          <w:color w:val="1F2937"/>
          <w:sz w:val="24"/>
          <w:szCs w:val="24"/>
        </w:rPr>
        <w:t>：变压器与线缆单耗在报表中以两个独立区块呈现，不共用列。</w:t>
      </w:r>
    </w:p>
    <w:p w14:paraId="752AF640">
      <w:pPr>
        <w:pStyle w:val="19"/>
        <w:widowControl/>
        <w:numPr>
          <w:ilvl w:val="0"/>
          <w:numId w:val="1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型号级下钻</w:t>
      </w:r>
      <w:r>
        <w:rPr>
          <w:rFonts w:ascii="Times New Roman" w:hAnsi="Times New Roman" w:eastAsia="宋体" w:cs="Times New Roman"/>
          <w:i w:val="0"/>
          <w:color w:val="1F2937"/>
          <w:sz w:val="24"/>
          <w:szCs w:val="24"/>
        </w:rPr>
        <w:t>：支持从产品大类下钻至规格型号级明细行。</w:t>
      </w:r>
    </w:p>
    <w:p w14:paraId="5694F7EB">
      <w:pPr>
        <w:pStyle w:val="6"/>
        <w:numPr>
          <w:ilvl w:val="0"/>
          <w:numId w:val="1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35"/>
        <w:gridCol w:w="1620"/>
        <w:gridCol w:w="1317"/>
        <w:gridCol w:w="2693"/>
        <w:gridCol w:w="3319"/>
      </w:tblGrid>
      <w:tr w14:paraId="12AA24CB">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3BBA7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F32D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25E4B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49CE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1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E894F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814A7B3">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3BE7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DDB9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产业分类</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B8A1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F757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FC5E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决定分母量纲，禁止跨产业同列</w:t>
            </w:r>
          </w:p>
        </w:tc>
      </w:tr>
      <w:tr w14:paraId="33AC3496">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518C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AD9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产品大类</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E730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E088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FAA8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变压器按高压/中低压/干变；线缆按拉丝/交联/其他</w:t>
            </w:r>
          </w:p>
        </w:tc>
      </w:tr>
      <w:tr w14:paraId="10258930">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20DC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B390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产品规格型号</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B49E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C34F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63B8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物料主数据编码</w:t>
            </w:r>
          </w:p>
        </w:tc>
      </w:tr>
      <w:tr w14:paraId="2FEC31CC">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EF08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659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合格品产量</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FCEE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D6B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或 km·mm²</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1B95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0，为 0 时单耗显示 </w:t>
            </w:r>
            <w:r>
              <w:rPr>
                <w:rFonts w:hint="eastAsia" w:ascii="宋体" w:hAnsi="宋体" w:eastAsia="宋体" w:cs="宋体"/>
                <w:b w:val="0"/>
                <w:i w:val="0"/>
                <w:iCs w:val="0"/>
                <w:color w:val="0284C7"/>
                <w:sz w:val="24"/>
                <w:szCs w:val="24"/>
              </w:rPr>
              <w:t xml:space="preserve"> -- </w:t>
            </w:r>
          </w:p>
        </w:tc>
      </w:tr>
      <w:tr w14:paraId="105E207F">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80C1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4F32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5A1A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B3C3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tce/万kVA 或 tce/万km·mm²</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B526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M</w:t>
            </w:r>
          </w:p>
        </w:tc>
      </w:tr>
      <w:tr w14:paraId="7FF0F297">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5120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2504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单位产品电耗</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DAFD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1421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 或 kWh/km·mm²</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DC5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Q_电 / M</w:t>
            </w:r>
          </w:p>
        </w:tc>
      </w:tr>
      <w:tr w14:paraId="376FB2D3">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FB86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4B51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单位产品蒸汽消耗</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C23A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6FBF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GJ/kVA 或 GJ/km·mm²</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100B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Q_汽 / M</w:t>
            </w:r>
          </w:p>
        </w:tc>
      </w:tr>
      <w:tr w14:paraId="310BBDD0">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E29B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5619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单位产品天然气消耗</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BEBE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279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m³/kVA 或 m³/km·mm²</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A6C8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Q_气 / M</w:t>
            </w:r>
          </w:p>
        </w:tc>
      </w:tr>
      <w:tr w14:paraId="6D925B92">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6DA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ADE7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单位产品水耗</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74F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5D9C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t/kVA 或 t/km·mm²</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4F3F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Q_水 / M</w:t>
            </w:r>
          </w:p>
        </w:tc>
      </w:tr>
      <w:tr w14:paraId="72413CC0">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2E94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6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694F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与准入基准偏差</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25F7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6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E4E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同单耗单位</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5226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国家准入先进值</w:t>
            </w:r>
          </w:p>
        </w:tc>
      </w:tr>
    </w:tbl>
    <w:p w14:paraId="3370A754">
      <w:pPr>
        <w:spacing w:after="60"/>
        <w:rPr>
          <w:rFonts w:hint="eastAsia" w:ascii="宋体" w:hAnsi="宋体" w:eastAsia="宋体" w:cs="宋体"/>
          <w:i w:val="0"/>
          <w:iCs w:val="0"/>
          <w:sz w:val="24"/>
          <w:szCs w:val="24"/>
        </w:rPr>
      </w:pPr>
    </w:p>
    <w:p w14:paraId="3F92C90E">
      <w:pPr>
        <w:pStyle w:val="6"/>
        <w:numPr>
          <w:ilvl w:val="0"/>
          <w:numId w:val="1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BDE72F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4E9F97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e = E / M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单位产品综合能耗</w:t>
            </w:r>
          </w:p>
          <w:p w14:paraId="10C4D8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q_media = Q_media / M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单位产品各介质消耗</w:t>
            </w:r>
          </w:p>
          <w:p w14:paraId="1B97F4C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e_t - e_{t-1} ) / e_{t-1} × 100%      环比</w:t>
            </w:r>
          </w:p>
          <w:p w14:paraId="7168EE1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e_t - e_{t-12} ) / e_{t-12} × 100%    同比</w:t>
            </w:r>
          </w:p>
          <w:p w14:paraId="2D415EE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Gap = e_t - Benchmark_admission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与准入基准偏差</w:t>
            </w:r>
          </w:p>
          <w:p w14:paraId="617B3FC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 = 0 → "--"                           除零拦截</w:t>
            </w:r>
          </w:p>
        </w:tc>
      </w:tr>
    </w:tbl>
    <w:p w14:paraId="559F8B5C">
      <w:pPr>
        <w:spacing w:after="40"/>
        <w:rPr>
          <w:rFonts w:hint="eastAsia" w:ascii="宋体" w:hAnsi="宋体" w:eastAsia="宋体" w:cs="宋体"/>
          <w:i w:val="0"/>
          <w:iCs w:val="0"/>
          <w:sz w:val="24"/>
          <w:szCs w:val="24"/>
        </w:rPr>
      </w:pPr>
    </w:p>
    <w:p w14:paraId="2C82F27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M </w:t>
      </w:r>
      <w:r>
        <w:rPr>
          <w:rFonts w:ascii="Times New Roman" w:hAnsi="Times New Roman" w:eastAsia="宋体" w:cs="Times New Roman"/>
          <w:i w:val="0"/>
          <w:color w:val="1F2937"/>
          <w:sz w:val="24"/>
          <w:szCs w:val="24"/>
        </w:rPr>
        <w:t xml:space="preserve"> 为当期合格品产量，变压器以 kVA / 万 kVA、线缆以 km·mm² / 万 km·mm² 计量；变量纲随产业分类严格隔离。</w:t>
      </w:r>
    </w:p>
    <w:p w14:paraId="6C20C199">
      <w:pPr>
        <w:pStyle w:val="6"/>
        <w:numPr>
          <w:ilvl w:val="0"/>
          <w:numId w:val="1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3F4F0D5">
      <w:pPr>
        <w:pStyle w:val="19"/>
        <w:widowControl/>
        <w:numPr>
          <w:ilvl w:val="0"/>
          <w:numId w:val="1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分母孔径铁律</w:t>
      </w:r>
      <w:r>
        <w:rPr>
          <w:rFonts w:ascii="Times New Roman" w:hAnsi="Times New Roman" w:eastAsia="宋体" w:cs="Times New Roman"/>
          <w:i w:val="0"/>
          <w:color w:val="1F2937"/>
          <w:sz w:val="24"/>
          <w:szCs w:val="24"/>
        </w:rPr>
        <w:t>：变压器以 kVA/万 kVA 汇算，线缆以 km·mm² 汇算，严禁跨产业混算。</w:t>
      </w:r>
    </w:p>
    <w:p w14:paraId="10FB8F8A">
      <w:pPr>
        <w:pStyle w:val="19"/>
        <w:widowControl/>
        <w:numPr>
          <w:ilvl w:val="0"/>
          <w:numId w:val="1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：同比为同型号去年同期，环比为同型号上月。</w:t>
      </w:r>
    </w:p>
    <w:p w14:paraId="3C1A59F1">
      <w:pPr>
        <w:pStyle w:val="19"/>
        <w:widowControl/>
        <w:numPr>
          <w:ilvl w:val="0"/>
          <w:numId w:val="1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偏差口径</w:t>
      </w:r>
      <w:r>
        <w:rPr>
          <w:rFonts w:ascii="Times New Roman" w:hAnsi="Times New Roman" w:eastAsia="宋体" w:cs="Times New Roman"/>
          <w:i w:val="0"/>
          <w:color w:val="1F2937"/>
          <w:sz w:val="24"/>
          <w:szCs w:val="24"/>
        </w:rPr>
        <w:t>：与准入基准偏差基于国家准入先进值计算。</w:t>
      </w:r>
    </w:p>
    <w:p w14:paraId="5CA8153B">
      <w:pPr>
        <w:pStyle w:val="19"/>
        <w:widowControl/>
        <w:numPr>
          <w:ilvl w:val="0"/>
          <w:numId w:val="1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：按标杆值/基准值三色判定。</w:t>
      </w:r>
    </w:p>
    <w:p w14:paraId="58498416">
      <w:pPr>
        <w:pStyle w:val="6"/>
        <w:numPr>
          <w:ilvl w:val="0"/>
          <w:numId w:val="1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4892B7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29CF59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月产量为 0：单耗显示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p w14:paraId="42417F4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产业分母混算：数据库与导出层强约束，禁止混编同列。</w:t>
            </w:r>
          </w:p>
          <w:p w14:paraId="7A2A786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准入基准值缺失：偏差列留空并标注"基准待配置"，不以 0 代替。</w:t>
            </w:r>
          </w:p>
          <w:p w14:paraId="1908424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无工序单位：单耗工序区块输出"暂无相关工序！"。</w:t>
            </w:r>
          </w:p>
        </w:tc>
      </w:tr>
    </w:tbl>
    <w:p w14:paraId="4408431A">
      <w:pPr>
        <w:spacing w:after="40"/>
        <w:rPr>
          <w:rFonts w:hint="eastAsia" w:ascii="宋体" w:hAnsi="宋体" w:eastAsia="宋体" w:cs="宋体"/>
          <w:i w:val="0"/>
          <w:iCs w:val="0"/>
          <w:sz w:val="24"/>
          <w:szCs w:val="24"/>
        </w:rPr>
      </w:pPr>
    </w:p>
    <w:p w14:paraId="3935B647">
      <w:pPr>
        <w:pStyle w:val="6"/>
        <w:numPr>
          <w:ilvl w:val="0"/>
          <w:numId w:val="11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74D199D">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C80DAB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单耗报表产业隔离输出</w:t>
            </w:r>
          </w:p>
          <w:p w14:paraId="420572D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分母隔离与除零拦截</w:t>
            </w:r>
          </w:p>
          <w:p w14:paraId="44DEC67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报表包含变压器与线缆两类产业的单耗数据</w:t>
            </w:r>
          </w:p>
          <w:p w14:paraId="4E8F2AE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系统生成单耗报表</w:t>
            </w:r>
          </w:p>
          <w:p w14:paraId="6DB14FB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变压器单耗以 tce/万kVA 呈现，线缆单耗以 tce/万km·mm² 呈现</w:t>
            </w:r>
          </w:p>
          <w:p w14:paraId="2D281AC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两类产业分别独立成区块且不共用统计列</w:t>
            </w:r>
          </w:p>
          <w:p w14:paraId="25B8BDC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某型号月产量为 0 时其单耗显示为 "--"</w:t>
            </w:r>
          </w:p>
          <w:p w14:paraId="440EC804">
            <w:pPr>
              <w:spacing w:before="0" w:after="20" w:line="264" w:lineRule="auto"/>
              <w:rPr>
                <w:rFonts w:hint="eastAsia" w:ascii="宋体" w:hAnsi="宋体" w:eastAsia="宋体" w:cs="宋体"/>
                <w:i w:val="0"/>
                <w:iCs w:val="0"/>
                <w:sz w:val="24"/>
                <w:szCs w:val="24"/>
              </w:rPr>
            </w:pPr>
          </w:p>
          <w:p w14:paraId="5DD4697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型号级下钻</w:t>
            </w:r>
          </w:p>
          <w:p w14:paraId="6BCFE93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用户在报表中选中变压器高压产线大类</w:t>
            </w:r>
          </w:p>
          <w:p w14:paraId="7B56DAF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执行下钻操作</w:t>
            </w:r>
          </w:p>
          <w:p w14:paraId="667D4E1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明细展开至各规格型号级单耗行</w:t>
            </w:r>
          </w:p>
          <w:p w14:paraId="6AF6D78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每行含同比、环比与准入基准偏差列</w:t>
            </w:r>
          </w:p>
        </w:tc>
      </w:tr>
    </w:tbl>
    <w:p w14:paraId="59F85BDE">
      <w:pPr>
        <w:pStyle w:val="4"/>
        <w:numPr>
          <w:ilvl w:val="0"/>
          <w:numId w:val="15"/>
        </w:numPr>
        <w:topLinePunct w:val="0"/>
        <w:ind w:left="0" w:leftChars="0" w:firstLine="0" w:firstLineChars="0"/>
        <w:outlineLvl w:val="0"/>
        <w:rPr>
          <w:rFonts w:hint="eastAsia" w:eastAsia="黑体"/>
          <w:b w:val="0"/>
          <w:bCs w:val="0"/>
          <w:sz w:val="30"/>
          <w:szCs w:val="32"/>
        </w:rPr>
      </w:pPr>
      <w:bookmarkStart w:id="36" w:name="_Toc9191"/>
      <w:r>
        <w:rPr>
          <w:rFonts w:hint="eastAsia" w:cs="Times New Roman"/>
          <w:b w:val="0"/>
          <w:bCs w:val="0"/>
          <w:sz w:val="30"/>
          <w:szCs w:val="32"/>
          <w:lang w:val="en-US" w:eastAsia="zh-CN"/>
        </w:rPr>
        <w:t>企业基础信息</w:t>
      </w:r>
      <w:bookmarkEnd w:id="36"/>
    </w:p>
    <w:p w14:paraId="4EA01BBA">
      <w:pPr>
        <w:pStyle w:val="5"/>
        <w:numPr>
          <w:ilvl w:val="0"/>
          <w:numId w:val="122"/>
        </w:numPr>
        <w:ind w:left="0" w:leftChars="0" w:firstLine="0" w:firstLineChars="0"/>
        <w:outlineLvl w:val="1"/>
        <w:rPr>
          <w:rFonts w:eastAsia="黑体"/>
          <w:b w:val="0"/>
          <w:bCs w:val="0"/>
          <w:sz w:val="30"/>
          <w:szCs w:val="24"/>
        </w:rPr>
      </w:pPr>
      <w:bookmarkStart w:id="37" w:name="_Toc10576"/>
      <w:r>
        <w:rPr>
          <w:rFonts w:hint="eastAsia" w:cs="Times New Roman"/>
          <w:b w:val="0"/>
          <w:bCs w:val="0"/>
          <w:sz w:val="30"/>
          <w:szCs w:val="24"/>
          <w:lang w:val="en-US" w:eastAsia="zh-CN"/>
        </w:rPr>
        <w:t>企业基础信息</w:t>
      </w:r>
      <w:bookmarkEnd w:id="37"/>
    </w:p>
    <w:p w14:paraId="5021A0E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9"/>
                    <pic:cNvPicPr>
                      <a:picLocks noChangeAspect="1"/>
                    </pic:cNvPicPr>
                  </pic:nvPicPr>
                  <pic:blipFill>
                    <a:blip r:embed="rId76"/>
                    <a:stretch>
                      <a:fillRect/>
                    </a:stretch>
                  </pic:blipFill>
                  <pic:spPr>
                    <a:xfrm>
                      <a:off x="0" y="0"/>
                      <a:ext cx="5900420" cy="2925445"/>
                    </a:xfrm>
                    <a:prstGeom prst="rect">
                      <a:avLst/>
                    </a:prstGeom>
                    <a:noFill/>
                    <a:ln>
                      <a:noFill/>
                    </a:ln>
                  </pic:spPr>
                </pic:pic>
              </a:graphicData>
            </a:graphic>
          </wp:inline>
        </w:drawing>
      </w:r>
    </w:p>
    <w:p w14:paraId="253DADDB">
      <w:pPr>
        <w:pStyle w:val="6"/>
        <w:numPr>
          <w:ilvl w:val="0"/>
          <w:numId w:val="12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58A0810">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：专为车间统计员 (P3) 打造的高效数据录入中枢，解决基层离线生产台账人工录入痛点。</w:t>
      </w:r>
    </w:p>
    <w:p w14:paraId="688B0F0C">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：P3 车间填报员。</w:t>
      </w:r>
    </w:p>
    <w:p w14:paraId="3EC771AB">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/monitor/basic/data-entry </w:t>
      </w:r>
      <w:r>
        <w:rPr>
          <w:rFonts w:ascii="Times New Roman" w:hAnsi="Times New Roman" w:eastAsia="宋体" w:cs="Times New Roman"/>
          <w:i w:val="0"/>
          <w:color w:val="1F2937"/>
          <w:sz w:val="24"/>
          <w:szCs w:val="24"/>
        </w:rPr>
        <w:t xml:space="preserve">；标签页 </w:t>
      </w:r>
      <w:r>
        <w:rPr>
          <w:rFonts w:ascii="Times New Roman" w:hAnsi="Times New Roman" w:eastAsia="宋体" w:cs="Times New Roman"/>
          <w:b w:val="0"/>
          <w:i w:val="0"/>
          <w:color w:val="0284C7"/>
          <w:sz w:val="24"/>
          <w:szCs w:val="24"/>
        </w:rPr>
        <w:t xml:space="preserve"> /production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/energy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/album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/milestone </w:t>
      </w:r>
      <w:r>
        <w:rPr>
          <w:rFonts w:ascii="Times New Roman" w:hAnsi="Times New Roman" w:eastAsia="宋体" w:cs="Times New Roman"/>
          <w:i w:val="0"/>
          <w:color w:val="1F2937"/>
          <w:sz w:val="24"/>
          <w:szCs w:val="24"/>
        </w:rPr>
        <w:t>。</w:t>
      </w:r>
    </w:p>
    <w:p w14:paraId="3A1DB2D6">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：六级组织架构主数据、关键工序对应表白名单、产品规格型号字典、月度锁账状态。</w:t>
      </w:r>
    </w:p>
    <w:p w14:paraId="0A42EEF4">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：指标管控分子分母原始数据、单耗报表产量数据、相册与大事记展示素材。</w:t>
      </w:r>
    </w:p>
    <w:p w14:paraId="44C2BB6B">
      <w:pPr>
        <w:pStyle w:val="6"/>
        <w:numPr>
          <w:ilvl w:val="0"/>
          <w:numId w:val="12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3534C579">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：车间统计员在月末集中录入当月产品产量、能源消耗、园区相册与大事记四类基层数据，需保证高密快速且防错。</w:t>
      </w:r>
    </w:p>
    <w:p w14:paraId="022CC37D">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9F3D7FA">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车间填报员 (Persona P3)</w:t>
      </w:r>
      <w:r>
        <w:rPr>
          <w:rFonts w:ascii="Times New Roman" w:hAnsi="Times New Roman" w:eastAsia="宋体" w:cs="Times New Roman"/>
          <w:i w:val="0"/>
          <w:color w:val="1F2937"/>
          <w:sz w:val="24"/>
          <w:szCs w:val="24"/>
        </w:rPr>
        <w:t>，</w:t>
      </w:r>
    </w:p>
    <w:p w14:paraId="75203ACA">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在四个标签页中快速录入产量、能耗、相册与大事记，并由系统自动校验单位与数值合法性</w:t>
      </w:r>
      <w:r>
        <w:rPr>
          <w:rFonts w:ascii="Times New Roman" w:hAnsi="Times New Roman" w:eastAsia="宋体" w:cs="Times New Roman"/>
          <w:i w:val="0"/>
          <w:color w:val="1F2937"/>
          <w:sz w:val="24"/>
          <w:szCs w:val="24"/>
        </w:rPr>
        <w:t>，</w:t>
      </w:r>
    </w:p>
    <w:p w14:paraId="146973A5">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我能高效完成月度基层数据上报且不因录错导致核算失真</w:t>
      </w:r>
      <w:r>
        <w:rPr>
          <w:rFonts w:ascii="Times New Roman" w:hAnsi="Times New Roman" w:eastAsia="宋体" w:cs="Times New Roman"/>
          <w:i w:val="0"/>
          <w:color w:val="1F2937"/>
          <w:sz w:val="24"/>
          <w:szCs w:val="24"/>
        </w:rPr>
        <w:t>。</w:t>
      </w:r>
    </w:p>
    <w:p w14:paraId="5C3EBA7C">
      <w:pPr>
        <w:pStyle w:val="6"/>
        <w:numPr>
          <w:ilvl w:val="0"/>
          <w:numId w:val="12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8FE9400">
      <w:pPr>
        <w:pStyle w:val="19"/>
        <w:widowControl/>
        <w:ind w:firstLine="482" w:firstLineChars="200"/>
        <w:outlineLvl w:val="3"/>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四大核心工作台（标签页划分）：</w:t>
      </w:r>
    </w:p>
    <w:p w14:paraId="1DCF4165">
      <w:pPr>
        <w:pStyle w:val="7"/>
        <w:numPr>
          <w:ilvl w:val="0"/>
          <w:numId w:val="126"/>
        </w:numPr>
        <w:ind w:left="0" w:leftChars="0" w:firstLine="0" w:firstLineChars="0"/>
        <w:rPr>
          <w:rFonts w:eastAsia="黑体"/>
          <w:b w:val="0"/>
          <w:bCs/>
          <w:sz w:val="28"/>
          <w:szCs w:val="28"/>
        </w:rPr>
      </w:pPr>
      <w:r>
        <w:rPr>
          <w:rFonts w:ascii="Times New Roman" w:hAnsi="Times New Roman" w:eastAsia="黑体" w:cs="Times New Roman"/>
          <w:b w:val="0"/>
          <w:bCs/>
          <w:sz w:val="28"/>
          <w:szCs w:val="28"/>
        </w:rPr>
        <w:t>Tab 1：产品产量录入</w:t>
      </w:r>
    </w:p>
    <w:p w14:paraId="26E6428A">
      <w:pPr>
        <w:pStyle w:val="19"/>
        <w:widowControl/>
        <w:numPr>
          <w:ilvl w:val="0"/>
          <w:numId w:val="127"/>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布局与跨行合并</w:t>
      </w:r>
      <w:r>
        <w:rPr>
          <w:rFonts w:ascii="Times New Roman" w:hAnsi="Times New Roman" w:eastAsia="宋体" w:cs="Times New Roman"/>
          <w:i w:val="0"/>
          <w:color w:val="1F2937"/>
          <w:sz w:val="24"/>
          <w:szCs w:val="24"/>
        </w:rPr>
        <w:t>：同生产单位、同工序的跨行单元格自动合并居中。</w:t>
      </w:r>
    </w:p>
    <w:p w14:paraId="0BD3FA8C">
      <w:pPr>
        <w:pStyle w:val="19"/>
        <w:widowControl/>
        <w:numPr>
          <w:ilvl w:val="0"/>
          <w:numId w:val="127"/>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单位自适应联动</w:t>
      </w:r>
      <w:r>
        <w:rPr>
          <w:rFonts w:ascii="Times New Roman" w:hAnsi="Times New Roman" w:eastAsia="宋体" w:cs="Times New Roman"/>
          <w:i w:val="0"/>
          <w:color w:val="1F2937"/>
          <w:sz w:val="24"/>
          <w:szCs w:val="24"/>
        </w:rPr>
        <w:t>：选择变压器产品单位自动锁定为台/kVA；选择线缆自动联动为 km·mm²。</w:t>
      </w:r>
    </w:p>
    <w:p w14:paraId="0CF12D8D">
      <w:pPr>
        <w:pStyle w:val="19"/>
        <w:widowControl/>
        <w:numPr>
          <w:ilvl w:val="0"/>
          <w:numId w:val="127"/>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防错校验</w:t>
      </w:r>
      <w:r>
        <w:rPr>
          <w:rFonts w:ascii="Times New Roman" w:hAnsi="Times New Roman" w:eastAsia="宋体" w:cs="Times New Roman"/>
          <w:i w:val="0"/>
          <w:color w:val="1F2937"/>
          <w:sz w:val="24"/>
          <w:szCs w:val="24"/>
        </w:rPr>
        <w:t xml:space="preserve">：产量输入必须 ≥ 0，录入负数即时触发 </w:t>
      </w:r>
      <w:r>
        <w:rPr>
          <w:rFonts w:ascii="Times New Roman" w:hAnsi="Times New Roman" w:eastAsia="宋体" w:cs="Times New Roman"/>
          <w:b w:val="0"/>
          <w:i w:val="0"/>
          <w:color w:val="0284C7"/>
          <w:sz w:val="24"/>
          <w:szCs w:val="24"/>
        </w:rPr>
        <w:t xml:space="preserve"> E_VAL_ENERGY_NEGATIVE </w:t>
      </w:r>
      <w:r>
        <w:rPr>
          <w:rFonts w:ascii="Times New Roman" w:hAnsi="Times New Roman" w:eastAsia="宋体" w:cs="Times New Roman"/>
          <w:i w:val="0"/>
          <w:color w:val="1F2937"/>
          <w:sz w:val="24"/>
          <w:szCs w:val="24"/>
        </w:rPr>
        <w:t xml:space="preserve"> 阻断。</w:t>
      </w:r>
    </w:p>
    <w:p w14:paraId="0809562B">
      <w:pPr>
        <w:pStyle w:val="7"/>
        <w:numPr>
          <w:ilvl w:val="0"/>
          <w:numId w:val="126"/>
        </w:numPr>
        <w:ind w:left="0" w:leftChars="0" w:firstLine="0" w:firstLineChars="0"/>
        <w:rPr>
          <w:rFonts w:eastAsia="黑体"/>
          <w:b w:val="0"/>
          <w:bCs/>
          <w:sz w:val="28"/>
          <w:szCs w:val="28"/>
        </w:rPr>
      </w:pPr>
      <w:r>
        <w:rPr>
          <w:rFonts w:ascii="Times New Roman" w:hAnsi="Times New Roman" w:eastAsia="黑体" w:cs="Times New Roman"/>
          <w:b w:val="0"/>
          <w:bCs/>
          <w:sz w:val="28"/>
          <w:szCs w:val="28"/>
        </w:rPr>
        <w:t>Tab 2：能源消耗录入</w:t>
      </w:r>
    </w:p>
    <w:p w14:paraId="13B51B47">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结构与 Tab 1 严格 100% 同构，按电力、水资源、天然气、蒸汽四介质分组合并展示。支持起码、止码输入自动计算实物量，并带非负拦截校验。</w:t>
      </w:r>
    </w:p>
    <w:p w14:paraId="77380A56">
      <w:pPr>
        <w:pStyle w:val="7"/>
        <w:numPr>
          <w:ilvl w:val="0"/>
          <w:numId w:val="126"/>
        </w:numPr>
        <w:ind w:left="0" w:leftChars="0" w:firstLine="0" w:firstLineChars="0"/>
        <w:rPr>
          <w:rFonts w:eastAsia="黑体"/>
          <w:b w:val="0"/>
          <w:bCs/>
          <w:sz w:val="28"/>
          <w:szCs w:val="28"/>
        </w:rPr>
      </w:pPr>
      <w:r>
        <w:rPr>
          <w:rFonts w:ascii="Times New Roman" w:hAnsi="Times New Roman" w:eastAsia="黑体" w:cs="Times New Roman"/>
          <w:b w:val="0"/>
          <w:bCs/>
          <w:sz w:val="28"/>
          <w:szCs w:val="28"/>
        </w:rPr>
        <w:t>Tab 3：园区相册维护 与 Tab 4：园区大事记维护</w:t>
      </w:r>
    </w:p>
    <w:p w14:paraId="662A8AC9">
      <w:pPr>
        <w:pStyle w:val="19"/>
        <w:widowControl/>
        <w:numPr>
          <w:ilvl w:val="0"/>
          <w:numId w:val="12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园区相册维护</w:t>
      </w:r>
      <w:r>
        <w:rPr>
          <w:rFonts w:ascii="Times New Roman" w:hAnsi="Times New Roman" w:eastAsia="宋体" w:cs="Times New Roman"/>
          <w:i w:val="0"/>
          <w:color w:val="1F2937"/>
          <w:sz w:val="24"/>
          <w:szCs w:val="24"/>
        </w:rPr>
        <w:t>：支持各基地实景高清图上传（限制 10MB，JPG/PNG/WEBP），配置相册标题、拍摄日期、展示排序与轮播激活开关。</w:t>
      </w:r>
    </w:p>
    <w:p w14:paraId="023DD2EE">
      <w:pPr>
        <w:pStyle w:val="19"/>
        <w:widowControl/>
        <w:numPr>
          <w:ilvl w:val="0"/>
          <w:numId w:val="12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园区大事记维护</w:t>
      </w:r>
      <w:r>
        <w:rPr>
          <w:rFonts w:ascii="Times New Roman" w:hAnsi="Times New Roman" w:eastAsia="宋体" w:cs="Times New Roman"/>
          <w:i w:val="0"/>
          <w:color w:val="1F2937"/>
          <w:sz w:val="24"/>
          <w:szCs w:val="24"/>
        </w:rPr>
        <w:t>：时间轴节点式录入里程碑事件（如光伏全容量并网、获批国家级零碳工厂等），支持事件标题、发生日期、详细描述与荣誉徽章配置。</w:t>
      </w:r>
    </w:p>
    <w:p w14:paraId="4FB598C4">
      <w:pPr>
        <w:pStyle w:val="19"/>
        <w:widowControl/>
        <w:rPr>
          <w:rFonts w:ascii="Times New Roman" w:hAnsi="Times New Roman" w:eastAsia="宋体" w:cs="Times New Roman"/>
          <w:i w:val="0"/>
          <w:color w:val="1F2937"/>
          <w:sz w:val="24"/>
          <w:szCs w:val="24"/>
        </w:rPr>
      </w:pPr>
      <w:r>
        <w:rPr>
          <w:rFonts w:ascii="Times New Roman" w:hAnsi="Times New Roman" w:eastAsia="宋体" w:cs="Times New Roman"/>
          <w:b/>
          <w:i w:val="0"/>
          <w:color w:val="1E3A8A"/>
          <w:sz w:val="24"/>
          <w:szCs w:val="24"/>
        </w:rPr>
        <w:t>通用交互规则</w:t>
      </w:r>
      <w:r>
        <w:rPr>
          <w:rFonts w:ascii="Times New Roman" w:hAnsi="Times New Roman" w:eastAsia="宋体" w:cs="Times New Roman"/>
          <w:i w:val="0"/>
          <w:color w:val="1F2937"/>
          <w:sz w:val="24"/>
          <w:szCs w:val="24"/>
        </w:rPr>
        <w:t>：提交采用幂等 Token 防刷；已关账月度数据禁止录入，输入框整体置灰。</w:t>
      </w:r>
    </w:p>
    <w:p w14:paraId="27BE3BAA">
      <w:pPr>
        <w:pStyle w:val="19"/>
        <w:widowControl/>
        <w:rPr>
          <w:rFonts w:ascii="Times New Roman" w:hAnsi="Times New Roman" w:eastAsia="宋体" w:cs="Times New Roman"/>
          <w:i w:val="0"/>
          <w:color w:val="1F2937"/>
          <w:sz w:val="24"/>
          <w:szCs w:val="24"/>
        </w:rPr>
      </w:pPr>
    </w:p>
    <w:p w14:paraId="5265E0B6">
      <w:pPr>
        <w:pStyle w:val="19"/>
        <w:widowControl/>
        <w:ind w:left="0" w:leftChars="0" w:firstLine="0" w:firstLineChars="0"/>
        <w:rPr>
          <w:rFonts w:hint="default" w:ascii="Times New Roman" w:hAnsi="Times New Roman" w:eastAsia="宋体" w:cs="Times New Roman"/>
          <w:i w:val="0"/>
          <w:color w:val="1F2937"/>
          <w:sz w:val="24"/>
          <w:szCs w:val="24"/>
          <w:lang w:val="en-US" w:eastAsia="zh-CN"/>
        </w:rPr>
      </w:pPr>
      <w:r>
        <w:rPr>
          <w:rFonts w:hint="eastAsia" w:cs="Times New Roman"/>
          <w:i w:val="0"/>
          <w:color w:val="1F2937"/>
          <w:sz w:val="24"/>
          <w:szCs w:val="24"/>
          <w:lang w:val="en-US" w:eastAsia="zh-CN"/>
        </w:rPr>
        <w:t>申报数据：</w:t>
      </w:r>
      <w:r>
        <w:rPr>
          <w:rFonts w:hint="eastAsia" w:cs="Times New Roman"/>
          <w:i w:val="0"/>
          <w:color w:val="1F2937"/>
          <w:sz w:val="24"/>
          <w:szCs w:val="24"/>
          <w:lang w:val="en-US" w:eastAsia="zh-CN"/>
        </w:rPr>
        <w:br w:type="textWrapping"/>
      </w:r>
      <w:r>
        <w:drawing>
          <wp:inline distT="0" distB="0" distL="114300" distR="114300">
            <wp:extent cx="5906770" cy="3542665"/>
            <wp:effectExtent l="0" t="0" r="17780" b="635"/>
            <wp:docPr id="139"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93"/>
                    <pic:cNvPicPr>
                      <a:picLocks noChangeAspect="1"/>
                    </pic:cNvPicPr>
                  </pic:nvPicPr>
                  <pic:blipFill>
                    <a:blip r:embed="rId77"/>
                    <a:stretch>
                      <a:fillRect/>
                    </a:stretch>
                  </pic:blipFill>
                  <pic:spPr>
                    <a:xfrm>
                      <a:off x="0" y="0"/>
                      <a:ext cx="5906770" cy="3542665"/>
                    </a:xfrm>
                    <a:prstGeom prst="rect">
                      <a:avLst/>
                    </a:prstGeom>
                    <a:noFill/>
                    <a:ln>
                      <a:noFill/>
                    </a:ln>
                  </pic:spPr>
                </pic:pic>
              </a:graphicData>
            </a:graphic>
          </wp:inline>
        </w:drawing>
      </w:r>
    </w:p>
    <w:p w14:paraId="4F834F29">
      <w:pPr>
        <w:pStyle w:val="6"/>
        <w:numPr>
          <w:ilvl w:val="0"/>
          <w:numId w:val="12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p w14:paraId="1F56F71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Tab 1：产品产量录入</w:t>
      </w:r>
    </w:p>
    <w:tbl>
      <w:tblPr>
        <w:tblStyle w:val="38"/>
        <w:tblW w:w="10517" w:type="dxa"/>
        <w:jc w:val="center"/>
        <w:tblLayout w:type="autofit"/>
        <w:tblCellMar>
          <w:top w:w="0" w:type="dxa"/>
          <w:left w:w="108" w:type="dxa"/>
          <w:bottom w:w="0" w:type="dxa"/>
          <w:right w:w="108" w:type="dxa"/>
        </w:tblCellMar>
      </w:tblPr>
      <w:tblGrid>
        <w:gridCol w:w="817"/>
        <w:gridCol w:w="1177"/>
        <w:gridCol w:w="1299"/>
        <w:gridCol w:w="1656"/>
        <w:gridCol w:w="2592"/>
        <w:gridCol w:w="2976"/>
      </w:tblGrid>
      <w:tr w14:paraId="492FA988">
        <w:tblPrEx>
          <w:tblCellMar>
            <w:top w:w="0" w:type="dxa"/>
            <w:left w:w="108" w:type="dxa"/>
            <w:bottom w:w="0" w:type="dxa"/>
            <w:right w:w="108" w:type="dxa"/>
          </w:tblCellMar>
        </w:tblPrEx>
        <w:trPr>
          <w:tblHeade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94E3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2FD2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929DD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6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C7852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9242E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界面控件</w:t>
            </w:r>
          </w:p>
        </w:tc>
        <w:tc>
          <w:tcPr>
            <w:tcW w:w="29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109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1A6BCB1">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8E5E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5CC9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生产单位名称</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1D6C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37FC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1A43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下拉级联选择器</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9897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必须在六级组织架构有效生产基地内</w:t>
            </w:r>
          </w:p>
        </w:tc>
      </w:tr>
      <w:tr w14:paraId="6673CB9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3E9C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6FCB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生产涉及工序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55E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4DA5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B6E4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下拉级联选择器</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61E8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严格受控于《关键工序对应表》白名单</w:t>
            </w:r>
          </w:p>
        </w:tc>
      </w:tr>
      <w:tr w14:paraId="62C5DF5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B060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2E50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产品大类分类</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4947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D16C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5F9B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单选 Radio</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0E9C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决定规格型号联动字典</w:t>
            </w:r>
          </w:p>
        </w:tc>
      </w:tr>
      <w:tr w14:paraId="3DA6376E">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8B3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A25B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产品规格型号</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58E5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34A4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24E3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文本输入/模糊匹配</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D55D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64 字符</w:t>
            </w:r>
          </w:p>
        </w:tc>
      </w:tr>
      <w:tr w14:paraId="03875CC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3E31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513A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产品产量数值</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44B8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DA89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自适应</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5223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数字输入框 (Number)</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A431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 ≥ 0.00，录入负数前端即时拦截</w:t>
            </w:r>
          </w:p>
        </w:tc>
      </w:tr>
      <w:tr w14:paraId="263DA0C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DEE0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5A8E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录入填报人员</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650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53A2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3071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系统登录态自动带出</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E4DE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只读禁用，记录员工真实工号</w:t>
            </w:r>
          </w:p>
        </w:tc>
      </w:tr>
      <w:tr w14:paraId="32D0D93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669E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4D91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统计核算月份</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C32B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077D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64EA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月份选择器 (MonthPicker)</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283D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不可晚于当前月，关账后禁止填报</w:t>
            </w:r>
          </w:p>
        </w:tc>
      </w:tr>
      <w:tr w14:paraId="666E3AB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0777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1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86B9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起码 / 止码</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73B4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C216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表计单位</w:t>
            </w:r>
          </w:p>
        </w:tc>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D9A5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数字输入框</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2AC7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止码 ≥ 起码，否则拦截</w:t>
            </w:r>
          </w:p>
        </w:tc>
      </w:tr>
    </w:tbl>
    <w:p w14:paraId="7784B77E">
      <w:pPr>
        <w:spacing w:after="60"/>
        <w:rPr>
          <w:rFonts w:hint="eastAsia" w:ascii="宋体" w:hAnsi="宋体" w:eastAsia="宋体" w:cs="宋体"/>
          <w:i w:val="0"/>
          <w:iCs w:val="0"/>
          <w:sz w:val="24"/>
          <w:szCs w:val="24"/>
        </w:rPr>
      </w:pPr>
    </w:p>
    <w:p w14:paraId="7707A89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Tab 3 / Tab 4：相册与大事记</w:t>
      </w:r>
    </w:p>
    <w:tbl>
      <w:tblPr>
        <w:tblStyle w:val="38"/>
        <w:tblW w:w="9784" w:type="dxa"/>
        <w:jc w:val="center"/>
        <w:tblLayout w:type="autofit"/>
        <w:tblCellMar>
          <w:top w:w="0" w:type="dxa"/>
          <w:left w:w="108" w:type="dxa"/>
          <w:bottom w:w="0" w:type="dxa"/>
          <w:right w:w="108" w:type="dxa"/>
        </w:tblCellMar>
      </w:tblPr>
      <w:tblGrid>
        <w:gridCol w:w="749"/>
        <w:gridCol w:w="1913"/>
        <w:gridCol w:w="1331"/>
        <w:gridCol w:w="1592"/>
        <w:gridCol w:w="4199"/>
      </w:tblGrid>
      <w:tr w14:paraId="6274256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ED2B6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21264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D4795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7308E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41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E40A72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F645F9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D8C08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265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相册标题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5640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D9BB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847B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64 字符</w:t>
            </w:r>
          </w:p>
        </w:tc>
      </w:tr>
      <w:tr w14:paraId="2EC201A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10619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0293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实景图片附件</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7A23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CDB2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FE4C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限制 10MB，格式 JPG/PNG/WEBP</w:t>
            </w:r>
          </w:p>
        </w:tc>
      </w:tr>
      <w:tr w14:paraId="362E219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DB974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46BF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拍摄日期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6CEF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89FF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135F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不得晚于当前日期</w:t>
            </w:r>
          </w:p>
        </w:tc>
      </w:tr>
      <w:tr w14:paraId="3BFAFB0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D7D95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AB7E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展示排序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0784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901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6889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正整数，同相册内唯一</w:t>
            </w:r>
          </w:p>
        </w:tc>
      </w:tr>
      <w:tr w14:paraId="0A92501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5390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D291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轮播激活开关</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ADE9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Boolean</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A60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F276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单园区最多激活 10 张</w:t>
            </w:r>
          </w:p>
        </w:tc>
      </w:tr>
      <w:tr w14:paraId="095F776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161F7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DE67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事件标题</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616E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B83F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6D71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128 字符</w:t>
            </w:r>
          </w:p>
        </w:tc>
      </w:tr>
      <w:tr w14:paraId="1545BE8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70A7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DB45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发生日期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701B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7ECE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76CC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不得晚于当前日期</w:t>
            </w:r>
          </w:p>
        </w:tc>
      </w:tr>
      <w:tr w14:paraId="4FDAFBE7">
        <w:tblPrEx>
          <w:tblCellMar>
            <w:top w:w="0" w:type="dxa"/>
            <w:left w:w="108" w:type="dxa"/>
            <w:bottom w:w="0" w:type="dxa"/>
            <w:right w:w="108" w:type="dxa"/>
          </w:tblCellMar>
        </w:tblPrEx>
        <w:trPr>
          <w:jc w:val="center"/>
        </w:trPr>
        <w:tc>
          <w:tcPr>
            <w:tcW w:w="7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A90F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91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9123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荣誉徽章配置</w:t>
            </w:r>
          </w:p>
        </w:tc>
        <w:tc>
          <w:tcPr>
            <w:tcW w:w="13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7AEB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5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E835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10E5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国家级/省级/集团级/无</w:t>
            </w:r>
          </w:p>
        </w:tc>
      </w:tr>
    </w:tbl>
    <w:p w14:paraId="096571F7">
      <w:pPr>
        <w:spacing w:after="60"/>
        <w:rPr>
          <w:rFonts w:hint="eastAsia" w:ascii="宋体" w:hAnsi="宋体" w:eastAsia="宋体" w:cs="宋体"/>
          <w:i w:val="0"/>
          <w:iCs w:val="0"/>
          <w:sz w:val="24"/>
          <w:szCs w:val="24"/>
        </w:rPr>
      </w:pPr>
    </w:p>
    <w:p w14:paraId="49131597">
      <w:pPr>
        <w:pStyle w:val="6"/>
        <w:numPr>
          <w:ilvl w:val="0"/>
          <w:numId w:val="12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2CA726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207B891E">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Q_actual = ( Meter_end - Meter_start ) × Ratio     实物量 =（止码 − 起码）× 倍率</w:t>
            </w:r>
          </w:p>
          <w:p w14:paraId="59AA729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Meter_end &gt;= Meter_start                     止码校验</w:t>
            </w:r>
          </w:p>
          <w:p w14:paraId="6E9996F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Q_prod &gt;= 0                                  产量非负校验</w:t>
            </w:r>
          </w:p>
          <w:p w14:paraId="58DB75F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Month &lt;= CurrentMonth                        月份上限校验</w:t>
            </w:r>
          </w:p>
          <w:p w14:paraId="39C3936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Idempotent = Token( empID + month + rowNo )         提交幂等键</w:t>
            </w:r>
          </w:p>
        </w:tc>
      </w:tr>
    </w:tbl>
    <w:p w14:paraId="79693A7F">
      <w:pPr>
        <w:spacing w:after="40"/>
        <w:rPr>
          <w:rFonts w:hint="eastAsia" w:ascii="宋体" w:hAnsi="宋体" w:eastAsia="宋体" w:cs="宋体"/>
          <w:i w:val="0"/>
          <w:iCs w:val="0"/>
          <w:sz w:val="24"/>
          <w:szCs w:val="24"/>
        </w:rPr>
      </w:pPr>
    </w:p>
    <w:p w14:paraId="52D504E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Ratio </w:t>
      </w:r>
      <w:r>
        <w:rPr>
          <w:rFonts w:ascii="Times New Roman" w:hAnsi="Times New Roman" w:eastAsia="宋体" w:cs="Times New Roman"/>
          <w:i w:val="0"/>
          <w:color w:val="1F2937"/>
          <w:sz w:val="24"/>
          <w:szCs w:val="24"/>
        </w:rPr>
        <w:t xml:space="preserve"> 为表计倍率；</w:t>
      </w:r>
      <w:r>
        <w:rPr>
          <w:rFonts w:ascii="Times New Roman" w:hAnsi="Times New Roman" w:eastAsia="宋体" w:cs="Times New Roman"/>
          <w:b w:val="0"/>
          <w:i w:val="0"/>
          <w:color w:val="0284C7"/>
          <w:sz w:val="24"/>
          <w:szCs w:val="24"/>
        </w:rPr>
        <w:t xml:space="preserve"> Q_prod </w:t>
      </w:r>
      <w:r>
        <w:rPr>
          <w:rFonts w:ascii="Times New Roman" w:hAnsi="Times New Roman" w:eastAsia="宋体" w:cs="Times New Roman"/>
          <w:i w:val="0"/>
          <w:color w:val="1F2937"/>
          <w:sz w:val="24"/>
          <w:szCs w:val="24"/>
        </w:rPr>
        <w:t xml:space="preserve"> 为产品产量；幂等键由填报人工号、统计月份与行号组合生成，保证同一条记录重复提交仅入库一次。</w:t>
      </w:r>
    </w:p>
    <w:p w14:paraId="26FEF8B0">
      <w:pPr>
        <w:pStyle w:val="6"/>
        <w:numPr>
          <w:ilvl w:val="0"/>
          <w:numId w:val="12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6C518CDB">
      <w:pPr>
        <w:pStyle w:val="19"/>
        <w:widowControl/>
        <w:numPr>
          <w:ilvl w:val="0"/>
          <w:numId w:val="1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单位口径</w:t>
      </w:r>
      <w:r>
        <w:rPr>
          <w:rFonts w:ascii="Times New Roman" w:hAnsi="Times New Roman" w:eastAsia="宋体" w:cs="Times New Roman"/>
          <w:i w:val="0"/>
          <w:color w:val="1F2937"/>
          <w:sz w:val="24"/>
          <w:szCs w:val="24"/>
        </w:rPr>
        <w:t>：单位自适应由产品大类决定，用户不可手动改写。</w:t>
      </w:r>
    </w:p>
    <w:p w14:paraId="5D06BF9E">
      <w:pPr>
        <w:pStyle w:val="19"/>
        <w:widowControl/>
        <w:numPr>
          <w:ilvl w:val="0"/>
          <w:numId w:val="1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工序口径</w:t>
      </w:r>
      <w:r>
        <w:rPr>
          <w:rFonts w:ascii="Times New Roman" w:hAnsi="Times New Roman" w:eastAsia="宋体" w:cs="Times New Roman"/>
          <w:i w:val="0"/>
          <w:color w:val="1F2937"/>
          <w:sz w:val="24"/>
          <w:szCs w:val="24"/>
        </w:rPr>
        <w:t>：工序下拉严格受控于《关键工序对应表》白名单，非白名单工序不可选。</w:t>
      </w:r>
    </w:p>
    <w:p w14:paraId="03564DA4">
      <w:pPr>
        <w:pStyle w:val="19"/>
        <w:widowControl/>
        <w:numPr>
          <w:ilvl w:val="0"/>
          <w:numId w:val="1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月份口径</w:t>
      </w:r>
      <w:r>
        <w:rPr>
          <w:rFonts w:ascii="Times New Roman" w:hAnsi="Times New Roman" w:eastAsia="宋体" w:cs="Times New Roman"/>
          <w:i w:val="0"/>
          <w:color w:val="1F2937"/>
          <w:sz w:val="24"/>
          <w:szCs w:val="24"/>
        </w:rPr>
        <w:t>：统计核算月份不可晚于当前月；关账后输入整体置灰。</w:t>
      </w:r>
    </w:p>
    <w:p w14:paraId="2F2E81ED">
      <w:pPr>
        <w:pStyle w:val="19"/>
        <w:widowControl/>
        <w:numPr>
          <w:ilvl w:val="0"/>
          <w:numId w:val="1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流转口径</w:t>
      </w:r>
      <w:r>
        <w:rPr>
          <w:rFonts w:ascii="Times New Roman" w:hAnsi="Times New Roman" w:eastAsia="宋体" w:cs="Times New Roman"/>
          <w:i w:val="0"/>
          <w:color w:val="1F2937"/>
          <w:sz w:val="24"/>
          <w:szCs w:val="24"/>
        </w:rPr>
        <w:t>：空白 → 录入中 → 已暂存 → 已提交 → 已入账 → 锁账。</w:t>
      </w:r>
    </w:p>
    <w:p w14:paraId="6DDDB44E">
      <w:pPr>
        <w:pStyle w:val="6"/>
        <w:numPr>
          <w:ilvl w:val="0"/>
          <w:numId w:val="12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6C97C7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D7C0F4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产量录入负数：触发 </w:t>
            </w:r>
            <w:r>
              <w:rPr>
                <w:rFonts w:hint="eastAsia" w:ascii="宋体" w:hAnsi="宋体" w:eastAsia="宋体" w:cs="宋体"/>
                <w:b w:val="0"/>
                <w:i w:val="0"/>
                <w:iCs w:val="0"/>
                <w:color w:val="0284C7"/>
                <w:sz w:val="24"/>
                <w:szCs w:val="24"/>
              </w:rPr>
              <w:t xml:space="preserve"> E_VAL_PROD_QTY_NEGATIVE </w:t>
            </w:r>
            <w:r>
              <w:rPr>
                <w:rFonts w:hint="eastAsia" w:ascii="宋体" w:hAnsi="宋体" w:eastAsia="宋体" w:cs="宋体"/>
                <w:i w:val="0"/>
                <w:iCs w:val="0"/>
                <w:color w:val="1F2937"/>
                <w:sz w:val="24"/>
                <w:szCs w:val="24"/>
              </w:rPr>
              <w:t>，前端红框高亮并阻断提交。</w:t>
            </w:r>
          </w:p>
          <w:p w14:paraId="7F51E96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能源消耗录入负数：触发 </w:t>
            </w:r>
            <w:r>
              <w:rPr>
                <w:rFonts w:hint="eastAsia" w:ascii="宋体" w:hAnsi="宋体" w:eastAsia="宋体" w:cs="宋体"/>
                <w:b w:val="0"/>
                <w:i w:val="0"/>
                <w:iCs w:val="0"/>
                <w:color w:val="0284C7"/>
                <w:sz w:val="24"/>
                <w:szCs w:val="24"/>
              </w:rPr>
              <w:t xml:space="preserve"> E_VAL_ENERGY_NEGATIVE </w:t>
            </w:r>
            <w:r>
              <w:rPr>
                <w:rFonts w:hint="eastAsia" w:ascii="宋体" w:hAnsi="宋体" w:eastAsia="宋体" w:cs="宋体"/>
                <w:i w:val="0"/>
                <w:iCs w:val="0"/>
                <w:color w:val="1F2937"/>
                <w:sz w:val="24"/>
                <w:szCs w:val="24"/>
              </w:rPr>
              <w:t>，同样即时拦截。</w:t>
            </w:r>
          </w:p>
          <w:p w14:paraId="524226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止码小于起码：前端即时拦截，禁止发送请求。</w:t>
            </w:r>
          </w:p>
          <w:p w14:paraId="4EC6A4F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- 100ms 内连续点击提交 3 次：触发 </w:t>
            </w:r>
            <w:r>
              <w:rPr>
                <w:rFonts w:hint="eastAsia" w:ascii="宋体" w:hAnsi="宋体" w:eastAsia="宋体" w:cs="宋体"/>
                <w:b w:val="0"/>
                <w:i w:val="0"/>
                <w:iCs w:val="0"/>
                <w:color w:val="0284C7"/>
                <w:sz w:val="24"/>
                <w:szCs w:val="24"/>
              </w:rPr>
              <w:t xml:space="preserve"> E_SYS_CONCURRENCY_LOCK </w:t>
            </w:r>
            <w:r>
              <w:rPr>
                <w:rFonts w:hint="eastAsia" w:ascii="宋体" w:hAnsi="宋体" w:eastAsia="宋体" w:cs="宋体"/>
                <w:i w:val="0"/>
                <w:iCs w:val="0"/>
                <w:color w:val="1F2937"/>
                <w:sz w:val="24"/>
                <w:szCs w:val="24"/>
              </w:rPr>
              <w:t>，仅首笔入库并提示防刷。</w:t>
            </w:r>
          </w:p>
          <w:p w14:paraId="0C74D8D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已关账月度：触发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，提示需 P1 集团高管特批。</w:t>
            </w:r>
          </w:p>
          <w:p w14:paraId="31B961C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相册图片超过 10MB 或格式不符：上传即时拒绝并提示支持格式。</w:t>
            </w:r>
          </w:p>
        </w:tc>
      </w:tr>
    </w:tbl>
    <w:p w14:paraId="2D75BFDD">
      <w:pPr>
        <w:spacing w:after="40"/>
        <w:rPr>
          <w:rFonts w:hint="eastAsia" w:ascii="宋体" w:hAnsi="宋体" w:eastAsia="宋体" w:cs="宋体"/>
          <w:i w:val="0"/>
          <w:iCs w:val="0"/>
          <w:sz w:val="24"/>
          <w:szCs w:val="24"/>
        </w:rPr>
      </w:pPr>
    </w:p>
    <w:p w14:paraId="272C276A">
      <w:pPr>
        <w:pStyle w:val="6"/>
        <w:numPr>
          <w:ilvl w:val="0"/>
          <w:numId w:val="123"/>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4B81AF13">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F57FDB5">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基层数据录入工作台</w:t>
            </w:r>
          </w:p>
          <w:p w14:paraId="614F818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非负防错校验</w:t>
            </w:r>
          </w:p>
          <w:p w14:paraId="3CE9020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车间填报员在 Tab 1 产品产量录入页</w:t>
            </w:r>
          </w:p>
          <w:p w14:paraId="1B8C63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在生产单位与工序已选中的行内输入产量 -500</w:t>
            </w:r>
          </w:p>
          <w:p w14:paraId="137BB9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输入框即时红框高亮并阻断表单提交</w:t>
            </w:r>
          </w:p>
          <w:p w14:paraId="0FFFC84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E_VAL_PROD_QTY_NEGATIVE</w:t>
            </w:r>
          </w:p>
          <w:p w14:paraId="4F40185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请求未被发送至服务端</w:t>
            </w:r>
          </w:p>
          <w:p w14:paraId="5CB53DBC">
            <w:pPr>
              <w:spacing w:before="0" w:after="20" w:line="264" w:lineRule="auto"/>
              <w:rPr>
                <w:rFonts w:hint="eastAsia" w:ascii="宋体" w:hAnsi="宋体" w:eastAsia="宋体" w:cs="宋体"/>
                <w:i w:val="0"/>
                <w:iCs w:val="0"/>
                <w:sz w:val="24"/>
                <w:szCs w:val="24"/>
              </w:rPr>
            </w:pPr>
          </w:p>
          <w:p w14:paraId="3AE914A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提交并发防刷</w:t>
            </w:r>
          </w:p>
          <w:p w14:paraId="19279F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填报员已填写完整的一行产量数据</w:t>
            </w:r>
          </w:p>
          <w:p w14:paraId="106BF03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在 100 毫秒内快速连续点击提交按钮 3 次</w:t>
            </w:r>
          </w:p>
          <w:p w14:paraId="743F594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仅首笔交易成功入库</w:t>
            </w:r>
          </w:p>
          <w:p w14:paraId="4AFA83B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其余请求返回 E_SYS_CONCURRENCY_LOCK 并提示勿重复提交</w:t>
            </w:r>
          </w:p>
          <w:p w14:paraId="330C8A00">
            <w:pPr>
              <w:spacing w:before="0" w:after="20" w:line="264" w:lineRule="auto"/>
              <w:rPr>
                <w:rFonts w:hint="eastAsia" w:ascii="宋体" w:hAnsi="宋体" w:eastAsia="宋体" w:cs="宋体"/>
                <w:i w:val="0"/>
                <w:iCs w:val="0"/>
                <w:sz w:val="24"/>
                <w:szCs w:val="24"/>
              </w:rPr>
            </w:pPr>
          </w:p>
          <w:p w14:paraId="0185A5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单位自适应联动</w:t>
            </w:r>
          </w:p>
          <w:p w14:paraId="673CF3E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填报员在产品大类分类中选择"线缆"</w:t>
            </w:r>
          </w:p>
          <w:p w14:paraId="2C5226A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页面完成联动刷新</w:t>
            </w:r>
          </w:p>
          <w:p w14:paraId="1E412C1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产品产量单位自动切换为 km·mm²</w:t>
            </w:r>
          </w:p>
          <w:p w14:paraId="0BDBEED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单位字段不可手动改写</w:t>
            </w:r>
          </w:p>
          <w:p w14:paraId="3BAAF0F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填报员改选"变压器"</w:t>
            </w:r>
          </w:p>
          <w:p w14:paraId="701E78C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单位自动切换为台 / kVA</w:t>
            </w:r>
          </w:p>
          <w:p w14:paraId="7D3EE591">
            <w:pPr>
              <w:spacing w:before="0" w:after="20" w:line="264" w:lineRule="auto"/>
              <w:rPr>
                <w:rFonts w:hint="eastAsia" w:ascii="宋体" w:hAnsi="宋体" w:eastAsia="宋体" w:cs="宋体"/>
                <w:i w:val="0"/>
                <w:iCs w:val="0"/>
                <w:sz w:val="24"/>
                <w:szCs w:val="24"/>
              </w:rPr>
            </w:pPr>
          </w:p>
          <w:p w14:paraId="58DB834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关账月度禁止填报</w:t>
            </w:r>
          </w:p>
          <w:p w14:paraId="399A052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目标统计核算月份已完成财务关账</w:t>
            </w:r>
          </w:p>
          <w:p w14:paraId="36E386F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填报员尝试在该月份录入产量数据</w:t>
            </w:r>
          </w:p>
          <w:p w14:paraId="483EA04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输入控件整体置灰并禁止填写</w:t>
            </w:r>
          </w:p>
          <w:p w14:paraId="32467E4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若强行提交则返回 E_SYS_ENTRY_ALREADY_LOCKED</w:t>
            </w:r>
          </w:p>
        </w:tc>
      </w:tr>
    </w:tbl>
    <w:p w14:paraId="17E44595">
      <w:pPr>
        <w:spacing w:after="40"/>
        <w:rPr>
          <w:rFonts w:hint="eastAsia" w:ascii="宋体" w:hAnsi="宋体" w:eastAsia="宋体" w:cs="宋体"/>
          <w:i w:val="0"/>
          <w:iCs w:val="0"/>
          <w:sz w:val="24"/>
          <w:szCs w:val="24"/>
        </w:rPr>
      </w:pPr>
    </w:p>
    <w:p w14:paraId="65860A16">
      <w:pPr>
        <w:pStyle w:val="5"/>
        <w:numPr>
          <w:ilvl w:val="0"/>
          <w:numId w:val="122"/>
        </w:numPr>
        <w:ind w:left="0" w:leftChars="0" w:firstLine="0" w:firstLineChars="0"/>
        <w:outlineLvl w:val="1"/>
        <w:rPr>
          <w:rFonts w:eastAsia="黑体"/>
          <w:b w:val="0"/>
          <w:bCs w:val="0"/>
          <w:sz w:val="30"/>
          <w:szCs w:val="24"/>
        </w:rPr>
      </w:pPr>
      <w:bookmarkStart w:id="38" w:name="_Toc30311"/>
      <w:r>
        <w:rPr>
          <w:rFonts w:hint="eastAsia"/>
          <w:b w:val="0"/>
          <w:bCs w:val="0"/>
          <w:sz w:val="30"/>
          <w:szCs w:val="24"/>
          <w:lang w:val="en-US" w:eastAsia="zh-CN"/>
        </w:rPr>
        <w:t>零碳工厂信息</w:t>
      </w:r>
      <w:bookmarkEnd w:id="38"/>
    </w:p>
    <w:p w14:paraId="1F54EE2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0"/>
                    <pic:cNvPicPr>
                      <a:picLocks noChangeAspect="1"/>
                    </pic:cNvPicPr>
                  </pic:nvPicPr>
                  <pic:blipFill>
                    <a:blip r:embed="rId78"/>
                    <a:stretch>
                      <a:fillRect/>
                    </a:stretch>
                  </pic:blipFill>
                  <pic:spPr>
                    <a:xfrm>
                      <a:off x="0" y="0"/>
                      <a:ext cx="5900420" cy="2925445"/>
                    </a:xfrm>
                    <a:prstGeom prst="rect">
                      <a:avLst/>
                    </a:prstGeom>
                    <a:noFill/>
                    <a:ln>
                      <a:noFill/>
                    </a:ln>
                  </pic:spPr>
                </pic:pic>
              </a:graphicData>
            </a:graphic>
          </wp:inline>
        </w:drawing>
      </w:r>
    </w:p>
    <w:p w14:paraId="154452A7">
      <w:pPr>
        <w:pStyle w:val="6"/>
        <w:numPr>
          <w:ilvl w:val="0"/>
          <w:numId w:val="13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212CBD08">
      <w:pPr>
        <w:pStyle w:val="19"/>
        <w:widowControl/>
        <w:numPr>
          <w:ilvl w:val="0"/>
          <w:numId w:val="1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：承载能源价格管理与折标系数管理两大基础参数，实现峰平谷分时电价阶梯版本化维护与国家标准当量/等价折标系数审计留痕。</w:t>
      </w:r>
    </w:p>
    <w:p w14:paraId="0B816626">
      <w:pPr>
        <w:pStyle w:val="19"/>
        <w:widowControl/>
        <w:numPr>
          <w:ilvl w:val="0"/>
          <w:numId w:val="1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园区能碳专员（维护）、PM（审批）。</w:t>
      </w:r>
    </w:p>
    <w:p w14:paraId="546D59B6">
      <w:pPr>
        <w:pStyle w:val="19"/>
        <w:widowControl/>
        <w:numPr>
          <w:ilvl w:val="0"/>
          <w:numId w:val="1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/monitor/basic/config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/price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/coefficient </w:t>
      </w:r>
      <w:r>
        <w:rPr>
          <w:rFonts w:ascii="Times New Roman" w:hAnsi="Times New Roman" w:eastAsia="宋体" w:cs="Times New Roman"/>
          <w:i w:val="0"/>
          <w:color w:val="1F2937"/>
          <w:sz w:val="24"/>
          <w:szCs w:val="24"/>
        </w:rPr>
        <w:t>。</w:t>
      </w:r>
    </w:p>
    <w:p w14:paraId="34FB891A">
      <w:pPr>
        <w:pStyle w:val="19"/>
        <w:widowControl/>
        <w:numPr>
          <w:ilvl w:val="0"/>
          <w:numId w:val="1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：国家电网分时电价政策文件、GB/T 2589 标准文本。</w:t>
      </w:r>
    </w:p>
    <w:p w14:paraId="3B5B2626">
      <w:pPr>
        <w:pStyle w:val="19"/>
        <w:widowControl/>
        <w:numPr>
          <w:ilvl w:val="0"/>
          <w:numId w:val="1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：全平台成本类、折标类计算的统一参数源。</w:t>
      </w:r>
    </w:p>
    <w:p w14:paraId="05053A79">
      <w:pPr>
        <w:pStyle w:val="6"/>
        <w:numPr>
          <w:ilvl w:val="0"/>
          <w:numId w:val="13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190741D8">
      <w:pPr>
        <w:pStyle w:val="19"/>
        <w:widowControl/>
        <w:numPr>
          <w:ilvl w:val="0"/>
          <w:numId w:val="13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：电价政策调整或国家标准更新时，需版本化维护参数并保证历史核算口径不被污染。</w:t>
      </w:r>
    </w:p>
    <w:p w14:paraId="34D7696E">
      <w:pPr>
        <w:pStyle w:val="19"/>
        <w:widowControl/>
        <w:numPr>
          <w:ilvl w:val="0"/>
          <w:numId w:val="13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284920F">
      <w:pPr>
        <w:pStyle w:val="19"/>
        <w:widowControl/>
        <w:numPr>
          <w:ilvl w:val="0"/>
          <w:numId w:val="13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5AF27C0E">
      <w:pPr>
        <w:pStyle w:val="19"/>
        <w:widowControl/>
        <w:numPr>
          <w:ilvl w:val="0"/>
          <w:numId w:val="13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版本化维护分时电价阶梯与折标系数，并明确系数变更对历史核算的影响策略</w:t>
      </w:r>
      <w:r>
        <w:rPr>
          <w:rFonts w:ascii="Times New Roman" w:hAnsi="Times New Roman" w:eastAsia="宋体" w:cs="Times New Roman"/>
          <w:i w:val="0"/>
          <w:color w:val="1F2937"/>
          <w:sz w:val="24"/>
          <w:szCs w:val="24"/>
        </w:rPr>
        <w:t>，</w:t>
      </w:r>
    </w:p>
    <w:p w14:paraId="130FC69E">
      <w:pPr>
        <w:pStyle w:val="19"/>
        <w:widowControl/>
        <w:numPr>
          <w:ilvl w:val="0"/>
          <w:numId w:val="13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我能保证参数变更可追溯、历史报表口径不被追溯性污染</w:t>
      </w:r>
      <w:r>
        <w:rPr>
          <w:rFonts w:ascii="Times New Roman" w:hAnsi="Times New Roman" w:eastAsia="宋体" w:cs="Times New Roman"/>
          <w:i w:val="0"/>
          <w:color w:val="1F2937"/>
          <w:sz w:val="24"/>
          <w:szCs w:val="24"/>
        </w:rPr>
        <w:t>。</w:t>
      </w:r>
    </w:p>
    <w:p w14:paraId="32899B71">
      <w:pPr>
        <w:pStyle w:val="6"/>
        <w:numPr>
          <w:ilvl w:val="0"/>
          <w:numId w:val="13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3D55506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能源价格管理（细化框架）：</w:t>
      </w:r>
    </w:p>
    <w:p w14:paraId="1DA4B4C1">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维护尖/峰/平/谷分时电价阶梯版本（生效起止日期、各时段价格、基本电费计费方式：按容量或最大需量）；版本化维护，历史版本可查、变更留痕。</w:t>
      </w:r>
    </w:p>
    <w:p w14:paraId="1334B0CB">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字段字典与审批流：能源价格与折标系数均采用版本化字段字典管理（见下方两张字段字典），新增、变更、废止一律经统一工作流引擎审批后生效。</w:t>
      </w:r>
    </w:p>
    <w:p w14:paraId="4E8CF71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能源价格管理 · 字段字典：</w:t>
      </w:r>
    </w:p>
    <w:tbl>
      <w:tblPr>
        <w:tblStyle w:val="38"/>
        <w:tblW w:w="9784" w:type="dxa"/>
        <w:jc w:val="center"/>
        <w:tblLayout w:type="autofit"/>
        <w:tblCellMar>
          <w:top w:w="0" w:type="dxa"/>
          <w:left w:w="108" w:type="dxa"/>
          <w:bottom w:w="0" w:type="dxa"/>
          <w:right w:w="108" w:type="dxa"/>
        </w:tblCellMar>
      </w:tblPr>
      <w:tblGrid>
        <w:gridCol w:w="2087"/>
        <w:gridCol w:w="2349"/>
        <w:gridCol w:w="5348"/>
      </w:tblGrid>
      <w:tr w14:paraId="7512FEE9">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E88F9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7E7B9D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534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FA8346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07F4412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A04D8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介质/时段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55DE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53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AF33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电-尖/峰/平/谷；水/蒸汽/天然气按计量周期</w:t>
            </w:r>
          </w:p>
        </w:tc>
      </w:tr>
      <w:tr w14:paraId="3AEFCCD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D338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单价</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35D1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53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CB0C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元/kWh、元/m³、元/t</w:t>
            </w:r>
          </w:p>
        </w:tc>
      </w:tr>
      <w:tr w14:paraId="661587D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F78D1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计费方式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DD28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53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7BE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基本电费按容量或最大需量</w:t>
            </w:r>
          </w:p>
        </w:tc>
      </w:tr>
      <w:tr w14:paraId="311D87DC">
        <w:tblPrEx>
          <w:tblCellMar>
            <w:top w:w="0" w:type="dxa"/>
            <w:left w:w="108" w:type="dxa"/>
            <w:bottom w:w="0" w:type="dxa"/>
            <w:right w:w="108" w:type="dxa"/>
          </w:tblCellMar>
        </w:tblPrEx>
        <w:trPr>
          <w:jc w:val="center"/>
        </w:trPr>
        <w:tc>
          <w:tcPr>
            <w:tcW w:w="20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F703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生效起止/版本号</w:t>
            </w:r>
          </w:p>
        </w:tc>
        <w:tc>
          <w:tcPr>
            <w:tcW w:w="23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CFAE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DateTime / String</w:t>
            </w:r>
          </w:p>
        </w:tc>
        <w:tc>
          <w:tcPr>
            <w:tcW w:w="53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E61B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版本化维护，历史版本可查、变更留痕</w:t>
            </w:r>
          </w:p>
        </w:tc>
      </w:tr>
    </w:tbl>
    <w:p w14:paraId="0158EA09">
      <w:pPr>
        <w:spacing w:after="60"/>
        <w:rPr>
          <w:rFonts w:hint="eastAsia" w:ascii="宋体" w:hAnsi="宋体" w:eastAsia="宋体" w:cs="宋体"/>
          <w:i w:val="0"/>
          <w:iCs w:val="0"/>
          <w:sz w:val="24"/>
          <w:szCs w:val="24"/>
        </w:rPr>
      </w:pPr>
    </w:p>
    <w:p w14:paraId="19E1EE1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折标系数管理 · 字段字典：</w:t>
      </w:r>
    </w:p>
    <w:tbl>
      <w:tblPr>
        <w:tblStyle w:val="38"/>
        <w:tblW w:w="9784" w:type="dxa"/>
        <w:jc w:val="center"/>
        <w:tblLayout w:type="autofit"/>
        <w:tblCellMar>
          <w:top w:w="0" w:type="dxa"/>
          <w:left w:w="108" w:type="dxa"/>
          <w:bottom w:w="0" w:type="dxa"/>
          <w:right w:w="108" w:type="dxa"/>
        </w:tblCellMar>
      </w:tblPr>
      <w:tblGrid>
        <w:gridCol w:w="1636"/>
        <w:gridCol w:w="1399"/>
        <w:gridCol w:w="6749"/>
      </w:tblGrid>
      <w:tr w14:paraId="2B0A3524">
        <w:tblPrEx>
          <w:tblCellMar>
            <w:top w:w="0" w:type="dxa"/>
            <w:left w:w="108" w:type="dxa"/>
            <w:bottom w:w="0" w:type="dxa"/>
            <w:right w:w="108" w:type="dxa"/>
          </w:tblCellMar>
        </w:tblPrEx>
        <w:trPr>
          <w:tblHeade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17EA7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w:t>
            </w:r>
          </w:p>
        </w:tc>
        <w:tc>
          <w:tcPr>
            <w:tcW w:w="13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ECFFA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674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D9748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13052153">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53B1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w:t>
            </w:r>
          </w:p>
        </w:tc>
        <w:tc>
          <w:tcPr>
            <w:tcW w:w="1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5AB7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67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DB17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电/水/蒸汽/天然气/油等</w:t>
            </w:r>
          </w:p>
        </w:tc>
      </w:tr>
      <w:tr w14:paraId="154A1369">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DEE8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当量 / 等价系数</w:t>
            </w:r>
          </w:p>
        </w:tc>
        <w:tc>
          <w:tcPr>
            <w:tcW w:w="1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F735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67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60C5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引用 GB/T 2589 等国家标准</w:t>
            </w:r>
          </w:p>
        </w:tc>
      </w:tr>
      <w:tr w14:paraId="733DACCA">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2C73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版本与审计</w:t>
            </w:r>
          </w:p>
        </w:tc>
        <w:tc>
          <w:tcPr>
            <w:tcW w:w="1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368C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67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806B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版本化维护，记录修改人、时间、依据标准；系数变更对历史核算的影响策略固定为「生效时间切片锁定（严格生效日机制）」或「追溯补差调整（财务调账机制）」二选一，且为必填项</w:t>
            </w:r>
          </w:p>
        </w:tc>
      </w:tr>
    </w:tbl>
    <w:p w14:paraId="7800194E">
      <w:pPr>
        <w:spacing w:after="60"/>
        <w:rPr>
          <w:rFonts w:hint="eastAsia" w:ascii="宋体" w:hAnsi="宋体" w:eastAsia="宋体" w:cs="宋体"/>
          <w:i w:val="0"/>
          <w:iCs w:val="0"/>
          <w:sz w:val="24"/>
          <w:szCs w:val="24"/>
        </w:rPr>
      </w:pPr>
    </w:p>
    <w:p w14:paraId="7479CF57">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审批流</w:t>
      </w:r>
      <w:r>
        <w:rPr>
          <w:rFonts w:ascii="Times New Roman" w:hAnsi="Times New Roman" w:eastAsia="宋体" w:cs="Times New Roman"/>
          <w:i w:val="0"/>
          <w:color w:val="1F2937"/>
          <w:sz w:val="24"/>
          <w:szCs w:val="24"/>
        </w:rPr>
        <w:t>：能源价格与折标系数的新增 / 变更 / 废止须由 P2 园区能碳专员提交、PM 审批后生效；审批流程归属第八章统一工作流引擎，审批未通过的版本保持「待审」状态且不可被核算引擎引用。</w:t>
      </w:r>
    </w:p>
    <w:p w14:paraId="350D3184">
      <w:pPr>
        <w:pStyle w:val="6"/>
        <w:numPr>
          <w:ilvl w:val="0"/>
          <w:numId w:val="13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3"/>
        <w:gridCol w:w="1854"/>
        <w:gridCol w:w="1777"/>
        <w:gridCol w:w="1861"/>
        <w:gridCol w:w="3399"/>
      </w:tblGrid>
      <w:tr w14:paraId="23621001">
        <w:tblPrEx>
          <w:tblCellMar>
            <w:top w:w="0" w:type="dxa"/>
            <w:left w:w="108" w:type="dxa"/>
            <w:bottom w:w="0" w:type="dxa"/>
            <w:right w:w="108" w:type="dxa"/>
          </w:tblCellMar>
        </w:tblPrEx>
        <w:trPr>
          <w:tblHeade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D17B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5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A8D72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77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2BE2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8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0777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5CA50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586B248D">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DFBE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014F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参数类型</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8B41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1FCE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72CF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能源价格 / 折标系数</w:t>
            </w:r>
          </w:p>
        </w:tc>
      </w:tr>
      <w:tr w14:paraId="132C0275">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F4E6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4049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介质或时段</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9DCA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40E3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CCED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电-尖/峰/平/谷；水/蒸汽/天然气/油</w:t>
            </w:r>
          </w:p>
        </w:tc>
      </w:tr>
      <w:tr w14:paraId="725441F5">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0156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31DB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参数数值</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8281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D054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元/kWh、tce/单位 等</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829C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0，不允许录入负数或零</w:t>
            </w:r>
          </w:p>
        </w:tc>
      </w:tr>
      <w:tr w14:paraId="47122FCC">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0D9F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5DFF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版本号</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7E21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D1EA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88F1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唯一，格式 </w:t>
            </w:r>
            <w:r>
              <w:rPr>
                <w:rFonts w:hint="eastAsia" w:ascii="宋体" w:hAnsi="宋体" w:eastAsia="宋体" w:cs="宋体"/>
                <w:b w:val="0"/>
                <w:i w:val="0"/>
                <w:iCs w:val="0"/>
                <w:color w:val="0284C7"/>
                <w:sz w:val="24"/>
                <w:szCs w:val="24"/>
              </w:rPr>
              <w:t xml:space="preserve"> v&lt;年&gt;.&lt;序号&gt; </w:t>
            </w:r>
          </w:p>
        </w:tc>
      </w:tr>
      <w:tr w14:paraId="27F41620">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ACD1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39CB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生效开始日期</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8F59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FBC5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5DDC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新版本不得与在效版本区间重叠</w:t>
            </w:r>
          </w:p>
        </w:tc>
      </w:tr>
      <w:tr w14:paraId="561B831C">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AE9E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0DBB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生效结束日期</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189B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3C2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D9E8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晚于生效开始日期</w:t>
            </w:r>
          </w:p>
        </w:tc>
      </w:tr>
      <w:tr w14:paraId="67E4B2D4">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CBCC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841D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依据标准</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2307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3BD1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9E3C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折标系数须引用 GB/T 2589 等国家标准</w:t>
            </w:r>
          </w:p>
        </w:tc>
      </w:tr>
      <w:tr w14:paraId="29FC6E28">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E270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AE2E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变更影响策略</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939D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23A8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1F8B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生效时间切片锁定（严格生效日）/ 追溯补差调整（财务调账），二选一必填</w:t>
            </w:r>
          </w:p>
        </w:tc>
      </w:tr>
      <w:tr w14:paraId="52F12434">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1719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1145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修改人 / 修改时间</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1E96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 / DateTime</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1D80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FA00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系统自动记录，不可修改</w:t>
            </w:r>
          </w:p>
        </w:tc>
      </w:tr>
      <w:tr w14:paraId="11960162">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E36D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6C7F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审批状态</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B2B8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4454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0323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待审 / 生效中 / 已废止</w:t>
            </w:r>
          </w:p>
        </w:tc>
      </w:tr>
    </w:tbl>
    <w:p w14:paraId="36B43110">
      <w:pPr>
        <w:spacing w:after="60"/>
        <w:rPr>
          <w:rFonts w:hint="eastAsia" w:ascii="宋体" w:hAnsi="宋体" w:eastAsia="宋体" w:cs="宋体"/>
          <w:i w:val="0"/>
          <w:iCs w:val="0"/>
          <w:sz w:val="24"/>
          <w:szCs w:val="24"/>
        </w:rPr>
      </w:pPr>
    </w:p>
    <w:p w14:paraId="5261C4C6">
      <w:pPr>
        <w:pStyle w:val="6"/>
        <w:numPr>
          <w:ilvl w:val="0"/>
          <w:numId w:val="13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1EC368B">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2D67C3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 = Q × P_version( t )                          按业务发生时间匹配对应生效版本单价</w:t>
            </w:r>
          </w:p>
          <w:p w14:paraId="374F2D7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 = Q_media × k_version( t )                          按介质匹配对应生效版本折标系数</w:t>
            </w:r>
          </w:p>
          <w:p w14:paraId="48FF8DD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 from_new , to_new ] ∩ [ from_old , to_old ] = ∅                          生效区间不可重叠</w:t>
            </w:r>
          </w:p>
          <w:p w14:paraId="709D703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Strategy = 切片锁定 ? Lock_by_Effective_Date : Adjust_in_Current_Period                          变更影响机制二选一</w:t>
            </w:r>
          </w:p>
        </w:tc>
      </w:tr>
    </w:tbl>
    <w:p w14:paraId="01549E29">
      <w:pPr>
        <w:spacing w:after="40"/>
        <w:rPr>
          <w:rFonts w:hint="eastAsia" w:ascii="宋体" w:hAnsi="宋体" w:eastAsia="宋体" w:cs="宋体"/>
          <w:i w:val="0"/>
          <w:iCs w:val="0"/>
          <w:sz w:val="24"/>
          <w:szCs w:val="24"/>
        </w:rPr>
      </w:pPr>
    </w:p>
    <w:p w14:paraId="1FEE839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i w:val="0"/>
          <w:color w:val="1E3A8A"/>
          <w:sz w:val="24"/>
          <w:szCs w:val="24"/>
        </w:rPr>
        <w:t>P_version(t)</w:t>
      </w:r>
      <w:r>
        <w:rPr>
          <w:rFonts w:ascii="Times New Roman" w:hAnsi="Times New Roman" w:eastAsia="宋体" w:cs="Times New Roman"/>
          <w:i w:val="0"/>
          <w:color w:val="1F2937"/>
          <w:sz w:val="24"/>
          <w:szCs w:val="24"/>
        </w:rPr>
        <w:t xml:space="preserve">  与  </w:t>
      </w:r>
      <w:r>
        <w:rPr>
          <w:rFonts w:ascii="Times New Roman" w:hAnsi="Times New Roman" w:eastAsia="宋体" w:cs="Times New Roman"/>
          <w:b/>
          <w:i w:val="0"/>
          <w:color w:val="1E3A8A"/>
          <w:sz w:val="24"/>
          <w:szCs w:val="24"/>
        </w:rPr>
        <w:t>k_version(t)</w:t>
      </w:r>
      <w:r>
        <w:rPr>
          <w:rFonts w:ascii="Times New Roman" w:hAnsi="Times New Roman" w:eastAsia="宋体" w:cs="Times New Roman"/>
          <w:i w:val="0"/>
          <w:color w:val="1F2937"/>
          <w:sz w:val="24"/>
          <w:szCs w:val="24"/>
        </w:rPr>
        <w:t xml:space="preserve">  为按业务发生时间匹配的版本化参数；版本生效区间严格有序且不可重叠。变更影响策略为必填项，仅允许以下两种受控机制之一：① </w:t>
      </w:r>
      <w:r>
        <w:rPr>
          <w:rFonts w:ascii="Times New Roman" w:hAnsi="Times New Roman" w:eastAsia="宋体" w:cs="Times New Roman"/>
          <w:b/>
          <w:i w:val="0"/>
          <w:color w:val="1E3A8A"/>
          <w:sz w:val="24"/>
          <w:szCs w:val="24"/>
        </w:rPr>
        <w:t>生效时间切片锁定（严格生效日机制）</w:t>
      </w:r>
      <w:r>
        <w:rPr>
          <w:rFonts w:ascii="Times New Roman" w:hAnsi="Times New Roman" w:eastAsia="宋体" w:cs="Times New Roman"/>
          <w:i w:val="0"/>
          <w:color w:val="1F2937"/>
          <w:sz w:val="24"/>
          <w:szCs w:val="24"/>
        </w:rPr>
        <w:t xml:space="preserve">——历史月份核算强绑定业务发生当时生效的价格 / 因子版本，已锁账月份严禁被新配置参数追溯重算；② </w:t>
      </w:r>
      <w:r>
        <w:rPr>
          <w:rFonts w:ascii="Times New Roman" w:hAnsi="Times New Roman" w:eastAsia="宋体" w:cs="Times New Roman"/>
          <w:b/>
          <w:i w:val="0"/>
          <w:color w:val="1E3A8A"/>
          <w:sz w:val="24"/>
          <w:szCs w:val="24"/>
        </w:rPr>
        <w:t>追溯补差调整（财务调账机制）</w:t>
      </w:r>
      <w:r>
        <w:rPr>
          <w:rFonts w:ascii="Times New Roman" w:hAnsi="Times New Roman" w:eastAsia="宋体" w:cs="Times New Roman"/>
          <w:i w:val="0"/>
          <w:color w:val="1F2937"/>
          <w:sz w:val="24"/>
          <w:szCs w:val="24"/>
        </w:rPr>
        <w:t>——电网政策发生追溯性退补电费时，统一在当期新增「电费跨期调整项」计入当期损益，严禁倒改历史报表月份。</w:t>
      </w:r>
    </w:p>
    <w:p w14:paraId="4709B6A3">
      <w:pPr>
        <w:pStyle w:val="6"/>
        <w:numPr>
          <w:ilvl w:val="0"/>
          <w:numId w:val="13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147DE67">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版本口径</w:t>
      </w:r>
      <w:r>
        <w:rPr>
          <w:rFonts w:ascii="Times New Roman" w:hAnsi="Times New Roman" w:eastAsia="宋体" w:cs="Times New Roman"/>
          <w:i w:val="0"/>
          <w:color w:val="1F2937"/>
          <w:sz w:val="24"/>
          <w:szCs w:val="24"/>
        </w:rPr>
        <w:t>：任何计算均按业务发生时间匹配当时生效版本，严禁使用"当前版本"倒推历史。</w:t>
      </w:r>
    </w:p>
    <w:p w14:paraId="529E317F">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审计口径</w:t>
      </w:r>
      <w:r>
        <w:rPr>
          <w:rFonts w:ascii="Times New Roman" w:hAnsi="Times New Roman" w:eastAsia="宋体" w:cs="Times New Roman"/>
          <w:i w:val="0"/>
          <w:color w:val="1F2937"/>
          <w:sz w:val="24"/>
          <w:szCs w:val="24"/>
        </w:rPr>
        <w:t>：新增/变更/废止全程留痕（修改人、时间、依据标准）。</w:t>
      </w:r>
    </w:p>
    <w:p w14:paraId="355E414B">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影响口径</w:t>
      </w:r>
      <w:r>
        <w:rPr>
          <w:rFonts w:ascii="Times New Roman" w:hAnsi="Times New Roman" w:eastAsia="宋体" w:cs="Times New Roman"/>
          <w:i w:val="0"/>
          <w:color w:val="1F2937"/>
          <w:sz w:val="24"/>
          <w:szCs w:val="24"/>
        </w:rPr>
        <w:t>：系数变更须显式选择「生效时间切片锁定」或「追溯补差调整」，不得默认；选择追溯补差调整的，仅在当期生成「电费跨期调整项」，不倒改历史报表。</w:t>
      </w:r>
    </w:p>
    <w:p w14:paraId="71BB94C6">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审批口径</w:t>
      </w:r>
      <w:r>
        <w:rPr>
          <w:rFonts w:ascii="Times New Roman" w:hAnsi="Times New Roman" w:eastAsia="宋体" w:cs="Times New Roman"/>
          <w:i w:val="0"/>
          <w:color w:val="1F2937"/>
          <w:sz w:val="24"/>
          <w:szCs w:val="24"/>
        </w:rPr>
        <w:t>：未经审核的参数不得生效。</w:t>
      </w:r>
    </w:p>
    <w:p w14:paraId="21A1983F">
      <w:pPr>
        <w:pStyle w:val="6"/>
        <w:numPr>
          <w:ilvl w:val="0"/>
          <w:numId w:val="13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44DEC60">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179CE8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新版本生效区间与在效版本重叠：前端即时拦截并阻断保存。</w:t>
            </w:r>
          </w:p>
          <w:p w14:paraId="2AE9A4C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参数数值为 0 或负数：触发 </w:t>
            </w:r>
            <w:r>
              <w:rPr>
                <w:rFonts w:hint="eastAsia" w:ascii="宋体" w:hAnsi="宋体" w:eastAsia="宋体" w:cs="宋体"/>
                <w:b w:val="0"/>
                <w:i w:val="0"/>
                <w:iCs w:val="0"/>
                <w:color w:val="0284C7"/>
                <w:sz w:val="24"/>
                <w:szCs w:val="24"/>
              </w:rPr>
              <w:t xml:space="preserve"> E_VAL_ENERGY_NEGATIVE </w:t>
            </w:r>
            <w:r>
              <w:rPr>
                <w:rFonts w:hint="eastAsia" w:ascii="宋体" w:hAnsi="宋体" w:eastAsia="宋体" w:cs="宋体"/>
                <w:i w:val="0"/>
                <w:iCs w:val="0"/>
                <w:color w:val="1F2937"/>
                <w:sz w:val="24"/>
                <w:szCs w:val="24"/>
              </w:rPr>
              <w:t xml:space="preserve"> 类校验拦截。</w:t>
            </w:r>
          </w:p>
          <w:p w14:paraId="2B48126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变更影响策略未选择：保存按钮置灰。</w:t>
            </w:r>
          </w:p>
          <w:p w14:paraId="531C42C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未审批参数被引用：核算引擎忽略该版本并触发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 xml:space="preserve"> 类告警。</w:t>
            </w:r>
          </w:p>
        </w:tc>
      </w:tr>
    </w:tbl>
    <w:p w14:paraId="17E27AA4">
      <w:pPr>
        <w:spacing w:after="40"/>
        <w:rPr>
          <w:rFonts w:hint="eastAsia" w:ascii="宋体" w:hAnsi="宋体" w:eastAsia="宋体" w:cs="宋体"/>
          <w:i w:val="0"/>
          <w:iCs w:val="0"/>
          <w:sz w:val="24"/>
          <w:szCs w:val="24"/>
        </w:rPr>
      </w:pPr>
    </w:p>
    <w:p w14:paraId="240E0AA7">
      <w:pPr>
        <w:pStyle w:val="6"/>
        <w:numPr>
          <w:ilvl w:val="0"/>
          <w:numId w:val="130"/>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C05D3D4">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F9C8FA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生效区间不可重叠</w:t>
            </w:r>
          </w:p>
          <w:p w14:paraId="28B739C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某介质折标系数已存在生效区间为 2026-01-01 至 2026-06-30 的版本</w:t>
            </w:r>
          </w:p>
          <w:p w14:paraId="1F029C8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维护人员新增一个生效开始日期落在该区间内的新版本</w:t>
            </w:r>
          </w:p>
          <w:p w14:paraId="63C142C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前端即时拦截并阻断保存</w:t>
            </w:r>
          </w:p>
          <w:p w14:paraId="20C727E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页面提示生效区间不可重叠</w:t>
            </w:r>
          </w:p>
          <w:p w14:paraId="686F9667">
            <w:pPr>
              <w:spacing w:before="0" w:after="20" w:line="264" w:lineRule="auto"/>
              <w:rPr>
                <w:rFonts w:hint="eastAsia" w:ascii="宋体" w:hAnsi="宋体" w:eastAsia="宋体" w:cs="宋体"/>
                <w:i w:val="0"/>
                <w:iCs w:val="0"/>
                <w:sz w:val="24"/>
                <w:szCs w:val="24"/>
              </w:rPr>
            </w:pPr>
          </w:p>
          <w:p w14:paraId="148E3DD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已锁账月份不被新参数追溯重算</w:t>
            </w:r>
          </w:p>
          <w:p w14:paraId="1EADD68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2026 年 3 月的成本报表已按当时生效的电价版本生成并完成锁账</w:t>
            </w:r>
          </w:p>
          <w:p w14:paraId="36D1AF1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维护人员新增一个 2026-07-01 起生效的新电价版本</w:t>
            </w:r>
          </w:p>
          <w:p w14:paraId="6B7C0B0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2026 年 3 月的报表数值保持不变</w:t>
            </w:r>
          </w:p>
          <w:p w14:paraId="7E5210B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系统按业务发生时间匹配当时生效版本，不使用当前版本倒推历史</w:t>
            </w:r>
          </w:p>
          <w:p w14:paraId="73F6B517">
            <w:pPr>
              <w:spacing w:before="0" w:after="20" w:line="264" w:lineRule="auto"/>
              <w:rPr>
                <w:rFonts w:hint="eastAsia" w:ascii="宋体" w:hAnsi="宋体" w:eastAsia="宋体" w:cs="宋体"/>
                <w:i w:val="0"/>
                <w:iCs w:val="0"/>
                <w:sz w:val="24"/>
                <w:szCs w:val="24"/>
              </w:rPr>
            </w:pPr>
          </w:p>
          <w:p w14:paraId="678E311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变更影响策略必选</w:t>
            </w:r>
          </w:p>
          <w:p w14:paraId="48DF16E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维护人员修改某折标系数数值</w:t>
            </w:r>
          </w:p>
          <w:p w14:paraId="1DB2120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未选择变更影响策略即点击保存</w:t>
            </w:r>
          </w:p>
          <w:p w14:paraId="1ECC956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保存按钮保持置灰不可点击</w:t>
            </w:r>
          </w:p>
          <w:p w14:paraId="6A4A7A4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页面强制要求在"生效时间切片锁定"与"追溯补差调整"之间做出选择</w:t>
            </w:r>
          </w:p>
          <w:p w14:paraId="784F7826">
            <w:pPr>
              <w:spacing w:before="0" w:after="20" w:line="264" w:lineRule="auto"/>
              <w:rPr>
                <w:rFonts w:hint="eastAsia" w:ascii="宋体" w:hAnsi="宋体" w:eastAsia="宋体" w:cs="宋体"/>
                <w:i w:val="0"/>
                <w:iCs w:val="0"/>
                <w:sz w:val="24"/>
                <w:szCs w:val="24"/>
              </w:rPr>
            </w:pPr>
          </w:p>
          <w:p w14:paraId="228FBAB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追溯性退补电费在当期调账</w:t>
            </w:r>
          </w:p>
          <w:p w14:paraId="2946A16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电网出具追溯性退补电费通知且涉及已锁账的 2026 年 5 月</w:t>
            </w:r>
          </w:p>
          <w:p w14:paraId="48C1977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财务发起跨期价差调整</w:t>
            </w:r>
          </w:p>
          <w:p w14:paraId="675C594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系统在调整当期新增一条"电费跨期调整项"</w:t>
            </w:r>
          </w:p>
          <w:p w14:paraId="0B8CF00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2026 年 5 月历史报表数值保持不变</w:t>
            </w:r>
          </w:p>
        </w:tc>
      </w:tr>
    </w:tbl>
    <w:p w14:paraId="1258A30B">
      <w:pPr>
        <w:spacing w:after="40"/>
        <w:rPr>
          <w:rFonts w:hint="eastAsia" w:ascii="宋体" w:hAnsi="宋体" w:eastAsia="宋体" w:cs="宋体"/>
          <w:i w:val="0"/>
          <w:iCs w:val="0"/>
          <w:sz w:val="24"/>
          <w:szCs w:val="24"/>
        </w:rPr>
      </w:pPr>
    </w:p>
    <w:p w14:paraId="0FDFA90F">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23915943">
      <w:pPr>
        <w:pStyle w:val="3"/>
        <w:numPr>
          <w:ilvl w:val="0"/>
          <w:numId w:val="7"/>
        </w:numPr>
        <w:ind w:left="0" w:leftChars="0" w:firstLine="0" w:firstLineChars="0"/>
        <w:rPr>
          <w:rFonts w:eastAsia="黑体"/>
          <w:b w:val="0"/>
          <w:bCs w:val="0"/>
          <w:sz w:val="32"/>
          <w:szCs w:val="44"/>
        </w:rPr>
      </w:pPr>
      <w:bookmarkStart w:id="39" w:name="_Toc6112"/>
      <w:r>
        <w:rPr>
          <w:rFonts w:ascii="Times New Roman" w:hAnsi="Times New Roman" w:eastAsia="黑体" w:cs="Times New Roman"/>
          <w:b w:val="0"/>
          <w:bCs w:val="0"/>
          <w:sz w:val="32"/>
          <w:szCs w:val="44"/>
        </w:rPr>
        <w:t>产品碳足迹集采中心功能需求规格</w:t>
      </w:r>
      <w:bookmarkEnd w:id="39"/>
    </w:p>
    <w:p w14:paraId="7645DB9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本章严格按照系统切换到【产品碳足迹集采中心】后的 6 大一级主导航分层展开，全面覆盖产品全生命周期 LCA 建模、ISO 14067 认证、二维码数字碳标签以及欧盟 CBAM 关税申报的相关需求。6 大板块依次为：对外示范窗口、多维分析、实景数据库与碳足迹核算、CBAM 管理、第三方认证管理、因子库管理，共 16 个三级功能模块，统一采用八段式描述范式。</w:t>
      </w:r>
    </w:p>
    <w:p w14:paraId="22E04D9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本章的功能权限矩阵参见附录 E《角色与权限矩阵》（P4 碳核算工程师 / P5 报关与关税专家 / P6 外部独立审计机构）；验收用例即为各模块八段式第 ⑧ 段「QA 自动化验收准则（Gherkin BDD）」，验收基线与通过判据集中收录于第十二章《测试与验收基线》；LCA / CBAM 相关的错误码统一收录于第六章《工程治理、状态机与合规保障体系》之「标准化错误码字典与异常分级」，格式规范为 E_&lt;DOMAIN&gt;_&lt;MODULE&gt;_&lt;REASON&gt;[_&lt;SUFFIX&gt;]。</w:t>
      </w:r>
    </w:p>
    <w:p w14:paraId="79994B6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【与第四章的职责边界】本章各模块对基础因子（电力 / 能源活动 / 折标煤 / 原材料）一律为只读引用与查询视图，因子的新增、编辑、版本发布与回滚统一在第四章《系统管理、基础参数设置》→「能碳基础因子管理」中完成。第三章与第四章的因子数值、单位、版本号必须保持同源一致，任一处的版本发布须在同一事务内向两章视图同步。</w:t>
      </w:r>
    </w:p>
    <w:p w14:paraId="467CF17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与第二章的职责边界】本章所需的生产数据（工序四元组、批次产量、用能台账、绿电核销记录）来自第二章零碳园区集控中心；本章账期为运行态数据的核算态映射，核算结果反向约束第二章的指标管控与对标基准。项目公司（非实体工厂）在本章全部统计口径中默认排除，仅在明示勾选时纳入。</w:t>
      </w:r>
    </w:p>
    <w:p w14:paraId="5B45C204">
      <w:pPr>
        <w:pStyle w:val="4"/>
        <w:numPr>
          <w:ilvl w:val="0"/>
          <w:numId w:val="135"/>
        </w:numPr>
        <w:topLinePunct w:val="0"/>
        <w:ind w:left="0" w:leftChars="0" w:firstLine="0" w:firstLineChars="0"/>
        <w:outlineLvl w:val="0"/>
        <w:rPr>
          <w:rFonts w:hint="eastAsia" w:eastAsia="黑体"/>
          <w:b w:val="0"/>
          <w:bCs w:val="0"/>
          <w:sz w:val="30"/>
          <w:szCs w:val="32"/>
        </w:rPr>
      </w:pPr>
      <w:bookmarkStart w:id="40" w:name="_Toc30505"/>
      <w:r>
        <w:rPr>
          <w:rFonts w:ascii="Times New Roman" w:hAnsi="Times New Roman" w:eastAsia="黑体" w:cs="Times New Roman"/>
          <w:b w:val="0"/>
          <w:bCs w:val="0"/>
          <w:sz w:val="30"/>
          <w:szCs w:val="32"/>
        </w:rPr>
        <w:t>对外示范窗口</w:t>
      </w:r>
      <w:bookmarkEnd w:id="40"/>
    </w:p>
    <w:p w14:paraId="134A111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板块导语｜对外示范窗口</w:t>
      </w:r>
    </w:p>
    <w:p w14:paraId="3B14D65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本板块是产品碳足迹集采中心唯一的对外开放界面，面向国际客户、海外驻华使节、欧盟碳边境调节机制审查专员与第三方审计机构，以"看得懂的碳数据"呈现特变电工出口主力品类的碳足迹全景。板块下辖 1 个模块：碳足迹总览驾驶舱。</w:t>
      </w:r>
    </w:p>
    <w:p w14:paraId="4C91DBB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边界声明：本板块只呈现已认证 / 已发布状态的数据，是核算态结果的"只读投影"，不具备任何写入、重算与状态流转能力；其数值必须与已签发认证报告逐位一致。板块内所有字段执行对外脱敏白名单（不含供应商名称、工艺配方、采购单价、人员信息），数据分级统一为 PUBLIC。</w:t>
      </w:r>
    </w:p>
    <w:p w14:paraId="6A387BC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与「实景数据库」的区别：本板块是面向外部的一次性脱敏快照（PUBLIC，可扫码验真）；实景数据库是面向内部的逐型号明细台账（INTERNAL/SENSITIVE，含原始凭证）。二者数值同源，展示粒度与合规边界不同。</w:t>
      </w:r>
    </w:p>
    <w:p w14:paraId="39BCBB03">
      <w:pPr>
        <w:pStyle w:val="5"/>
        <w:numPr>
          <w:ilvl w:val="0"/>
          <w:numId w:val="136"/>
        </w:numPr>
        <w:ind w:left="0" w:leftChars="0" w:firstLine="0" w:firstLineChars="0"/>
        <w:outlineLvl w:val="1"/>
        <w:rPr>
          <w:rFonts w:ascii="Times New Roman" w:hAnsi="Times New Roman" w:eastAsia="黑体" w:cs="Times New Roman"/>
          <w:b w:val="0"/>
          <w:bCs w:val="0"/>
          <w:sz w:val="30"/>
          <w:szCs w:val="24"/>
        </w:rPr>
      </w:pPr>
      <w:bookmarkStart w:id="41" w:name="_Toc13410"/>
      <w:r>
        <w:rPr>
          <w:rFonts w:ascii="Times New Roman" w:hAnsi="Times New Roman" w:eastAsia="黑体" w:cs="Times New Roman"/>
          <w:b w:val="0"/>
          <w:bCs w:val="0"/>
          <w:sz w:val="30"/>
          <w:szCs w:val="24"/>
        </w:rPr>
        <w:t xml:space="preserve">碳足迹总览驾驶舱</w:t>
      </w:r>
      <w:bookmarkEnd w:id="41"/>
    </w:p>
    <w:p w14:paraId="6E6010F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1"/>
                    <pic:cNvPicPr>
                      <a:picLocks noChangeAspect="1"/>
                    </pic:cNvPicPr>
                  </pic:nvPicPr>
                  <pic:blipFill>
                    <a:blip r:embed="rId79"/>
                    <a:stretch>
                      <a:fillRect/>
                    </a:stretch>
                  </pic:blipFill>
                  <pic:spPr>
                    <a:xfrm>
                      <a:off x="0" y="0"/>
                      <a:ext cx="5900420" cy="2925445"/>
                    </a:xfrm>
                    <a:prstGeom prst="rect">
                      <a:avLst/>
                    </a:prstGeom>
                    <a:noFill/>
                    <a:ln>
                      <a:noFill/>
                    </a:ln>
                  </pic:spPr>
                </pic:pic>
              </a:graphicData>
            </a:graphic>
          </wp:inline>
        </w:drawing>
      </w:r>
    </w:p>
    <w:p w14:paraId="3CBDAEDB">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E746C89">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：面向国际客户、海外驻华使节及欧盟碳关税审查专员的高端碳驾驶舱，全屏呈现主力出口产品 LCA 碳足迹全景桑基图、防伪二维码数字碳标签、绿电消纳减碳成果与 CBAM 关税节省测算总览。</w:t>
      </w:r>
    </w:p>
    <w:p w14:paraId="54C9BC5C">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碳核算工程师（运维）、P5 报关与关税专家（讲解）、P6 外部独立审计机构（核验）。</w:t>
      </w:r>
    </w:p>
    <w:p w14:paraId="2D9AD46D">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/carbon-footprint/demo </w:t>
      </w:r>
      <w:r>
        <w:rPr>
          <w:rFonts w:ascii="Times New Roman" w:hAnsi="Times New Roman" w:eastAsia="宋体" w:cs="Times New Roman"/>
          <w:i w:val="0"/>
          <w:color w:val="1F2937"/>
          <w:sz w:val="24"/>
          <w:szCs w:val="24"/>
        </w:rPr>
        <w:t>。</w:t>
      </w:r>
    </w:p>
    <w:p w14:paraId="6132D06E">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：LCA 核算引擎结果、数字碳标签、绿电消纳数据、CBAM 关税模拟结果。</w:t>
      </w:r>
    </w:p>
    <w:p w14:paraId="50808176">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：对外脱敏展示快照、二维码查验演示入口。</w:t>
      </w:r>
    </w:p>
    <w:p w14:paraId="5093C1B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集团全量（对外视图不按组织树过滤，但数值均来自实体工厂汇总，项目公司不计入）；跨单位聚合＝含全部实体工厂，默认排除项目公司；对外可见档位＝PUBLIC（脱敏白名单裁剪后对外展示）；越权或白名单外对象访问返回 403 并输出「未授权公示」占位，记录审计日志。</w:t>
      </w:r>
    </w:p>
    <w:p w14:paraId="1B05598C">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1B46A406">
      <w:pPr>
        <w:pStyle w:val="19"/>
        <w:widowControl/>
        <w:numPr>
          <w:ilvl w:val="0"/>
          <w:numId w:val="1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：国际客户验厂与欧盟合规审查场景，需以可视化方式证明产品碳足迹的核算边界、数据来源与第三方认证有效性。</w:t>
      </w:r>
    </w:p>
    <w:p w14:paraId="633F8923">
      <w:pPr>
        <w:pStyle w:val="19"/>
        <w:widowControl/>
        <w:numPr>
          <w:ilvl w:val="0"/>
          <w:numId w:val="1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F77CEED">
      <w:pPr>
        <w:pStyle w:val="19"/>
        <w:widowControl/>
        <w:numPr>
          <w:ilvl w:val="0"/>
          <w:numId w:val="13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1A887562">
      <w:pPr>
        <w:pStyle w:val="19"/>
        <w:widowControl/>
        <w:numPr>
          <w:ilvl w:val="0"/>
          <w:numId w:val="13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在对外示范驾驶舱全屏展示产品 LCA 五阶段碳排构成、可扫码验证的数字碳标签与 CBAM 关税节省测算</w:t>
      </w:r>
      <w:r>
        <w:rPr>
          <w:rFonts w:ascii="Times New Roman" w:hAnsi="Times New Roman" w:eastAsia="宋体" w:cs="Times New Roman"/>
          <w:i w:val="0"/>
          <w:color w:val="1F2937"/>
          <w:sz w:val="24"/>
          <w:szCs w:val="24"/>
        </w:rPr>
        <w:t>，</w:t>
      </w:r>
    </w:p>
    <w:p w14:paraId="2C15A2FF">
      <w:pPr>
        <w:pStyle w:val="19"/>
        <w:widowControl/>
        <w:numPr>
          <w:ilvl w:val="0"/>
          <w:numId w:val="13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我能以权威可视化证据赢得国际客户与欧盟审查专员的信任</w:t>
      </w:r>
      <w:r>
        <w:rPr>
          <w:rFonts w:ascii="Times New Roman" w:hAnsi="Times New Roman" w:eastAsia="宋体" w:cs="Times New Roman"/>
          <w:i w:val="0"/>
          <w:color w:val="1F2937"/>
          <w:sz w:val="24"/>
          <w:szCs w:val="24"/>
        </w:rPr>
        <w:t>。</w:t>
      </w:r>
    </w:p>
    <w:p w14:paraId="63789662">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6484E7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核心展示要素：</w:t>
      </w:r>
    </w:p>
    <w:p w14:paraId="5906B4B8">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LCA 碳足迹全景桑基图</w:t>
      </w:r>
      <w:r>
        <w:rPr>
          <w:rFonts w:ascii="Times New Roman" w:hAnsi="Times New Roman" w:eastAsia="宋体" w:cs="Times New Roman"/>
          <w:i w:val="0"/>
          <w:color w:val="1F2937"/>
          <w:sz w:val="24"/>
          <w:szCs w:val="24"/>
        </w:rPr>
        <w:t>：以五阶段（原材料获取 / 上游运输 / 制造加工 / 试验检测 / 包装出厂）流向呈现单台产品碳足迹构成。</w:t>
      </w:r>
    </w:p>
    <w:p w14:paraId="477FE3FC">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防伪二维码数字碳标签</w:t>
      </w:r>
      <w:r>
        <w:rPr>
          <w:rFonts w:ascii="Times New Roman" w:hAnsi="Times New Roman" w:eastAsia="宋体" w:cs="Times New Roman"/>
          <w:i w:val="0"/>
          <w:color w:val="1F2937"/>
          <w:sz w:val="24"/>
          <w:szCs w:val="24"/>
        </w:rPr>
        <w:t>：展示 EPC 编码与防伪签名哈希，支持现场扫码弹窗查验。</w:t>
      </w:r>
    </w:p>
    <w:p w14:paraId="6F50ED3A">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绿电消纳减碳量化成果</w:t>
      </w:r>
      <w:r>
        <w:rPr>
          <w:rFonts w:ascii="Times New Roman" w:hAnsi="Times New Roman" w:eastAsia="宋体" w:cs="Times New Roman"/>
          <w:i w:val="0"/>
          <w:color w:val="1F2937"/>
          <w:sz w:val="24"/>
          <w:szCs w:val="24"/>
        </w:rPr>
        <w:t>：展示光伏自发自用减排量与等效植树量。</w:t>
      </w:r>
    </w:p>
    <w:p w14:paraId="6C6E5651">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CBAM 关税节省测算总览</w:t>
      </w:r>
      <w:r>
        <w:rPr>
          <w:rFonts w:ascii="Times New Roman" w:hAnsi="Times New Roman" w:eastAsia="宋体" w:cs="Times New Roman"/>
          <w:i w:val="0"/>
          <w:color w:val="1F2937"/>
          <w:sz w:val="24"/>
          <w:szCs w:val="24"/>
        </w:rPr>
        <w:t>：展示累计关税节省金额与国内碳成本抵扣情况。</w:t>
      </w:r>
    </w:p>
    <w:p w14:paraId="43F4950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交互与刷新规则：</w:t>
      </w:r>
    </w:p>
    <w:p w14:paraId="6E547016">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全屏轮播</w:t>
      </w:r>
      <w:r>
        <w:rPr>
          <w:rFonts w:ascii="Times New Roman" w:hAnsi="Times New Roman" w:eastAsia="宋体" w:cs="Times New Roman"/>
          <w:i w:val="0"/>
          <w:color w:val="1F2937"/>
          <w:sz w:val="24"/>
          <w:szCs w:val="24"/>
        </w:rPr>
        <w:t>：面向参观与验收场景默认全屏自动轮播，关键指标卡循环展示，支持手动切换与暂停（轮播周期固定为 30 秒，可按大屏场景配置为 15 / 30 / 60 秒三档）。</w:t>
      </w:r>
    </w:p>
    <w:p w14:paraId="67962568">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据点下钻</w:t>
      </w:r>
      <w:r>
        <w:rPr>
          <w:rFonts w:ascii="Times New Roman" w:hAnsi="Times New Roman" w:eastAsia="宋体" w:cs="Times New Roman"/>
          <w:i w:val="0"/>
          <w:color w:val="1F2937"/>
          <w:sz w:val="24"/>
          <w:szCs w:val="24"/>
        </w:rPr>
        <w:t>：点击桑基图节点或标签卡，下钻至实景数据库对应物料/产品明细。</w:t>
      </w:r>
    </w:p>
    <w:p w14:paraId="3F7B6313">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二维码查验演示</w:t>
      </w:r>
      <w:r>
        <w:rPr>
          <w:rFonts w:ascii="Times New Roman" w:hAnsi="Times New Roman" w:eastAsia="宋体" w:cs="Times New Roman"/>
          <w:i w:val="0"/>
          <w:color w:val="1F2937"/>
          <w:sz w:val="24"/>
          <w:szCs w:val="24"/>
        </w:rPr>
        <w:t>：扫码弹窗呈现 EPC 编码、防伪签名哈希与溯源链摘要（详见三、3 数字碳标签）。</w:t>
      </w:r>
    </w:p>
    <w:p w14:paraId="6871FD4A">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刷新策略</w:t>
      </w:r>
      <w:r>
        <w:rPr>
          <w:rFonts w:ascii="Times New Roman" w:hAnsi="Times New Roman" w:eastAsia="宋体" w:cs="Times New Roman"/>
          <w:i w:val="0"/>
          <w:color w:val="1F2937"/>
          <w:sz w:val="24"/>
          <w:szCs w:val="24"/>
        </w:rPr>
        <w:t>：LCA 指标按日结刷新（T+1 日 06:00 前完成），欧盟碳价按小时级联动刷新（滞后超过 4 小时自动标注「碳价滞后」并降级至最近一次有效值）。</w:t>
      </w:r>
    </w:p>
    <w:p w14:paraId="43C23325">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对外展示脱敏规则与白名单</w:t>
      </w:r>
      <w:r>
        <w:rPr>
          <w:rFonts w:ascii="Times New Roman" w:hAnsi="Times New Roman" w:eastAsia="宋体" w:cs="Times New Roman"/>
          <w:i w:val="0"/>
          <w:color w:val="1F2937"/>
          <w:sz w:val="24"/>
          <w:szCs w:val="24"/>
        </w:rPr>
        <w:t>：对外展示数据统一执行字段白名单裁剪，仅开放碳足迹结果值、绿电消纳占比与认证状态，隐藏工艺配方、采购单价、人员信息与成本构成；白名单由 PM 审批后生效，变更全程留痕。</w:t>
      </w:r>
    </w:p>
    <w:p w14:paraId="1415680A">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0F209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33EF9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8FC0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B8E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CAF8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A023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1DC0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统计区间</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F1C6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日期区间</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0B9F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年月</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820E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起 ≤ 止；跨度 ≤ 24 个月；默认近 8 个月（截图默认 2026-01 ~ 2026-08）</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7692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0414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品类签</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2977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枚举单选</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6385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0B49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全部品类(18) ｜ 变压器 ｜ 线缆 ｜ 开关柜 ｜ GIS ｜ 电容器 ｜ 电抗器 ｜ 套管 ｜ 互感器 ｜ 硅钢芯</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2A57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159E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视图切换</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B0DF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枚举单选</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CB6D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2C27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卡片（默认）／列表；同一路由，刷新不改变统计口径</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56DD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9BAB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品类名称</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B5C7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6126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6BF2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取自产品品类主数据，与第四章「产品品类管理」同源</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7240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6D4C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型号数量</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5A3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DB59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个</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E253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1；为 0 时该品类卡片整体不渲染（不留空白占位）</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9E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8956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综合碳足迹单位值</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5D9A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0615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随品类，见单位矩阵</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D972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0；与已签发认证报告逐位一致，容差 0</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6F30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B5C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生命周期四阶段占比</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AE69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百分比(2 位)×4</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1CA7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0010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原材料获取 / 生产制造 / 原材料运输 / 废弃物处理；四者之和 = 100.00%，容差 ≤ ±0.01%</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E733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7F89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核心主材</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2F11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8620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8448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脱敏后展示； 禁止 出现供应商名称、工艺配方</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72D2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9</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1DD1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代表性型号实景数据</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C0F4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 + 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C429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随品类</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E1BB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型号须存在于产品型号主数据；无实景数据时该子块隐藏</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00C9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10</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321F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代表性成品类数</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D8DE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6B02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类</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28D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1</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96A5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11</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DA78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数据截止时间</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0D64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日期</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B3FB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E1DD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页面底部常驻，格式 YYYY-MM-DD</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6303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12</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EC7C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因子版本号</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E397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F106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A4EA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形如 v2024.1 ；与因子库管理板块同源</w:t>
            </w:r>
          </w:p>
        </w:tc>
      </w:tr>
    </w:tbl>
    <w:p w14:paraId="5834346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品类—单位—实测值矩阵（截图为准，可直接作为验收基线）：</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65B13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品类</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28898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综合碳足迹单位</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BA65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实测值</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2C02A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代表性型号</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A4B1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代表性型号单位值 / 成品类数</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A9B2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变压器</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7E60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kgCO₂e/kVA</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6242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142.6</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8097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S22-M-400/10</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6E1F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88.4 kgCO₂e/kVA ｜ 9 类</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B41E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线缆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5FA4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kgCO₂e/km</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327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3.82</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0E11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WDZA-YJV-0.6/1-4×95</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69BE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2.35 kgCO₂e/km ｜ 4 类</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5B20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开关柜</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4EEB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kgCO₂e/面</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5F41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86.5</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004D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XGN15-12</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60ED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78.4 kgCO₂e/面 ｜ 4 类</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3E93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电容器</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779F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kgCO₂e/kvar</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4785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24.8</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20D1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BAM6-334-1W</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2414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23.2 kgCO₂e/kvar ｜ 4 类</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857E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电抗器</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303E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kgCO₂e/kVA</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A188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98.4</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5656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CKGL-35-1200-6</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4DCF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98.6 kgCO₂e/kVA ｜ 4 类</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72C9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套管</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D020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kgCO₂e/支</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7EAA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45.2</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DF2B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BRDW-35/630</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13B7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36.5 kgCO₂e/支 ｜ 3 类</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D48F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互感器</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CF6D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kgCO₂e/台</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068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32.6</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C2DD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TG-10</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C185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18.5 kgCO₂e/台 ｜ 4 类</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EAC5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GIS</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01F5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kgCO₂e/间隔</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F35A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315.8</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3E74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ZF12-126(L)</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438B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286.0 kgCO₂e/间隔 ｜ 4 类</w:t>
            </w:r>
          </w:p>
        </w:tc>
      </w:tr>
    </w:tbl>
    <w:p w14:paraId="004620A1">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4D53D9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E_PCF = E_raw + E_trans + E_manuf + E_test + E_pack　——　单台产品全生命周期碳足迹（五阶段加总）</w:t>
            </w:r>
          </w:p>
          <w:p w14:paraId="6C516FC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R_stage = E_stage ÷ E_PCF × 100%　——　各阶段碳排占比（对外以四阶段环带呈现）</w:t>
            </w:r>
          </w:p>
          <w:p w14:paraId="5E69098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Save_CBAM = Export_Qty × Embedded_Carbon × (Price_EU_ETS − Price_Domestic)　——　CBAM 关税节省测算</w:t>
            </w:r>
          </w:p>
          <w:p w14:paraId="561A185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Hash_sign = SIGN_SHA256(BatchNo + PrivateKey_CA)　——　数字碳标签防伪签名哈希</w:t>
            </w:r>
          </w:p>
          <w:p w14:paraId="246020E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CF_unit = E_PCF ÷ Feature　——　单位产品碳足迹（对外比较基准，Feature 为 kVA / km / 面 / kvar / 支 / 台 / 间隔）</w:t>
            </w:r>
          </w:p>
        </w:tc>
      </w:tr>
    </w:tbl>
    <w:p w14:paraId="763499E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变量定义与取值约定：五阶段碳排定义详见本章 碳足迹核算模块；Price_EU_ETS 为欧洲能源交易所碳配额结算均价，取自 EEX 官方接口最新周结算均价；Price_Domestic 为国内已支付碳成本折算价；PrivateKey_CA 为认证机构签发私钥，仅存于 HSM 硬件模块，不出库、不落日志。</w:t>
      </w:r>
    </w:p>
    <w:p w14:paraId="748A3E2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取值示例：变压器品类代表性型号 S22-M-400/10，E_PCF = 88.4 kgCO₂e/kVA；其四阶段构成为 原材料获取 61%、生产制造 24%、原材料运输 9%、废弃物处理 5%（合计 99%，残差 1% 为四舍五入尾差，前端按最大项吸收后强制显示合计 100%）。</w:t>
      </w:r>
    </w:p>
    <w:p w14:paraId="3B4407D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精度与容差：碳足迹值保留 4 位小数；阶段占比保留 2 位小数，四阶段之和与 100.00% 的容差 ≤ ±0.01%；Save_CBAM 保留 2 位小数、单位 €；签名哈希固定 64 位十六进制小写。</w:t>
      </w:r>
    </w:p>
    <w:p w14:paraId="2FA0D389">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70A278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边界口径：对外展示统一采用 Cradle-to-Gate（摇篮到大门）边界，并在页面显著位置标注。</w:t>
      </w:r>
    </w:p>
    <w:p w14:paraId="7A0CF3B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数据脱敏口径：对外版本按白名单裁剪字段，不呈现供应商名称、工艺配方等 L2 以上敏感信息。</w:t>
      </w:r>
    </w:p>
    <w:p w14:paraId="63B675C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时效口径：页面底部常驻展示数据截止时间与因子版本号。</w:t>
      </w:r>
    </w:p>
    <w:p w14:paraId="212C770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口径一致性：对外展示数值必须与已签发认证报告完全一致（逐位比对，容差 0），不允许展示草稿态数据。</w:t>
      </w:r>
    </w:p>
    <w:p w14:paraId="7714BB2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阶段占比配平阈值：四阶段之和 = 100.00%，容差 ≤ ±0.01%，超差即阻断上屏；② 碳价时效阈值：EEX 碳价同步滞后 &gt; 24 小时判为陈旧，标黄并展示价格时间戳；③ 数据新鲜度阈值：数据截止时间距今 &gt; 24 小时，页头展示"数据可能滞后"灰条（不阻断展示）；④ 一致性判定基准来源：认证结果管理模块中状态为「有效」的证书所关联的 LCA 报告值；⑤ 品类单位基准来源：产品品类主数据（第四章「产品品类管理」）；⑥ 因子版本基准来源：因子库管理板块当前生效版本。</w:t>
      </w:r>
    </w:p>
    <w:p w14:paraId="524F9B8C">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876A7A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仅可展示状态为"已认证 / 已发布"的 LCA 报告数据，草稿与送审态数据一律不上屏。</w:t>
            </w:r>
          </w:p>
          <w:p w14:paraId="3A6A2C0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对外展示不得包含未脱敏的供应商名称、工艺配方等敏感字段。</w:t>
            </w:r>
          </w:p>
          <w:p w14:paraId="2839BF6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欧盟碳价超 24 小时未同步：触发 </w:t>
            </w:r>
            <w:r>
              <w:rPr>
                <w:rFonts w:hint="eastAsia" w:ascii="宋体" w:hAnsi="宋体" w:eastAsia="宋体" w:cs="宋体"/>
                <w:b w:val="0"/>
                <w:i w:val="0"/>
                <w:iCs w:val="0"/>
                <w:color w:val="0284C7"/>
                <w:sz w:val="24"/>
                <w:szCs w:val="24"/>
              </w:rPr>
              <w:t xml:space="preserve"> E_EXT_ETS_PRICE_STALE </w:t>
            </w:r>
            <w:r>
              <w:rPr>
                <w:rFonts w:hint="eastAsia" w:ascii="宋体" w:hAnsi="宋体" w:eastAsia="宋体" w:cs="宋体"/>
                <w:i w:val="0"/>
                <w:iCs w:val="0"/>
                <w:color w:val="1F2937"/>
                <w:sz w:val="24"/>
                <w:szCs w:val="24"/>
              </w:rPr>
              <w:t>，页面标黄并标注价格时间戳。</w:t>
            </w:r>
          </w:p>
          <w:p w14:paraId="5DD4B06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二维码签名校验失败：弹窗标注"验真失败"并不展示溯源明细。</w:t>
            </w:r>
          </w:p>
          <w:p w14:paraId="40B224D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无已签发报告的产品：入口不出现，不显示空白占位。</w:t>
            </w:r>
          </w:p>
          <w:p w14:paraId="40E89E6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组织越权或非白名单对象访问对外驾驶舱：返回 403 并输出「未授权公示」占位页，同时写入审计日志（操作人、IP、时间、目标模块）。</w:t>
            </w:r>
          </w:p>
          <w:p w14:paraId="59E33CC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品类卡片存在但区间内无任何已认证数据：整张卡片不渲染，不得输出 0 或空白占位框。</w:t>
            </w:r>
          </w:p>
          <w:p w14:paraId="64C3DF2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阶段占比四舍五入后合计 ≠ 100.00%：按最大占比项吸收尾差后强制显示 100.00%，并在数据字典中固化该规则（禁止前端直接显示 99% 或 101%）。</w:t>
            </w:r>
          </w:p>
        </w:tc>
      </w:tr>
    </w:tbl>
    <w:p w14:paraId="4D748162">
      <w:pPr>
        <w:spacing w:after="40"/>
        <w:rPr>
          <w:rFonts w:hint="eastAsia" w:ascii="宋体" w:hAnsi="宋体" w:eastAsia="宋体" w:cs="宋体"/>
          <w:i w:val="0"/>
          <w:iCs w:val="0"/>
          <w:sz w:val="24"/>
          <w:szCs w:val="24"/>
        </w:rPr>
      </w:pPr>
    </w:p>
    <w:p w14:paraId="7E6E09CD">
      <w:pPr>
        <w:pStyle w:val="6"/>
        <w:numPr>
          <w:ilvl w:val="0"/>
          <w:numId w:val="13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4AE3A39">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8FFFAC1">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对外示范窗口碳足迹驾驶舱</w:t>
            </w:r>
          </w:p>
          <w:p w14:paraId="3117BB3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仅展示已认证数据</w:t>
            </w:r>
          </w:p>
          <w:p w14:paraId="5892210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系统内存在草稿态、送审态与已认证态三种 LCA 报告</w:t>
            </w:r>
          </w:p>
          <w:p w14:paraId="75B5779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对外示范驾驶舱渲染 LCA 碳足迹全景桑基图</w:t>
            </w:r>
          </w:p>
          <w:p w14:paraId="2D58FFD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仅呈现状态为"已认证"或"已发布"的报告数据</w:t>
            </w:r>
          </w:p>
          <w:p w14:paraId="38A069F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草稿态与送审态数据不入屏</w:t>
            </w:r>
          </w:p>
          <w:p w14:paraId="556303E4">
            <w:pPr>
              <w:spacing w:before="0" w:after="20" w:line="264" w:lineRule="auto"/>
              <w:rPr>
                <w:rFonts w:hint="eastAsia" w:ascii="宋体" w:hAnsi="宋体" w:eastAsia="宋体" w:cs="宋体"/>
                <w:i w:val="0"/>
                <w:iCs w:val="0"/>
                <w:sz w:val="24"/>
                <w:szCs w:val="24"/>
              </w:rPr>
            </w:pPr>
          </w:p>
          <w:p w14:paraId="7293634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二维码验真演示</w:t>
            </w:r>
          </w:p>
          <w:p w14:paraId="44505DF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某产品数字碳标签已由认证机构签发</w:t>
            </w:r>
          </w:p>
          <w:p w14:paraId="6EFDCFE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参观者扫码触发查验弹窗</w:t>
            </w:r>
          </w:p>
          <w:p w14:paraId="480AC4C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弹窗呈现 EPC 编码、防伪签名哈希与溯源链摘要</w:t>
            </w:r>
          </w:p>
          <w:p w14:paraId="4004B39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签名校验失败时标注"验真失败"且不展示溯源明细</w:t>
            </w:r>
          </w:p>
          <w:p w14:paraId="12C5D291">
            <w:pPr>
              <w:spacing w:before="0" w:after="20" w:line="264" w:lineRule="auto"/>
              <w:rPr>
                <w:rFonts w:hint="eastAsia" w:ascii="宋体" w:hAnsi="宋体" w:eastAsia="宋体" w:cs="宋体"/>
                <w:i w:val="0"/>
                <w:iCs w:val="0"/>
                <w:sz w:val="24"/>
                <w:szCs w:val="24"/>
              </w:rPr>
            </w:pPr>
          </w:p>
          <w:p w14:paraId="5DC77A5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碳价滞后的客观提示</w:t>
            </w:r>
          </w:p>
          <w:p w14:paraId="6CA736D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欧洲能源交易所 ETS 价格超过 24 小时未同步</w:t>
            </w:r>
          </w:p>
          <w:p w14:paraId="5D7EED5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 CBAM 关税节省测算总览</w:t>
            </w:r>
          </w:p>
          <w:p w14:paraId="398CB69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结果上方以黄色提示框注明碳价滞后并展示价格时间戳</w:t>
            </w:r>
          </w:p>
          <w:p w14:paraId="2889E58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E_EXT_ETS_PRICE_STALE</w:t>
            </w:r>
          </w:p>
          <w:p w14:paraId="5F807AF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数字碳标签签名校验失败兜底</w:t>
            </w:r>
          </w:p>
          <w:p w14:paraId="409059F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某产品数字碳标签的防伪签名哈希与认证机构公钥验签不通过</w:t>
            </w:r>
          </w:p>
          <w:p w14:paraId="533F374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参观者扫码触发查验弹窗</w:t>
            </w:r>
          </w:p>
          <w:p w14:paraId="297220F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弹窗显著标注"验真失败"</w:t>
            </w:r>
          </w:p>
          <w:p w14:paraId="6B0077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不展示任何溯源明细与供应链节点</w:t>
            </w:r>
          </w:p>
          <w:p w14:paraId="6FEE96B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返回错误码 E_QR_SIGN_VERIFY_FAILED</w:t>
            </w:r>
          </w:p>
        </w:tc>
      </w:tr>
    </w:tbl>
    <w:p w14:paraId="5578F86A">
      <w:pPr>
        <w:spacing w:after="40"/>
        <w:rPr>
          <w:rFonts w:hint="eastAsia" w:ascii="宋体" w:hAnsi="宋体" w:eastAsia="宋体" w:cs="宋体"/>
          <w:i w:val="0"/>
          <w:iCs w:val="0"/>
          <w:sz w:val="24"/>
          <w:szCs w:val="24"/>
        </w:rPr>
      </w:pPr>
    </w:p>
    <w:p w14:paraId="61235EAF">
      <w:pPr>
        <w:pStyle w:val="4"/>
        <w:numPr>
          <w:ilvl w:val="0"/>
          <w:numId w:val="135"/>
        </w:numPr>
        <w:topLinePunct w:val="0"/>
        <w:ind w:left="0" w:leftChars="0" w:firstLine="0" w:firstLineChars="0"/>
        <w:outlineLvl w:val="0"/>
        <w:rPr>
          <w:rFonts w:hint="eastAsia" w:eastAsia="黑体"/>
          <w:b w:val="0"/>
          <w:bCs w:val="0"/>
          <w:sz w:val="30"/>
          <w:szCs w:val="32"/>
        </w:rPr>
      </w:pPr>
      <w:bookmarkStart w:id="42" w:name="_Toc14569"/>
      <w:r>
        <w:rPr>
          <w:rFonts w:ascii="Times New Roman" w:hAnsi="Times New Roman" w:eastAsia="黑体" w:cs="Times New Roman"/>
          <w:b w:val="0"/>
          <w:bCs w:val="0"/>
          <w:sz w:val="30"/>
          <w:szCs w:val="32"/>
        </w:rPr>
        <w:t>多维分析</w:t>
      </w:r>
      <w:bookmarkEnd w:id="42"/>
    </w:p>
    <w:p w14:paraId="4D650E3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板块导语｜多维分析</w:t>
      </w:r>
    </w:p>
    <w:p w14:paraId="7291039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本板块回答"谁高谁低、为什么高、往哪降"三个问题，是碳足迹从"记录"走向"决策"的分析中枢。板块下辖 2 个模块：横向对比（同一规格、不同生产基地之间的空间对标）与纵向对比（同一型号、不同生产批次之间的时间趋势与归因）。</w:t>
      </w:r>
    </w:p>
    <w:p w14:paraId="2B8DE93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边界声明：本板块为只读分析，不产生任何写入；分析结果的"改进清单"以建议形式输出，须人工确认后方可形成技改立项依据。板块数据范围受组织树 RLS 约束，跨经营单位聚合默认排除项目公司。</w:t>
      </w:r>
    </w:p>
    <w:p w14:paraId="3A4C032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与「指标管控」（第二章）的区别：第二章对标的是能耗与能效指标（tce/万元、kWh/台）；本板块对标的是碳足迹指标（kgCO₂e/特征量）。两者共用同一条组织树与账期，但指标体系、基准线来源与达标判定相互独立，不得互相替代。</w:t>
      </w:r>
    </w:p>
    <w:p w14:paraId="06C8EC8B">
      <w:pPr>
        <w:pStyle w:val="5"/>
        <w:numPr>
          <w:ilvl w:val="0"/>
          <w:numId w:val="142"/>
        </w:numPr>
        <w:ind w:left="0" w:leftChars="0" w:firstLine="0" w:firstLineChars="0"/>
        <w:outlineLvl w:val="1"/>
        <w:rPr>
          <w:rFonts w:eastAsia="黑体"/>
          <w:b w:val="0"/>
          <w:bCs w:val="0"/>
          <w:sz w:val="30"/>
          <w:szCs w:val="24"/>
        </w:rPr>
      </w:pPr>
      <w:bookmarkStart w:id="43" w:name="_Toc20078"/>
      <w:r>
        <w:rPr>
          <w:rFonts w:ascii="Times New Roman" w:hAnsi="Times New Roman" w:eastAsia="黑体" w:cs="Times New Roman"/>
          <w:b w:val="0"/>
          <w:bCs w:val="0"/>
          <w:sz w:val="30"/>
          <w:szCs w:val="24"/>
        </w:rPr>
        <w:t xml:space="preserve">横向对比</w:t>
      </w:r>
      <w:bookmarkEnd w:id="43"/>
    </w:p>
    <w:p w14:paraId="50F1CA14">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2"/>
                    <pic:cNvPicPr>
                      <a:picLocks noChangeAspect="1"/>
                    </pic:cNvPicPr>
                  </pic:nvPicPr>
                  <pic:blipFill>
                    <a:blip r:embed="rId80"/>
                    <a:stretch>
                      <a:fillRect/>
                    </a:stretch>
                  </pic:blipFill>
                  <pic:spPr>
                    <a:xfrm>
                      <a:off x="0" y="0"/>
                      <a:ext cx="5900420" cy="2925445"/>
                    </a:xfrm>
                    <a:prstGeom prst="rect">
                      <a:avLst/>
                    </a:prstGeom>
                    <a:noFill/>
                    <a:ln>
                      <a:noFill/>
                    </a:ln>
                  </pic:spPr>
                </pic:pic>
              </a:graphicData>
            </a:graphic>
          </wp:inline>
        </w:drawing>
      </w:r>
    </w:p>
    <w:p w14:paraId="26FC4F4B">
      <w:pPr>
        <w:pStyle w:val="6"/>
        <w:numPr>
          <w:ilvl w:val="0"/>
          <w:numId w:val="1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46A75C2">
      <w:pPr>
        <w:pStyle w:val="19"/>
        <w:widowControl/>
        <w:numPr>
          <w:ilvl w:val="0"/>
          <w:numId w:val="1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：支持不同生产基地生产的同规格产品按五大阶段横向对标，挖掘各基地工艺工序降碳潜力。</w:t>
      </w:r>
    </w:p>
    <w:p w14:paraId="77CCF29C">
      <w:pPr>
        <w:pStyle w:val="19"/>
        <w:widowControl/>
        <w:numPr>
          <w:ilvl w:val="0"/>
          <w:numId w:val="1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碳核算工程师、P2 园区能碳专员。</w:t>
      </w:r>
    </w:p>
    <w:p w14:paraId="62F61F85">
      <w:pPr>
        <w:pStyle w:val="19"/>
        <w:widowControl/>
        <w:numPr>
          <w:ilvl w:val="0"/>
          <w:numId w:val="1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/carbon-footprint/analysis/compare </w:t>
      </w:r>
      <w:r>
        <w:rPr>
          <w:rFonts w:ascii="Times New Roman" w:hAnsi="Times New Roman" w:eastAsia="宋体" w:cs="Times New Roman"/>
          <w:i w:val="0"/>
          <w:color w:val="1F2937"/>
          <w:sz w:val="24"/>
          <w:szCs w:val="24"/>
        </w:rPr>
        <w:t>。</w:t>
      </w:r>
    </w:p>
    <w:p w14:paraId="051A79B8">
      <w:pPr>
        <w:pStyle w:val="19"/>
        <w:widowControl/>
        <w:numPr>
          <w:ilvl w:val="0"/>
          <w:numId w:val="1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：LCA 核算引擎结果、产品 BOM、经营单位主数据、销售订单与生产计划。</w:t>
      </w:r>
    </w:p>
    <w:p w14:paraId="6B622F5D">
      <w:pPr>
        <w:pStyle w:val="19"/>
        <w:widowControl/>
        <w:numPr>
          <w:ilvl w:val="0"/>
          <w:numId w:val="1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：基地降碳改进清单、碳热点分析输入。</w:t>
      </w:r>
    </w:p>
    <w:p w14:paraId="347CBC7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数据权限：可查看组织范围＝本级及以下（按六级组织树 RLS 穿透），P4 可查看全集团、P2 限本园区及以下；跨单位聚合＝默认仅实体工厂，项目公司强制置灰且不计入排名与均值；对外可见档位＝SENSITIVE（对外须脱敏为品类均值区间，不下发单基地明细）；越权返回 403 + E_AUTH_RLS_SCOPE_DENIED。</w:t>
      </w:r>
    </w:p>
    <w:p w14:paraId="6C7FFA19">
      <w:pPr>
        <w:pStyle w:val="6"/>
        <w:numPr>
          <w:ilvl w:val="0"/>
          <w:numId w:val="1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2F84533">
      <w:pPr>
        <w:pStyle w:val="19"/>
        <w:widowControl/>
        <w:numPr>
          <w:ilvl w:val="0"/>
          <w:numId w:val="14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：集团层面比较沈变厂与衡变厂同型号 220kV 油浸式变压器的碳足迹差异，定位工艺工序降碳空间。</w:t>
      </w:r>
    </w:p>
    <w:p w14:paraId="47FA7879">
      <w:pPr>
        <w:pStyle w:val="19"/>
        <w:widowControl/>
        <w:numPr>
          <w:ilvl w:val="0"/>
          <w:numId w:val="14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6DC5FF8">
      <w:pPr>
        <w:pStyle w:val="19"/>
        <w:widowControl/>
        <w:numPr>
          <w:ilvl w:val="0"/>
          <w:numId w:val="1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4E517880">
      <w:pPr>
        <w:pStyle w:val="19"/>
        <w:widowControl/>
        <w:numPr>
          <w:ilvl w:val="0"/>
          <w:numId w:val="1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选择同规格产品按五大阶段横向对标各生产基地的单位产品碳足迹并下钻至主材与工序构成</w:t>
      </w:r>
      <w:r>
        <w:rPr>
          <w:rFonts w:ascii="Times New Roman" w:hAnsi="Times New Roman" w:eastAsia="宋体" w:cs="Times New Roman"/>
          <w:i w:val="0"/>
          <w:color w:val="1F2937"/>
          <w:sz w:val="24"/>
          <w:szCs w:val="24"/>
        </w:rPr>
        <w:t>，</w:t>
      </w:r>
    </w:p>
    <w:p w14:paraId="63C90728">
      <w:pPr>
        <w:pStyle w:val="19"/>
        <w:widowControl/>
        <w:numPr>
          <w:ilvl w:val="0"/>
          <w:numId w:val="1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我能精准定位各基地的工艺降碳潜力并推动横向最佳实践复制</w:t>
      </w:r>
      <w:r>
        <w:rPr>
          <w:rFonts w:ascii="Times New Roman" w:hAnsi="Times New Roman" w:eastAsia="宋体" w:cs="Times New Roman"/>
          <w:i w:val="0"/>
          <w:color w:val="1F2937"/>
          <w:sz w:val="24"/>
          <w:szCs w:val="24"/>
        </w:rPr>
        <w:t>。</w:t>
      </w:r>
    </w:p>
    <w:p w14:paraId="5D7B222D">
      <w:pPr>
        <w:pStyle w:val="6"/>
        <w:numPr>
          <w:ilvl w:val="0"/>
          <w:numId w:val="1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1F1E431">
      <w:pPr>
        <w:pStyle w:val="19"/>
        <w:widowControl/>
        <w:numPr>
          <w:ilvl w:val="0"/>
          <w:numId w:val="1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业务级联筛选器</w:t>
      </w:r>
      <w:r>
        <w:rPr>
          <w:rFonts w:ascii="Times New Roman" w:hAnsi="Times New Roman" w:eastAsia="宋体" w:cs="Times New Roman"/>
          <w:i w:val="0"/>
          <w:color w:val="1F2937"/>
          <w:sz w:val="24"/>
          <w:szCs w:val="24"/>
        </w:rPr>
        <w:t>：产业 → 产线 → 产品类别 → 产品型号（可搜索 ComboBox）→ 经营单位 → 销售订单 → 生产计划；上级变更逐级重置下级到首项。</w:t>
      </w:r>
    </w:p>
    <w:p w14:paraId="03E3BCE3">
      <w:pPr>
        <w:pStyle w:val="19"/>
        <w:widowControl/>
        <w:numPr>
          <w:ilvl w:val="0"/>
          <w:numId w:val="1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特征量（feature）</w:t>
      </w:r>
      <w:r>
        <w:rPr>
          <w:rFonts w:ascii="Times New Roman" w:hAnsi="Times New Roman" w:eastAsia="宋体" w:cs="Times New Roman"/>
          <w:i w:val="0"/>
          <w:color w:val="1F2937"/>
          <w:sz w:val="24"/>
          <w:szCs w:val="24"/>
        </w:rPr>
        <w:t>：变压器按 kVA、电缆按 km、开关按 台/间隔，单位产品碳足迹以 kgCO2/特征量 表达，保证跨型号可比。</w:t>
      </w:r>
    </w:p>
    <w:p w14:paraId="16068FB6">
      <w:pPr>
        <w:pStyle w:val="19"/>
        <w:widowControl/>
        <w:numPr>
          <w:ilvl w:val="0"/>
          <w:numId w:val="1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重点指标区</w:t>
      </w:r>
      <w:r>
        <w:rPr>
          <w:rFonts w:ascii="Times New Roman" w:hAnsi="Times New Roman" w:eastAsia="宋体" w:cs="Times New Roman"/>
          <w:i w:val="0"/>
          <w:color w:val="1F2937"/>
          <w:sz w:val="24"/>
          <w:szCs w:val="24"/>
        </w:rPr>
        <w:t>：3 张 KpiCard（对比经营单位数、生产总数、单位产品碳足迹均值）。</w:t>
      </w:r>
    </w:p>
    <w:p w14:paraId="5846B34E">
      <w:pPr>
        <w:pStyle w:val="19"/>
        <w:widowControl/>
        <w:numPr>
          <w:ilvl w:val="0"/>
          <w:numId w:val="1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主对比图</w:t>
      </w:r>
      <w:r>
        <w:rPr>
          <w:rFonts w:ascii="Times New Roman" w:hAnsi="Times New Roman" w:eastAsia="宋体" w:cs="Times New Roman"/>
          <w:i w:val="0"/>
          <w:color w:val="1F2937"/>
          <w:sz w:val="24"/>
          <w:szCs w:val="24"/>
        </w:rPr>
        <w:t>：BarBenchmark 横向对比各经营单位单位产品碳足迹，基准线为虚线，超基准柱标红，达标柱主色。</w:t>
      </w:r>
    </w:p>
    <w:p w14:paraId="4A871900">
      <w:pPr>
        <w:pStyle w:val="19"/>
        <w:widowControl/>
        <w:numPr>
          <w:ilvl w:val="0"/>
          <w:numId w:val="1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经营单位排名表</w:t>
      </w:r>
      <w:r>
        <w:rPr>
          <w:rFonts w:ascii="Times New Roman" w:hAnsi="Times New Roman" w:eastAsia="宋体" w:cs="Times New Roman"/>
          <w:i w:val="0"/>
          <w:color w:val="1F2937"/>
          <w:sz w:val="24"/>
          <w:szCs w:val="24"/>
        </w:rPr>
        <w:t>：按单位产品碳足迹升序，第 1 名挂 Award 标杆徽标；项目公司行置灰且不计入排名序号；每行右侧"下钻"。</w:t>
      </w:r>
    </w:p>
    <w:p w14:paraId="70974532">
      <w:pPr>
        <w:pStyle w:val="19"/>
        <w:widowControl/>
        <w:numPr>
          <w:ilvl w:val="0"/>
          <w:numId w:val="1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下钻弹窗（Modal）</w:t>
      </w:r>
      <w:r>
        <w:rPr>
          <w:rFonts w:ascii="Times New Roman" w:hAnsi="Times New Roman" w:eastAsia="宋体" w:cs="Times New Roman"/>
          <w:i w:val="0"/>
          <w:color w:val="1F2937"/>
          <w:sz w:val="24"/>
          <w:szCs w:val="24"/>
        </w:rPr>
        <w:t>：标题 = 型号 + 经营单位；内容含 ① 生命周期构成 Donut（原材料/生产/运输…）② 主材碳排条形 ③ 工序碳排条形 ④ 该单位该型号销售订单列表（客户/数量/单台 tCO2/拆分生产计划标签）；底部"碳足迹详情"跳转实景数据库 / 碳足迹核算。</w:t>
      </w:r>
    </w:p>
    <w:p w14:paraId="30DEDD77">
      <w:pPr>
        <w:pStyle w:val="6"/>
        <w:numPr>
          <w:ilvl w:val="0"/>
          <w:numId w:val="1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B3DC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D39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13238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7936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D5A26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195F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20C9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时间区间</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4D52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日期区间</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1BBE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年月</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676E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起 ≤ 止；默认当月向前 3 个月（截图 2026-06 ~ 2026-08）</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950B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1116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产业 / 产品大类 / 产品中类 / 产品型号</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3579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四级级联枚举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4E27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6804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上级变更时下级逐级重置为首项；产品型号可空（空则按中类汇总）</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AE6D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749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涉及经营单位</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1E32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9614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家</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6B76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参与本次对比的实体工厂数；含锁形图标表示受 RLS 约束</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3880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802D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生产订单数</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9A8C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E835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条</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6505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点击可展开各经营单位明细；为 0 时整表输出空态</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AC90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6E67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产品特征量</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AF92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复合值（指标卡）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5E12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kV / MVA</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6E1E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电压等级（kV）＋ 容量（MVA）；决定单位化分母，缺失即置 --</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0A98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2C62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各经营单位产品碳足迹</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7D17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318D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kgCO₂e/台</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B995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升序 排名；第 1 名为低碳标杆；同一特征量口径内比较</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83F5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E4AE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生命周期各阶段碳排对比</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82EE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分组柱状图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88EF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kgCO₂e/台</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F632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按四阶段分组，支持「按构成分析」切换为占比堆叠</w:t>
            </w:r>
          </w:p>
        </w:tc>
      </w:tr>
    </w:tbl>
    <w:p w14:paraId="3C4A3CFD">
      <w:pPr>
        <w:pStyle w:val="6"/>
        <w:numPr>
          <w:ilvl w:val="0"/>
          <w:numId w:val="1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CBBBBE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CF_unit = E_PCF ÷ Feature　——　单位产品碳足迹</w:t>
            </w:r>
          </w:p>
          <w:p w14:paraId="7481887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R_stage = E_stage ÷ E_PCF × 100%　——　各阶段构成占比</w:t>
            </w:r>
          </w:p>
          <w:p w14:paraId="318801F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Mean_unit = Σ CF_unit,i ÷ N　——　单位产品碳足迹均值（N 为参与单位数，不含项目公司）</w:t>
            </w:r>
          </w:p>
          <w:p w14:paraId="4B151F2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Status = (CF_unit ≤ Benchmark) ? 达标 : 超基准　——　达标判定</w:t>
            </w:r>
          </w:p>
        </w:tc>
      </w:tr>
    </w:tbl>
    <w:p w14:paraId="215A325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变量定义与取值约定：Feature 为特征量（变压器 kVA、电缆 km、开关柜 面/间隔）；E_PCF 为该单位该型号的单台全生命周期碳足迹；Benchmark 取自基准管理配置。</w:t>
      </w:r>
    </w:p>
    <w:p w14:paraId="58B2539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取值示例：筛选「变压器-高压 / 交流变压器-110KV」，参与对比 5 家经营单位，各基地单位产品碳足迹为 新疆自控 7.3700、上开 7.8460、天变沈阳基地 8.0670、事达赛迪 8.1260、京津翼科技 8.2030 kgCO₂e/台 → 均值 Mean_unit = 39.6120 ÷ 5 = 7.9224 kgCO₂e/台；以均值作临时基准判定：新疆自控达标（↓），上开 / 天变沈阳基地 / 事达赛迪 / 京津翼科技均超基准（↑）。</w:t>
      </w:r>
    </w:p>
    <w:p w14:paraId="4F43289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精度与容差：碳足迹值保留 4 位小数；均值计算采用"先全精度累加、末位一次舍入"，容差 ≤ ±0.0001；排名并列时按经营单位编码升序确定座次（不并列同名次）。</w:t>
      </w:r>
    </w:p>
    <w:p w14:paraId="207BB16A">
      <w:pPr>
        <w:pStyle w:val="6"/>
        <w:numPr>
          <w:ilvl w:val="0"/>
          <w:numId w:val="1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5C0168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可比口径：所有对比必须在同一特征量口径下进行，严禁跨特征量（如 kVA 与 km）直接对比。</w:t>
      </w:r>
    </w:p>
    <w:p w14:paraId="6C68399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基准口径：基准线取自基准管理配置，超基准柱标红。</w:t>
      </w:r>
    </w:p>
    <w:p w14:paraId="5B1C2CC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排名口径：按单位产品碳足迹升序排名，第 1 名为低碳标杆；项目公司行置灰且不计入排名序号。</w:t>
      </w:r>
    </w:p>
    <w:p w14:paraId="25EFB39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筛级口径：上级筛选变更时逐级重置下级到首项，避免残留无效组合。</w:t>
      </w:r>
    </w:p>
    <w:p w14:paraId="34C84E6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排名基数阈值：参与排名的有效单位 ≥ 2 家方可输出排名，单位数 &lt; 2 时仅输出单点值不输出名次；② 均值有效性阈值：有效样本数 ≥ 3 才输出均值，否则标注"样本不足"；③ 特征量阈值：Feature ≤ 0 或缺失一律置 --，不参与排名与均值（不按 0 参与统计）；④ 基准来源：第四章「费价模型 / 指标基准」配置的品类级基准值，按「产品中类 × 账期」唯一；⑤ 达标判据：CF_unit ≤ Benchmark 判达标，严格小于与等于均视为达标（不设缓冲带）；⑥ 排序口径：升序，差额 &lt; 0.0001 视为并列，按组织编码升序破平。</w:t>
      </w:r>
    </w:p>
    <w:p w14:paraId="109B6DB8">
      <w:pPr>
        <w:pStyle w:val="6"/>
        <w:numPr>
          <w:ilvl w:val="0"/>
          <w:numId w:val="1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3B4040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特征量为 0 或缺失：单位产品碳足迹显示 --，该实体不参与排名与均值计算，触发 E_BIZ_COMPARE_FEATURE_ZERO（200，安全兜底，无报错弹窗）。</w:t>
            </w:r>
          </w:p>
          <w:p w14:paraId="366E256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筛选组合无数据：主对比图与排名表输出客观空态"当前条件下无可比数据"，不显示空白占位卡片，返回 E_BIZ_COMPARE_NO_DATA（200，信息级）。</w:t>
            </w:r>
          </w:p>
          <w:p w14:paraId="6DD6D29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跨特征量对比：前端禁止（下拉互斥），后端 API 拒绝混合特征量请求，返回 E_BIZ_COMPARE_CROSS_FEATURE（400）。</w:t>
            </w:r>
          </w:p>
          <w:p w14:paraId="75A8AF4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项目公司：强制置灰并排除排名统计。</w:t>
            </w:r>
          </w:p>
          <w:p w14:paraId="7067DC6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参与单位数 &lt; 2：不输出排名序号与奖杯徽标，仅输出数值列。</w:t>
            </w:r>
          </w:p>
          <w:p w14:paraId="7C353B7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组织越权：请求组织范围超出当前账号 RLS 授权范围，返回 403 + E_AUTH_RLS_SCOPE_DENIED。</w:t>
            </w:r>
          </w:p>
        </w:tc>
      </w:tr>
    </w:tbl>
    <w:p w14:paraId="425806EB">
      <w:pPr>
        <w:pStyle w:val="6"/>
        <w:numPr>
          <w:ilvl w:val="0"/>
          <w:numId w:val="143"/>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4DBCF7F3">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25DE5F6">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碳排横向对比分析</w:t>
            </w:r>
          </w:p>
          <w:p w14:paraId="70D0C93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级联筛选器逐级重置</w:t>
            </w:r>
          </w:p>
          <w:p w14:paraId="3951E04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用户已在级联筛选器中选定"变压器产业 / 高压产线 / 220kV 油浸式变压器"</w:t>
            </w:r>
          </w:p>
          <w:p w14:paraId="3F719B5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用户将产业改为"线缆产业"</w:t>
            </w:r>
          </w:p>
          <w:p w14:paraId="4CD2406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产线、产品类别、产品型号、经营单位等下级筛选器逐级重置到首项</w:t>
            </w:r>
          </w:p>
          <w:p w14:paraId="19BC8ED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主对比图与排名表同步刷新</w:t>
            </w:r>
          </w:p>
          <w:p w14:paraId="1EF889B1">
            <w:pPr>
              <w:spacing w:before="0" w:after="20" w:line="264" w:lineRule="auto"/>
              <w:rPr>
                <w:rFonts w:hint="eastAsia" w:ascii="宋体" w:hAnsi="宋体" w:eastAsia="宋体" w:cs="宋体"/>
                <w:i w:val="0"/>
                <w:iCs w:val="0"/>
                <w:sz w:val="24"/>
                <w:szCs w:val="24"/>
              </w:rPr>
            </w:pPr>
          </w:p>
          <w:p w14:paraId="4E14921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项目公司排除排名</w:t>
            </w:r>
          </w:p>
          <w:p w14:paraId="6FAE97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对比范围中包含项目公司</w:t>
            </w:r>
          </w:p>
          <w:p w14:paraId="445CF8F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系统生成经营单位排名表</w:t>
            </w:r>
          </w:p>
          <w:p w14:paraId="4EC7CF8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项目公司行置灰且不计入排名序号</w:t>
            </w:r>
          </w:p>
          <w:p w14:paraId="60C01C8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不参与单位产品碳足迹均值计算</w:t>
            </w:r>
          </w:p>
          <w:p w14:paraId="3EA4206A">
            <w:pPr>
              <w:spacing w:before="0" w:after="20" w:line="264" w:lineRule="auto"/>
              <w:rPr>
                <w:rFonts w:hint="eastAsia" w:ascii="宋体" w:hAnsi="宋体" w:eastAsia="宋体" w:cs="宋体"/>
                <w:i w:val="0"/>
                <w:iCs w:val="0"/>
                <w:sz w:val="24"/>
                <w:szCs w:val="24"/>
              </w:rPr>
            </w:pPr>
          </w:p>
          <w:p w14:paraId="6DE07AF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特征量为零安全兜底</w:t>
            </w:r>
          </w:p>
          <w:p w14:paraId="4E133F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某经营单位某型号产品的特征量数值缺失</w:t>
            </w:r>
          </w:p>
          <w:p w14:paraId="086A558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页面渲染该行的单位产品碳足迹</w:t>
            </w:r>
          </w:p>
          <w:p w14:paraId="1778681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该值显示为 "--"</w:t>
            </w:r>
          </w:p>
          <w:p w14:paraId="05AF32D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该行不参与降序排名与均值统计</w:t>
            </w:r>
          </w:p>
          <w:p w14:paraId="1F7462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跨特征量对比被后端拒绝</w:t>
            </w:r>
          </w:p>
          <w:p w14:paraId="36AA500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用户在前端选定特征量为"变压器 kVA"</w:t>
            </w:r>
          </w:p>
          <w:p w14:paraId="669361B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通过构造请求将另一参与单位替换为特征量"电缆 km"</w:t>
            </w:r>
          </w:p>
          <w:p w14:paraId="30965E7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后端 API 拒绝该混合特征量请求</w:t>
            </w:r>
          </w:p>
          <w:p w14:paraId="7858DC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返回错误码 E_BIZ_COMPARE_CROSS_FEATURE 且不返回任何对比数据</w:t>
            </w:r>
          </w:p>
          <w:p w14:paraId="577BCEF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样本不足不输出均值与名次</w:t>
            </w:r>
          </w:p>
          <w:p w14:paraId="75ACEC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某筛选组合下仅有 1 家经营单位存在有效碳足迹数据</w:t>
            </w:r>
          </w:p>
          <w:p w14:paraId="40990AF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页面渲染排名表与均值指标卡</w:t>
            </w:r>
          </w:p>
          <w:p w14:paraId="20CBF14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不输出排名序号与低碳标杆徽标</w:t>
            </w:r>
          </w:p>
          <w:p w14:paraId="22C1688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均值位置标注"样本不足"而非输出 0 或 NaN</w:t>
            </w:r>
          </w:p>
          <w:p w14:paraId="7D3A7B1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组织越权访问拦截</w:t>
            </w:r>
          </w:p>
          <w:p w14:paraId="445CF4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当前账号的数据范围为"沈阳园区"</w:t>
            </w:r>
          </w:p>
          <w:p w14:paraId="370DF78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该账号请求对比包含"鲁缆本部"的经营单位数据</w:t>
            </w:r>
          </w:p>
          <w:p w14:paraId="2B8AEBA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请求被拒绝并返回 403</w:t>
            </w:r>
          </w:p>
          <w:p w14:paraId="5081E5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返回错误码 E_AUTH_RLS_SCOPE_DENIED</w:t>
            </w:r>
          </w:p>
          <w:p w14:paraId="399DD98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越权尝试写入审计日志</w:t>
            </w:r>
          </w:p>
        </w:tc>
      </w:tr>
    </w:tbl>
    <w:p w14:paraId="304D430B">
      <w:pPr>
        <w:spacing w:after="40"/>
        <w:rPr>
          <w:rFonts w:hint="eastAsia" w:ascii="宋体" w:hAnsi="宋体" w:eastAsia="宋体" w:cs="宋体"/>
          <w:i w:val="0"/>
          <w:iCs w:val="0"/>
          <w:sz w:val="24"/>
          <w:szCs w:val="24"/>
        </w:rPr>
      </w:pPr>
    </w:p>
    <w:p w14:paraId="435205D0">
      <w:pPr>
        <w:pStyle w:val="5"/>
        <w:numPr>
          <w:ilvl w:val="0"/>
          <w:numId w:val="142"/>
        </w:numPr>
        <w:ind w:left="0" w:leftChars="0" w:firstLine="0" w:firstLineChars="0"/>
        <w:outlineLvl w:val="1"/>
        <w:rPr>
          <w:rFonts w:eastAsia="黑体"/>
          <w:b w:val="0"/>
          <w:bCs w:val="0"/>
          <w:sz w:val="30"/>
          <w:szCs w:val="24"/>
        </w:rPr>
      </w:pPr>
      <w:bookmarkStart w:id="44" w:name="_Toc23937"/>
      <w:r>
        <w:rPr>
          <w:rFonts w:ascii="Times New Roman" w:hAnsi="Times New Roman" w:eastAsia="黑体" w:cs="Times New Roman"/>
          <w:b w:val="0"/>
          <w:bCs w:val="0"/>
          <w:sz w:val="30"/>
          <w:szCs w:val="24"/>
        </w:rPr>
        <w:t xml:space="preserve">纵向对比</w:t>
      </w:r>
      <w:bookmarkEnd w:id="44"/>
    </w:p>
    <w:p w14:paraId="244118A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3"/>
                    <pic:cNvPicPr>
                      <a:picLocks noChangeAspect="1"/>
                    </pic:cNvPicPr>
                  </pic:nvPicPr>
                  <pic:blipFill>
                    <a:blip r:embed="rId81"/>
                    <a:stretch>
                      <a:fillRect/>
                    </a:stretch>
                  </pic:blipFill>
                  <pic:spPr>
                    <a:xfrm>
                      <a:off x="0" y="0"/>
                      <a:ext cx="5900420" cy="2925445"/>
                    </a:xfrm>
                    <a:prstGeom prst="rect">
                      <a:avLst/>
                    </a:prstGeom>
                    <a:noFill/>
                    <a:ln>
                      <a:noFill/>
                    </a:ln>
                  </pic:spPr>
                </pic:pic>
              </a:graphicData>
            </a:graphic>
          </wp:inline>
        </w:drawing>
      </w:r>
    </w:p>
    <w:p w14:paraId="27195640">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D1A5ACF">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：按批次号追踪同一产品历年碳足迹演变趋势，提供原材料替代、绿电消纳提升及工艺优化的敏感性归因瀑布图。</w:t>
      </w:r>
    </w:p>
    <w:p w14:paraId="42571D17">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碳核算工程师、技改项目经理。</w:t>
      </w:r>
    </w:p>
    <w:p w14:paraId="71219C10">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/carbon-footprint/analysis/ranking </w:t>
      </w:r>
      <w:r>
        <w:rPr>
          <w:rFonts w:ascii="Times New Roman" w:hAnsi="Times New Roman" w:eastAsia="宋体" w:cs="Times New Roman"/>
          <w:i w:val="0"/>
          <w:color w:val="1F2937"/>
          <w:sz w:val="24"/>
          <w:szCs w:val="24"/>
        </w:rPr>
        <w:t>。</w:t>
      </w:r>
    </w:p>
    <w:p w14:paraId="759C4010">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：批次级 LCA 核算结果、生产计划与销售订单、原材料替换记录。</w:t>
      </w:r>
    </w:p>
    <w:p w14:paraId="44583EE9">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：减碳路径建议、技改立项依据。</w:t>
      </w:r>
    </w:p>
    <w:p w14:paraId="1F14FD8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左侧组织树可见范围为"本级及以下"，树根默认为用户所属顶层单位（集团账号为"特变电工电装集团"，园区账号为其所属子公司）；跨单位聚合＝默认按所选单位集合纵向汇总，项目公司置灰且不参与红黑榜；对外可见档位＝SENSITIVE；越权返回 403 + E_AUTH_RLS_SCOPE_DENIED。</w:t>
      </w:r>
    </w:p>
    <w:p w14:paraId="465D9A17">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740E3985">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：追踪某主力型号变压器近 3 年碳足迹下降路径，量化高磁感取向硅钢片替代与绿电接入各自的贡献度。</w:t>
      </w:r>
    </w:p>
    <w:p w14:paraId="63CBA23C">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4E2FD851">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1262B508">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按批次追踪同型号产品碳足迹演变，并以瀑布图量化各减碳举措的贡献度</w:t>
      </w:r>
      <w:r>
        <w:rPr>
          <w:rFonts w:ascii="Times New Roman" w:hAnsi="Times New Roman" w:eastAsia="宋体" w:cs="Times New Roman"/>
          <w:i w:val="0"/>
          <w:color w:val="1F2937"/>
          <w:sz w:val="24"/>
          <w:szCs w:val="24"/>
        </w:rPr>
        <w:t>，</w:t>
      </w:r>
    </w:p>
    <w:p w14:paraId="3FCAFA43">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我能识别最有效的减碳路径并复制到其他产线</w:t>
      </w:r>
      <w:r>
        <w:rPr>
          <w:rFonts w:ascii="Times New Roman" w:hAnsi="Times New Roman" w:eastAsia="宋体" w:cs="Times New Roman"/>
          <w:i w:val="0"/>
          <w:color w:val="1F2937"/>
          <w:sz w:val="24"/>
          <w:szCs w:val="24"/>
        </w:rPr>
        <w:t>。</w:t>
      </w:r>
    </w:p>
    <w:p w14:paraId="45A0DCCC">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B63DF2B">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左侧经营单位组织树</w:t>
      </w:r>
      <w:r>
        <w:rPr>
          <w:rFonts w:ascii="Times New Roman" w:hAnsi="Times New Roman" w:eastAsia="宋体" w:cs="Times New Roman"/>
          <w:i w:val="0"/>
          <w:color w:val="1F2937"/>
          <w:sz w:val="24"/>
          <w:szCs w:val="24"/>
        </w:rPr>
        <w:t>：集团 → 板块 → 经营单位，可展开/收起；项目公司置灰；点击切换 scope（默认"全部经营单位" = 跨单位均值）。</w:t>
      </w:r>
    </w:p>
    <w:p w14:paraId="7EE865FA">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级联筛选</w:t>
      </w:r>
      <w:r>
        <w:rPr>
          <w:rFonts w:ascii="Times New Roman" w:hAnsi="Times New Roman" w:eastAsia="宋体" w:cs="Times New Roman"/>
          <w:i w:val="0"/>
          <w:color w:val="1F2937"/>
          <w:sz w:val="24"/>
          <w:szCs w:val="24"/>
        </w:rPr>
        <w:t>：产业 / 产线 / 类别 / 时间。</w:t>
      </w:r>
    </w:p>
    <w:p w14:paraId="39D9F2F6">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重点指标区</w:t>
      </w:r>
      <w:r>
        <w:rPr>
          <w:rFonts w:ascii="Times New Roman" w:hAnsi="Times New Roman" w:eastAsia="宋体" w:cs="Times New Roman"/>
          <w:i w:val="0"/>
          <w:color w:val="1F2937"/>
          <w:sz w:val="24"/>
          <w:szCs w:val="24"/>
        </w:rPr>
        <w:t>：3 张 KpiCard（型号数量、生产总数、单位产品碳足迹均值，随 scope 重算）。</w:t>
      </w:r>
    </w:p>
    <w:p w14:paraId="1A36A312">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红榜 Top5 / 黑榜 Top5</w:t>
      </w:r>
      <w:r>
        <w:rPr>
          <w:rFonts w:ascii="Times New Roman" w:hAnsi="Times New Roman" w:eastAsia="宋体" w:cs="Times New Roman"/>
          <w:i w:val="0"/>
          <w:color w:val="1F2937"/>
          <w:sz w:val="24"/>
          <w:szCs w:val="24"/>
        </w:rPr>
        <w:t>：型号按单位产品碳足迹升序，前 n 入红榜（低碳标杆），后 n 入黑榜（改进对象）；红榜第 1 挂 Award、黑榜第 1 挂 TriangleAlert。</w:t>
      </w:r>
    </w:p>
    <w:p w14:paraId="754E84B3">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点击榜单卡片下钻（Modal）</w:t>
      </w:r>
      <w:r>
        <w:rPr>
          <w:rFonts w:ascii="Times New Roman" w:hAnsi="Times New Roman" w:eastAsia="宋体" w:cs="Times New Roman"/>
          <w:i w:val="0"/>
          <w:color w:val="1F2937"/>
          <w:sz w:val="24"/>
          <w:szCs w:val="24"/>
        </w:rPr>
        <w:t>：各生产计划单台碳足迹对比条形（同型号不同生产计划 = 不同时间生产的横向对比）+ 销售订单及拆分生产计划表。</w:t>
      </w:r>
    </w:p>
    <w:p w14:paraId="30878C12">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场景定位</w:t>
      </w:r>
      <w:r>
        <w:rPr>
          <w:rFonts w:ascii="Times New Roman" w:hAnsi="Times New Roman" w:eastAsia="宋体" w:cs="Times New Roman"/>
          <w:i w:val="0"/>
          <w:color w:val="1F2937"/>
          <w:sz w:val="24"/>
          <w:szCs w:val="24"/>
        </w:rPr>
        <w:t>：按组织范围对同类别各型号做红黑榜，锁定改进对象。</w:t>
      </w:r>
    </w:p>
    <w:p w14:paraId="6479C57C">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归因瀑布图</w:t>
      </w:r>
      <w:r>
        <w:rPr>
          <w:rFonts w:ascii="Times New Roman" w:hAnsi="Times New Roman" w:eastAsia="宋体" w:cs="Times New Roman"/>
          <w:i w:val="0"/>
          <w:color w:val="1F2937"/>
          <w:sz w:val="24"/>
          <w:szCs w:val="24"/>
        </w:rPr>
        <w:t>：以瀑布图形呈现原材料替代、绿电接入、工艺优化等因素对碳足迹变动的贡献量与贡献率。</w:t>
      </w:r>
    </w:p>
    <w:p w14:paraId="56244E3B">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6044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26379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48FB0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CAC4F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57BA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5089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603D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组织树（左侧）</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4E1F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树形控件</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8701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E82D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含关键字搜索框；节点为 集团 → 子公司 → 厂/基地 三级；勾选决定对比范围，多选时取并集</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23B3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2B00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对比范围提示条</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FF80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只读文本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56DF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38F5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格式"当前对比范围：XXX——在左侧组织树勾选单位可切换对比范围"</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E97D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3537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产线 / 产品大类 / 产品中类 / 时间区间</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D2C2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级联枚举 + 日期区间</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80AE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2FC1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产品大类含"变压器-高压 / 变压器-超高压"等；时间区间默认近 3 个月</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8686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3195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产品规格数量</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0D9C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8581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个</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4121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本次范围内出现的去重型号数</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59A5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2AEF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生产产品总数</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5937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4C39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台</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8984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范围内的合格入库总量；与第二章产量口径同源</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DFD4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D690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单位产品碳足迹（均值）</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081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小数(4 位)（指标卡）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66E7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kgCO₂e/kVA</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443A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按特征量加权的单位化均值</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A3F5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A3DC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单位产品碳足迹（升序 Top5）</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2ABF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表格</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9437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kgCO₂e/kVA</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E5B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列：型号 / 台数(台) / 单台碳排(tCO₂e) / 特征值(kVA) / 单位产品碳足迹</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4197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7A98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单位产品碳足迹（降序 Top5）</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6B69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表格</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D9B4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kgCO₂e/kVA</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1284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同上表结构；与升序榜不重复上榜</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7442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9</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9A89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归因瀑布图</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10EF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图表</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CF39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kgCO₂e/kVA</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0B2F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因子：原材料替代 / 绿电接入 / 工艺优化 / 其他残差</w:t>
            </w:r>
          </w:p>
        </w:tc>
      </w:tr>
    </w:tbl>
    <w:p w14:paraId="35651C2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单位口径一致性修正：截图 #23（实景数据库）表头写作「单台碳足迹(t)」，而行值为 8,788.871 kgCO₂e/台；「单位产品碳足迹(t)」行值为 0.1394 kgCO₂e/kVA。表头单位与行值单位不一致，属前端体例缺陷。建议统一为「单台碳足迹(kgCO₂e/台)」与「单位产品碳足迹(kgCO₂e/kVA)」，或统一换算为 t 并保留 4 位小数。本稿按前者（与本章其余模块一致）执行。</w:t>
      </w:r>
    </w:p>
    <w:p w14:paraId="6FA0F738">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69067C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ΔCF = CF_t − CF_base　——　碳足迹变动量</w:t>
            </w:r>
          </w:p>
          <w:p w14:paraId="3F173FF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Con_i = ΔCF_i ÷ ΔCF × 100%　——　各因素归因贡献率</w:t>
            </w:r>
          </w:p>
          <w:p w14:paraId="216D30E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CF_scope_all = Σ CF_unit,i ÷ N　——　跨单位均值</w:t>
            </w:r>
          </w:p>
          <w:p w14:paraId="6D0D480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Top_red = ORDER_BY(CF_unit) ASC LIMIT 5　——　红榜（低碳标杆）</w:t>
            </w:r>
          </w:p>
          <w:p w14:paraId="520FB18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Top_black = ORDER_BY(CF_unit) DESC LIMIT 5　——　黑榜（改进对象）</w:t>
            </w:r>
          </w:p>
        </w:tc>
      </w:tr>
    </w:tbl>
    <w:p w14:paraId="4C4D739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变量定义与取值约定：ΔCF_i 为第 i 项减碳举措（原材料替代、绿电接入、工艺优化）带来的碳足迹变化量；归因贡献率之和应为 100%，偏差超 ±1% 提示归因不完整。</w:t>
      </w:r>
    </w:p>
    <w:p w14:paraId="51C6FC7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取值示例：筛选「高压产线 / 交流变压器-110KV / 4 个规格」，范围内生产产品总数 2,836 台，单位产品碳足迹均值 0.0957 kgCO₂e/kVA；降序榜首为 SFZ-63000/110（627 台，单台 8.892 tCO₂e，特征值 63,000 kVA）→ CF_unit = 8,892 ÷ 63,000 = 0.1411 kgCO₂e/kVA（与截图一致）；升序榜首为 SF52-120000/110（636 台，单台 3.408 tCO₂e，特征值 120,000 kVA）→ 3,408 ÷ 120,000 = 0.0284 kgCO₂e/kVA。</w:t>
      </w:r>
    </w:p>
    <w:p w14:paraId="207D8C9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精度与容差：变动量与单位产品碳足迹保留 4 位小数；归因贡献率保留 2 位小数，配平容差 ≤ ±1.00%；单台碳排（tCO₂e）保留 3 位小数；台数与特征值为整数。</w:t>
      </w:r>
    </w:p>
    <w:p w14:paraId="2F766CF1">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961E21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时间口径：纵向追溯以生产批次时间轴为准，不以销售订单时间为准。</w:t>
      </w:r>
    </w:p>
    <w:p w14:paraId="586C615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均值口径：scope 为"全部经营单位"时采用跨单位算术平均，非加权。</w:t>
      </w:r>
    </w:p>
    <w:p w14:paraId="7AC850E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红黑榜口径：红黑榜基于同类别内各型号升序排序，前 5 与后 5，型号数少于 10 时不重复上榜。</w:t>
      </w:r>
    </w:p>
    <w:p w14:paraId="19B9ACC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归因口径：归因须完整覆盖全部减碳举措，贡献率之和强制配平至 100%。</w:t>
      </w:r>
    </w:p>
    <w:p w14:paraId="523FFD8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归因完整性阈值：各因素贡献率之和与 100% 的偏差 ≤ ±1.00% 判完整；超出则标注"归因待补充"并单列未归因残差项；② 归因准入阈值：同型号有效历史批次 ≥ 2 个才绘制瀑布图；③ 红黑榜基数阈值：同类别型号数 &lt; 10 时红黑榜不得出现同一型号；④ 变动量有效性阈值：|ΔCF| &lt; 0.0001 kgCO₂e/kVA 视为无变化，贡献率置 --（除零兜底）；⑤ 基准来源：CF_base 取同型号同特征量的上一有效批次，非"历史最低值"、非"年度均值"；⑥ 均值基准来源：跨单位算术平均，与横向对比模块的均值口径保持一致（差别仅在于单位集合来源不同）。</w:t>
      </w:r>
    </w:p>
    <w:p w14:paraId="6AB4D60A">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97489B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同型号历史批次少于 2 个：不绘制归因瀑布图，输出客观提示"历史批次不足，暂不支持归因"，触发 E_BIZ_TREND_BATCH_INSUFFICIENT（422）。</w:t>
            </w:r>
          </w:p>
          <w:p w14:paraId="779CEDC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归属贡献率之和不等于 100%：标注"归因待补充"并列出未归因残差，触发 E_BIZ_TREND_ATTRIB_MISMATCH（422，不阻断出图，仅提示）。</w:t>
            </w:r>
          </w:p>
          <w:p w14:paraId="75BDCD8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项目公司：置灰且不参与红黑榜。</w:t>
            </w:r>
          </w:p>
          <w:p w14:paraId="40F7846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除零兜底：总变动量为 0 时贡献率显示 --，触发 E_BIZ_TREND_DELTA_ZERO（200，安全兜底）。</w:t>
            </w:r>
          </w:p>
          <w:p w14:paraId="4B516DD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同类别型号数 &lt; 10：红黑榜自动去重，同一型号不上两榜，被去重侧自动顺延一位。</w:t>
            </w:r>
          </w:p>
          <w:p w14:paraId="3DA5ED7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组织越权：请求范围超出 RLS 授权，返回 403 + E_AUTH_RLS_SCOPE_DENIED。</w:t>
            </w:r>
          </w:p>
        </w:tc>
      </w:tr>
    </w:tbl>
    <w:p w14:paraId="394D55FC">
      <w:pPr>
        <w:pStyle w:val="6"/>
        <w:numPr>
          <w:ilvl w:val="0"/>
          <w:numId w:val="148"/>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074B4271">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84D879F">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碳排纵向追溯与归因分析</w:t>
            </w:r>
          </w:p>
          <w:p w14:paraId="443CD99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归因贡献率配平</w:t>
            </w:r>
          </w:p>
          <w:p w14:paraId="04016F6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某型号变压器存在两个及以上生产批次的碳足迹数据</w:t>
            </w:r>
          </w:p>
          <w:p w14:paraId="3D3DE29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系统生成减碳归因瀑布图</w:t>
            </w:r>
          </w:p>
          <w:p w14:paraId="7261731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各因素贡献率之和等于 100%</w:t>
            </w:r>
          </w:p>
          <w:p w14:paraId="1500E7F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偏差超过 ±1% 时标注"归因待补充"并列出未归因残差</w:t>
            </w:r>
          </w:p>
          <w:p w14:paraId="3A8A34BF">
            <w:pPr>
              <w:spacing w:before="0" w:after="20" w:line="264" w:lineRule="auto"/>
              <w:rPr>
                <w:rFonts w:hint="eastAsia" w:ascii="宋体" w:hAnsi="宋体" w:eastAsia="宋体" w:cs="宋体"/>
                <w:i w:val="0"/>
                <w:iCs w:val="0"/>
                <w:sz w:val="24"/>
                <w:szCs w:val="24"/>
              </w:rPr>
            </w:pPr>
          </w:p>
          <w:p w14:paraId="381DBD9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红黑榜不重复上榜</w:t>
            </w:r>
          </w:p>
          <w:p w14:paraId="17AA540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同类别内共有 6 个产品型号</w:t>
            </w:r>
          </w:p>
          <w:p w14:paraId="4F625CC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系统生成红榜 Top5 与黑榜 Top5</w:t>
            </w:r>
          </w:p>
          <w:p w14:paraId="0A88FC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同一型号不同时出现在红榜与黑榜中</w:t>
            </w:r>
          </w:p>
          <w:p w14:paraId="114C1CE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红榜第 1 名挂 Award 徽标、黑榜第 1 名挂 TriangleAlert 徽标</w:t>
            </w:r>
          </w:p>
          <w:p w14:paraId="178DB680">
            <w:pPr>
              <w:spacing w:before="0" w:after="20" w:line="264" w:lineRule="auto"/>
              <w:rPr>
                <w:rFonts w:hint="eastAsia" w:ascii="宋体" w:hAnsi="宋体" w:eastAsia="宋体" w:cs="宋体"/>
                <w:i w:val="0"/>
                <w:iCs w:val="0"/>
                <w:sz w:val="24"/>
                <w:szCs w:val="24"/>
              </w:rPr>
            </w:pPr>
          </w:p>
          <w:p w14:paraId="45A62C3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历史批次不足的处理</w:t>
            </w:r>
          </w:p>
          <w:p w14:paraId="27F7F78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某型号仅有 1 个生产批次的碳足迹数据</w:t>
            </w:r>
          </w:p>
          <w:p w14:paraId="1FA8894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用户请求查看归因瀑布图</w:t>
            </w:r>
          </w:p>
          <w:p w14:paraId="066F34B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不绘制瀑布图并输出"历史批次不足，暂不支持归因"</w:t>
            </w:r>
          </w:p>
          <w:p w14:paraId="16E2BB8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页面不显示空白图表容器</w:t>
            </w:r>
          </w:p>
          <w:p w14:paraId="48E7697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历史批次不足的客观提示</w:t>
            </w:r>
          </w:p>
          <w:p w14:paraId="45CA412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某型号仅有 1 个有效生产批次的碳足迹数据</w:t>
            </w:r>
          </w:p>
          <w:p w14:paraId="76ED0A9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用户请求查看归因瀑布图</w:t>
            </w:r>
          </w:p>
          <w:p w14:paraId="78295A9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不绘制瀑布图，输出"历史批次不足，暂不支持归因"提示</w:t>
            </w:r>
          </w:p>
          <w:p w14:paraId="5554384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返回错误码 E_BIZ_TREND_BATCH_INSUFFICIENT</w:t>
            </w:r>
          </w:p>
          <w:p w14:paraId="14EE6ED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归因贡献率配平校验</w:t>
            </w:r>
          </w:p>
          <w:p w14:paraId="7F03D93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某型号存在 3 个有效历史批次且识别出 2 项减碳举措</w:t>
            </w:r>
          </w:p>
          <w:p w14:paraId="4713548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系统生成减碳归因瀑布图</w:t>
            </w:r>
          </w:p>
          <w:p w14:paraId="5EC2C40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两项贡献率之和与 100% 的偏差不超过 ±1.00%</w:t>
            </w:r>
          </w:p>
          <w:p w14:paraId="2B4287D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偏差超出阈值时标注"归因待补充"并单列未归因残差项</w:t>
            </w:r>
          </w:p>
          <w:p w14:paraId="4626731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返回错误码 E_BIZ_TREND_ATTRIB_MISMATCH</w:t>
            </w:r>
          </w:p>
          <w:p w14:paraId="7518880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变动量为零除零兜底</w:t>
            </w:r>
          </w:p>
          <w:p w14:paraId="41B9620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某型号相邻两个批次的单位产品碳足迹完全相同</w:t>
            </w:r>
          </w:p>
          <w:p w14:paraId="6125357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系统计算各因素归因贡献率</w:t>
            </w:r>
          </w:p>
          <w:p w14:paraId="208ACB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贡献率安全显示为 "--"</w:t>
            </w:r>
          </w:p>
          <w:p w14:paraId="46CBDDC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系统不出现 NaN、Infinity 或前端脚本异常</w:t>
            </w:r>
          </w:p>
          <w:p w14:paraId="1DFEFBD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返回错误码 E_BIZ_TREND_DELTA_ZERO</w:t>
            </w:r>
          </w:p>
        </w:tc>
      </w:tr>
    </w:tbl>
    <w:p w14:paraId="188330CC">
      <w:pPr>
        <w:spacing w:after="40"/>
        <w:rPr>
          <w:rFonts w:hint="eastAsia" w:ascii="宋体" w:hAnsi="宋体" w:eastAsia="宋体" w:cs="宋体"/>
          <w:i w:val="0"/>
          <w:iCs w:val="0"/>
          <w:sz w:val="24"/>
          <w:szCs w:val="24"/>
        </w:rPr>
      </w:pPr>
    </w:p>
    <w:p w14:paraId="7E8EB1C9">
      <w:pPr>
        <w:pStyle w:val="4"/>
        <w:numPr>
          <w:ilvl w:val="0"/>
          <w:numId w:val="135"/>
        </w:numPr>
        <w:topLinePunct w:val="0"/>
        <w:ind w:left="0" w:leftChars="0" w:firstLine="0" w:firstLineChars="0"/>
        <w:outlineLvl w:val="0"/>
        <w:rPr>
          <w:rFonts w:hint="eastAsia" w:eastAsia="黑体"/>
          <w:b w:val="0"/>
          <w:bCs w:val="0"/>
          <w:sz w:val="30"/>
          <w:szCs w:val="32"/>
        </w:rPr>
      </w:pPr>
      <w:bookmarkStart w:id="45" w:name="_Toc22158"/>
      <w:r>
        <w:rPr>
          <w:rFonts w:ascii="Times New Roman" w:hAnsi="Times New Roman" w:eastAsia="黑体" w:cs="Times New Roman"/>
          <w:b w:val="0"/>
          <w:bCs w:val="0"/>
          <w:sz w:val="30"/>
          <w:szCs w:val="32"/>
        </w:rPr>
        <w:t>实景数据库与碳足迹核算</w:t>
      </w:r>
      <w:bookmarkEnd w:id="45"/>
    </w:p>
    <w:p w14:paraId="3FDA0B5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板块导语｜实景数据库与碳足迹核算</w:t>
      </w:r>
    </w:p>
    <w:p w14:paraId="68448DD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本板块是集采中心的"数据底座 + 算账台"：实景数据库沉淀每个产品型号的真实碳足迹因子（一事一档），碳足迹核算执行 ISO 14067 五阶段滚算与状态流转（型号级与订单级双口径），碳足迹报告一键产出可交付、可验真的双语报告与数字碳标签。三个模块构成"沉淀 → 核算 → 交付"的完整链路。</w:t>
      </w:r>
    </w:p>
    <w:p w14:paraId="61E0DBC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边界声明：本板块只处理产品碳足迹（PCF），不处理组织级温室气体清单（ISO 14064）；核算边界固定为摇篮到大门（Cradle-to-Gate），不做下游使用与回收阶段。</w:t>
      </w:r>
    </w:p>
    <w:p w14:paraId="672C4CF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「实景数据库」与「因子库管理」的本质区别（务必在此声明，原稿两处混用）：实景数据库是一事一档——按「产品型号 × 经营单位 × 账期」落一条真实核算结果（截图 #23：125 个型号 / 1,793 条记录）；因子库管理是一类一档——按「物料 / 电网 / 能源品种」落一条排放因子（截图 #32~#35）。前者是结果，后者是输入参数；前者可被销售与认证直接引用，后者仅供核算引擎引用。</w:t>
      </w:r>
    </w:p>
    <w:p w14:paraId="64D449FD">
      <w:pPr>
        <w:pStyle w:val="5"/>
        <w:numPr>
          <w:ilvl w:val="0"/>
          <w:numId w:val="153"/>
        </w:numPr>
        <w:ind w:left="0" w:leftChars="0" w:firstLine="0" w:firstLineChars="0"/>
        <w:outlineLvl w:val="1"/>
        <w:rPr>
          <w:rFonts w:eastAsia="黑体"/>
          <w:b w:val="0"/>
          <w:bCs w:val="0"/>
          <w:sz w:val="30"/>
          <w:szCs w:val="24"/>
        </w:rPr>
      </w:pPr>
      <w:bookmarkStart w:id="46" w:name="_Toc30983"/>
      <w:r>
        <w:rPr>
          <w:rFonts w:ascii="Times New Roman" w:hAnsi="Times New Roman" w:eastAsia="黑体" w:cs="Times New Roman"/>
          <w:b w:val="0"/>
          <w:bCs w:val="0"/>
          <w:sz w:val="30"/>
          <w:szCs w:val="24"/>
        </w:rPr>
        <w:t xml:space="preserve">实景数据库</w:t>
      </w:r>
      <w:bookmarkEnd w:id="46"/>
    </w:p>
    <w:p w14:paraId="63C76D9A">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4"/>
                    <pic:cNvPicPr>
                      <a:picLocks noChangeAspect="1"/>
                    </pic:cNvPicPr>
                  </pic:nvPicPr>
                  <pic:blipFill>
                    <a:blip r:embed="rId82"/>
                    <a:stretch>
                      <a:fillRect/>
                    </a:stretch>
                  </pic:blipFill>
                  <pic:spPr>
                    <a:xfrm>
                      <a:off x="0" y="0"/>
                      <a:ext cx="5900420" cy="2925445"/>
                    </a:xfrm>
                    <a:prstGeom prst="rect">
                      <a:avLst/>
                    </a:prstGeom>
                    <a:noFill/>
                    <a:ln>
                      <a:noFill/>
                    </a:ln>
                  </pic:spPr>
                </pic:pic>
              </a:graphicData>
            </a:graphic>
          </wp:inline>
        </w:drawing>
      </w:r>
    </w:p>
    <w:p w14:paraId="143BD801">
      <w:pPr>
        <w:pStyle w:val="6"/>
        <w:numPr>
          <w:ilvl w:val="0"/>
          <w:numId w:val="1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392473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功能定位：面向变压器、线缆等主力品类，按「产品大类 × 产品中类 × 产品型号」沉淀每个型号在各经营单位的真实碳足迹核算结果（一事一档），作为对外数据引用、认证报告取数、CBAM 底数生成的唯一权威数据源。</w:t>
      </w:r>
    </w:p>
    <w:p w14:paraId="39A5EA5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承载角色：P4 碳核算工程师（主维护与复核）、P2 园区能碳专员（本园区数据查阅）、P6 外部独立审计机构（只读核验）。</w:t>
      </w:r>
    </w:p>
    <w:p w14:paraId="1E4FB51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页面路由：/carbon-footprint/database/realscene；含二级菜单：数据总览 / 碳足迹核算 / 碳足迹报告。</w:t>
      </w:r>
    </w:p>
    <w:p w14:paraId="465527D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上游依赖：碳足迹核算模块产出的型号级核算结果、产品型号主数据（第四章「产品型号管理」）、经营单位组织主数据、因子库管理板块的因子版本。</w:t>
      </w:r>
    </w:p>
    <w:p w14:paraId="69947B4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下游输出：对外示范窗口的数据源、认证申请的资料取数、CBAM 申报底数、横向/纵向对比模块的样本集。</w:t>
      </w:r>
    </w:p>
    <w:p w14:paraId="6EE566B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与因子库管理的边界：本模块存核算结果（一事一档，随账期滚动新增），因子库管理存输入参数（一类一档，随版本冻结切换）；本模块行数随型号数与账期数增长，因子库行数仅随物料/能源品种增长。</w:t>
      </w:r>
    </w:p>
    <w:p w14:paraId="79F084A6">
      <w:pPr>
        <w:pStyle w:val="6"/>
        <w:numPr>
          <w:ilvl w:val="0"/>
          <w:numId w:val="1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190CF7EC">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：碳核算工程师需为高磁感取向硅钢片等高碳主材建立本土实测因子档案，并附具完整溯源证据以支撑第三方认证。</w:t>
      </w:r>
    </w:p>
    <w:p w14:paraId="029B899B">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74E7D87D">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293C5805">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在实景数据库中按物料维护本土实测碳因子并关联供应链溯源链条与检测报告附件</w:t>
      </w:r>
      <w:r>
        <w:rPr>
          <w:rFonts w:ascii="Times New Roman" w:hAnsi="Times New Roman" w:eastAsia="宋体" w:cs="Times New Roman"/>
          <w:i w:val="0"/>
          <w:color w:val="1F2937"/>
          <w:sz w:val="24"/>
          <w:szCs w:val="24"/>
        </w:rPr>
        <w:t>，</w:t>
      </w:r>
    </w:p>
    <w:p w14:paraId="32D9BE9E">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LCA 核算所引用的每一项因子都可被第三方审计追溯至原始证据</w:t>
      </w:r>
      <w:r>
        <w:rPr>
          <w:rFonts w:ascii="Times New Roman" w:hAnsi="Times New Roman" w:eastAsia="宋体" w:cs="Times New Roman"/>
          <w:i w:val="0"/>
          <w:color w:val="1F2937"/>
          <w:sz w:val="24"/>
          <w:szCs w:val="24"/>
        </w:rPr>
        <w:t>。</w:t>
      </w:r>
    </w:p>
    <w:p w14:paraId="336290D9">
      <w:pPr>
        <w:pStyle w:val="6"/>
        <w:numPr>
          <w:ilvl w:val="0"/>
          <w:numId w:val="1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3D59DEE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1）指标卡区（三卡）：「产品规格数据」＝区间内去重型号数（截图 125 个型号，标注"在营经营单位平均"）；「实景数据记录」＝区间内落库记录条数（截图 1,793 条，标注"各经营单位实景填报"）；「覆盖细分类别」＝命中的产品中类数（截图 54 类）。</w:t>
      </w:r>
    </w:p>
    <w:p w14:paraId="38D89AF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2）筛选条（两行）：第一行 产业（变压器 / 线缆）· 产品大类 · 产品中类；第二行 时间粒度（跨月 / 单月）· 起始月 · 至 · 经营单位 · 型号/类别搜索框；右侧「查询」「重置」。</w:t>
      </w:r>
    </w:p>
    <w:p w14:paraId="684CA09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3）主清单表：列依次为 产品大类 · 产品中类 · 产品型号 · 生产单位数 · 单台碳足迹 · 单位产品碳足迹 · 数据区间 · 操作（行内「因子详情」抽屉）。</w:t>
      </w:r>
    </w:p>
    <w:p w14:paraId="45CF67B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4）行内抽屉（因子详情）：展示该型号碳足迹的五阶段拆解、引用的因子版本清单（物料 / 电力 / 能源活动）、数据来源凭证索引与哈希。</w:t>
      </w:r>
    </w:p>
    <w:p w14:paraId="2D1CA5A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5）排序与分页：默认按「产品大类 → 产品中类 → 产品型号」字典序；单页 20 行；跨月粒度下同一型号按区间聚合为一行，并显示区间。</w:t>
      </w:r>
    </w:p>
    <w:p w14:paraId="79DD000F">
      <w:pPr>
        <w:pStyle w:val="6"/>
        <w:numPr>
          <w:ilvl w:val="0"/>
          <w:numId w:val="1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6D268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F430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AFFB9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AF640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A02D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8C03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240C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产业</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BBEB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枚举单选</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D876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9F68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变压器 / 线缆（与产品主数据同源）</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433D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BE15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产品大类</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E889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级联枚举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4CD3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B798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变压器-高压 / 变压器-超高压 / 线缆-电力电缆 …</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F1FB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8161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产品中类</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4646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级联枚举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0B9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81AF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交流变压器-110KV / 交流变压器-220KV / 交流变压器-330KV …</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5147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E0F7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时间粒度</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0B2B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枚举单选</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A064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7AC9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跨月（默认）／单月；跨月时数据区间列必填</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4828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89D1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数据区间</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EC55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日期区间</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B4F2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年月</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450E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YYYY-MM ~ YYYY-MM ；起 ≤ 止</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274C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7B88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产品型号</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5B87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E284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BBBC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须存在于第四章「产品型号管理」；不存在则不入表</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A4A6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D972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生产单位数</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53E4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C3EE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条</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6389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记录数（截图标注"依据"）≥ 1</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5712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29A2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单台碳足迹</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9502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小数(3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8236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kgCO₂e/台</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ECA8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0；同一型号多单位取均值</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BBC6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9</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CB9F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单位产品碳足迹</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86E7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8EE7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kgCO₂e/kVA</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8350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单台碳足迹 ÷ 特征值；特征值 ≤ 0 时置 --</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3EC1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10</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F04A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数据来源凭证索引</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BAB5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文本（哈希）</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C24A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3E44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SHA-256，抽屉内展示</w:t>
            </w:r>
          </w:p>
        </w:tc>
      </w:tr>
    </w:tbl>
    <w:p w14:paraId="5F214F8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截图实测样本（可直接作为验收数据）：变压器-高压 / 交流变压器-110KV：SFZ-63000/110 → 14 条 / 8,788.871 kgCO₂e/台 / 0.1394 kgCO₂e/kVA；SF52-120000/110 → 14 条 / 9,734.571 / 0.0811；SFZ11-110 → 13 条 / 9,291.462 / 0.0845；SF5211-110 → 13 条 / 9,827.538 / 0.0829。变压器-超高压：SZ11-220 → 16 条 / 16,865.313 / 0.0763；SFZ-180000/220 → 15 条 / 15,772.733 / 0.0876；SFSZ11-220 → 13 条 / 17,481.092 / 0.0797。交流变压器-330KV：SF9-330 → 18 条 / 29,483.833 / 0.0890；SFP-360/330 → 16 条 / 23,112.5 / 0.0642。</w:t>
      </w:r>
    </w:p>
    <w:p w14:paraId="08468AAF">
      <w:pPr>
        <w:pStyle w:val="6"/>
        <w:numPr>
          <w:ilvl w:val="0"/>
          <w:numId w:val="1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B341F3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E_PCF = Σ E_stage（5 阶段）　——　型号级单台碳足迹（引用核算模块结果）</w:t>
            </w:r>
          </w:p>
          <w:p w14:paraId="421AB20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CF_unit = E_PCF ÷ Feature　——　单位产品碳足迹</w:t>
            </w:r>
          </w:p>
          <w:p w14:paraId="7D43F31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E_PCF_avg = Σ E_PCF,i ÷ N　——　同型号跨经营单位均值</w:t>
            </w:r>
          </w:p>
          <w:p w14:paraId="1469CEF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Rec_count = COUNT(型号 × 经营单位 × 账期)　——　实景记录条数</w:t>
            </w:r>
          </w:p>
          <w:p w14:paraId="73D5B4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Verify = HASH(VoucherSet) == ChainHash　——　凭证哈希链完整性校验</w:t>
            </w:r>
          </w:p>
        </w:tc>
      </w:tr>
    </w:tbl>
    <w:p w14:paraId="562080B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取值示例：SFZ-63000/110，特征值 63,000 kVA。按指标卡口径 单台 8,780.0 kgCO₂e/台 → CF_unit = 8,780.0 ÷ 63,000 = 0.139365 → 0.1394 kgCO₂e/kVA；按清单行自身单台值 8,788.871 kgCO₂e/台 → 8,788.871 ÷ 63,000 = 0.139506 → 0.1395 kgCO₂e/kVA。两者相差 0.0001，恰好卡在容差边界——说明截图清单行的"单位产品碳足迹"实际是按 8,780 口径计算的，与本行列示的 8,788.871 未勾稽（详见 ④ 段提示与 C9）。范围统计：125 个型号、1,793 条记录、54 个细分类别。</w:t>
      </w:r>
    </w:p>
    <w:p w14:paraId="24CE31C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精度与容差：单台碳足迹保留 3 位小数；单位产品碳足迹保留 4 位小数；均值按全精度累加末位一次舍入，容差 ≤ ±0.0001；记录条数为整数。</w:t>
      </w:r>
    </w:p>
    <w:p w14:paraId="5E943D67">
      <w:pPr>
        <w:pStyle w:val="6"/>
        <w:numPr>
          <w:ilvl w:val="0"/>
          <w:numId w:val="1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EECF81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分级口径：本模块数据标为 INTERNAL；含供应商来源的凭证索引标为 SENSITIVE；对外输出一律脱敏为品类均值。</w:t>
      </w:r>
    </w:p>
    <w:p w14:paraId="435740B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证据口径：每条实景记录须挂接数据来源凭证（检测报告 / 台账 / 发票），凭证哈希入链，缺凭证记录标注"凭证待补"且不可被认证申请引用。</w:t>
      </w:r>
    </w:p>
    <w:p w14:paraId="6FBF52A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时效口径：记录含 version_id / effective_from / effective_to，生效期外拦截选用。</w:t>
      </w:r>
    </w:p>
    <w:p w14:paraId="2F1B8C5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唯一性阈值：同一「产品型号 × 经营单位 × 账期」仅允许 1 条有效记录，重复落库拒绝写入；② 记录可用阈值：凭证齐备率 = 100% 方可标记"可引用"，否则仅可查阅；③ 单位偏差阈值：单台碳足迹 ÷ 特征值 与 明细页展示值偏差 ≤ ±0.0001，超差以明细页为准并告警；④ 时间粒度阈值：跨月粒度区间跨度 ≤ 12 个月；⑤ 特征值来源基准：第四章「产品型号管理」中的额定容量 / 长度；⑥ 样本量阈值：型号下有效单位数 ≥ 3 才输出均值，否则显示单点值并标注"样本不足"。</w:t>
      </w:r>
    </w:p>
    <w:p w14:paraId="70DAEA95">
      <w:pPr>
        <w:pStyle w:val="6"/>
        <w:numPr>
          <w:ilvl w:val="0"/>
          <w:numId w:val="1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5E5A4DA">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2CCE71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实测因子缺失检测报告或认证声明编号：发布按钮置灰，仅可保存为草稿。</w:t>
            </w:r>
          </w:p>
          <w:p w14:paraId="354AC89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因子超出有效期：触发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，标注"因子待升级"并禁用选用。</w:t>
            </w:r>
          </w:p>
          <w:p w14:paraId="501EAFF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Ecoinvent 授权到期：触发 </w:t>
            </w:r>
            <w:r>
              <w:rPr>
                <w:rFonts w:hint="eastAsia" w:ascii="宋体" w:hAnsi="宋体" w:eastAsia="宋体" w:cs="宋体"/>
                <w:b w:val="0"/>
                <w:i w:val="0"/>
                <w:iCs w:val="0"/>
                <w:color w:val="0284C7"/>
                <w:sz w:val="24"/>
                <w:szCs w:val="24"/>
              </w:rPr>
              <w:t xml:space="preserve"> E_EXT_ECOINVENT_LICENSE </w:t>
            </w:r>
            <w:r>
              <w:rPr>
                <w:rFonts w:hint="eastAsia" w:ascii="宋体" w:hAnsi="宋体" w:eastAsia="宋体" w:cs="宋体"/>
                <w:i w:val="0"/>
                <w:iCs w:val="0"/>
                <w:color w:val="1F2937"/>
                <w:sz w:val="24"/>
                <w:szCs w:val="24"/>
              </w:rPr>
              <w:t>，自动降级使用 CLCD 因子兜底。</w:t>
            </w:r>
          </w:p>
          <w:p w14:paraId="44291C3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溯源链条不完整（仅一级供应商以上为空）：标注"溯源待补充"，并降低该因子的可信度标识。</w:t>
            </w:r>
          </w:p>
          <w:p w14:paraId="107863F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引用的物料因子版本已过 effective_to：触发 E_VAL_FACTOR_EXPIRED（422），该行标注"因子待升级"，禁止被认证申请引用。</w:t>
            </w:r>
          </w:p>
          <w:p w14:paraId="110D840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重复落库（同型号 × 同单位 × 同账期）：拒绝写入并返回 E_DATA_DUPLICATE_REALSCENE（409），保留首条并提示重复来源。</w:t>
            </w:r>
          </w:p>
          <w:p w14:paraId="7B32B81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明细页与清单页同一型号的单位产品碳足迹不一致：以明细页为权威值，清单页自动重算，同时触发 E_BIZ_REALSCENE_UNIT_MISMATCH（500）告警至数据治理看板。</w:t>
            </w:r>
          </w:p>
          <w:p w14:paraId="6977C97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组织越权：返回 403 + E_AUTH_RLS_SCOPE_DENIED。</w:t>
            </w:r>
          </w:p>
        </w:tc>
      </w:tr>
    </w:tbl>
    <w:p w14:paraId="325D296C">
      <w:pPr>
        <w:spacing w:after="40"/>
        <w:rPr>
          <w:rFonts w:hint="eastAsia" w:ascii="宋体" w:hAnsi="宋体" w:eastAsia="宋体" w:cs="宋体"/>
          <w:i w:val="0"/>
          <w:iCs w:val="0"/>
          <w:sz w:val="24"/>
          <w:szCs w:val="24"/>
        </w:rPr>
      </w:pPr>
    </w:p>
    <w:p w14:paraId="2D310810">
      <w:pPr>
        <w:pStyle w:val="6"/>
        <w:numPr>
          <w:ilvl w:val="0"/>
          <w:numId w:val="154"/>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1CE1B5A">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70A5CE6">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工业实景数据库因子管理</w:t>
            </w:r>
          </w:p>
          <w:p w14:paraId="06CFD2B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本土实测因子发布前置校验</w:t>
            </w:r>
          </w:p>
          <w:p w14:paraId="2052472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P4 正在维护一个硅钢片物料的本土实测碳因子</w:t>
            </w:r>
          </w:p>
          <w:p w14:paraId="4397CF4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未上传检测报告或未填写第三方认证声明编号即点击发布</w:t>
            </w:r>
          </w:p>
          <w:p w14:paraId="2C7B807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发布按钮置灰不可点击</w:t>
            </w:r>
          </w:p>
          <w:p w14:paraId="1F5ED52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该因子仅能以草稿状态保存</w:t>
            </w:r>
          </w:p>
          <w:p w14:paraId="3E97F875">
            <w:pPr>
              <w:spacing w:before="0" w:after="20" w:line="264" w:lineRule="auto"/>
              <w:rPr>
                <w:rFonts w:hint="eastAsia" w:ascii="宋体" w:hAnsi="宋体" w:eastAsia="宋体" w:cs="宋体"/>
                <w:i w:val="0"/>
                <w:iCs w:val="0"/>
                <w:sz w:val="24"/>
                <w:szCs w:val="24"/>
              </w:rPr>
            </w:pPr>
          </w:p>
          <w:p w14:paraId="04E6972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因子匹配优先级兜底</w:t>
            </w:r>
          </w:p>
          <w:p w14:paraId="371B086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Ecoinvent 库中不存在某物料的精确匹配条目</w:t>
            </w:r>
          </w:p>
          <w:p w14:paraId="328E894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系统为该物料匹配碳因子</w:t>
            </w:r>
          </w:p>
          <w:p w14:paraId="76467B4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依次尝试 CLCD 0.2 本土近似因子</w:t>
            </w:r>
          </w:p>
          <w:p w14:paraId="0EE6F8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均无匹配时使用国家发改委折标因子兜底并标注"兜底因子"</w:t>
            </w:r>
          </w:p>
          <w:p w14:paraId="1A68507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同型号同单位同账期重复落库拦截</w:t>
            </w:r>
          </w:p>
          <w:p w14:paraId="3ADE324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实景数据库中已存在"SFZ-63000/110 × 沈变本部 × 2026-07"的有效记录</w:t>
            </w:r>
          </w:p>
          <w:p w14:paraId="11B72FE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核算引擎再次提交同一组合的落库请求</w:t>
            </w:r>
          </w:p>
          <w:p w14:paraId="3521C22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写入被拒绝并返回 E_DATA_DUPLICATE_REALSCENE</w:t>
            </w:r>
          </w:p>
          <w:p w14:paraId="757CEB0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库中该组合仍仅有 1 条有效记录</w:t>
            </w:r>
          </w:p>
          <w:p w14:paraId="303A67C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单台碳足迹与单位产品碳足迹换算一致性</w:t>
            </w:r>
          </w:p>
          <w:p w14:paraId="7195390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型号 SFZ-63000/110 的单台碳足迹为 8,788.871 kgCO₂e/台，特征值为 63,000 kVA</w:t>
            </w:r>
          </w:p>
          <w:p w14:paraId="405C5A4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页面渲染该行的单位产品碳足迹</w:t>
            </w:r>
          </w:p>
          <w:p w14:paraId="77DF7B9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显示值为 0.1394 kgCO₂e/kVA</w:t>
            </w:r>
          </w:p>
          <w:p w14:paraId="47899A4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与 8,788.871 ÷ 63,000 的偏差不超过 ±0.0001</w:t>
            </w:r>
          </w:p>
          <w:p w14:paraId="37C5B79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换算不一致时以明细页值为权威并触发 E_BIZ_REALSCENE_UNIT_MISMATCH</w:t>
            </w:r>
          </w:p>
        </w:tc>
      </w:tr>
    </w:tbl>
    <w:p w14:paraId="28885A2A">
      <w:pPr>
        <w:spacing w:after="40"/>
        <w:rPr>
          <w:rFonts w:hint="eastAsia" w:ascii="宋体" w:hAnsi="宋体" w:eastAsia="宋体" w:cs="宋体"/>
          <w:i w:val="0"/>
          <w:iCs w:val="0"/>
          <w:sz w:val="24"/>
          <w:szCs w:val="24"/>
        </w:rPr>
      </w:pPr>
    </w:p>
    <w:p w14:paraId="3BCFD703">
      <w:pPr>
        <w:pStyle w:val="5"/>
        <w:numPr>
          <w:ilvl w:val="0"/>
          <w:numId w:val="153"/>
        </w:numPr>
        <w:ind w:left="0" w:leftChars="0" w:firstLine="0" w:firstLineChars="0"/>
        <w:outlineLvl w:val="1"/>
        <w:rPr>
          <w:rFonts w:eastAsia="黑体"/>
          <w:b w:val="0"/>
          <w:bCs w:val="0"/>
          <w:sz w:val="30"/>
          <w:szCs w:val="24"/>
        </w:rPr>
      </w:pPr>
      <w:bookmarkStart w:id="47" w:name="_Toc10094"/>
      <w:r>
        <w:rPr>
          <w:rFonts w:ascii="Times New Roman" w:hAnsi="Times New Roman" w:eastAsia="黑体" w:cs="Times New Roman"/>
          <w:b w:val="0"/>
          <w:bCs w:val="0"/>
          <w:sz w:val="30"/>
          <w:szCs w:val="24"/>
        </w:rPr>
        <w:t xml:space="preserve">碳足迹核算</w:t>
      </w:r>
      <w:bookmarkEnd w:id="47"/>
    </w:p>
    <w:p w14:paraId="4A228A9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5"/>
                    <pic:cNvPicPr>
                      <a:picLocks noChangeAspect="1"/>
                    </pic:cNvPicPr>
                  </pic:nvPicPr>
                  <pic:blipFill>
                    <a:blip r:embed="rId83"/>
                    <a:stretch>
                      <a:fillRect/>
                    </a:stretch>
                  </pic:blipFill>
                  <pic:spPr>
                    <a:xfrm>
                      <a:off x="0" y="0"/>
                      <a:ext cx="5900420" cy="2925445"/>
                    </a:xfrm>
                    <a:prstGeom prst="rect">
                      <a:avLst/>
                    </a:prstGeom>
                    <a:noFill/>
                    <a:ln>
                      <a:noFill/>
                    </a:ln>
                  </pic:spPr>
                </pic:pic>
              </a:graphicData>
            </a:graphic>
          </wp:inline>
        </w:drawing>
      </w:r>
    </w:p>
    <w:p w14:paraId="7C75CDAA">
      <w:pPr>
        <w:pStyle w:val="6"/>
        <w:numPr>
          <w:ilvl w:val="0"/>
          <w:numId w:val="1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541B5BDC">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：产品全生命周期碳足迹核算的核心算法与状态机中枢，实现 BOM 层级自动展开、五大阶段滚算、工艺能耗分摊、报告状态流转与审计哈希存证。</w:t>
      </w:r>
    </w:p>
    <w:p w14:paraId="4F575FBD">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碳核算工程师（主操作）、P6 外部独立审计机构（核验）。</w:t>
      </w:r>
    </w:p>
    <w:p w14:paraId="57EABF14">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/carbon-footprint/database/accounting </w:t>
      </w:r>
      <w:r>
        <w:rPr>
          <w:rFonts w:ascii="Times New Roman" w:hAnsi="Times New Roman" w:eastAsia="宋体" w:cs="Times New Roman"/>
          <w:i w:val="0"/>
          <w:color w:val="1F2937"/>
          <w:sz w:val="24"/>
          <w:szCs w:val="24"/>
        </w:rPr>
        <w:t>。</w:t>
      </w:r>
    </w:p>
    <w:p w14:paraId="66B76980">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：ERP/PLM BOM、MES 工序四元组、实景数据库因子、因子库版本、审计哈希链。</w:t>
      </w:r>
    </w:p>
    <w:p w14:paraId="56A29064">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：LCA 报告、数字碳标签、CBAM 申报底数。</w:t>
      </w:r>
    </w:p>
    <w:p w14:paraId="61CBB0D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数据权限：可查看组织范围＝本级及以下（P4 全集团、P2 本园区、P3 本厂）；跨单位聚合＝项目公司排除，"全部项目公司"选项仅用于项目公司自身核算视图，不参与集团汇总；对外可见档位＝SENSITIVE（对外仅下发脱敏后的单位产品碳足迹）；越权返回 403 + E_AUTH_RLS_SCOPE_DENIED。</w:t>
      </w:r>
    </w:p>
    <w:p w14:paraId="65BEA47B">
      <w:pPr>
        <w:pStyle w:val="6"/>
        <w:numPr>
          <w:ilvl w:val="0"/>
          <w:numId w:val="1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1B7A0962">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：为出口欧盟的 220kV 变压器完成从 BOM 展开到五阶段滚算、再到内审核验与认证签发的全流程核算。</w:t>
      </w:r>
    </w:p>
    <w:p w14:paraId="2F512071">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9959BCA">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66B5D367">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一键展开 BOM 并完成 ISO 14067 五阶段滚算，系统自动校验加总一致性与因子有效期</w:t>
      </w:r>
      <w:r>
        <w:rPr>
          <w:rFonts w:ascii="Times New Roman" w:hAnsi="Times New Roman" w:eastAsia="宋体" w:cs="Times New Roman"/>
          <w:i w:val="0"/>
          <w:color w:val="1F2937"/>
          <w:sz w:val="24"/>
          <w:szCs w:val="24"/>
        </w:rPr>
        <w:t>，</w:t>
      </w:r>
    </w:p>
    <w:p w14:paraId="5CC6406C">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我能快速产出经得起第三方审计与欧盟审查的碳足迹报告</w:t>
      </w:r>
      <w:r>
        <w:rPr>
          <w:rFonts w:ascii="Times New Roman" w:hAnsi="Times New Roman" w:eastAsia="宋体" w:cs="Times New Roman"/>
          <w:i w:val="0"/>
          <w:color w:val="1F2937"/>
          <w:sz w:val="24"/>
          <w:szCs w:val="24"/>
        </w:rPr>
        <w:t>。</w:t>
      </w:r>
    </w:p>
    <w:p w14:paraId="1DEF708B">
      <w:pPr>
        <w:pStyle w:val="6"/>
        <w:numPr>
          <w:ilvl w:val="0"/>
          <w:numId w:val="1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0766C8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核心业务逻辑：</w:t>
      </w:r>
    </w:p>
    <w:p w14:paraId="54DF0E00">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BOM 层级自动展开</w:t>
      </w:r>
      <w:r>
        <w:rPr>
          <w:rFonts w:ascii="Times New Roman" w:hAnsi="Times New Roman" w:eastAsia="宋体" w:cs="Times New Roman"/>
          <w:i w:val="0"/>
          <w:color w:val="1F2937"/>
          <w:sz w:val="24"/>
          <w:szCs w:val="24"/>
        </w:rPr>
        <w:t xml:space="preserve">：从 ERP/PLM 自动拉取多级产品工程物料清单 (BOM)，计算物料损耗系数 </w:t>
      </w:r>
      <w:r>
        <w:rPr>
          <w:rFonts w:ascii="Times New Roman" w:hAnsi="Times New Roman" w:eastAsia="宋体" w:cs="Times New Roman"/>
          <w:i w:val="0"/>
          <w:color w:val="15803D"/>
          <w:sz w:val="24"/>
          <w:szCs w:val="24"/>
        </w:rPr>
        <w:t>Q_{mat} = Q_{bom} × (1 + R_{loss})</w:t>
      </w:r>
      <w:r>
        <w:rPr>
          <w:rFonts w:ascii="Times New Roman" w:hAnsi="Times New Roman" w:eastAsia="宋体" w:cs="Times New Roman"/>
          <w:i w:val="0"/>
          <w:color w:val="1F2937"/>
          <w:sz w:val="24"/>
          <w:szCs w:val="24"/>
        </w:rPr>
        <w:t>。</w:t>
      </w:r>
    </w:p>
    <w:p w14:paraId="3F943EF2">
      <w:pPr>
        <w:pStyle w:val="19"/>
        <w:widowControl/>
        <w:numPr>
          <w:ilvl w:val="0"/>
          <w:numId w:val="162"/>
        </w:numPr>
        <w:ind w:left="0" w:leftChars="0" w:firstLine="482" w:firstLineChars="0"/>
        <w:outlineLvl w:val="3"/>
        <w:rPr>
          <w:rFonts w:eastAsia="宋体"/>
          <w:b/>
          <w:i w:val="0"/>
          <w:color w:val="0284C7"/>
          <w:sz w:val="24"/>
          <w:szCs w:val="24"/>
        </w:rPr>
      </w:pPr>
      <w:r>
        <w:rPr>
          <w:rFonts w:ascii="Times New Roman" w:hAnsi="Times New Roman" w:eastAsia="宋体" w:cs="Times New Roman"/>
          <w:b/>
          <w:i w:val="0"/>
          <w:color w:val="1E3A8A"/>
          <w:sz w:val="24"/>
          <w:szCs w:val="24"/>
        </w:rPr>
        <w:t>5 大阶段 LCA 滚算模型</w:t>
      </w:r>
      <w:r>
        <w:rPr>
          <w:rFonts w:ascii="Times New Roman" w:hAnsi="Times New Roman" w:eastAsia="宋体" w:cs="Times New Roman"/>
          <w:i w:val="0"/>
          <w:color w:val="1F2937"/>
          <w:sz w:val="24"/>
          <w:szCs w:val="24"/>
        </w:rPr>
        <w:t>：严格依照 ISO 14067 标准执行生命周期评价滚算。</w:t>
      </w:r>
    </w:p>
    <w:p w14:paraId="41BAE6E0">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工艺能耗分摊</w:t>
      </w:r>
      <w:r>
        <w:rPr>
          <w:rFonts w:ascii="Times New Roman" w:hAnsi="Times New Roman" w:eastAsia="宋体" w:cs="Times New Roman"/>
          <w:i w:val="0"/>
          <w:color w:val="1F2937"/>
          <w:sz w:val="24"/>
          <w:szCs w:val="24"/>
        </w:rPr>
        <w:t>：基于工时或产量权重分摊真空干燥、退火炉等公共工序的水电气能耗。</w:t>
      </w:r>
    </w:p>
    <w:p w14:paraId="58DA80D3">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状态机可视化</w:t>
      </w:r>
      <w:r>
        <w:rPr>
          <w:rFonts w:ascii="Times New Roman" w:hAnsi="Times New Roman" w:eastAsia="宋体" w:cs="Times New Roman"/>
          <w:i w:val="0"/>
          <w:color w:val="1F2937"/>
          <w:sz w:val="24"/>
          <w:szCs w:val="24"/>
        </w:rPr>
        <w:t>：以泳道图呈现 DRAFT → SUBMITTED → CERTIFYING → CERTIFIED → PUBLISHED → ARCHIVED 全链路。</w:t>
      </w:r>
    </w:p>
    <w:p w14:paraId="358A1681">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审计哈希链展示</w:t>
      </w:r>
      <w:r>
        <w:rPr>
          <w:rFonts w:ascii="Times New Roman" w:hAnsi="Times New Roman" w:eastAsia="宋体" w:cs="Times New Roman"/>
          <w:i w:val="0"/>
          <w:color w:val="1F2937"/>
          <w:sz w:val="24"/>
          <w:szCs w:val="24"/>
        </w:rPr>
        <w:t>：逐节点展示计算过程哈希，尾节点校验 prev 引用，可在页面直观看到链条完整性。</w:t>
      </w:r>
    </w:p>
    <w:p w14:paraId="11A68DB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LCA 报告状态机（回捞 PRD-07）：</w:t>
      </w:r>
    </w:p>
    <w:tbl>
      <w:tblPr>
        <w:tblStyle w:val="38"/>
        <w:tblW w:w="9784" w:type="dxa"/>
        <w:jc w:val="center"/>
        <w:tblLayout w:type="autofit"/>
        <w:tblCellMar>
          <w:top w:w="0" w:type="dxa"/>
          <w:left w:w="108" w:type="dxa"/>
          <w:bottom w:w="0" w:type="dxa"/>
          <w:right w:w="108" w:type="dxa"/>
        </w:tblCellMar>
      </w:tblPr>
      <w:tblGrid>
        <w:gridCol w:w="2701"/>
        <w:gridCol w:w="3752"/>
        <w:gridCol w:w="1950"/>
        <w:gridCol w:w="1381"/>
      </w:tblGrid>
      <w:tr w14:paraId="61FF4140">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D2742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当前状态</w:t>
            </w:r>
          </w:p>
        </w:tc>
        <w:tc>
          <w:tcPr>
            <w:tcW w:w="375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8DA83F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可触发动作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3E43D7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触发角色</w:t>
            </w:r>
          </w:p>
        </w:tc>
        <w:tc>
          <w:tcPr>
            <w:tcW w:w="13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CF378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审计写入</w:t>
            </w:r>
          </w:p>
        </w:tc>
      </w:tr>
      <w:tr w14:paraId="71CBFD8F">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2E1C8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DRAFT 草稿</w:t>
            </w:r>
          </w:p>
        </w:tc>
        <w:tc>
          <w:tcPr>
            <w:tcW w:w="37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1B84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提交内审 / 废弃</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80B7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550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65CD4CAC">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E4C0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SUBMITTED 送审</w:t>
            </w:r>
          </w:p>
        </w:tc>
        <w:tc>
          <w:tcPr>
            <w:tcW w:w="37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10EE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撤回（限内审驳回）/ 受理</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5E6F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 + 机构</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5D0B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4FB9C8B2">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469CE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CERTIFYING 认证中</w:t>
            </w:r>
          </w:p>
        </w:tc>
        <w:tc>
          <w:tcPr>
            <w:tcW w:w="37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0796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不可编辑，仅审批</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BFE8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8759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6F218626">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26702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CERTIFIED 已认证</w:t>
            </w:r>
          </w:p>
        </w:tc>
        <w:tc>
          <w:tcPr>
            <w:tcW w:w="37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943C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一键发布 / 归档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8415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 + PM 联合</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DD31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1E8A90A3">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6EBC6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PUBLISHED 已发布</w:t>
            </w:r>
          </w:p>
        </w:tc>
        <w:tc>
          <w:tcPr>
            <w:tcW w:w="37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D0B3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归档</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B7E9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PM</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7B98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11CBF1D3">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B287E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ARCHIVED 已归档</w:t>
            </w:r>
          </w:p>
        </w:tc>
        <w:tc>
          <w:tcPr>
            <w:tcW w:w="37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7882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不可变</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F1CB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9986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bl>
    <w:p w14:paraId="3EFABC7A">
      <w:pPr>
        <w:spacing w:after="60"/>
        <w:rPr>
          <w:rFonts w:hint="eastAsia" w:ascii="宋体" w:hAnsi="宋体" w:eastAsia="宋体" w:cs="宋体"/>
          <w:i w:val="0"/>
          <w:iCs w:val="0"/>
          <w:sz w:val="24"/>
          <w:szCs w:val="24"/>
        </w:rPr>
      </w:pPr>
    </w:p>
    <w:p w14:paraId="1ED6F20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计算正确性规则（BR）与错误码：</w:t>
      </w:r>
    </w:p>
    <w:tbl>
      <w:tblPr>
        <w:tblStyle w:val="38"/>
        <w:tblW w:w="9784" w:type="dxa"/>
        <w:jc w:val="center"/>
        <w:tblLayout w:type="autofit"/>
        <w:tblCellMar>
          <w:top w:w="0" w:type="dxa"/>
          <w:left w:w="108" w:type="dxa"/>
          <w:bottom w:w="0" w:type="dxa"/>
          <w:right w:w="108" w:type="dxa"/>
        </w:tblCellMar>
      </w:tblPr>
      <w:tblGrid>
        <w:gridCol w:w="1533"/>
        <w:gridCol w:w="3241"/>
        <w:gridCol w:w="1770"/>
        <w:gridCol w:w="3240"/>
      </w:tblGrid>
      <w:tr w14:paraId="26581FA0">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2F8D3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BR编号</w:t>
            </w:r>
          </w:p>
        </w:tc>
        <w:tc>
          <w:tcPr>
            <w:tcW w:w="324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A2F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w:t>
            </w:r>
          </w:p>
        </w:tc>
        <w:tc>
          <w:tcPr>
            <w:tcW w:w="17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BED8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触发时机</w:t>
            </w:r>
          </w:p>
        </w:tc>
        <w:tc>
          <w:tcPr>
            <w:tcW w:w="32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580CA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错误码</w:t>
            </w:r>
          </w:p>
        </w:tc>
      </w:tr>
      <w:tr w14:paraId="047EF8A8">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9DCF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BR-LCA-001</w:t>
            </w:r>
          </w:p>
        </w:tc>
        <w:tc>
          <w:tcPr>
            <w:tcW w:w="32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3AE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C_{total} = ΣC_{stage}</w:t>
            </w:r>
            <w:r>
              <w:rPr>
                <w:rFonts w:hint="eastAsia" w:ascii="宋体" w:hAnsi="宋体" w:eastAsia="宋体" w:cs="宋体"/>
                <w:i w:val="0"/>
                <w:iCs w:val="0"/>
                <w:color w:val="1F2937"/>
                <w:sz w:val="24"/>
                <w:szCs w:val="24"/>
              </w:rPr>
              <w:t>，容差 ≤ 0.01 kgCO2e</w:t>
            </w:r>
          </w:p>
        </w:tc>
        <w:tc>
          <w:tcPr>
            <w:tcW w:w="17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8703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任意时刻后台自检</w:t>
            </w:r>
          </w:p>
        </w:tc>
        <w:tc>
          <w:tcPr>
            <w:tcW w:w="32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64F9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E_CALC_LCA_SUM_MISMATCH</w:t>
            </w:r>
          </w:p>
        </w:tc>
      </w:tr>
      <w:tr w14:paraId="65BA3C60">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874A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BR-LCA-002</w:t>
            </w:r>
          </w:p>
        </w:tc>
        <w:tc>
          <w:tcPr>
            <w:tcW w:w="32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C322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C_{total} ≥ 0</w:t>
            </w:r>
          </w:p>
        </w:tc>
        <w:tc>
          <w:tcPr>
            <w:tcW w:w="17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A189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保存</w:t>
            </w:r>
          </w:p>
        </w:tc>
        <w:tc>
          <w:tcPr>
            <w:tcW w:w="32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D9C5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E_VAL_LCA_TOTAL_NEGATIVE</w:t>
            </w:r>
          </w:p>
        </w:tc>
      </w:tr>
      <w:tr w14:paraId="317ADAE0">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BE32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BR-LCA-003</w:t>
            </w:r>
          </w:p>
        </w:tc>
        <w:tc>
          <w:tcPr>
            <w:tcW w:w="32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5A06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工时 </w:t>
            </w:r>
            <w:r>
              <w:rPr>
                <w:rFonts w:hint="eastAsia" w:ascii="宋体" w:hAnsi="宋体" w:eastAsia="宋体" w:cs="宋体"/>
                <w:i w:val="0"/>
                <w:iCs w:val="0"/>
                <w:color w:val="15803D"/>
                <w:sz w:val="24"/>
                <w:szCs w:val="24"/>
              </w:rPr>
              <w:t>T_m &gt; 0</w:t>
            </w:r>
          </w:p>
        </w:tc>
        <w:tc>
          <w:tcPr>
            <w:tcW w:w="17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A406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制造加工阶段</w:t>
            </w:r>
          </w:p>
        </w:tc>
        <w:tc>
          <w:tcPr>
            <w:tcW w:w="32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1E84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E_CALC_LCA_TDIV_ZERO</w:t>
            </w:r>
          </w:p>
        </w:tc>
      </w:tr>
      <w:tr w14:paraId="1B322CD1">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3666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BR-LCA-004</w:t>
            </w:r>
          </w:p>
        </w:tc>
        <w:tc>
          <w:tcPr>
            <w:tcW w:w="32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D949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因子版本有效期 </w:t>
            </w:r>
            <w:r>
              <w:rPr>
                <w:rFonts w:hint="eastAsia" w:ascii="宋体" w:hAnsi="宋体" w:eastAsia="宋体" w:cs="宋体"/>
                <w:i w:val="0"/>
                <w:iCs w:val="0"/>
                <w:color w:val="15803D"/>
                <w:sz w:val="24"/>
                <w:szCs w:val="24"/>
              </w:rPr>
              <w:t>today ∈ [effective_from, effective_to]</w:t>
            </w:r>
          </w:p>
        </w:tc>
        <w:tc>
          <w:tcPr>
            <w:tcW w:w="17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6A7F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因子选用</w:t>
            </w:r>
          </w:p>
        </w:tc>
        <w:tc>
          <w:tcPr>
            <w:tcW w:w="32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D22C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E_VAL_FACTOR_EXPIRED</w:t>
            </w:r>
          </w:p>
        </w:tc>
      </w:tr>
      <w:tr w14:paraId="01A9A5C4">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74E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BR-LCA-005</w:t>
            </w:r>
          </w:p>
        </w:tc>
        <w:tc>
          <w:tcPr>
            <w:tcW w:w="32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0B21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工序四元组（设备/工时/介质/数量）齐备</w:t>
            </w:r>
          </w:p>
        </w:tc>
        <w:tc>
          <w:tcPr>
            <w:tcW w:w="17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5373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保存</w:t>
            </w:r>
          </w:p>
        </w:tc>
        <w:tc>
          <w:tcPr>
            <w:tcW w:w="32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C5EF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E_VAL_LCA_STAGE_INCOMPLETE</w:t>
            </w:r>
          </w:p>
        </w:tc>
      </w:tr>
      <w:tr w14:paraId="699430E6">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F4DD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BR-LCA-006</w:t>
            </w:r>
          </w:p>
        </w:tc>
        <w:tc>
          <w:tcPr>
            <w:tcW w:w="32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2AF0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哈希链尾节点 prev = 前一节点</w:t>
            </w:r>
          </w:p>
        </w:tc>
        <w:tc>
          <w:tcPr>
            <w:tcW w:w="17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093C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审计存证</w:t>
            </w:r>
          </w:p>
        </w:tc>
        <w:tc>
          <w:tcPr>
            <w:tcW w:w="32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EAC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E_AUDIT_HASH_BROKEN</w:t>
            </w:r>
          </w:p>
        </w:tc>
      </w:tr>
    </w:tbl>
    <w:p w14:paraId="7F255AB8">
      <w:pPr>
        <w:spacing w:after="60"/>
        <w:rPr>
          <w:rFonts w:hint="eastAsia" w:ascii="宋体" w:hAnsi="宋体" w:eastAsia="宋体" w:cs="宋体"/>
          <w:i w:val="0"/>
          <w:iCs w:val="0"/>
          <w:sz w:val="24"/>
          <w:szCs w:val="24"/>
        </w:rPr>
      </w:pPr>
    </w:p>
    <w:p w14:paraId="4F94D2D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接口与降级策略（回捞 PRD-07 §9）：</w:t>
      </w:r>
    </w:p>
    <w:p w14:paraId="0D7CE047">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OpenAPI 3.0：</w:t>
      </w:r>
      <w:r>
        <w:rPr>
          <w:rFonts w:ascii="Times New Roman" w:hAnsi="Times New Roman" w:eastAsia="宋体" w:cs="Times New Roman"/>
          <w:b w:val="0"/>
          <w:i w:val="0"/>
          <w:color w:val="0284C7"/>
          <w:sz w:val="24"/>
          <w:szCs w:val="24"/>
        </w:rPr>
        <w:t xml:space="preserve"> /cf/v1/lca/reports </w:t>
      </w:r>
      <w:r>
        <w:rPr>
          <w:rFonts w:ascii="Times New Roman" w:hAnsi="Times New Roman" w:eastAsia="宋体" w:cs="Times New Roman"/>
          <w:i w:val="0"/>
          <w:color w:val="1F2937"/>
          <w:sz w:val="24"/>
          <w:szCs w:val="24"/>
        </w:rPr>
        <w:t>（LCA 报告查询/提交/状态流转，状态枚举 DRAFT/SUBMITTED/CERTIFYING/CERTIFIED/PUBLISHED/ARCHIVED）。</w:t>
      </w:r>
    </w:p>
    <w:p w14:paraId="4E4EB248">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ERP BOM：</w:t>
      </w:r>
      <w:r>
        <w:rPr>
          <w:rFonts w:ascii="Times New Roman" w:hAnsi="Times New Roman" w:eastAsia="宋体" w:cs="Times New Roman"/>
          <w:b w:val="0"/>
          <w:i w:val="0"/>
          <w:color w:val="0284C7"/>
          <w:sz w:val="24"/>
          <w:szCs w:val="24"/>
        </w:rPr>
        <w:t xml:space="preserve"> /mes/v1/boms/{sku}/tree </w:t>
      </w:r>
      <w:r>
        <w:rPr>
          <w:rFonts w:ascii="Times New Roman" w:hAnsi="Times New Roman" w:eastAsia="宋体" w:cs="Times New Roman"/>
          <w:i w:val="0"/>
          <w:color w:val="1F2937"/>
          <w:sz w:val="24"/>
          <w:szCs w:val="24"/>
        </w:rPr>
        <w:t xml:space="preserve">，超时 5s 自动重试 3 次后触发 </w:t>
      </w:r>
      <w:r>
        <w:rPr>
          <w:rFonts w:ascii="Times New Roman" w:hAnsi="Times New Roman" w:eastAsia="宋体" w:cs="Times New Roman"/>
          <w:b w:val="0"/>
          <w:i w:val="0"/>
          <w:color w:val="0284C7"/>
          <w:sz w:val="24"/>
          <w:szCs w:val="24"/>
        </w:rPr>
        <w:t xml:space="preserve"> E_EXT_ERP_BOM_TIMEOUT </w:t>
      </w:r>
      <w:r>
        <w:rPr>
          <w:rFonts w:ascii="Times New Roman" w:hAnsi="Times New Roman" w:eastAsia="宋体" w:cs="Times New Roman"/>
          <w:i w:val="0"/>
          <w:color w:val="1F2937"/>
          <w:sz w:val="24"/>
          <w:szCs w:val="24"/>
        </w:rPr>
        <w:t>；ERP 不可达时允许 P4 手动上传 Excel BOM 模板（仅 INV-FALLBACK 模式）。</w:t>
      </w:r>
    </w:p>
    <w:p w14:paraId="286327AF">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MES 工序：</w:t>
      </w:r>
      <w:r>
        <w:rPr>
          <w:rFonts w:ascii="Times New Roman" w:hAnsi="Times New Roman" w:eastAsia="宋体" w:cs="Times New Roman"/>
          <w:b w:val="0"/>
          <w:i w:val="0"/>
          <w:color w:val="0284C7"/>
          <w:sz w:val="24"/>
          <w:szCs w:val="24"/>
        </w:rPr>
        <w:t xml:space="preserve"> /mes/v1/processes/{bom_id} </w:t>
      </w:r>
      <w:r>
        <w:rPr>
          <w:rFonts w:ascii="Times New Roman" w:hAnsi="Times New Roman" w:eastAsia="宋体" w:cs="Times New Roman"/>
          <w:i w:val="0"/>
          <w:color w:val="1F2937"/>
          <w:sz w:val="24"/>
          <w:szCs w:val="24"/>
        </w:rPr>
        <w:t>（工序四元组：设备编号/工时/介质/数量）。</w:t>
      </w:r>
    </w:p>
    <w:p w14:paraId="37AB974F">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Ecoinvent v3.8 License API：</w:t>
      </w:r>
      <w:r>
        <w:rPr>
          <w:rFonts w:ascii="Times New Roman" w:hAnsi="Times New Roman" w:eastAsia="宋体" w:cs="Times New Roman"/>
          <w:b w:val="0"/>
          <w:i w:val="0"/>
          <w:color w:val="0284C7"/>
          <w:sz w:val="24"/>
          <w:szCs w:val="24"/>
        </w:rPr>
        <w:t xml:space="preserve"> /lic/v3/factors/search </w:t>
      </w:r>
      <w:r>
        <w:rPr>
          <w:rFonts w:ascii="Times New Roman" w:hAnsi="Times New Roman" w:eastAsia="宋体" w:cs="Times New Roman"/>
          <w:i w:val="0"/>
          <w:color w:val="1F2937"/>
          <w:sz w:val="24"/>
          <w:szCs w:val="24"/>
        </w:rPr>
        <w:t xml:space="preserve">，License 过期触发 </w:t>
      </w:r>
      <w:r>
        <w:rPr>
          <w:rFonts w:ascii="Times New Roman" w:hAnsi="Times New Roman" w:eastAsia="宋体" w:cs="Times New Roman"/>
          <w:b w:val="0"/>
          <w:i w:val="0"/>
          <w:color w:val="0284C7"/>
          <w:sz w:val="24"/>
          <w:szCs w:val="24"/>
        </w:rPr>
        <w:t xml:space="preserve"> E_EXT_ECOINVENT_LICENSE </w:t>
      </w:r>
      <w:r>
        <w:rPr>
          <w:rFonts w:ascii="Times New Roman" w:hAnsi="Times New Roman" w:eastAsia="宋体" w:cs="Times New Roman"/>
          <w:i w:val="0"/>
          <w:color w:val="1F2937"/>
          <w:sz w:val="24"/>
          <w:szCs w:val="24"/>
        </w:rPr>
        <w:t xml:space="preserve"> 并切换 CLCD 兜底因子。</w:t>
      </w:r>
    </w:p>
    <w:p w14:paraId="0130C53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审计与防伪存证（回捞 PRD-07 §8）：</w:t>
      </w:r>
    </w:p>
    <w:p w14:paraId="171BAD5B">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审计哈希链（ADR-CF-003）：LCA 计算过程逐节点哈希存证，前一 hash 写入后一 hash 头部，尾节点校验 prev 引用，断裂触发 </w:t>
      </w:r>
      <w:r>
        <w:rPr>
          <w:rFonts w:ascii="Times New Roman" w:hAnsi="Times New Roman" w:eastAsia="宋体" w:cs="Times New Roman"/>
          <w:b w:val="0"/>
          <w:i w:val="0"/>
          <w:color w:val="0284C7"/>
          <w:sz w:val="24"/>
          <w:szCs w:val="24"/>
        </w:rPr>
        <w:t xml:space="preserve"> E_AUDIT_HASH_BROKEN </w:t>
      </w:r>
      <w:r>
        <w:rPr>
          <w:rFonts w:ascii="Times New Roman" w:hAnsi="Times New Roman" w:eastAsia="宋体" w:cs="Times New Roman"/>
          <w:i w:val="0"/>
          <w:color w:val="1F2937"/>
          <w:sz w:val="24"/>
          <w:szCs w:val="24"/>
        </w:rPr>
        <w:t>。</w:t>
      </w:r>
    </w:p>
    <w:p w14:paraId="379DE02A">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报告导出（ADR-CF-005）：强制水印 + 操作员工号 + 时间戳嵌入导出 PDF。</w:t>
      </w:r>
    </w:p>
    <w:p w14:paraId="7A4A609E">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因子数据分级：原辅料因子 INTERNAL、电力因子 INTERNAL、Ecoinvent 跨境因子 SENSITIVE（含供应商来源）。</w:t>
      </w:r>
    </w:p>
    <w:p w14:paraId="31E2F2EE">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因子匹配优先级：Ecoinvent v3.8（精确物料）→ CLCD 0.2（本土近似）→ 国家发改委折标（兜底）。</w:t>
      </w:r>
    </w:p>
    <w:p w14:paraId="0C5D681C">
      <w:pPr>
        <w:pStyle w:val="6"/>
        <w:numPr>
          <w:ilvl w:val="0"/>
          <w:numId w:val="1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3677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FE56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C5AC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1ADA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02FA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0B3B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51E6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子页签</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CE7E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枚举单选</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0C19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C2C0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产品碳足迹（型号）/（订单）/ 产品用能分析 / 订单能耗追溯</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A385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3D4D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时间 / 产业 / 项目公司 / 产品大类 / 产品中类 / 产品型号</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607B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级联筛选</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8D60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B5AB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六段级联；产业与产品大类同源主数据</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487F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6920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总碳排（单台·均值）</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229D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小数(3 位)（指标卡）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CD8B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kgCO₂e/台</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0D34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截图实测 8,780；= 五阶段加总</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A975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4280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单位产品碳足迹（均值）</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5482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小数(4 位)（指标卡）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BA6B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kgCO₂e/kVA</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275D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截图实测 0.1394</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290F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16D4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单台特征值</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3EA0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复合值（指标卡）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AA79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kV / MVA</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3ACA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电压等级 + 容量（截图 110 kV / 63 MVA）</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A6A4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317C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生命周期阶段构成</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E13C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横向占比条 ×4</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701E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kgCO₂e/台</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A879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原材料获取 / 原材料运输 / 生产制造 / 废弃物处理</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3EE0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A08D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各经营单位碳排总量排名</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9B6C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条形图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8393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kgCO₂e/台</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3536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降序；项目公司置灰</w:t>
            </w:r>
          </w:p>
        </w:tc>
      </w:tr>
    </w:tbl>
    <w:p w14:paraId="2F85BEC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原型数据一致性问题（须在原型阶段澄清，否则第三章容差条款无法通过验收）：截图 #24 中「型号均值·生命周期阶段构成 · SFZ-63000/110」四阶段取值为 原材料获取 5,443.6 + 原材料运输 790.2 + 生产制造 1,843.8 + 废弃物处理 782.4 = 8,860.0 kgCO₂e/台，而同一屏「总碳排（单台·均值）」指标卡为 8,780 kgCO₂e/台，差 80.0 kgCO₂e（0.91%），远超本章规定的 0.01 kgCO₂e 加总容差。</w:t>
      </w:r>
    </w:p>
    <w:p w14:paraId="65C0184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同时，该四阶段占比（61.4% / 8.9% / 20.8% / 8.8%）与截图 #20 对外示范窗口中变压器品类的四阶段占比（61% / 9% / 24% / 5%）在"生产制造"与"废弃物处理"两项上偏差 3~4 个百分点。</w:t>
      </w:r>
    </w:p>
    <w:p w14:paraId="15E4B5A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处理建议：二者若为同一口径，须在原型中做配平；若为不同口径（如 #20 为五阶段折算、#24 为四阶段按权重归集），须在两处页面明确标注口径差异，避免对外数值与核算数值"看起来不一致"。</w:t>
      </w:r>
    </w:p>
    <w:p w14:paraId="212C9E6D">
      <w:pPr>
        <w:pStyle w:val="6"/>
        <w:numPr>
          <w:ilvl w:val="0"/>
          <w:numId w:val="1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AA056B3">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B494082">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E_PCF = E_raw + E_trans + E_manuf + E_test + E_pack</w:t>
            </w:r>
          </w:p>
          <w:p w14:paraId="4211E0F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E_raw = Σ [ M_i × (1 + R_loss_i) × EF_mat_i ]                    原材料获取</w:t>
            </w:r>
          </w:p>
          <w:p w14:paraId="2E8C772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E_trans = Σ [ M_i × D_i × EF_trans_mode ]                        上游运输</w:t>
            </w:r>
          </w:p>
          <w:p w14:paraId="24B84A5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E_manuf = Σ [ ( E_process_energy / Batch_Output ) × EF_energy ]  制造加工</w:t>
            </w:r>
          </w:p>
          <w:p w14:paraId="61C1A7A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E_test = ( Q_test_elec / Test_Capacity ) × EF_grid               试验检测</w:t>
            </w:r>
          </w:p>
          <w:p w14:paraId="469F66C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E_pack = Σ [ M_pack_k × EF_pack_k ]                              包装出厂</w:t>
            </w:r>
          </w:p>
          <w:p w14:paraId="0790F14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Q_mat = Q_bom × ( 1 + R_loss )                                   物料损耗系数</w:t>
            </w:r>
          </w:p>
          <w:p w14:paraId="3A1BFF2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Check: ABS( C_total - Σ C_stage ) &lt;= 0.01 kgCO2e                    加总一致性自检</w:t>
            </w:r>
          </w:p>
        </w:tc>
      </w:tr>
    </w:tbl>
    <w:p w14:paraId="52AA1190">
      <w:pPr>
        <w:spacing w:after="40"/>
        <w:rPr>
          <w:rFonts w:hint="eastAsia" w:ascii="宋体" w:hAnsi="宋体" w:eastAsia="宋体" w:cs="宋体"/>
          <w:i w:val="0"/>
          <w:iCs w:val="0"/>
          <w:sz w:val="24"/>
          <w:szCs w:val="24"/>
        </w:rPr>
      </w:pPr>
    </w:p>
    <w:p w14:paraId="5D94D12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M_i </w:t>
      </w:r>
      <w:r>
        <w:rPr>
          <w:rFonts w:ascii="Times New Roman" w:hAnsi="Times New Roman" w:eastAsia="宋体" w:cs="Times New Roman"/>
          <w:i w:val="0"/>
          <w:color w:val="1F2937"/>
          <w:sz w:val="24"/>
          <w:szCs w:val="24"/>
        </w:rPr>
        <w:t xml:space="preserve"> 为物料净重（t）；</w:t>
      </w:r>
      <w:r>
        <w:rPr>
          <w:rFonts w:ascii="Times New Roman" w:hAnsi="Times New Roman" w:eastAsia="宋体" w:cs="Times New Roman"/>
          <w:b w:val="0"/>
          <w:i w:val="0"/>
          <w:color w:val="0284C7"/>
          <w:sz w:val="24"/>
          <w:szCs w:val="24"/>
        </w:rPr>
        <w:t xml:space="preserve"> R_loss_i </w:t>
      </w:r>
      <w:r>
        <w:rPr>
          <w:rFonts w:ascii="Times New Roman" w:hAnsi="Times New Roman" w:eastAsia="宋体" w:cs="Times New Roman"/>
          <w:i w:val="0"/>
          <w:color w:val="1F2937"/>
          <w:sz w:val="24"/>
          <w:szCs w:val="24"/>
        </w:rPr>
        <w:t xml:space="preserve"> 为工艺损耗率（%）；</w:t>
      </w:r>
      <w:r>
        <w:rPr>
          <w:rFonts w:ascii="Times New Roman" w:hAnsi="Times New Roman" w:eastAsia="宋体" w:cs="Times New Roman"/>
          <w:b w:val="0"/>
          <w:i w:val="0"/>
          <w:color w:val="0284C7"/>
          <w:sz w:val="24"/>
          <w:szCs w:val="24"/>
        </w:rPr>
        <w:t xml:space="preserve"> EF_mat_i </w:t>
      </w:r>
      <w:r>
        <w:rPr>
          <w:rFonts w:ascii="Times New Roman" w:hAnsi="Times New Roman" w:eastAsia="宋体" w:cs="Times New Roman"/>
          <w:i w:val="0"/>
          <w:color w:val="1F2937"/>
          <w:sz w:val="24"/>
          <w:szCs w:val="24"/>
        </w:rPr>
        <w:t xml:space="preserve"> 为物料实测碳因子（kgCO2e/kg）；</w:t>
      </w:r>
      <w:r>
        <w:rPr>
          <w:rFonts w:ascii="Times New Roman" w:hAnsi="Times New Roman" w:eastAsia="宋体" w:cs="Times New Roman"/>
          <w:b w:val="0"/>
          <w:i w:val="0"/>
          <w:color w:val="0284C7"/>
          <w:sz w:val="24"/>
          <w:szCs w:val="24"/>
        </w:rPr>
        <w:t xml:space="preserve"> D_i </w:t>
      </w:r>
      <w:r>
        <w:rPr>
          <w:rFonts w:ascii="Times New Roman" w:hAnsi="Times New Roman" w:eastAsia="宋体" w:cs="Times New Roman"/>
          <w:i w:val="0"/>
          <w:color w:val="1F2937"/>
          <w:sz w:val="24"/>
          <w:szCs w:val="24"/>
        </w:rPr>
        <w:t xml:space="preserve"> 为运输距离（km）；</w:t>
      </w:r>
      <w:r>
        <w:rPr>
          <w:rFonts w:ascii="Times New Roman" w:hAnsi="Times New Roman" w:eastAsia="宋体" w:cs="Times New Roman"/>
          <w:b w:val="0"/>
          <w:i w:val="0"/>
          <w:color w:val="0284C7"/>
          <w:sz w:val="24"/>
          <w:szCs w:val="24"/>
        </w:rPr>
        <w:t xml:space="preserve"> EF_trans_mode </w:t>
      </w:r>
      <w:r>
        <w:rPr>
          <w:rFonts w:ascii="Times New Roman" w:hAnsi="Times New Roman" w:eastAsia="宋体" w:cs="Times New Roman"/>
          <w:i w:val="0"/>
          <w:color w:val="1F2937"/>
          <w:sz w:val="24"/>
          <w:szCs w:val="24"/>
        </w:rPr>
        <w:t xml:space="preserve"> 为吨公里运输因子；</w:t>
      </w:r>
      <w:r>
        <w:rPr>
          <w:rFonts w:ascii="Times New Roman" w:hAnsi="Times New Roman" w:eastAsia="宋体" w:cs="Times New Roman"/>
          <w:b w:val="0"/>
          <w:i w:val="0"/>
          <w:color w:val="0284C7"/>
          <w:sz w:val="24"/>
          <w:szCs w:val="24"/>
        </w:rPr>
        <w:t xml:space="preserve"> Q_test_elec </w:t>
      </w:r>
      <w:r>
        <w:rPr>
          <w:rFonts w:ascii="Times New Roman" w:hAnsi="Times New Roman" w:eastAsia="宋体" w:cs="Times New Roman"/>
          <w:i w:val="0"/>
          <w:color w:val="1F2937"/>
          <w:sz w:val="24"/>
          <w:szCs w:val="24"/>
        </w:rPr>
        <w:t xml:space="preserve"> 为出厂试验用电量；</w:t>
      </w:r>
      <w:r>
        <w:rPr>
          <w:rFonts w:ascii="Times New Roman" w:hAnsi="Times New Roman" w:eastAsia="宋体" w:cs="Times New Roman"/>
          <w:b w:val="0"/>
          <w:i w:val="0"/>
          <w:color w:val="0284C7"/>
          <w:sz w:val="24"/>
          <w:szCs w:val="24"/>
        </w:rPr>
        <w:t xml:space="preserve"> Test_Capacity </w:t>
      </w:r>
      <w:r>
        <w:rPr>
          <w:rFonts w:ascii="Times New Roman" w:hAnsi="Times New Roman" w:eastAsia="宋体" w:cs="Times New Roman"/>
          <w:i w:val="0"/>
          <w:color w:val="1F2937"/>
          <w:sz w:val="24"/>
          <w:szCs w:val="24"/>
        </w:rPr>
        <w:t xml:space="preserve"> 为试验容量。核算边界为摇篮到大门（Cradle-to-Gate）。</w:t>
      </w:r>
    </w:p>
    <w:p w14:paraId="2907B66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取值示例（SFZ-63000/110，特征值 63,000 kVA）：</w:t>
      </w:r>
    </w:p>
    <w:p w14:paraId="62B7AE9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截图页面呈现的四类构成为 原材料获取 5,443.6 / 原材料运输 790.2 / 生产制造 1,843.8 / 废弃物处理 782.4，合计 8,860.0；而同一屏指标卡「总碳排（单台·均值）」为 8,780.0，差 80.0 kgCO₂e（0.91%），远超本模块 0.01 kgCO₂e 的加总容差。</w:t>
      </w:r>
    </w:p>
    <w:p w14:paraId="293EDB1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按五阶段模型反推：E_test + E_pack = 8,780.0 − (5,443.6 + 790.2 + 1,843.8) = 702.4 kgCO₂e。</w:t>
      </w:r>
    </w:p>
    <w:p w14:paraId="3E8DB5F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由此可见，页面的四分类与五阶段并非一一对应：页面缺少"试验检测"与"包装出厂"两项，却多出"废弃物处理"一项，四者混算必然无法配平。建议页面按五阶段完整呈现（原材料获取 / 原材料运输 / 生产制造 / 试验检测 / 包装出厂），"废弃物处理"作为可选的边界外扩展项单独列示，不并入五阶段合计。</w:t>
      </w:r>
    </w:p>
    <w:p w14:paraId="6488DB0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CF_unit = 8,780.0 ÷ 63,000 = 0.1394 kgCO₂e/kVA　（与截图指标卡一致）</w:t>
      </w:r>
    </w:p>
    <w:p w14:paraId="5AE33D5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一致性自检（按五阶段口径）：ABS(C_total − Σ C_stage) = 0 ≤ 0.01 kgCO₂e ✔</w:t>
      </w:r>
    </w:p>
    <w:p w14:paraId="7F9C072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精度与容差（固化条款）：① 各阶段与总量保留 3 位小数（kgCO₂e）；② 单位产品碳足迹保留 4 位小数；③ 加总一致性容差上限 0.01 kgCO₂e，超差即阻断证书签发；④ 分配权重（工时/产量）保留 4 位小数，同一报告内权重之和 = 1.0000，容差 ≤ ±0.0001；⑤ 损耗率 R_loss 保留 2 位小数（%）。</w:t>
      </w:r>
    </w:p>
    <w:p w14:paraId="76FDE32E">
      <w:pPr>
        <w:pStyle w:val="6"/>
        <w:numPr>
          <w:ilvl w:val="0"/>
          <w:numId w:val="1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917BD7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边界口径：严格 Cradle-to-Gate 五阶段，阶段定义不可增减。</w:t>
      </w:r>
    </w:p>
    <w:p w14:paraId="75A7FA3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分配口径：公共工序（真空干燥、退火炉）水电气能耗按工时或产量权重分摊，分配方法须在报告中声明。</w:t>
      </w:r>
    </w:p>
    <w:p w14:paraId="4E93D0F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容差口径：总碳足迹与五阶段加总的容差上限 0.01 kgCO₂e，超差即阻断证书签发。</w:t>
      </w:r>
    </w:p>
    <w:p w14:paraId="24AE12A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状态口径：认证中状态不可编辑；发布须 P4 + PM 联合签字。</w:t>
      </w:r>
    </w:p>
    <w:p w14:paraId="2859CE5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加总容差 = 0.01 kgCO₂e（硬阈值，超差阻断签发）；② 负值阈值：总量 &lt; 0 一律阻断保存；③ 分母安全阈值：试验工时 T_m ≤ 0 阻断算式生成；工序四元组缺任一项阻断保存；④ 分配权重阈值：单工序分摊比例 ≤ 50% 时方可用单一权重法，超过则须双权重交叉校验；⑤ 责任量阈值：BOM 层级展开深度 ≤ 10 层，超出拒绝展开并提示人工核对；⑥ 基准来源：特征量取第四章「产品型号管理」额定值；因子版本取因子库管理板块当前生效版本；BOM 取 ERP/PLM 当日快照（超时降级用本地缓存快照，须标注降级来源）。</w:t>
      </w:r>
    </w:p>
    <w:p w14:paraId="40F05193">
      <w:pPr>
        <w:pStyle w:val="6"/>
        <w:numPr>
          <w:ilvl w:val="0"/>
          <w:numId w:val="1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6A6502FD">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76C9B0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五阶段加总与总碳排容差超出 0.01 kgCO2e：触发 </w:t>
            </w:r>
            <w:r>
              <w:rPr>
                <w:rFonts w:hint="eastAsia" w:ascii="宋体" w:hAnsi="宋体" w:eastAsia="宋体" w:cs="宋体"/>
                <w:b w:val="0"/>
                <w:i w:val="0"/>
                <w:iCs w:val="0"/>
                <w:color w:val="0284C7"/>
                <w:sz w:val="24"/>
                <w:szCs w:val="24"/>
              </w:rPr>
              <w:t xml:space="preserve"> E_CALC_LCA_SUM_MISMATCH </w:t>
            </w:r>
            <w:r>
              <w:rPr>
                <w:rFonts w:hint="eastAsia" w:ascii="宋体" w:hAnsi="宋体" w:eastAsia="宋体" w:cs="宋体"/>
                <w:i w:val="0"/>
                <w:iCs w:val="0"/>
                <w:color w:val="1F2937"/>
                <w:sz w:val="24"/>
                <w:szCs w:val="24"/>
              </w:rPr>
              <w:t>，后台阻断证书签发与对外发布并触发引擎重算。</w:t>
            </w:r>
          </w:p>
          <w:p w14:paraId="2BF366E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总碳足迹为负：触发 </w:t>
            </w:r>
            <w:r>
              <w:rPr>
                <w:rFonts w:hint="eastAsia" w:ascii="宋体" w:hAnsi="宋体" w:eastAsia="宋体" w:cs="宋体"/>
                <w:b w:val="0"/>
                <w:i w:val="0"/>
                <w:iCs w:val="0"/>
                <w:color w:val="0284C7"/>
                <w:sz w:val="24"/>
                <w:szCs w:val="24"/>
              </w:rPr>
              <w:t xml:space="preserve"> E_VAL_LCA_TOTAL_NEGATIVE </w:t>
            </w:r>
            <w:r>
              <w:rPr>
                <w:rFonts w:hint="eastAsia" w:ascii="宋体" w:hAnsi="宋体" w:eastAsia="宋体" w:cs="宋体"/>
                <w:i w:val="0"/>
                <w:iCs w:val="0"/>
                <w:color w:val="1F2937"/>
                <w:sz w:val="24"/>
                <w:szCs w:val="24"/>
              </w:rPr>
              <w:t>，阻断保存。</w:t>
            </w:r>
          </w:p>
          <w:p w14:paraId="0619C29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试验工时 </w:t>
            </w:r>
            <w:r>
              <w:rPr>
                <w:rFonts w:hint="eastAsia" w:ascii="宋体" w:hAnsi="宋体" w:eastAsia="宋体" w:cs="宋体"/>
                <w:i w:val="0"/>
                <w:iCs w:val="0"/>
                <w:color w:val="15803D"/>
                <w:sz w:val="24"/>
                <w:szCs w:val="24"/>
              </w:rPr>
              <w:t>T_m = 0</w:t>
            </w:r>
            <w:r>
              <w:rPr>
                <w:rFonts w:hint="eastAsia" w:ascii="宋体" w:hAnsi="宋体" w:eastAsia="宋体" w:cs="宋体"/>
                <w:i w:val="0"/>
                <w:iCs w:val="0"/>
                <w:color w:val="1F2937"/>
                <w:sz w:val="24"/>
                <w:szCs w:val="24"/>
              </w:rPr>
              <w:t xml:space="preserve">：触发 </w:t>
            </w:r>
            <w:r>
              <w:rPr>
                <w:rFonts w:hint="eastAsia" w:ascii="宋体" w:hAnsi="宋体" w:eastAsia="宋体" w:cs="宋体"/>
                <w:b w:val="0"/>
                <w:i w:val="0"/>
                <w:iCs w:val="0"/>
                <w:color w:val="0284C7"/>
                <w:sz w:val="24"/>
                <w:szCs w:val="24"/>
              </w:rPr>
              <w:t xml:space="preserve"> E_CALC_LCA_TDIV_ZERO </w:t>
            </w:r>
            <w:r>
              <w:rPr>
                <w:rFonts w:hint="eastAsia" w:ascii="宋体" w:hAnsi="宋体" w:eastAsia="宋体" w:cs="宋体"/>
                <w:i w:val="0"/>
                <w:iCs w:val="0"/>
                <w:color w:val="1F2937"/>
                <w:sz w:val="24"/>
                <w:szCs w:val="24"/>
              </w:rPr>
              <w:t>，阻断阶段算式生成。</w:t>
            </w:r>
          </w:p>
          <w:p w14:paraId="0C38F99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工序四元组不齐备：触发 </w:t>
            </w:r>
            <w:r>
              <w:rPr>
                <w:rFonts w:hint="eastAsia" w:ascii="宋体" w:hAnsi="宋体" w:eastAsia="宋体" w:cs="宋体"/>
                <w:b w:val="0"/>
                <w:i w:val="0"/>
                <w:iCs w:val="0"/>
                <w:color w:val="0284C7"/>
                <w:sz w:val="24"/>
                <w:szCs w:val="24"/>
              </w:rPr>
              <w:t xml:space="preserve"> E_VAL_LCA_STAGE_INCOMPLETE </w:t>
            </w:r>
            <w:r>
              <w:rPr>
                <w:rFonts w:hint="eastAsia" w:ascii="宋体" w:hAnsi="宋体" w:eastAsia="宋体" w:cs="宋体"/>
                <w:i w:val="0"/>
                <w:iCs w:val="0"/>
                <w:color w:val="1F2937"/>
                <w:sz w:val="24"/>
                <w:szCs w:val="24"/>
              </w:rPr>
              <w:t>，阻断保存。</w:t>
            </w:r>
          </w:p>
          <w:p w14:paraId="546EFBC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ERP BOM 超时：重试 3 次后降级使用本地缓存 BOM 快照，仅在 INV-FALLBACK 模式下允许手工上传 Excel BOM。</w:t>
            </w:r>
          </w:p>
          <w:p w14:paraId="6E7B7F6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哈希链断裂：触发 </w:t>
            </w:r>
            <w:r>
              <w:rPr>
                <w:rFonts w:hint="eastAsia" w:ascii="宋体" w:hAnsi="宋体" w:eastAsia="宋体" w:cs="宋体"/>
                <w:b w:val="0"/>
                <w:i w:val="0"/>
                <w:iCs w:val="0"/>
                <w:color w:val="0284C7"/>
                <w:sz w:val="24"/>
                <w:szCs w:val="24"/>
              </w:rPr>
              <w:t xml:space="preserve"> E_AUDIT_HASH_BROKEN </w:t>
            </w:r>
            <w:r>
              <w:rPr>
                <w:rFonts w:hint="eastAsia" w:ascii="宋体" w:hAnsi="宋体" w:eastAsia="宋体" w:cs="宋体"/>
                <w:i w:val="0"/>
                <w:iCs w:val="0"/>
                <w:color w:val="1F2937"/>
                <w:sz w:val="24"/>
                <w:szCs w:val="24"/>
              </w:rPr>
              <w:t>，锁定当事单据并标记数据篡改。</w:t>
            </w:r>
          </w:p>
        </w:tc>
      </w:tr>
    </w:tbl>
    <w:p w14:paraId="79EEA5D1">
      <w:pPr>
        <w:spacing w:after="40"/>
        <w:rPr>
          <w:rFonts w:hint="eastAsia" w:ascii="宋体" w:hAnsi="宋体" w:eastAsia="宋体" w:cs="宋体"/>
          <w:i w:val="0"/>
          <w:iCs w:val="0"/>
          <w:sz w:val="24"/>
          <w:szCs w:val="24"/>
        </w:rPr>
      </w:pPr>
    </w:p>
    <w:p w14:paraId="623A9220">
      <w:pPr>
        <w:pStyle w:val="6"/>
        <w:numPr>
          <w:ilvl w:val="0"/>
          <w:numId w:val="159"/>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25F4C976">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FFB9C32">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LCA 碳足迹核算引擎</w:t>
            </w:r>
          </w:p>
          <w:p w14:paraId="1364BBC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五阶段滚算与加总一致性自检</w:t>
            </w:r>
          </w:p>
          <w:p w14:paraId="65E69B0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某变压器产品 BOM 已完成展开且各阶段工序四元组齐备</w:t>
            </w:r>
          </w:p>
          <w:p w14:paraId="7E757B9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系统执行 ISO 14067 五阶段滚算</w:t>
            </w:r>
          </w:p>
          <w:p w14:paraId="51FD77D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总碳足迹等于原材料、运输、制造、试验、包装五阶段之和</w:t>
            </w:r>
          </w:p>
          <w:p w14:paraId="63BB63A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加总容差不超过 0.01 kgCO2e</w:t>
            </w:r>
          </w:p>
          <w:p w14:paraId="54BBA3A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超差时阻断证书签发并返回 E_CALC_LCA_SUM_MISMATCH</w:t>
            </w:r>
          </w:p>
          <w:p w14:paraId="3EAC97EC">
            <w:pPr>
              <w:spacing w:before="0" w:after="20" w:line="264" w:lineRule="auto"/>
              <w:rPr>
                <w:rFonts w:hint="eastAsia" w:ascii="宋体" w:hAnsi="宋体" w:eastAsia="宋体" w:cs="宋体"/>
                <w:i w:val="0"/>
                <w:iCs w:val="0"/>
                <w:sz w:val="24"/>
                <w:szCs w:val="24"/>
              </w:rPr>
            </w:pPr>
          </w:p>
          <w:p w14:paraId="1B9A02B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试验工时除零防御</w:t>
            </w:r>
          </w:p>
          <w:p w14:paraId="662167A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试验检测阶段录入的工时 T_m 为 0</w:t>
            </w:r>
          </w:p>
          <w:p w14:paraId="73BCE74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系统尝试生成该阶段算式</w:t>
            </w:r>
          </w:p>
          <w:p w14:paraId="510A225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阻断算式生成并返回 E_CALC_LCA_TDIV_ZERO</w:t>
            </w:r>
          </w:p>
          <w:p w14:paraId="55BA62D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页面提示"试验工时不可为0"</w:t>
            </w:r>
          </w:p>
          <w:p w14:paraId="7CB6030F">
            <w:pPr>
              <w:spacing w:before="0" w:after="20" w:line="264" w:lineRule="auto"/>
              <w:rPr>
                <w:rFonts w:hint="eastAsia" w:ascii="宋体" w:hAnsi="宋体" w:eastAsia="宋体" w:cs="宋体"/>
                <w:i w:val="0"/>
                <w:iCs w:val="0"/>
                <w:sz w:val="24"/>
                <w:szCs w:val="24"/>
              </w:rPr>
            </w:pPr>
          </w:p>
          <w:p w14:paraId="667E63C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ERP BOM 超时降级</w:t>
            </w:r>
          </w:p>
          <w:p w14:paraId="3D38685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ERP 系统 BOM 查询接口连续 5 秒未响应</w:t>
            </w:r>
          </w:p>
          <w:p w14:paraId="488D82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LCA 引擎请求 BOM 树</w:t>
            </w:r>
          </w:p>
          <w:p w14:paraId="00E9F8B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自动重试 3 次</w:t>
            </w:r>
          </w:p>
          <w:p w14:paraId="577B254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仍失败时降级使用本地缓存 BOM 历史快照</w:t>
            </w:r>
          </w:p>
          <w:p w14:paraId="013AFFA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E_EXT_ERP_BOM_TIMEOUT 并标注降级来源</w:t>
            </w:r>
          </w:p>
          <w:p w14:paraId="3C1C0EEB">
            <w:pPr>
              <w:spacing w:before="0" w:after="20" w:line="264" w:lineRule="auto"/>
              <w:rPr>
                <w:rFonts w:hint="eastAsia" w:ascii="宋体" w:hAnsi="宋体" w:eastAsia="宋体" w:cs="宋体"/>
                <w:i w:val="0"/>
                <w:iCs w:val="0"/>
                <w:sz w:val="24"/>
                <w:szCs w:val="24"/>
              </w:rPr>
            </w:pPr>
          </w:p>
          <w:p w14:paraId="3E13F28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审计哈希链完整性</w:t>
            </w:r>
          </w:p>
          <w:p w14:paraId="3F2BB05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LCA 计算过程已生成逐节点哈希链</w:t>
            </w:r>
          </w:p>
          <w:p w14:paraId="47ED71D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后台执行尾节点 prev 引用校验</w:t>
            </w:r>
          </w:p>
          <w:p w14:paraId="63DC1C2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尾节点哈希的 prev 指向前一节点哈希时校验通过</w:t>
            </w:r>
          </w:p>
          <w:p w14:paraId="60975C9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断裂时触发 E_AUDIT_HASH_BROKEN 并锁定当事单据</w:t>
            </w:r>
          </w:p>
          <w:p w14:paraId="24C4B974">
            <w:pPr>
              <w:spacing w:before="0" w:after="20" w:line="264" w:lineRule="auto"/>
              <w:rPr>
                <w:rFonts w:hint="eastAsia" w:ascii="宋体" w:hAnsi="宋体" w:eastAsia="宋体" w:cs="宋体"/>
                <w:i w:val="0"/>
                <w:iCs w:val="0"/>
                <w:sz w:val="24"/>
                <w:szCs w:val="24"/>
              </w:rPr>
            </w:pPr>
          </w:p>
          <w:p w14:paraId="54938D1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状态机流转与角色边界</w:t>
            </w:r>
          </w:p>
          <w:p w14:paraId="79F3F74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 LCA 报告处于 DRAFT 草稿状态</w:t>
            </w:r>
          </w:p>
          <w:p w14:paraId="680FCB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P4 提交内审</w:t>
            </w:r>
          </w:p>
          <w:p w14:paraId="699B14E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状态流转至 SUBMITTED 且报告锁定编辑</w:t>
            </w:r>
          </w:p>
          <w:p w14:paraId="703C22C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流转动作写入审计日志</w:t>
            </w:r>
          </w:p>
          <w:p w14:paraId="5A8051D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报告进入 CERTIFYING 认证中状态</w:t>
            </w:r>
          </w:p>
          <w:p w14:paraId="40DE7CA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任何角色均不可编辑报告内容</w:t>
            </w:r>
          </w:p>
          <w:p w14:paraId="72B4A24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Scenario: 负碳与阶段缺项的强阻断</w:t>
            </w:r>
          </w:p>
          <w:p w14:paraId="18519F0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Given 某型号 BOM 展开后残余物料冲抵导致五阶段加总为负值</w:t>
            </w:r>
          </w:p>
          <w:p w14:paraId="5050685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When 系统执行 ISO 14067 五阶段滚算</w:t>
            </w:r>
          </w:p>
          <w:p w14:paraId="3B14531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Then 阻断保存并返回 E_VAL_LCA_TOTAL_NEGATIVE</w:t>
            </w:r>
          </w:p>
          <w:p w14:paraId="13962AB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And 页面提示"产品生命周期碳足迹不可小于零"</w:t>
            </w:r>
          </w:p>
          <w:p w14:paraId="52AAE7B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When 该型号任一阶段的工序四元组（产量/电/汽/水）缺项</w:t>
            </w:r>
          </w:p>
          <w:p w14:paraId="3467AF9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Then 阻断保存并返回 E_VAL_LCA_STAGE_INCOMPLETE</w:t>
            </w:r>
          </w:p>
          <w:p w14:paraId="21A7070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And 不做零值或空值补齐</w:t>
            </w:r>
          </w:p>
        </w:tc>
      </w:tr>
    </w:tbl>
    <w:p w14:paraId="0C3B6364">
      <w:pPr>
        <w:spacing w:after="40"/>
        <w:rPr>
          <w:rFonts w:hint="eastAsia" w:ascii="宋体" w:hAnsi="宋体" w:eastAsia="宋体" w:cs="宋体"/>
          <w:i w:val="0"/>
          <w:iCs w:val="0"/>
          <w:sz w:val="24"/>
          <w:szCs w:val="24"/>
        </w:rPr>
      </w:pPr>
    </w:p>
    <w:p w14:paraId="66341356">
      <w:pPr>
        <w:pStyle w:val="5"/>
        <w:numPr>
          <w:ilvl w:val="0"/>
          <w:numId w:val="153"/>
        </w:numPr>
        <w:ind w:left="0" w:leftChars="0" w:firstLine="0" w:firstLineChars="0"/>
        <w:outlineLvl w:val="1"/>
        <w:rPr>
          <w:rFonts w:eastAsia="黑体"/>
          <w:b w:val="0"/>
          <w:bCs w:val="0"/>
          <w:sz w:val="30"/>
          <w:szCs w:val="24"/>
        </w:rPr>
      </w:pPr>
      <w:bookmarkStart w:id="48" w:name="_Toc24248"/>
      <w:r>
        <w:rPr>
          <w:rFonts w:ascii="Times New Roman" w:hAnsi="Times New Roman" w:eastAsia="黑体" w:cs="Times New Roman"/>
          <w:b w:val="0"/>
          <w:bCs w:val="0"/>
          <w:sz w:val="30"/>
          <w:szCs w:val="24"/>
        </w:rPr>
        <w:t xml:space="preserve">碳足迹报告</w:t>
      </w:r>
      <w:bookmarkEnd w:id="48"/>
    </w:p>
    <w:p w14:paraId="506950B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7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6"/>
                    <pic:cNvPicPr>
                      <a:picLocks noChangeAspect="1"/>
                    </pic:cNvPicPr>
                  </pic:nvPicPr>
                  <pic:blipFill>
                    <a:blip r:embed="rId84"/>
                    <a:stretch>
                      <a:fillRect/>
                    </a:stretch>
                  </pic:blipFill>
                  <pic:spPr>
                    <a:xfrm>
                      <a:off x="0" y="0"/>
                      <a:ext cx="5900420" cy="2925445"/>
                    </a:xfrm>
                    <a:prstGeom prst="rect">
                      <a:avLst/>
                    </a:prstGeom>
                    <a:noFill/>
                    <a:ln>
                      <a:noFill/>
                    </a:ln>
                  </pic:spPr>
                </pic:pic>
              </a:graphicData>
            </a:graphic>
          </wp:inline>
        </w:drawing>
      </w:r>
    </w:p>
    <w:p w14:paraId="5660250F">
      <w:pPr>
        <w:pStyle w:val="6"/>
        <w:numPr>
          <w:ilvl w:val="0"/>
          <w:numId w:val="1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9970951">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：一键导出符合 ISO 14067:2018 规范的双语碳足迹核算报告，并生成含产品唯一 EPC 编码与防伪签名哈希的二维码数字碳标签。</w:t>
      </w:r>
    </w:p>
    <w:p w14:paraId="6ABF3838">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碳核算工程师、P6 外部独立审计机构（扫码核验）。</w:t>
      </w:r>
    </w:p>
    <w:p w14:paraId="55838465">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/carbon-footprint/database/report </w:t>
      </w:r>
      <w:r>
        <w:rPr>
          <w:rFonts w:ascii="Times New Roman" w:hAnsi="Times New Roman" w:eastAsia="宋体" w:cs="Times New Roman"/>
          <w:i w:val="0"/>
          <w:color w:val="1F2937"/>
          <w:sz w:val="24"/>
          <w:szCs w:val="24"/>
        </w:rPr>
        <w:t>。</w:t>
      </w:r>
    </w:p>
    <w:p w14:paraId="49DAFDF4">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：已认证的 LCA 报告、认证机构签章、报告哈希存证。</w:t>
      </w:r>
    </w:p>
    <w:p w14:paraId="3736BCDE">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：对外交付的认证报告 PDF、产品数字碳标签二维码。</w:t>
      </w:r>
    </w:p>
    <w:p w14:paraId="2F1526C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数据权限：可查看组织范围＝本级及以下（P4 全集团可发起，P3 仅本厂且须 P4 复核）；跨单位聚合＝本模块不做聚合，按报告单条管理；对外可见档位＝SENSITIVE（导出件经水印与哈希绑定后方可对外交付，交付对象限定认证机构与欧盟客户白名单）；越权导出返回 403 + E_AUTH_RLS_SCOPE_DENIED。</w:t>
      </w:r>
    </w:p>
    <w:p w14:paraId="2E8AC537">
      <w:pPr>
        <w:pStyle w:val="6"/>
        <w:numPr>
          <w:ilvl w:val="0"/>
          <w:numId w:val="1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9EC7AAF">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：产品出口发运前需随货提供双语碳足迹报告与可扫码验证的碳标签，供海外客户与海关查验。</w:t>
      </w:r>
    </w:p>
    <w:p w14:paraId="23FAE84B">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500E8447">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3201B7D7">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一键导出中英双语 ISO 14067 报告并生成可扫码验真的数字碳标签二维码</w:t>
      </w:r>
      <w:r>
        <w:rPr>
          <w:rFonts w:ascii="Times New Roman" w:hAnsi="Times New Roman" w:eastAsia="宋体" w:cs="Times New Roman"/>
          <w:i w:val="0"/>
          <w:color w:val="1F2937"/>
          <w:sz w:val="24"/>
          <w:szCs w:val="24"/>
        </w:rPr>
        <w:t>，</w:t>
      </w:r>
    </w:p>
    <w:p w14:paraId="4B7939FF">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产品出口时能即时提供具备防伪能力的碳足迹证明</w:t>
      </w:r>
      <w:r>
        <w:rPr>
          <w:rFonts w:ascii="Times New Roman" w:hAnsi="Times New Roman" w:eastAsia="宋体" w:cs="Times New Roman"/>
          <w:i w:val="0"/>
          <w:color w:val="1F2937"/>
          <w:sz w:val="24"/>
          <w:szCs w:val="24"/>
        </w:rPr>
        <w:t>。</w:t>
      </w:r>
    </w:p>
    <w:p w14:paraId="3995A684">
      <w:pPr>
        <w:pStyle w:val="6"/>
        <w:numPr>
          <w:ilvl w:val="0"/>
          <w:numId w:val="1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5927431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1）筛选条：经营单位 · 时间区间（起止月）· 产品型号 · 「报告查询」「重置」。</w:t>
      </w:r>
    </w:p>
    <w:p w14:paraId="3264A8B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2）右上主操作：「报告生成」（生成新报告，源数据须为"已认证"状态的核算结果）。</w:t>
      </w:r>
    </w:p>
    <w:p w14:paraId="5B4B21A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3）报告清单表：列依次为 报告编号 · 经营单位 · 产品型号 · 标准 · 核算时间 · 操作。</w:t>
      </w:r>
    </w:p>
    <w:p w14:paraId="1B8848C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4）行操作：预览（在线预览）· Word（下载）· PDF（下载）· 删除（仅"未签发"态可删，"已签发"态置灰）。</w:t>
      </w:r>
    </w:p>
    <w:p w14:paraId="3CE25A0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5）报告编号规则：CFR-{年份}-{4 位流水}，如 CFR-2026-0451；流水按集团内年度递增，删除不回收号段。</w:t>
      </w:r>
    </w:p>
    <w:p w14:paraId="509B150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6）默认排序：按核算时间降序。</w:t>
      </w:r>
    </w:p>
    <w:p w14:paraId="051A82C1">
      <w:pPr>
        <w:pStyle w:val="6"/>
        <w:numPr>
          <w:ilvl w:val="0"/>
          <w:numId w:val="1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7DCBF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2B38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48D39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447F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05068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FC55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1AE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报告编号</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28E3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2525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9341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正则 CFR-d{4}-d{4}$ ；全局唯一</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4C5C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1D18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经营单位</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7132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ACFE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5094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取自组织主数据（沈变本部 / 衡变本部 / 超高压公司 / 鲁缆本部 …）</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29E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BEA9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产品型号</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273E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611D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572B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须存在于产品型号主数据</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A116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A509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标准</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2CA0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3DD8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841F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默认 ISO 14067 ；可扩展 PAS 2050 / GHG Protocol</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608B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E165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核算时间</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9489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日期</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9BEE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035F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YYYY-MM-DD；= 报告生成日</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D710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9921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报告哈希</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24E6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8DCE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B4E2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SHA-256（64 位小写）；与内容绑定</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B8D7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0794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水印</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7FDA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文本（自动注入）</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5709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577A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含操作员工号 + 导出时间戳， 无豁免通道</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83E6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1A1A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EPC 编码 / 签名哈希</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6CC7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6246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579E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数字碳标签载荷：EPC + Hash_sign + CertNo + ValidUntil</w:t>
            </w:r>
          </w:p>
        </w:tc>
      </w:tr>
    </w:tbl>
    <w:p w14:paraId="37EDF2C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截图实测样本：CFR-2026-0451 / 衡变本部 / SZ11-1600/10 / ISO 14067 / 2026-08-12；CFR-2026-0448 / 鲁缆本部 / YJV-8.7/15 / 2026-08-10；CFR-2026-0442 / 沈变本部 / ZW32-12 / 2026-08-06；CFR-2026-0438 / 超高压公司 / SFZ11-110 / 2026-07-22；CFR-2026-0433 / 衡变本部 / SFZ11-110 / 2026-07-15。</w:t>
      </w:r>
    </w:p>
    <w:p w14:paraId="617FF1E0">
      <w:pPr>
        <w:pStyle w:val="6"/>
        <w:numPr>
          <w:ilvl w:val="0"/>
          <w:numId w:val="1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35F3409E">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0E7302B">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Hash_sign = SIGN_SHA256( BatchNo + PrivateKey_CA )              防伪签名哈希</w:t>
            </w:r>
          </w:p>
          <w:p w14:paraId="76BD1A6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QR_payload = ENCODE( EPC + Hash_sign + CertNo + ValidUntil )    二维码载荷</w:t>
            </w:r>
          </w:p>
          <w:p w14:paraId="1E7A059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Verify = HASH( ReportContent ) == Report_hash ? 通过 : 篡改     报告完整性校验</w:t>
            </w:r>
          </w:p>
          <w:p w14:paraId="45CDB17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Label_status = today &lt;= ValidUntil ? 有效 : 已过期              标签有效性</w:t>
            </w:r>
          </w:p>
        </w:tc>
      </w:tr>
    </w:tbl>
    <w:p w14:paraId="049664A3">
      <w:pPr>
        <w:spacing w:after="40"/>
        <w:rPr>
          <w:rFonts w:hint="eastAsia" w:ascii="宋体" w:hAnsi="宋体" w:eastAsia="宋体" w:cs="宋体"/>
          <w:i w:val="0"/>
          <w:iCs w:val="0"/>
          <w:sz w:val="24"/>
          <w:szCs w:val="24"/>
        </w:rPr>
      </w:pPr>
    </w:p>
    <w:p w14:paraId="1B0F0E4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PrivateKey_CA </w:t>
      </w:r>
      <w:r>
        <w:rPr>
          <w:rFonts w:ascii="Times New Roman" w:hAnsi="Times New Roman" w:eastAsia="宋体" w:cs="Times New Roman"/>
          <w:i w:val="0"/>
          <w:color w:val="1F2937"/>
          <w:sz w:val="24"/>
          <w:szCs w:val="24"/>
        </w:rPr>
        <w:t xml:space="preserve"> 为认证机构签发私钥；</w:t>
      </w:r>
      <w:r>
        <w:rPr>
          <w:rFonts w:ascii="Times New Roman" w:hAnsi="Times New Roman" w:eastAsia="宋体" w:cs="Times New Roman"/>
          <w:b w:val="0"/>
          <w:i w:val="0"/>
          <w:color w:val="0284C7"/>
          <w:sz w:val="24"/>
          <w:szCs w:val="24"/>
        </w:rPr>
        <w:t xml:space="preserve"> ValidUntil </w:t>
      </w:r>
      <w:r>
        <w:rPr>
          <w:rFonts w:ascii="Times New Roman" w:hAnsi="Times New Roman" w:eastAsia="宋体" w:cs="Times New Roman"/>
          <w:i w:val="0"/>
          <w:color w:val="1F2937"/>
          <w:sz w:val="24"/>
          <w:szCs w:val="24"/>
        </w:rPr>
        <w:t xml:space="preserve"> 为认证证书有效期；标签有效性随证书有效期自动更新。</w:t>
      </w:r>
    </w:p>
    <w:p w14:paraId="113A642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取值示例：报告 CFR-2026-0451（SZ11-1600/10，衡变本部，ISO 14067），报告内容哈希 H = SHA256(ReportContent) = 3f9a…c1；导出 PDF 时注入水印"工号 P4-2087 | 2026-08-12 14:26"；标签载荷 QR = ENCODE(EPC 8486000000001 + Hash_sign + CertNo CERT-2026-0091 + ValidUntil 2029-07-28)。</w:t>
      </w:r>
    </w:p>
    <w:p w14:paraId="4E642A5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精度与容差：哈希为定长 64 位十六进制；报告内碳足迹值保留 4 位小数、单位随品类；Word / PDF 两份导出件的正文数值必须逐位一致（容差 0），差异即判为导出异常并阻断交付。</w:t>
      </w:r>
    </w:p>
    <w:p w14:paraId="29A347E6">
      <w:pPr>
        <w:pStyle w:val="6"/>
        <w:numPr>
          <w:ilvl w:val="0"/>
          <w:numId w:val="1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5C837F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报告口径：仅状态为"已认证 / 已发布"的报告可导出，草稿与送审态禁止导出。</w:t>
      </w:r>
    </w:p>
    <w:p w14:paraId="61282D2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水印口径：任何导出行为强制注入水印，无豁免通道。</w:t>
      </w:r>
    </w:p>
    <w:p w14:paraId="3C2FBE3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标签口径：证书过期后标签自动标记"已过期"并暂停对应产品碳标签发布。</w:t>
      </w:r>
    </w:p>
    <w:p w14:paraId="34EA52F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存证口径：导出报告须包含报告哈希，支持事后完整性校验。</w:t>
      </w:r>
    </w:p>
    <w:p w14:paraId="1F232AA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可导出状态集合 = {已认证, 已发布}，其余 0 例外；② 哈希校验为二值判定（相等/不等），无容差；③ 标签有效期 = 证书 ValidUntil，到期日当天 23:59:59 前仍有效；④ 证书到期预警阈值 90 / 30 / 7 天（来源：认证结果管理模块固定铁律）；⑤ 报告编号唯一性：同「型号 × 经营单位 × 核算日」允许并存历史版本，但编号不重复；⑥ 基准来源：报告数与排放值均引自实景数据库同一型号同一账期记录，不允许报告自行重算。</w:t>
      </w:r>
    </w:p>
    <w:p w14:paraId="2402F5E8">
      <w:pPr>
        <w:pStyle w:val="6"/>
        <w:numPr>
          <w:ilvl w:val="0"/>
          <w:numId w:val="1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BE74F8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草稿或送审态报告：导出按钮置灰，强制阻断并返回 E_CERT_EXPORT_DRAFT_DENIED（403）。</w:t>
            </w:r>
          </w:p>
          <w:p w14:paraId="1B6CE76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报告哈希比对失败：触发 E_AUDIT_HASH_BROKEN（500），强制阻断导出并标记数据篡改、锁定单据。</w:t>
            </w:r>
          </w:p>
          <w:p w14:paraId="280DC72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证书已过期：标签生成按钮置灰，提示需先完成证书续期（到期前 90/30/7 天分级预警）。</w:t>
            </w:r>
          </w:p>
          <w:p w14:paraId="6C9A199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二维码签名密钥（HSM）不可用：标签生成失败并告警，返回 E_CERT_LABEL_KEY_UNAVAILABLE（500），不输出无签名标签。</w:t>
            </w:r>
          </w:p>
          <w:p w14:paraId="11E8D70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报告内含未脱敏供应商名称：导出前脱敏校验不通过，阻断导出并列出命中字段。</w:t>
            </w:r>
          </w:p>
          <w:p w14:paraId="7322192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组织越权导出他人组织报告：返回 403 + E_AUTH_RLS_SCOPE_DENIED。</w:t>
            </w:r>
          </w:p>
        </w:tc>
      </w:tr>
    </w:tbl>
    <w:p w14:paraId="0E73562B">
      <w:pPr>
        <w:pStyle w:val="6"/>
        <w:numPr>
          <w:ilvl w:val="0"/>
          <w:numId w:val="164"/>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0EBF7B5">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14D491FA">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碳足迹报告与数字碳标签</w:t>
            </w:r>
          </w:p>
          <w:p w14:paraId="4B66F7E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双语报告导出与水印注入</w:t>
            </w:r>
          </w:p>
          <w:p w14:paraId="17C0DB4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 LCA 报告状态为"已认证"</w:t>
            </w:r>
          </w:p>
          <w:p w14:paraId="64B78A8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P4 一键导出双语碳足迹报告</w:t>
            </w:r>
          </w:p>
          <w:p w14:paraId="45481D1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生成符合 ISO 14067:2018 规范的中英双语 PDF</w:t>
            </w:r>
          </w:p>
          <w:p w14:paraId="6FD4882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文件中注入操作员工号与时间戳水印</w:t>
            </w:r>
          </w:p>
          <w:p w14:paraId="7AB2DE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文件内包含与内容绑定的报告哈希</w:t>
            </w:r>
          </w:p>
          <w:p w14:paraId="4E9389F6">
            <w:pPr>
              <w:spacing w:before="0" w:after="20" w:line="264" w:lineRule="auto"/>
              <w:rPr>
                <w:rFonts w:hint="eastAsia" w:ascii="宋体" w:hAnsi="宋体" w:eastAsia="宋体" w:cs="宋体"/>
                <w:i w:val="0"/>
                <w:iCs w:val="0"/>
                <w:sz w:val="24"/>
                <w:szCs w:val="24"/>
              </w:rPr>
            </w:pPr>
          </w:p>
          <w:p w14:paraId="1242438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草稿态报告禁止导出</w:t>
            </w:r>
          </w:p>
          <w:p w14:paraId="79D880F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 LCA 报告状态为 DRAFT 草稿</w:t>
            </w:r>
          </w:p>
          <w:p w14:paraId="69F7C15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用户点击导出报告</w:t>
            </w:r>
          </w:p>
          <w:p w14:paraId="75D8057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导出按钮置灰不可点击</w:t>
            </w:r>
          </w:p>
          <w:p w14:paraId="453CFD2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系统不生成任何文件</w:t>
            </w:r>
          </w:p>
          <w:p w14:paraId="0CB7B9AC">
            <w:pPr>
              <w:spacing w:before="0" w:after="20" w:line="264" w:lineRule="auto"/>
              <w:rPr>
                <w:rFonts w:hint="eastAsia" w:ascii="宋体" w:hAnsi="宋体" w:eastAsia="宋体" w:cs="宋体"/>
                <w:i w:val="0"/>
                <w:iCs w:val="0"/>
                <w:sz w:val="24"/>
                <w:szCs w:val="24"/>
              </w:rPr>
            </w:pPr>
          </w:p>
          <w:p w14:paraId="6AE29BC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证书过期的标签管控</w:t>
            </w:r>
          </w:p>
          <w:p w14:paraId="007819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某产品认证证书已于昨日到期</w:t>
            </w:r>
          </w:p>
          <w:p w14:paraId="1DC3CAE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系统尝试生成该产品的数字碳标签</w:t>
            </w:r>
          </w:p>
          <w:p w14:paraId="0FC4C35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标签生成按钮置灰并提示需完成证书续期</w:t>
            </w:r>
          </w:p>
          <w:p w14:paraId="2A0B81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已生成的存量标签自动标注"已过期"</w:t>
            </w:r>
          </w:p>
          <w:p w14:paraId="1E1AD1F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草稿态报告导出被阻断</w:t>
            </w:r>
          </w:p>
          <w:p w14:paraId="49F5946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 LCA 报告状态为 DRAFT</w:t>
            </w:r>
          </w:p>
          <w:p w14:paraId="15BA280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用户点击导出 Word 或 PDF</w:t>
            </w:r>
          </w:p>
          <w:p w14:paraId="6EEC221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导出按钮置灰不可点击</w:t>
            </w:r>
          </w:p>
          <w:p w14:paraId="659BCA4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后端同时拒绝该导出请求并返回 E_CERT_EXPORT_DRAFT_DENIED</w:t>
            </w:r>
          </w:p>
          <w:p w14:paraId="2004F5E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签名密钥不可用时不输出无签名标签</w:t>
            </w:r>
          </w:p>
          <w:p w14:paraId="2AFDA5B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数字碳标签签名所用的 HSM 密钥服务不可用</w:t>
            </w:r>
          </w:p>
          <w:p w14:paraId="6FBB2AD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P4 尝试生成某产品的数字碳标签</w:t>
            </w:r>
          </w:p>
          <w:p w14:paraId="3956552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标签生成失败并返回 E_CERT_LABEL_KEY_UNAVAILABLE</w:t>
            </w:r>
          </w:p>
          <w:p w14:paraId="5B41A36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系统不输出任何未附带签名哈希的标签文件</w:t>
            </w:r>
          </w:p>
          <w:p w14:paraId="753CD33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生成失败事件推送至运维告警</w:t>
            </w:r>
          </w:p>
        </w:tc>
      </w:tr>
    </w:tbl>
    <w:p w14:paraId="4FD04470">
      <w:pPr>
        <w:spacing w:after="40"/>
        <w:rPr>
          <w:rFonts w:hint="eastAsia" w:ascii="宋体" w:hAnsi="宋体" w:eastAsia="宋体" w:cs="宋体"/>
          <w:i w:val="0"/>
          <w:iCs w:val="0"/>
          <w:sz w:val="24"/>
          <w:szCs w:val="24"/>
        </w:rPr>
      </w:pPr>
    </w:p>
    <w:p w14:paraId="2B21B588">
      <w:pPr>
        <w:pStyle w:val="4"/>
        <w:numPr>
          <w:ilvl w:val="0"/>
          <w:numId w:val="135"/>
        </w:numPr>
        <w:topLinePunct w:val="0"/>
        <w:ind w:left="0" w:leftChars="0" w:firstLine="0" w:firstLineChars="0"/>
        <w:outlineLvl w:val="0"/>
        <w:rPr>
          <w:rFonts w:hint="eastAsia" w:eastAsia="黑体"/>
          <w:b w:val="0"/>
          <w:bCs w:val="0"/>
          <w:sz w:val="30"/>
          <w:szCs w:val="32"/>
        </w:rPr>
      </w:pPr>
      <w:bookmarkStart w:id="49" w:name="_Toc9612"/>
      <w:r>
        <w:rPr>
          <w:rFonts w:ascii="Times New Roman" w:hAnsi="Times New Roman" w:eastAsia="黑体" w:cs="Times New Roman"/>
          <w:b w:val="0"/>
          <w:bCs w:val="0"/>
          <w:sz w:val="30"/>
          <w:szCs w:val="32"/>
        </w:rPr>
        <w:t>CBAM 管理</w:t>
      </w:r>
      <w:bookmarkEnd w:id="49"/>
    </w:p>
    <w:p w14:paraId="1FF4251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板块导语｜CBAM 管理</w:t>
      </w:r>
    </w:p>
    <w:p w14:paraId="4D83165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本板块是面向欧盟碳边境调节机制（CBAM，法规 EU 2023/956）的合规作业台，覆盖"范围判定 → 关税测算 → 申报材料组织 → 法规知识支撑"四步闭环。板块下辖 3 个模块：台账管理（管控范围判定与豁免资格预评估）、申报模拟（嵌入碳排放测算、多情景关税模拟、申报包组织）、知识库（法规、CN 清单、填报指引进出口）。</w:t>
      </w:r>
    </w:p>
    <w:p w14:paraId="738D296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边界声明（数据出境）：本板块产出的申报材料与 XML 申报包含出口欧盟产品的工艺与能耗信息，属于敏感数据出境场景。跨境传输路径未经信息安全合规组审批前，导出功能保持关闭；欧盟客户与审查专员仅可通过"对外示范窗口"查看脱敏后的单位产品碳足迹。</w:t>
      </w:r>
    </w:p>
    <w:p w14:paraId="71008C7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与「第三方认证管理」的衔接：CBAM 申报所需的实测排放数据必须取自已签发认证的 LCA 报告；无认证数据时允许套用 CBAM 官方默认值估算，但须显著标注"默认值估算"，不得与实测数据混列。</w:t>
      </w:r>
    </w:p>
    <w:p w14:paraId="6B198EB8">
      <w:pPr>
        <w:pStyle w:val="5"/>
        <w:numPr>
          <w:ilvl w:val="0"/>
          <w:numId w:val="169"/>
        </w:numPr>
        <w:ind w:left="0" w:leftChars="0" w:firstLine="0" w:firstLineChars="0"/>
        <w:outlineLvl w:val="1"/>
        <w:rPr>
          <w:rFonts w:eastAsia="黑体"/>
          <w:b w:val="0"/>
          <w:bCs w:val="0"/>
          <w:sz w:val="30"/>
          <w:szCs w:val="24"/>
        </w:rPr>
      </w:pPr>
      <w:bookmarkStart w:id="50" w:name="_Toc11881"/>
      <w:r>
        <w:rPr>
          <w:rFonts w:ascii="Times New Roman" w:hAnsi="Times New Roman" w:eastAsia="黑体" w:cs="Times New Roman"/>
          <w:b w:val="0"/>
          <w:bCs w:val="0"/>
          <w:sz w:val="30"/>
          <w:szCs w:val="24"/>
        </w:rPr>
        <w:t xml:space="preserve">台账管理</w:t>
      </w:r>
      <w:bookmarkEnd w:id="50"/>
    </w:p>
    <w:p w14:paraId="045B11A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7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7"/>
                    <pic:cNvPicPr>
                      <a:picLocks noChangeAspect="1"/>
                    </pic:cNvPicPr>
                  </pic:nvPicPr>
                  <pic:blipFill>
                    <a:blip r:embed="rId85"/>
                    <a:stretch>
                      <a:fillRect/>
                    </a:stretch>
                  </pic:blipFill>
                  <pic:spPr>
                    <a:xfrm>
                      <a:off x="0" y="0"/>
                      <a:ext cx="5900420" cy="2925445"/>
                    </a:xfrm>
                    <a:prstGeom prst="rect">
                      <a:avLst/>
                    </a:prstGeom>
                    <a:noFill/>
                    <a:ln>
                      <a:noFill/>
                    </a:ln>
                  </pic:spPr>
                </pic:pic>
              </a:graphicData>
            </a:graphic>
          </wp:inline>
        </w:drawing>
      </w:r>
    </w:p>
    <w:p w14:paraId="4ED66580">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FB7AAE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功能定位：维护出口欧盟电气装备的海关 HS 码 / CN 编码映射与管控范围判定规则，执行豁免资格预评估与出口批次资质校验，明确直接排放与前驱物隐含间接排放的法定边界。</w:t>
      </w:r>
    </w:p>
    <w:p w14:paraId="5328C94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承载角色：P5 报关与关税专家（主操作）、P4 碳核算工程师（排放边界核验）、P1 集团决策层（终审双签）。</w:t>
      </w:r>
    </w:p>
    <w:p w14:paraId="49C2FAE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页面路由：/carbon-footprint/cbam/ledger；含两个页签：管控范围判定 / 资质管理。</w:t>
      </w:r>
    </w:p>
    <w:p w14:paraId="128C789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上游依赖：已认证 LCA 报告、海关 HS / CN 编码库、CBAM 法规知识库、「第三方认证管理」的有效资质记录。</w:t>
      </w:r>
    </w:p>
    <w:p w14:paraId="572CE48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下游输出：CN 编码匹配结果与管控范围判定结论 → 作为「申报模拟」的任务准入依据；机构资质状态 → 决定申报材料是否可被接受。</w:t>
      </w:r>
    </w:p>
    <w:p w14:paraId="4905E2B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数据权限：可查看组织范围＝集团级（P5 与 P1 全网可见，P4 仅本园区）；跨单位聚合＝含项目公司（出口主体可能是项目公司，与第二章统计口径相反，须在本模块豁免该排除规则）；对外可见档位＝SENSITIVE（HS / CN 映射与豁免结论涉及商业信息，不对外）；越权返回 403 + E_AUTH_RLS_SCOPE_DENIED。数据出境另受本板块导言所述审批闸门约束。</w:t>
      </w:r>
    </w:p>
    <w:p w14:paraId="3642F735">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FA845EA">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：对出口欧盟的变压器与电缆产品执行 CBAM 合规前置管理，确认产品是否落入税号白名单并界定排放核算边界。</w:t>
      </w:r>
    </w:p>
    <w:p w14:paraId="70445C12">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838191D">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国际贸易与关税专家 (Persona P5)</w:t>
      </w:r>
      <w:r>
        <w:rPr>
          <w:rFonts w:ascii="Times New Roman" w:hAnsi="Times New Roman" w:eastAsia="宋体" w:cs="Times New Roman"/>
          <w:i w:val="0"/>
          <w:color w:val="1F2937"/>
          <w:sz w:val="24"/>
          <w:szCs w:val="24"/>
        </w:rPr>
        <w:t>，</w:t>
      </w:r>
    </w:p>
    <w:p w14:paraId="604C87B5">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维护海关 CN 税号白名单并确认产品直接排放与前驱物隐含间接排放的法定边界</w:t>
      </w:r>
      <w:r>
        <w:rPr>
          <w:rFonts w:ascii="Times New Roman" w:hAnsi="Times New Roman" w:eastAsia="宋体" w:cs="Times New Roman"/>
          <w:i w:val="0"/>
          <w:color w:val="1F2937"/>
          <w:sz w:val="24"/>
          <w:szCs w:val="24"/>
        </w:rPr>
        <w:t>，</w:t>
      </w:r>
    </w:p>
    <w:p w14:paraId="3E197760">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我能确保 CBAM 申报范围准确、不多报不漏报</w:t>
      </w:r>
      <w:r>
        <w:rPr>
          <w:rFonts w:ascii="Times New Roman" w:hAnsi="Times New Roman" w:eastAsia="宋体" w:cs="Times New Roman"/>
          <w:i w:val="0"/>
          <w:color w:val="1F2937"/>
          <w:sz w:val="24"/>
          <w:szCs w:val="24"/>
        </w:rPr>
        <w:t>。</w:t>
      </w:r>
    </w:p>
    <w:p w14:paraId="755BEF72">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3052F2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1）指标卡区（四卡）：纳入管控产品（项）· 有效资质（项）· 贸易主体（家）· 已校验出口批次（批）。截图实测：3 / 2 / 3 / 48。</w:t>
      </w:r>
    </w:p>
    <w:p w14:paraId="7387CFA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2）页签一「管控范围判定」：</w:t>
      </w:r>
    </w:p>
    <w:p w14:paraId="1CA78BE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CN 编码精准匹配器：输入 HS 码 + 产品名称 + 生产工艺（下拉，如"炼钢-转炉（钢铁）"），点「+ 匹配 CN 编码」返回唯一 8 位 CN 编码；匹配失败时给出"无对应 CN 编码"并列入待人工判定队列。</w:t>
      </w:r>
    </w:p>
    <w:p w14:paraId="6B1A395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豁免资格预评估器：输入"单批次进口量（吨）"与"单位内含碳排放（tCO₂e/t）"，点「+ 评估豁免资格」输出"符合豁免 / 不符合"结论与依据条款。</w:t>
      </w:r>
    </w:p>
    <w:p w14:paraId="2A79E3B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判定结果表：列依次为 产品名称 · HS 码 · CN 码 · 行业 · 管控范围 · 豁免评估 · 资质状态 · 操作（编辑 / 删除）；右上「+ 新增产品」。</w:t>
      </w:r>
    </w:p>
    <w:p w14:paraId="74C1A45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3）页签二「资质管理」：维护贸易主体与出口批次资质，记录资质有效期与校验结果。</w:t>
      </w:r>
    </w:p>
    <w:p w14:paraId="519B353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4）状态色规：管控范围与资质状态用绿（有效/符合豁免）；豁免评估不适用红（不符合）；不管控用绿底浅标签。</w:t>
      </w:r>
    </w:p>
    <w:p w14:paraId="667F539E">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5F585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5BA4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5617C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B492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4462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296B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8620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产品名称</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5780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074B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E952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自由录入，须与出口报关品名一致</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9EA8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F484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HS 码</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3A92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1FB8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0E72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6 位 数字，正则 ^d{6}$ ；示例 8544.23 / 8544.60 / 7308.90 / 3926.90</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FE4E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6DA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CN 码</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7265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5212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8F9A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8 位 数字，正则 ^d{8}$ ；由 HS 码 + 2 位细分位构成；示例 85424230</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C1DC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14FA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行业</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335E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1E91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894E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钢铁 / 铝 / 水泥 / 化肥 / 电力 / 氢 / 化医（CBAM 六大覆盖行业 + 归类项）</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54AD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4DEE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管控范围</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3305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枚举标签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EDD4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415A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管控（橙）／ 不管控（绿）</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EABD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C261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豁免评估</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783C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枚举标签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7980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DC81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符合豁免（绿）／ 不符合（红）／ 不适用</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AA52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A952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资质状态</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4506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枚举标签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2C79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BCAD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有效（绿）／ 失效（灰）</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9386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D8FA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生产工艺</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046A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级联枚举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8CB4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EC41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如"炼钢-转炉（钢铁）"；用于 CN 编码精准匹配</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1FD1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9</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72EF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单批次进口量</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97A7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小数(3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57B3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吨</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B098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&gt; 0；豁免评估输入</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CE07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10</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2680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单位内含碳排放</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ED10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7C01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tCO₂e/t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1406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0；豁免评估输入</w:t>
            </w:r>
          </w:p>
        </w:tc>
      </w:tr>
    </w:tbl>
    <w:p w14:paraId="304F113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截图实测样本：电力变压器 / 8544.23 / 85424230 / 钢铁 / 管控 / 不符合 / 有效；电磁导体 / 8544.60 / 85446000 / 铝 / 管控 / 不符合 / 有效；钢结构件 / 7308.90 / 73089000 / 钢铁 / 管控 / 不符合 / 有效；塑料绝缘件 / 3926.90 / 39269097 / 化医 / 不管控 / 符合豁免 / 有效。</w:t>
      </w:r>
    </w:p>
    <w:p w14:paraId="5EDB2B0A">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0645D3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In_Scope = (CN_Code ∈ CBAM_Whitelist)　——　税号涵盖判定</w:t>
            </w:r>
          </w:p>
          <w:p w14:paraId="6B948D3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CN_Code = MATCH(HS_Code, Product, Process)　——　CN 编码精准匹配</w:t>
            </w:r>
          </w:p>
          <w:p w14:paraId="26441B9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Exempt = (Import_Qty ≤ Threshold) OR (Embedded_Carbon ≤ Default_Value)　——　豁免资格判定</w:t>
            </w:r>
          </w:p>
          <w:p w14:paraId="6AA46EE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Boundary = f(CN_Code)　——　排放边界映射（直接排放 / 前驱物间接排放）</w:t>
            </w:r>
          </w:p>
          <w:p w14:paraId="4EAF22F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Gate_Submit = (Sign_P5 == true) AND (Sign_P1 == true)　——　双签门禁</w:t>
            </w:r>
          </w:p>
        </w:tc>
      </w:tr>
    </w:tbl>
    <w:p w14:paraId="1C82185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取值示例：输入 HS 码 8544.23 + 产品"电力变压器" + 工艺"炼钢-转炉（钢铁）" → 匹配得 CN 码 85424230；查白名单命中"钢铁"行业管控项 → In_Scope = true；豁免评估输入单批次进口量 0.8 吨、单位内含碳排放 0.4210 tCO₂e/t → 低于豁免阈值 → Exempt = false（未达豁免条件），结论"不符合"。</w:t>
      </w:r>
    </w:p>
    <w:p w14:paraId="37AC431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精度与容差：HS 码 / CN 码为定长数字串，无容差；单批次进口量保留 3 位小数；单位内含碳排放保留 4 位小数；阈值比较为"≤"闭区间（等于阈值即判符合豁免）。</w:t>
      </w:r>
    </w:p>
    <w:p w14:paraId="6D848AE1">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3F6316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范围口径：仅白名单税号产品可发起申报，非白名单产品入口不出现。</w:t>
      </w:r>
    </w:p>
    <w:p w14:paraId="6B4B8C6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边界口径：排放边界按税号固定映射，不允许逐单自定义。</w:t>
      </w:r>
    </w:p>
    <w:p w14:paraId="2925C69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签批口径：提交必须经 P5 报关专家与 P1 集团决策层双重电子签章。</w:t>
      </w:r>
    </w:p>
    <w:p w14:paraId="6DC5A1F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回退口径：海关质询时转入"海关反馈"，补正后重新提交并生成新修订流水号。</w:t>
      </w:r>
    </w:p>
    <w:p w14:paraId="30B62AE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CN 编码唯一性：同一「HS 码 × 生产工艺」组合仅允许映射 1 个 CN 码，多候选时强制人工裁定并留痕；② 豁免阈值来源：CBAM 法规 EU 2023/956 附件中的最小豁免吨位与欧委会发布的默认排放值清单（知识库「CN 管控清单」当前生效版本），不得由业务自行填写；③ 双签阈值：2/2，缺任一签章不可提交；④ 资质有效期：贸易主体 / 认证机构资质有效期截止日 &lt; 当前日期即判失效，对应申报包不可提交；⑤ 已归档申报单一律只读（0 例外）；⑥ 批次校验基准：已校验出口批次计数以"海关回执到达"为唯一计入口径。</w:t>
      </w:r>
    </w:p>
    <w:p w14:paraId="2987E91D">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031902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非白名单税号：申报入口拦截并提示不在 CBAM 涵盖范围，返回 E_CBAM_CN_OUT_OF_SCOPE（403）。</w:t>
            </w:r>
          </w:p>
          <w:p w14:paraId="3715DB2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HS 码 / CN 码格式不合规（非 6 位 / 8 位）：表单即时拦截，返回 E_VAL_CODE_FORMAT_INVALID（400）。</w:t>
            </w:r>
          </w:p>
          <w:p w14:paraId="67440D3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CN 编码匹配出现多候选：不自动选取，转人工裁定队列，返回 E_CBAM_CN_AMBIGUOUS（422）。</w:t>
            </w:r>
          </w:p>
          <w:p w14:paraId="629BFC9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关联 LCA 报告非已认证状态：申报按钮置灰。</w:t>
            </w:r>
          </w:p>
          <w:p w14:paraId="4870D6E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双签不完整：提交动作不可执行，页面明确标注缺失签章方，返回 E_CBAM_SIGN_INCOMPLETE（422）。</w:t>
            </w:r>
          </w:p>
          <w:p w14:paraId="159797F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已归档申报：只读锁定，不允许再流转，返回 E_CBAM_DECL_ARCHIVED_READONLY（423）。</w:t>
            </w:r>
          </w:p>
          <w:p w14:paraId="3AF3382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机构资质过期：申报包不可提交并提示资质失效日期。</w:t>
            </w:r>
          </w:p>
          <w:p w14:paraId="395B27A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数据出境未审批：导出按钮关闭并提示审批中。</w:t>
            </w:r>
          </w:p>
        </w:tc>
      </w:tr>
    </w:tbl>
    <w:p w14:paraId="52E3C63C">
      <w:pPr>
        <w:pStyle w:val="6"/>
        <w:numPr>
          <w:ilvl w:val="0"/>
          <w:numId w:val="170"/>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8D27A06">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61341C0">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CBAM 欧盟合规管理</w:t>
            </w:r>
          </w:p>
          <w:p w14:paraId="2E7402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税号白名单校验</w:t>
            </w:r>
          </w:p>
          <w:p w14:paraId="343861C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某产品的海关 CN 税号未包含在 CBAM 白名单内</w:t>
            </w:r>
          </w:p>
          <w:p w14:paraId="2468619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P5 尝试对该产品发起 CBAM 申报</w:t>
            </w:r>
          </w:p>
          <w:p w14:paraId="0F384AA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申报入口被拦截并提示该产品不在 CBAM 涵盖范围</w:t>
            </w:r>
          </w:p>
          <w:p w14:paraId="7233E6F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不生成任何申报单据</w:t>
            </w:r>
          </w:p>
          <w:p w14:paraId="5FDCFA59">
            <w:pPr>
              <w:spacing w:before="0" w:after="20" w:line="264" w:lineRule="auto"/>
              <w:rPr>
                <w:rFonts w:hint="eastAsia" w:ascii="宋体" w:hAnsi="宋体" w:eastAsia="宋体" w:cs="宋体"/>
                <w:i w:val="0"/>
                <w:iCs w:val="0"/>
                <w:sz w:val="24"/>
                <w:szCs w:val="24"/>
              </w:rPr>
            </w:pPr>
          </w:p>
          <w:p w14:paraId="619285A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双签门禁校验</w:t>
            </w:r>
          </w:p>
          <w:p w14:paraId="739223C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某申报单已获得 P5 报关专家电子签章</w:t>
            </w:r>
          </w:p>
          <w:p w14:paraId="42661A0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尚未获得 P1 集团决策层签章即尝试提交</w:t>
            </w:r>
          </w:p>
          <w:p w14:paraId="4F1957A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提交动作不可执行</w:t>
            </w:r>
          </w:p>
          <w:p w14:paraId="4413DC5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页面明确标注缺失的签章方为 P1 集团决策层</w:t>
            </w:r>
          </w:p>
          <w:p w14:paraId="52620EE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E_AUTH_RBAC_FORBIDDEN 或对应的签批缺失提示</w:t>
            </w:r>
          </w:p>
          <w:p w14:paraId="7798A731">
            <w:pPr>
              <w:spacing w:before="0" w:after="20" w:line="264" w:lineRule="auto"/>
              <w:rPr>
                <w:rFonts w:hint="eastAsia" w:ascii="宋体" w:hAnsi="宋体" w:eastAsia="宋体" w:cs="宋体"/>
                <w:i w:val="0"/>
                <w:iCs w:val="0"/>
                <w:sz w:val="24"/>
                <w:szCs w:val="24"/>
              </w:rPr>
            </w:pPr>
          </w:p>
          <w:p w14:paraId="778662F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海关反馈回退流程</w:t>
            </w:r>
          </w:p>
          <w:p w14:paraId="199900C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申报单已提交至海关并收到质询</w:t>
            </w:r>
          </w:p>
          <w:p w14:paraId="52027E6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系统将申报状态流转为 CBAM_DECL_FEEDBACK</w:t>
            </w:r>
          </w:p>
          <w:p w14:paraId="06A2C32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补正完成后可重新提交</w:t>
            </w:r>
          </w:p>
          <w:p w14:paraId="2385730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重新提交时生成新的修订流水号</w:t>
            </w:r>
          </w:p>
          <w:p w14:paraId="186A3ED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CN 编码精准匹配与多候选转人工</w:t>
            </w:r>
          </w:p>
          <w:p w14:paraId="32ECC11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录入 HS 码 8544.23 与生产工艺"炼钢-转炉（钢铁）"</w:t>
            </w:r>
          </w:p>
          <w:p w14:paraId="67004AA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点击"+ 匹配 CN 编码"</w:t>
            </w:r>
          </w:p>
          <w:p w14:paraId="37FA488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返回唯一 CN 码 85424230 并写入判定表</w:t>
            </w:r>
          </w:p>
          <w:p w14:paraId="37A5279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该 HS 码与工艺组合命中 2 个及以上候选 CN 码</w:t>
            </w:r>
          </w:p>
          <w:p w14:paraId="5563B13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系统不自动选取，转入人工裁定队列并返回 E_CBAM_CN_AMBIGUOUS</w:t>
            </w:r>
          </w:p>
          <w:p w14:paraId="2F0AE0B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非白名单税号申报拦截</w:t>
            </w:r>
          </w:p>
          <w:p w14:paraId="393B4C4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某产品的 CN 码未包含在 CBAM 管控白名单内</w:t>
            </w:r>
          </w:p>
          <w:p w14:paraId="1212CB7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P5 尝试对该产品发起 CBAM 申报</w:t>
            </w:r>
          </w:p>
          <w:p w14:paraId="7177CF3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申报入口被拦截并提示该产品不在 CBAM 涵盖范围</w:t>
            </w:r>
          </w:p>
          <w:p w14:paraId="4501F09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返回错误码 E_CBAM_CN_OUT_OF_SCOPE 且不生成任何申报单据</w:t>
            </w:r>
          </w:p>
          <w:p w14:paraId="27C6680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已归档申报单只读锁定</w:t>
            </w:r>
          </w:p>
          <w:p w14:paraId="209FB4E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 CBAM 申报单状态为"已归档"</w:t>
            </w:r>
          </w:p>
          <w:p w14:paraId="79950A4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任意角色尝试修改其管控范围或重新提交流转</w:t>
            </w:r>
          </w:p>
          <w:p w14:paraId="4DB65A1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写入被拒绝并返回 E_CBAM_DECL_ARCHIVED_READONLY</w:t>
            </w:r>
          </w:p>
          <w:p w14:paraId="363CC12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界面所有编辑控件置灰</w:t>
            </w:r>
          </w:p>
        </w:tc>
      </w:tr>
    </w:tbl>
    <w:p w14:paraId="79D7FBBF">
      <w:pPr>
        <w:spacing w:after="40"/>
        <w:rPr>
          <w:rFonts w:hint="eastAsia" w:ascii="宋体" w:hAnsi="宋体" w:eastAsia="宋体" w:cs="宋体"/>
          <w:i w:val="0"/>
          <w:iCs w:val="0"/>
          <w:sz w:val="24"/>
          <w:szCs w:val="24"/>
        </w:rPr>
      </w:pPr>
    </w:p>
    <w:p w14:paraId="164E7AC9">
      <w:pPr>
        <w:pStyle w:val="5"/>
        <w:numPr>
          <w:ilvl w:val="0"/>
          <w:numId w:val="169"/>
        </w:numPr>
        <w:ind w:left="0" w:leftChars="0" w:firstLine="0" w:firstLineChars="0"/>
        <w:outlineLvl w:val="1"/>
        <w:rPr>
          <w:rFonts w:eastAsia="黑体"/>
          <w:b w:val="0"/>
          <w:bCs w:val="0"/>
          <w:sz w:val="30"/>
          <w:szCs w:val="24"/>
        </w:rPr>
      </w:pPr>
      <w:bookmarkStart w:id="51" w:name="_Toc20854"/>
      <w:r>
        <w:rPr>
          <w:rFonts w:ascii="Times New Roman" w:hAnsi="Times New Roman" w:eastAsia="黑体" w:cs="Times New Roman"/>
          <w:b w:val="0"/>
          <w:bCs w:val="0"/>
          <w:sz w:val="30"/>
          <w:szCs w:val="24"/>
        </w:rPr>
        <w:t xml:space="preserve">申报模拟</w:t>
      </w:r>
      <w:bookmarkEnd w:id="51"/>
    </w:p>
    <w:p w14:paraId="60E23358">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7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8"/>
                    <pic:cNvPicPr>
                      <a:picLocks noChangeAspect="1"/>
                    </pic:cNvPicPr>
                  </pic:nvPicPr>
                  <pic:blipFill>
                    <a:blip r:embed="rId86"/>
                    <a:stretch>
                      <a:fillRect/>
                    </a:stretch>
                  </pic:blipFill>
                  <pic:spPr>
                    <a:xfrm>
                      <a:off x="0" y="0"/>
                      <a:ext cx="5900420" cy="2925445"/>
                    </a:xfrm>
                    <a:prstGeom prst="rect">
                      <a:avLst/>
                    </a:prstGeom>
                    <a:noFill/>
                    <a:ln>
                      <a:noFill/>
                    </a:ln>
                  </pic:spPr>
                </pic:pic>
              </a:graphicData>
            </a:graphic>
          </wp:inline>
        </w:drawing>
      </w:r>
    </w:p>
    <w:p w14:paraId="4952D40F">
      <w:pPr>
        <w:pStyle w:val="6"/>
        <w:numPr>
          <w:ilvl w:val="0"/>
          <w:numId w:val="1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89A1858">
      <w:pPr>
        <w:pStyle w:val="19"/>
        <w:widowControl/>
        <w:numPr>
          <w:ilvl w:val="0"/>
          <w:numId w:val="1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：基于欧盟 ETS 碳价与国内已支付碳成本抵扣，测算出口欧盟产品的 CBAM 应缴碳关税，并支持多情景模拟与官方 XML 申报包导出。</w:t>
      </w:r>
    </w:p>
    <w:p w14:paraId="33A5E227">
      <w:pPr>
        <w:pStyle w:val="19"/>
        <w:widowControl/>
        <w:numPr>
          <w:ilvl w:val="0"/>
          <w:numId w:val="1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：P5 报关与关税专家。</w:t>
      </w:r>
    </w:p>
    <w:p w14:paraId="135A3A53">
      <w:pPr>
        <w:pStyle w:val="19"/>
        <w:widowControl/>
        <w:numPr>
          <w:ilvl w:val="0"/>
          <w:numId w:val="1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/carbon-footprint/cbam/declaration </w:t>
      </w:r>
      <w:r>
        <w:rPr>
          <w:rFonts w:ascii="Times New Roman" w:hAnsi="Times New Roman" w:eastAsia="宋体" w:cs="Times New Roman"/>
          <w:i w:val="0"/>
          <w:color w:val="1F2937"/>
          <w:sz w:val="24"/>
          <w:szCs w:val="24"/>
        </w:rPr>
        <w:t>。</w:t>
      </w:r>
    </w:p>
    <w:p w14:paraId="72684711">
      <w:pPr>
        <w:pStyle w:val="19"/>
        <w:widowControl/>
        <w:numPr>
          <w:ilvl w:val="0"/>
          <w:numId w:val="1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：已认证 LCA 报告、EEX 碳价接口、国内碳市场价格、CBAM 官方默认值库。</w:t>
      </w:r>
    </w:p>
    <w:p w14:paraId="778513CD">
      <w:pPr>
        <w:pStyle w:val="19"/>
        <w:widowControl/>
        <w:numPr>
          <w:ilvl w:val="0"/>
          <w:numId w:val="1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：CBAM Communication Template v2.1 官方 XML 申报包、关税成本测算报告。</w:t>
      </w:r>
    </w:p>
    <w:p w14:paraId="33380FA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数据权限：可查看组织范围＝P5 全网、P4 本园区、P1 集团全量只读；跨单位聚合＝按模拟任务逐条管理，不聚合；对外可见档位＝SENSITIVE（申报材料与 XML 申报包涉及出口商业信息，仅对欧盟主管机关与进口商在授权后可见）；越权返回 403 + E_AUTH_RLS_SCOPE_DENIED；数据出境受本板块审批闸门约束，未审批前导出接口返回"功能未开放"。</w:t>
      </w:r>
    </w:p>
    <w:p w14:paraId="2C5F1259">
      <w:pPr>
        <w:pStyle w:val="6"/>
        <w:numPr>
          <w:ilvl w:val="0"/>
          <w:numId w:val="1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76D691CE">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：向欧盟出口前测算碳关税成本，并在乐观/基准/悲观三种碳价情景下评估成本敞口与国内碳成本抵扣收益。</w:t>
      </w:r>
    </w:p>
    <w:p w14:paraId="6E7299FD">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E70A991">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国际贸易与关税专家 (Persona P5)</w:t>
      </w:r>
      <w:r>
        <w:rPr>
          <w:rFonts w:ascii="Times New Roman" w:hAnsi="Times New Roman" w:eastAsia="宋体" w:cs="Times New Roman"/>
          <w:i w:val="0"/>
          <w:color w:val="1F2937"/>
          <w:sz w:val="24"/>
          <w:szCs w:val="24"/>
        </w:rPr>
        <w:t>，</w:t>
      </w:r>
    </w:p>
    <w:p w14:paraId="644CA053">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基于实时 ETS 碳价与国内已付碳成本测算应缴 CBAM 关税，并在多情景下对比成本敞口</w:t>
      </w:r>
      <w:r>
        <w:rPr>
          <w:rFonts w:ascii="Times New Roman" w:hAnsi="Times New Roman" w:eastAsia="宋体" w:cs="Times New Roman"/>
          <w:i w:val="0"/>
          <w:color w:val="1F2937"/>
          <w:sz w:val="24"/>
          <w:szCs w:val="24"/>
        </w:rPr>
        <w:t>，</w:t>
      </w:r>
    </w:p>
    <w:p w14:paraId="278717EB">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我能优化出口定价与国内碳成本抵扣策略，实现关税成本最小化</w:t>
      </w:r>
      <w:r>
        <w:rPr>
          <w:rFonts w:ascii="Times New Roman" w:hAnsi="Times New Roman" w:eastAsia="宋体" w:cs="Times New Roman"/>
          <w:i w:val="0"/>
          <w:color w:val="1F2937"/>
          <w:sz w:val="24"/>
          <w:szCs w:val="24"/>
        </w:rPr>
        <w:t>。</w:t>
      </w:r>
    </w:p>
    <w:p w14:paraId="6B682C46">
      <w:pPr>
        <w:pStyle w:val="6"/>
        <w:numPr>
          <w:ilvl w:val="0"/>
          <w:numId w:val="1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545C34B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1）提示条：常驻说明"CBAM 申报模拟：出口欧盟的碳边境调节机制模拟。先在模拟任务列表中新建任务，进入任务后上传对应申报材料；循环环节为进口商 / 主管税务机关，无需我方提供资料。"右上「CBAM 申报要求详解」入口（跳知识库）。</w:t>
      </w:r>
    </w:p>
    <w:p w14:paraId="5D64ECB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2）模拟任务管理表：列依次为 模拟编号 · 模拟场景 · 操作人 · 申报季度 · 嵌入碳排放 · 资料（份数）· 完成度（进度条）· 状态 · 操作（→ 进入 / 查看 / 编辑 / 删除）；右上「+ 新建模拟任务」。</w:t>
      </w:r>
    </w:p>
    <w:p w14:paraId="3998175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3）模拟编号规则：SIM-{年份}-{3 位流水}，如 SIM-2026-004。</w:t>
      </w:r>
    </w:p>
    <w:p w14:paraId="44414F8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4）状态与色规：草稿（灰）→ 模拟中（橙）→ 已完成（绿）；仅"草稿"态可删除。</w:t>
      </w:r>
    </w:p>
    <w:p w14:paraId="6392946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5）空态：未进入任务时，右侧面板输出"尚未进入模拟任务：申报材料上传需先在「模拟任务管理」中新建并进入一个模拟任务，进入任务后即可查看申报流程说明并上传任务对应的申报材料"，并给出「+ 新建模拟任务」主按钮。</w:t>
      </w:r>
    </w:p>
    <w:p w14:paraId="489A2BD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6）任务内页：按"资料上传 → 嵌入碳排放核算 → 多情景关税测算 → 申报包生成与校验 → 导出"五步向导推进。</w:t>
      </w:r>
    </w:p>
    <w:p w14:paraId="7AA52E63">
      <w:pPr>
        <w:pStyle w:val="6"/>
        <w:numPr>
          <w:ilvl w:val="0"/>
          <w:numId w:val="1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32FB0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60E0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C258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E48A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94C54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3165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4B6A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模拟编号</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CED0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93AE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BC01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正则 SIM-d{4}-d{3}$ ；全局唯一</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7C70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EB8E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模拟场景</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2639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5CD5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5C0B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"经营单位 · 产品型号"（如 衡变本部·SZ11-2500/10）</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C646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56F4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操作人</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D3DC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115F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C9CD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姓名（岗位），如 李工（天源）</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3EA7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94B7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申报季度</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1AC2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季度枚举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C1A3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362F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YYYY Qn （2026 Q1~Q4）；不得晚于当前季度 +1</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B626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2744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嵌入碳排放</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469A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小数(3 位)</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517A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tCO₂e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2EDD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 (直接排放 + 间接排放) ÷ 产量 × 出口量</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2877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1782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资料</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E043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F418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份</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4A13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已上传材料份数 ≥ 0</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F96A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C338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完成度</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D41A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百分比(整数)</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ADF5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3E02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已上传份数 ÷ 应上传份数 × 100%；= 100% 才可置"已完成"</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0087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67F3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状态</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5074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28F8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3DCB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草稿 / 模拟中 / 已完成</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5742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9</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3579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碳价情景系数</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1E47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小数(2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4FCE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2C75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乐观 0.85 / 基准 1.00 / 悲观 1.15</w:t>
            </w:r>
          </w:p>
        </w:tc>
      </w:tr>
    </w:tbl>
    <w:p w14:paraId="5771871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截图实测样本：SIM-2026-004 / 衡变本部·SZ11-2500/10 / 李工（天源）/ 2026 Q3 / 1,842 tCO₂e / 4 份 / 60% / 模拟中；SIM-2026-003 / 鲁缆本部·YJV-8.7/15 / 王工（碳管理）/ 2026 Q2 / 964 tCO₂e / 6 份 / 100% / 已完成；SIM-2026-002 / 沈变本部·ZW32-12 / 赵工（外贸）/ 2026 Q2 / 912 tCO₂e / 2 份 / 33% / 草稿；SIM-2026-001 / 超高压公司·SFZ11-110 / 李工（天源）/ 2026 Q1 / 2,238 tCO₂e / 6 份 / 100% / 已完成。</w:t>
      </w:r>
    </w:p>
    <w:p w14:paraId="5C24594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原型勾稽提示：上表"资料 4 份"对应"完成度 60%"，反推应上传份数为 6.67 份（非整数）；"资料 2 份"对应"33%"，反推应上传 6.06 份。说明完成度并非按"份数 ÷ 份数"计算，或原型示例数据未做勾稽。建议前端明确取整规则（四舍五入至整数）并保证"份数 ÷ 总份数 = 显示百分比 ±1%"。</w:t>
      </w:r>
    </w:p>
    <w:p w14:paraId="0497D3B1">
      <w:pPr>
        <w:pStyle w:val="6"/>
        <w:numPr>
          <w:ilvl w:val="0"/>
          <w:numId w:val="1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401966A1">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1B05F2A7">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Cost_CBAM = [ (Direct_Em + Indirect_Em) / Output ] × Export_Qty × ( Price_EU_ETS - Price_Domestic_Paid )</w:t>
            </w:r>
          </w:p>
          <w:p w14:paraId="20BFB04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Embedded_Carbon = ( Direct_Em + Indirect_Em ) / Output</w:t>
            </w:r>
          </w:p>
          <w:p w14:paraId="4FE2BF4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Cert_Count = Export_Qty × Embedded_Carbon</w:t>
            </w:r>
          </w:p>
          <w:p w14:paraId="303D0E1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Duty_payable = MAX( 0, Cert_Count × ( Price_EU_ETS - Price_Domestic_Paid ) )</w:t>
            </w:r>
          </w:p>
          <w:p w14:paraId="08F03F2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Scenario = { 乐观: P_ETS × 0.85, 基准: P_ETS, 悲观: P_ETS × 1.15 }</w:t>
            </w:r>
          </w:p>
        </w:tc>
      </w:tr>
    </w:tbl>
    <w:p w14:paraId="603C795C">
      <w:pPr>
        <w:spacing w:after="40"/>
        <w:rPr>
          <w:rFonts w:hint="eastAsia" w:ascii="宋体" w:hAnsi="宋体" w:eastAsia="宋体" w:cs="宋体"/>
          <w:i w:val="0"/>
          <w:iCs w:val="0"/>
          <w:sz w:val="24"/>
          <w:szCs w:val="24"/>
        </w:rPr>
      </w:pPr>
    </w:p>
    <w:p w14:paraId="3C1656E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符合欧盟正式法规 EU 2023/956 条例；</w:t>
      </w:r>
      <w:r>
        <w:rPr>
          <w:rFonts w:ascii="Times New Roman" w:hAnsi="Times New Roman" w:eastAsia="宋体" w:cs="Times New Roman"/>
          <w:b w:val="0"/>
          <w:i w:val="0"/>
          <w:color w:val="0284C7"/>
          <w:sz w:val="24"/>
          <w:szCs w:val="24"/>
        </w:rPr>
        <w:t xml:space="preserve"> Direct_Em </w:t>
      </w:r>
      <w:r>
        <w:rPr>
          <w:rFonts w:ascii="Times New Roman" w:hAnsi="Times New Roman" w:eastAsia="宋体" w:cs="Times New Roman"/>
          <w:i w:val="0"/>
          <w:color w:val="1F2937"/>
          <w:sz w:val="24"/>
          <w:szCs w:val="24"/>
        </w:rPr>
        <w:t xml:space="preserve"> 为工厂直接化石燃烧排放；</w:t>
      </w:r>
      <w:r>
        <w:rPr>
          <w:rFonts w:ascii="Times New Roman" w:hAnsi="Times New Roman" w:eastAsia="宋体" w:cs="Times New Roman"/>
          <w:b w:val="0"/>
          <w:i w:val="0"/>
          <w:color w:val="0284C7"/>
          <w:sz w:val="24"/>
          <w:szCs w:val="24"/>
        </w:rPr>
        <w:t xml:space="preserve"> Indirect_Em </w:t>
      </w:r>
      <w:r>
        <w:rPr>
          <w:rFonts w:ascii="Times New Roman" w:hAnsi="Times New Roman" w:eastAsia="宋体" w:cs="Times New Roman"/>
          <w:i w:val="0"/>
          <w:color w:val="1F2937"/>
          <w:sz w:val="24"/>
          <w:szCs w:val="24"/>
        </w:rPr>
        <w:t xml:space="preserve"> 为外购电热及前驱物间接排放；</w:t>
      </w:r>
      <w:r>
        <w:rPr>
          <w:rFonts w:ascii="Times New Roman" w:hAnsi="Times New Roman" w:eastAsia="宋体" w:cs="Times New Roman"/>
          <w:b w:val="0"/>
          <w:i w:val="0"/>
          <w:color w:val="0284C7"/>
          <w:sz w:val="24"/>
          <w:szCs w:val="24"/>
        </w:rPr>
        <w:t xml:space="preserve"> Export_Qty </w:t>
      </w:r>
      <w:r>
        <w:rPr>
          <w:rFonts w:ascii="Times New Roman" w:hAnsi="Times New Roman" w:eastAsia="宋体" w:cs="Times New Roman"/>
          <w:i w:val="0"/>
          <w:color w:val="1F2937"/>
          <w:sz w:val="24"/>
          <w:szCs w:val="24"/>
        </w:rPr>
        <w:t xml:space="preserve"> 为出口实物总量；</w:t>
      </w:r>
      <w:r>
        <w:rPr>
          <w:rFonts w:ascii="Times New Roman" w:hAnsi="Times New Roman" w:eastAsia="宋体" w:cs="Times New Roman"/>
          <w:b w:val="0"/>
          <w:i w:val="0"/>
          <w:color w:val="0284C7"/>
          <w:sz w:val="24"/>
          <w:szCs w:val="24"/>
        </w:rPr>
        <w:t xml:space="preserve"> Price_EU_ETS </w:t>
      </w:r>
      <w:r>
        <w:rPr>
          <w:rFonts w:ascii="Times New Roman" w:hAnsi="Times New Roman" w:eastAsia="宋体" w:cs="Times New Roman"/>
          <w:i w:val="0"/>
          <w:color w:val="1F2937"/>
          <w:sz w:val="24"/>
          <w:szCs w:val="24"/>
        </w:rPr>
        <w:t xml:space="preserve"> 为欧盟碳价；</w:t>
      </w:r>
      <w:r>
        <w:rPr>
          <w:rFonts w:ascii="Times New Roman" w:hAnsi="Times New Roman" w:eastAsia="宋体" w:cs="Times New Roman"/>
          <w:b w:val="0"/>
          <w:i w:val="0"/>
          <w:color w:val="0284C7"/>
          <w:sz w:val="24"/>
          <w:szCs w:val="24"/>
        </w:rPr>
        <w:t xml:space="preserve"> Price_Domestic_Paid </w:t>
      </w:r>
      <w:r>
        <w:rPr>
          <w:rFonts w:ascii="Times New Roman" w:hAnsi="Times New Roman" w:eastAsia="宋体" w:cs="Times New Roman"/>
          <w:i w:val="0"/>
          <w:color w:val="1F2937"/>
          <w:sz w:val="24"/>
          <w:szCs w:val="24"/>
        </w:rPr>
        <w:t xml:space="preserve"> 为国内已付碳价。</w:t>
      </w:r>
      <w:r>
        <w:rPr>
          <w:rFonts w:ascii="Times New Roman" w:hAnsi="Times New Roman" w:eastAsia="宋体" w:cs="Times New Roman"/>
          <w:b/>
          <w:i w:val="0"/>
          <w:color w:val="1E3A8A"/>
          <w:sz w:val="24"/>
          <w:szCs w:val="24"/>
        </w:rPr>
        <w:t>若国内已支付碳成本等于或高于欧盟 ETS 碳价，则当期应缴 CBAM 关税凭证金额为 0（零关税入欧）</w:t>
      </w:r>
      <w:r>
        <w:rPr>
          <w:rFonts w:ascii="Times New Roman" w:hAnsi="Times New Roman" w:eastAsia="宋体" w:cs="Times New Roman"/>
          <w:i w:val="0"/>
          <w:color w:val="1F2937"/>
          <w:sz w:val="24"/>
          <w:szCs w:val="24"/>
        </w:rPr>
        <w:t>。</w:t>
      </w:r>
    </w:p>
    <w:p w14:paraId="784A806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取值示例：任务 SIM-2026-004（衡变本部·SZ11-2500/10，2026 Q3）</w:t>
      </w:r>
    </w:p>
    <w:p w14:paraId="58D323F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直接排放 Direct_Em = 1,244 tCO₂e，间接排放 Indirect_Em = 598 tCO₂e，产量 Output = 120 台，出口量 Export_Qty = 100 台</w:t>
      </w:r>
    </w:p>
    <w:p w14:paraId="1DA44F4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Embedded_Carbon = (1,244 + 598) ÷ 120 = 15.3500 tCO₂e/台</w:t>
      </w:r>
    </w:p>
    <w:p w14:paraId="61901AA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Cert_Count = 100 × 15.3500 = 1,535 份凭证（界面显示嵌入碳排放合计 1,842 tCO₂e，为按出口量口径的直接值）</w:t>
      </w:r>
    </w:p>
    <w:p w14:paraId="336B269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若 Price_EU_ETS = 78.50 €/t，Price_Domestic_Paid = 62.00 €/t → Duty_payable = MAX(0, 1,535 × (78.50 − 62.00)) = 25,327.50 €</w:t>
      </w:r>
    </w:p>
    <w:p w14:paraId="1636702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若 Price_Domestic_Paid ≥ Price_EU_ETS → Duty_payable = 0.00 €（零关税入欧，不产生退税）</w:t>
      </w:r>
    </w:p>
    <w:p w14:paraId="4EB9B43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精度与容差：嵌入碳排放保留 3 位小数（tCO₂e）；单位产品嵌入碳排放保留 4 位小数（tCO₂e/台）；关税金额保留 2 位小数（€）；情景系数固定 2 位小数（0.85 / 1.00 / 1.15）；碳价比较容差 ≤ ±0.01 €/t。</w:t>
      </w:r>
    </w:p>
    <w:p w14:paraId="00F76F51">
      <w:pPr>
        <w:pStyle w:val="6"/>
        <w:numPr>
          <w:ilvl w:val="0"/>
          <w:numId w:val="1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DCE548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碳价口径：ETS 碳价以 EEX 官方接口最新周结算均价为准；碳价滞后超 24h 须标注时间戳。</w:t>
      </w:r>
    </w:p>
    <w:p w14:paraId="656C6B6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抵扣口径：国内已付碳成本须为可凭证明的全国碳市场配额费用或绿电附加成本。</w:t>
      </w:r>
    </w:p>
    <w:p w14:paraId="16ACA2D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零关税口径：国内已付成本 ≥ 欧盟 ETS 碳价时应缴金额为 0，不允许出现负值退税。</w:t>
      </w:r>
    </w:p>
    <w:p w14:paraId="127A7FE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情景口径：情景碳价以当期价为基准按固定系数上下浮动，系数须在页面明示。</w:t>
      </w:r>
    </w:p>
    <w:p w14:paraId="5853EB1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碳价时效阈值 24 小时（超时标黄并展示时间戳，允许基于最近有效历史均价测算）；② 情景系数固定 0.85 / 1.00 / 1.15，不可配置；③ 零关税判定：Price_Domestic_Paid ≥ Price_EU_ETS 即应缴 0（闭区间，相等即为 0）；④ 完成度阈值：100% 方可置"已完成"，&lt; 100% 一律为"模拟中"或"草稿"；⑤ Schema 校验阈值：0 容错——XML 任一节点不符合欧盟 XSD 即全量阻断导出；⑥ 基准来源：Price_EU_ETS 取 EEX 官方接口；Price_Domestic_Paid 取全国碳市场当季配额结算价；默认排放值取知识库「CN 管控清单」当前生效版本。</w:t>
      </w:r>
    </w:p>
    <w:p w14:paraId="2EB3DAC4">
      <w:pPr>
        <w:pStyle w:val="6"/>
        <w:numPr>
          <w:ilvl w:val="0"/>
          <w:numId w:val="1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2EE2DF9">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CA087E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ETS 碳价超 24 小时未同步：触发 </w:t>
            </w:r>
            <w:r>
              <w:rPr>
                <w:rFonts w:hint="eastAsia" w:ascii="宋体" w:hAnsi="宋体" w:eastAsia="宋体" w:cs="宋体"/>
                <w:b w:val="0"/>
                <w:i w:val="0"/>
                <w:iCs w:val="0"/>
                <w:color w:val="0284C7"/>
                <w:sz w:val="24"/>
                <w:szCs w:val="24"/>
              </w:rPr>
              <w:t xml:space="preserve"> E_EXT_ETS_PRICE_STALE </w:t>
            </w:r>
            <w:r>
              <w:rPr>
                <w:rFonts w:hint="eastAsia" w:ascii="宋体" w:hAnsi="宋体" w:eastAsia="宋体" w:cs="宋体"/>
                <w:i w:val="0"/>
                <w:iCs w:val="0"/>
                <w:color w:val="1F2937"/>
                <w:sz w:val="24"/>
                <w:szCs w:val="24"/>
              </w:rPr>
              <w:t>，界面标黄标注价格时间戳，允许基于最近有效历史均价测算。</w:t>
            </w:r>
          </w:p>
          <w:p w14:paraId="12F4085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申报 XML 不符合欧盟 XSD 规范：触发 </w:t>
            </w:r>
            <w:r>
              <w:rPr>
                <w:rFonts w:hint="eastAsia" w:ascii="宋体" w:hAnsi="宋体" w:eastAsia="宋体" w:cs="宋体"/>
                <w:b w:val="0"/>
                <w:i w:val="0"/>
                <w:iCs w:val="0"/>
                <w:color w:val="0284C7"/>
                <w:sz w:val="24"/>
                <w:szCs w:val="24"/>
              </w:rPr>
              <w:t xml:space="preserve"> E_VAL_CBAM_SCHEMA_INVALID </w:t>
            </w:r>
            <w:r>
              <w:rPr>
                <w:rFonts w:hint="eastAsia" w:ascii="宋体" w:hAnsi="宋体" w:eastAsia="宋体" w:cs="宋体"/>
                <w:i w:val="0"/>
                <w:iCs w:val="0"/>
                <w:color w:val="1F2937"/>
                <w:sz w:val="24"/>
                <w:szCs w:val="24"/>
              </w:rPr>
              <w:t>，提示具体节点 Schema 违规信息并</w:t>
            </w:r>
            <w:r>
              <w:rPr>
                <w:rFonts w:hint="eastAsia" w:ascii="宋体" w:hAnsi="宋体" w:eastAsia="宋体" w:cs="宋体"/>
                <w:b/>
                <w:i w:val="0"/>
                <w:iCs w:val="0"/>
                <w:color w:val="1E3A8A"/>
                <w:sz w:val="24"/>
                <w:szCs w:val="24"/>
              </w:rPr>
              <w:t>阻断申报包导出出境</w:t>
            </w:r>
            <w:r>
              <w:rPr>
                <w:rFonts w:hint="eastAsia" w:ascii="宋体" w:hAnsi="宋体" w:eastAsia="宋体" w:cs="宋体"/>
                <w:i w:val="0"/>
                <w:iCs w:val="0"/>
                <w:color w:val="1F2937"/>
                <w:sz w:val="24"/>
                <w:szCs w:val="24"/>
              </w:rPr>
              <w:t>。</w:t>
            </w:r>
          </w:p>
          <w:p w14:paraId="763C607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无实测排放数据：可一键套用 CBAM 官方默认排放因子库估算，但须显著标注"默认值估算"。</w:t>
            </w:r>
          </w:p>
          <w:p w14:paraId="7C5695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计算结果为负：按 0 兜底，不产生退税逻辑。</w:t>
            </w:r>
          </w:p>
          <w:p w14:paraId="63E7545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数据出境：跨境传输路径未经信息安全合规组审批前，导出功能保持关闭。</w:t>
            </w:r>
          </w:p>
        </w:tc>
      </w:tr>
    </w:tbl>
    <w:p w14:paraId="4F721D9C">
      <w:pPr>
        <w:spacing w:after="40"/>
        <w:rPr>
          <w:rFonts w:hint="eastAsia" w:ascii="宋体" w:hAnsi="宋体" w:eastAsia="宋体" w:cs="宋体"/>
          <w:i w:val="0"/>
          <w:iCs w:val="0"/>
          <w:sz w:val="24"/>
          <w:szCs w:val="24"/>
        </w:rPr>
      </w:pPr>
    </w:p>
    <w:p w14:paraId="057E6050">
      <w:pPr>
        <w:pStyle w:val="6"/>
        <w:numPr>
          <w:ilvl w:val="0"/>
          <w:numId w:val="175"/>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B72645B">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310A638">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CBAM 关税申报模拟器</w:t>
            </w:r>
          </w:p>
          <w:p w14:paraId="685D4F4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关税测算与零关税兜底</w:t>
            </w:r>
          </w:p>
          <w:p w14:paraId="4B058B5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某出口产品的直接排放、间接排放与出口数量均已录入</w:t>
            </w:r>
          </w:p>
          <w:p w14:paraId="2F6480F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国内已付碳成本折算价高于欧盟 ETS 当期碳价</w:t>
            </w:r>
          </w:p>
          <w:p w14:paraId="044D4B8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系统测算应纳 CBAM 关税</w:t>
            </w:r>
          </w:p>
          <w:p w14:paraId="0850F61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应缴 CBAM 关税凭证金额为 0</w:t>
            </w:r>
          </w:p>
          <w:p w14:paraId="27CFF66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系统不产生负值退税逻辑</w:t>
            </w:r>
          </w:p>
          <w:p w14:paraId="7048A674">
            <w:pPr>
              <w:spacing w:before="0" w:after="20" w:line="264" w:lineRule="auto"/>
              <w:rPr>
                <w:rFonts w:hint="eastAsia" w:ascii="宋体" w:hAnsi="宋体" w:eastAsia="宋体" w:cs="宋体"/>
                <w:i w:val="0"/>
                <w:iCs w:val="0"/>
                <w:sz w:val="24"/>
                <w:szCs w:val="24"/>
              </w:rPr>
            </w:pPr>
          </w:p>
          <w:p w14:paraId="2E58E7A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碳价滞后的客观提示</w:t>
            </w:r>
          </w:p>
          <w:p w14:paraId="0E15E1C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欧洲能源交易所 ETS 价格超过 24 小时未同步</w:t>
            </w:r>
          </w:p>
          <w:p w14:paraId="2E78AA9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用户发起关税测算</w:t>
            </w:r>
          </w:p>
          <w:p w14:paraId="18CE2B8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结果上方以黄色提示框标注碳价滞后与价格时间戳</w:t>
            </w:r>
          </w:p>
          <w:p w14:paraId="7B4A73B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允许用户基于最近有效历史均价继续测算</w:t>
            </w:r>
          </w:p>
          <w:p w14:paraId="77FA7DC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E_EXT_ETS_PRICE_STALE</w:t>
            </w:r>
          </w:p>
          <w:p w14:paraId="41026103">
            <w:pPr>
              <w:spacing w:before="0" w:after="20" w:line="264" w:lineRule="auto"/>
              <w:rPr>
                <w:rFonts w:hint="eastAsia" w:ascii="宋体" w:hAnsi="宋体" w:eastAsia="宋体" w:cs="宋体"/>
                <w:i w:val="0"/>
                <w:iCs w:val="0"/>
                <w:sz w:val="24"/>
                <w:szCs w:val="24"/>
              </w:rPr>
            </w:pPr>
          </w:p>
          <w:p w14:paraId="5649A2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申报包 Schema 校验阻断</w:t>
            </w:r>
          </w:p>
          <w:p w14:paraId="38BA3BE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生成的 XML 申报包存在节点不符合欧盟 XSD 规范</w:t>
            </w:r>
          </w:p>
          <w:p w14:paraId="5165072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用户尝试导出申报包</w:t>
            </w:r>
          </w:p>
          <w:p w14:paraId="78EB4D4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系统返回 E_VAL_CBAM_SCHEMA_INVALID 并列出具体违规节点</w:t>
            </w:r>
          </w:p>
          <w:p w14:paraId="1E5B9C5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阻断申报包导出出境</w:t>
            </w:r>
          </w:p>
          <w:p w14:paraId="6850254C">
            <w:pPr>
              <w:spacing w:before="0" w:after="20" w:line="264" w:lineRule="auto"/>
              <w:rPr>
                <w:rFonts w:hint="eastAsia" w:ascii="宋体" w:hAnsi="宋体" w:eastAsia="宋体" w:cs="宋体"/>
                <w:i w:val="0"/>
                <w:iCs w:val="0"/>
                <w:sz w:val="24"/>
                <w:szCs w:val="24"/>
              </w:rPr>
            </w:pPr>
          </w:p>
          <w:p w14:paraId="32C4EAD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多情景碳价对比</w:t>
            </w:r>
          </w:p>
          <w:p w14:paraId="0819FB1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欧盟当期碳价为 P</w:t>
            </w:r>
          </w:p>
          <w:p w14:paraId="7E148C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系统测算乐观、基准、悲观三情景关税成本</w:t>
            </w:r>
          </w:p>
          <w:p w14:paraId="4D1037A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三情景碳价分别为 P×0.85、P、P×1.15</w:t>
            </w:r>
          </w:p>
          <w:p w14:paraId="721350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页面以对比表呈现三种情景下的关税成本差额</w:t>
            </w:r>
          </w:p>
          <w:p w14:paraId="3E8E090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完成度未达 100% 不可置为已完成</w:t>
            </w:r>
          </w:p>
          <w:p w14:paraId="60EDA93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某模拟任务应上传申报材料 10 份，当前已上传 6 份</w:t>
            </w:r>
          </w:p>
          <w:p w14:paraId="4118B97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操作人尝试将该任务状态置为"已完成"</w:t>
            </w:r>
          </w:p>
          <w:p w14:paraId="68FD63A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状态置位被拒绝</w:t>
            </w:r>
          </w:p>
          <w:p w14:paraId="25A9B3B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完成度显示为 60% 且提示尚缺 4 份材料</w:t>
            </w:r>
          </w:p>
          <w:p w14:paraId="2FFBD1E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数据出境未审批时导出关闭</w:t>
            </w:r>
          </w:p>
          <w:p w14:paraId="302B1A0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面向欧盟的跨境传输路径尚未取得信息安全合规组审批</w:t>
            </w:r>
          </w:p>
          <w:p w14:paraId="75D109C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P5 在模拟任务内点击"导出申报包"</w:t>
            </w:r>
          </w:p>
          <w:p w14:paraId="1F3ABDF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导出功能保持关闭并提示审批中</w:t>
            </w:r>
          </w:p>
          <w:p w14:paraId="444EEA1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不生成任何 XML 文件、不产生任何外发流量</w:t>
            </w:r>
          </w:p>
        </w:tc>
      </w:tr>
    </w:tbl>
    <w:p w14:paraId="22AD017B">
      <w:pPr>
        <w:spacing w:after="40"/>
        <w:rPr>
          <w:rFonts w:hint="eastAsia" w:ascii="宋体" w:hAnsi="宋体" w:eastAsia="宋体" w:cs="宋体"/>
          <w:i w:val="0"/>
          <w:iCs w:val="0"/>
          <w:sz w:val="24"/>
          <w:szCs w:val="24"/>
        </w:rPr>
      </w:pPr>
    </w:p>
    <w:p w14:paraId="452F02D7">
      <w:pPr>
        <w:pStyle w:val="5"/>
        <w:numPr>
          <w:ilvl w:val="0"/>
          <w:numId w:val="169"/>
        </w:numPr>
        <w:ind w:left="0" w:leftChars="0" w:firstLine="0" w:firstLineChars="0"/>
        <w:outlineLvl w:val="1"/>
        <w:rPr>
          <w:rFonts w:eastAsia="黑体"/>
          <w:b w:val="0"/>
          <w:bCs w:val="0"/>
          <w:sz w:val="30"/>
          <w:szCs w:val="24"/>
        </w:rPr>
      </w:pPr>
      <w:bookmarkStart w:id="52" w:name="_Toc28246"/>
      <w:r>
        <w:rPr>
          <w:rFonts w:ascii="Times New Roman" w:hAnsi="Times New Roman" w:eastAsia="黑体" w:cs="Times New Roman"/>
          <w:b w:val="0"/>
          <w:bCs w:val="0"/>
          <w:sz w:val="30"/>
          <w:szCs w:val="24"/>
        </w:rPr>
        <w:t xml:space="preserve">知识库</w:t>
      </w:r>
      <w:bookmarkEnd w:id="52"/>
    </w:p>
    <w:p w14:paraId="0670009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7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9"/>
                    <pic:cNvPicPr>
                      <a:picLocks noChangeAspect="1"/>
                    </pic:cNvPicPr>
                  </pic:nvPicPr>
                  <pic:blipFill>
                    <a:blip r:embed="rId87"/>
                    <a:stretch>
                      <a:fillRect/>
                    </a:stretch>
                  </pic:blipFill>
                  <pic:spPr>
                    <a:xfrm>
                      <a:off x="0" y="0"/>
                      <a:ext cx="5900420" cy="2925445"/>
                    </a:xfrm>
                    <a:prstGeom prst="rect">
                      <a:avLst/>
                    </a:prstGeom>
                    <a:noFill/>
                    <a:ln>
                      <a:noFill/>
                    </a:ln>
                  </pic:spPr>
                </pic:pic>
              </a:graphicData>
            </a:graphic>
          </wp:inline>
        </w:drawing>
      </w:r>
    </w:p>
    <w:p w14:paraId="0C78B61B">
      <w:pPr>
        <w:pStyle w:val="6"/>
        <w:numPr>
          <w:ilvl w:val="0"/>
          <w:numId w:val="1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95E1F79">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：集中收录欧盟委员会官方最新发布的行业填报指引、默认值清单、过渡期质询问答库与豁免条款法规释义，实现法规知识的版本化管理。</w:t>
      </w:r>
    </w:p>
    <w:p w14:paraId="78005D13">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：P5 报关与关税专家、P4 碳核算工程师。</w:t>
      </w:r>
    </w:p>
    <w:p w14:paraId="079D3975">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/carbon-footprint/cbam/knowledge </w:t>
      </w:r>
      <w:r>
        <w:rPr>
          <w:rFonts w:ascii="Times New Roman" w:hAnsi="Times New Roman" w:eastAsia="宋体" w:cs="Times New Roman"/>
          <w:i w:val="0"/>
          <w:color w:val="1F2937"/>
          <w:sz w:val="24"/>
          <w:szCs w:val="24"/>
        </w:rPr>
        <w:t>。</w:t>
      </w:r>
    </w:p>
    <w:p w14:paraId="000C59EC">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：欧盟委员会官方发布源、CBAM 法规文本。</w:t>
      </w:r>
    </w:p>
    <w:p w14:paraId="180BF1CE">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：申报核算的规则依据、默认值库引用来源。</w:t>
      </w:r>
    </w:p>
    <w:p w14:paraId="71C4815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数据权限：可查看组织范围＝集团全量（法规知识为公共资产，不做组织隔离）；跨单位聚合＝不适用；对外可见档位＝INTERNAL（法规原文可对认证机构开放，内部释义与裁定案例仅限内部）；越权返回 403 + E_AUTH_RLS_SCOPE_DENIED；新建 / 编辑 / 删除条目权限仅限 P5 与 P4。</w:t>
      </w:r>
    </w:p>
    <w:p w14:paraId="1824E87C">
      <w:pPr>
        <w:pStyle w:val="6"/>
        <w:numPr>
          <w:ilvl w:val="0"/>
          <w:numId w:val="1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3C73F198">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：CBAM 过渡期政策频繁更新，报关专家需快速定位最新适用的填报口径与默认值清单。</w:t>
      </w:r>
    </w:p>
    <w:p w14:paraId="7C031BAE">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E142F32">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国际贸易与关税专家 (Persona P5)</w:t>
      </w:r>
      <w:r>
        <w:rPr>
          <w:rFonts w:ascii="Times New Roman" w:hAnsi="Times New Roman" w:eastAsia="宋体" w:cs="Times New Roman"/>
          <w:i w:val="0"/>
          <w:color w:val="1F2937"/>
          <w:sz w:val="24"/>
          <w:szCs w:val="24"/>
        </w:rPr>
        <w:t>，</w:t>
      </w:r>
    </w:p>
    <w:p w14:paraId="6C1C02C3">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按生效日期检索官方填报指引、默认值清单与豁免条款，并查看历史版本对照</w:t>
      </w:r>
      <w:r>
        <w:rPr>
          <w:rFonts w:ascii="Times New Roman" w:hAnsi="Times New Roman" w:eastAsia="宋体" w:cs="Times New Roman"/>
          <w:i w:val="0"/>
          <w:color w:val="1F2937"/>
          <w:sz w:val="24"/>
          <w:szCs w:val="24"/>
        </w:rPr>
        <w:t>，</w:t>
      </w:r>
    </w:p>
    <w:p w14:paraId="6CE8F032">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我能确保每次申报都依据当时生效的官方规则</w:t>
      </w:r>
      <w:r>
        <w:rPr>
          <w:rFonts w:ascii="Times New Roman" w:hAnsi="Times New Roman" w:eastAsia="宋体" w:cs="Times New Roman"/>
          <w:i w:val="0"/>
          <w:color w:val="1F2937"/>
          <w:sz w:val="24"/>
          <w:szCs w:val="24"/>
        </w:rPr>
        <w:t>。</w:t>
      </w:r>
    </w:p>
    <w:p w14:paraId="575162D8">
      <w:pPr>
        <w:pStyle w:val="6"/>
        <w:numPr>
          <w:ilvl w:val="0"/>
          <w:numId w:val="1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83995C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1）顶栏：关键词检索框 · 「+ 新建」主按钮。</w:t>
      </w:r>
    </w:p>
    <w:p w14:paraId="35A46C0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2）分类签：全部 · 法规 · 清单 · 指南 · 案例 · 模板（六项，单选）。</w:t>
      </w:r>
    </w:p>
    <w:p w14:paraId="3C7C5D4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3）条目卡列表：每条含 标题 · 摘要（1~2 行）· 分类标签 · 来源 · 发布日期 · 附件图标（有附件时显示）· 行操作（编辑 / 删除）。</w:t>
      </w:r>
    </w:p>
    <w:p w14:paraId="215E8B3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4）右侧「CBAM 智能助手」：常驻对话面板，首屏欢迎语"您好，我是 CBAM 知识智能助手，可询问法规条款、CN 编码归类、申报材料要求、季度申报流程等问题。"，底部输入框「输入合规问题…」+ 发送；应答必须给出所依据的知识库条目引用链接，不得无来源作答。</w:t>
      </w:r>
    </w:p>
    <w:p w14:paraId="1A5048C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5）截图实测条目：「CBAM 法规原文 (EU 2023/956)」法规 · 来源 欧盟委员会 · 2023/05/10；「CN 管控清单 2026 版」清单 · 来源 欧委会 · 2025/12/01；「季度申报操作指南」指南 · 来源 海关总署 · 2023/08/01；「BTI 分类裁定典型案例」案例 · 2023/08/01。</w:t>
      </w:r>
    </w:p>
    <w:p w14:paraId="3C2303E7">
      <w:pPr>
        <w:pStyle w:val="6"/>
        <w:numPr>
          <w:ilvl w:val="0"/>
          <w:numId w:val="1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9BEF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28D15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C7FD9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5C5C9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6B8C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7E83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E164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标题</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BDCA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7C81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2193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120 字符，必填</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BD6A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A94E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分类</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1F9E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枚举单选</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3B3C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5A8B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法规 / 清单 / 指南 / 案例 / 模板</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2396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D5C2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摘要</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CF0A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6C1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42C4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 200 字符，列表页展示</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0E82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25FD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来源</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2FEE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ABB0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561B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欧委会 / 海关总署 / 行业协会 …</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BE27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0A26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发布日期</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A2AA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日期</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664E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7695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YYYY-MM-DD；不可晚于当前日期</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BF51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49A5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生效区间</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5404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日期区间</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117D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756A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effective_from ≤ effective_to ； 跨同分类条目不可重叠</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36FB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B547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附件</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8A38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文件</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69A8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306C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单文件 ≤ 50 MB；格式 pdf / docx / xlsx / xml；文件名不含路径分隔符</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2FF6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362F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引用日志</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1170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只读列表</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6829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56D0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记录被核算引擎 / 申报模块引用的时间、条目版本、引用方</w:t>
            </w:r>
          </w:p>
        </w:tc>
      </w:tr>
    </w:tbl>
    <w:p w14:paraId="0320C0FB">
      <w:pPr>
        <w:pStyle w:val="6"/>
        <w:numPr>
          <w:ilvl w:val="0"/>
          <w:numId w:val="1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F5D657A">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21E4A28">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Version_active = { doc ∣ today ∈ [ effective_from, effective_to ] }   当前生效版本集合</w:t>
            </w:r>
          </w:p>
          <w:p w14:paraId="65EB165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Match = FILTER( Docs, keyword ∧ CN_Code ∧ Date_Range )         多维检索命中</w:t>
            </w:r>
          </w:p>
          <w:p w14:paraId="780BF6B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Diff = COMPARE( Doc_v1, Doc_v2 )                                 版本差异对照</w:t>
            </w:r>
          </w:p>
        </w:tc>
      </w:tr>
    </w:tbl>
    <w:p w14:paraId="2C3008D2">
      <w:pPr>
        <w:spacing w:after="40"/>
        <w:rPr>
          <w:rFonts w:hint="eastAsia" w:ascii="宋体" w:hAnsi="宋体" w:eastAsia="宋体" w:cs="宋体"/>
          <w:i w:val="0"/>
          <w:iCs w:val="0"/>
          <w:sz w:val="24"/>
          <w:szCs w:val="24"/>
        </w:rPr>
      </w:pPr>
    </w:p>
    <w:p w14:paraId="586610B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版本生效区间有序且不可重叠；申报核算默认引用当前生效版本，历史版本仅供追溯。</w:t>
      </w:r>
    </w:p>
    <w:p w14:paraId="544949D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取值示例：检索「关键词＝CN 编码，分类＝清单，时间＝2025-12-01 起」→ 命中「CN 管控清单 2026 版」（生效区间 2026-01-01 ~ 2026-12-31）；某申报任务于 2026-03 引用该版本 → 引用日志写入（引用方＝申报模拟 SIM-2026-004，版本 v2026.1，时间 2026-03-04）。</w:t>
      </w:r>
    </w:p>
    <w:p w14:paraId="34E4A1B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精度与容差：版本生效区间为日期闭区间，端点相等视为同一天有效（不产生重叠判定）；检索结果为集合运算，无容差；条目摘要截断长度 200 字符（按字符计，不按字节）。</w:t>
      </w:r>
    </w:p>
    <w:p w14:paraId="699E9769">
      <w:pPr>
        <w:pStyle w:val="6"/>
        <w:numPr>
          <w:ilvl w:val="0"/>
          <w:numId w:val="1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293F86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版本口径：申报核算默认引用当前生效版本，可手动指定历史版本做追溯核验。</w:t>
      </w:r>
    </w:p>
    <w:p w14:paraId="658BA52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变更口径：法规与默认值变更全程留痕，可追溯变更内容、时间与录入人。</w:t>
      </w:r>
    </w:p>
    <w:p w14:paraId="127A886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引用口径：知识库条目被核算引擎引用时记录引用日志，保证口径可追溯。</w:t>
      </w:r>
    </w:p>
    <w:p w14:paraId="5A066BE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版本重叠判定：同分类下任意两条条目的 [effective_from, effective_to] 交集非空即判重叠，前端即时阻断保存；② 缺失阈值：任一分类下不存在"当前生效版本"时，核算引擎标注"适用法规版本缺失"并阻断该分类默认值的使用；③ 附件阈值：单文件 ≤ 50 MB，超限即时拒绝；④ 检索排序：按生效日期倒序，同一生效日期按发布日期倒序；⑤ 基准来源：CN 管控清单与默认排放值以欧委会官方发布为唯一权威来源，内部不得自行修订数值；⑥ 智能助手应答基线：必须命中至少 1 条知识库条目并给出引用，命中 0 条时输出"未检索到依据"而非推测作答。</w:t>
      </w:r>
    </w:p>
    <w:p w14:paraId="1DF42277">
      <w:pPr>
        <w:pStyle w:val="6"/>
        <w:numPr>
          <w:ilvl w:val="0"/>
          <w:numId w:val="1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866B86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版本生效区间重叠：前端即时拦截并阻断保存，返回 E_KB_VERSION_RANGE_OVERLAP（409）。</w:t>
            </w:r>
          </w:p>
          <w:p w14:paraId="2CC78E1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无当前生效版本：核算引擎提示"适用法规版本缺失"，阻断使用默认值，返回 E_KB_ACTIVE_VERSION_MISSING（422）。</w:t>
            </w:r>
          </w:p>
          <w:p w14:paraId="6AE3549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附件超限或格式不符：上传即时拒绝，返回 E_KB_ATTACHMENT_INVALID（400）。</w:t>
            </w:r>
          </w:p>
          <w:p w14:paraId="73AD85E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已废止版本被引用：标注"已废止法规"并提示核对最新版本，不阻断引用但记录告警。</w:t>
            </w:r>
          </w:p>
          <w:p w14:paraId="5CE40F3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智能助手应答未命中任何条目：输出"未检索到依据，请咨询 P5 报关与关税专家"，末尾附 P5 联系入口；禁止生成无出处结论。</w:t>
            </w:r>
          </w:p>
          <w:p w14:paraId="20B2FDF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删除被引用条目：拒绝物理删除，仅允许"标记废止"，返回 E_KB_ITEM_IN_USE_DELETE_DENIED（409）。</w:t>
            </w:r>
          </w:p>
        </w:tc>
      </w:tr>
    </w:tbl>
    <w:p w14:paraId="51F08793">
      <w:pPr>
        <w:pStyle w:val="6"/>
        <w:numPr>
          <w:ilvl w:val="0"/>
          <w:numId w:val="181"/>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21252E6B">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FE9A26F">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CBAM 法规知识库版本化管理</w:t>
            </w:r>
          </w:p>
          <w:p w14:paraId="7FBFEA2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版本生效区间不可重叠</w:t>
            </w:r>
          </w:p>
          <w:p w14:paraId="1FD36AF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某填报指引已存在生效区间为 2026-01-01 至 2026-12-31 的版本</w:t>
            </w:r>
          </w:p>
          <w:p w14:paraId="3E9B7BE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录入人员新增一个生效开始日期落在该区间内的版本</w:t>
            </w:r>
          </w:p>
          <w:p w14:paraId="1D06E69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前端即时拦截并阻断保存</w:t>
            </w:r>
          </w:p>
          <w:p w14:paraId="19462C2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页面提示版本生效区间不可重叠</w:t>
            </w:r>
          </w:p>
          <w:p w14:paraId="00CA6302">
            <w:pPr>
              <w:spacing w:before="0" w:after="20" w:line="264" w:lineRule="auto"/>
              <w:rPr>
                <w:rFonts w:hint="eastAsia" w:ascii="宋体" w:hAnsi="宋体" w:eastAsia="宋体" w:cs="宋体"/>
                <w:i w:val="0"/>
                <w:iCs w:val="0"/>
                <w:sz w:val="24"/>
                <w:szCs w:val="24"/>
              </w:rPr>
            </w:pPr>
          </w:p>
          <w:p w14:paraId="0C4A46B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多维检索命中</w:t>
            </w:r>
          </w:p>
          <w:p w14:paraId="432680C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知识库中存在多条适用不同税号的法规文档</w:t>
            </w:r>
          </w:p>
          <w:p w14:paraId="29B9A88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P5 按关键词与 CN 税号 85042100 组合检索</w:t>
            </w:r>
          </w:p>
          <w:p w14:paraId="7E287A1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仅返回适用该税号的文档</w:t>
            </w:r>
          </w:p>
          <w:p w14:paraId="3DB5BF3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结果按生效日期倒序排列</w:t>
            </w:r>
          </w:p>
          <w:p w14:paraId="3FB7C0FB">
            <w:pPr>
              <w:spacing w:before="0" w:after="20" w:line="264" w:lineRule="auto"/>
              <w:rPr>
                <w:rFonts w:hint="eastAsia" w:ascii="宋体" w:hAnsi="宋体" w:eastAsia="宋体" w:cs="宋体"/>
                <w:i w:val="0"/>
                <w:iCs w:val="0"/>
                <w:sz w:val="24"/>
                <w:szCs w:val="24"/>
              </w:rPr>
            </w:pPr>
          </w:p>
          <w:p w14:paraId="0482ADE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版本差异对照</w:t>
            </w:r>
          </w:p>
          <w:p w14:paraId="038F68C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某默认值清单存在 v2026.1 与 v2026.2 两个版本</w:t>
            </w:r>
          </w:p>
          <w:p w14:paraId="6CBC757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用户选择两版本进行对照</w:t>
            </w:r>
          </w:p>
          <w:p w14:paraId="3492273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并排呈现差异段落并高亮变更内容</w:t>
            </w:r>
          </w:p>
          <w:p w14:paraId="57F5953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变更内容标注对应的生效日期</w:t>
            </w:r>
          </w:p>
          <w:p w14:paraId="28EE108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版本生效区间重叠阻断保存</w:t>
            </w:r>
          </w:p>
          <w:p w14:paraId="1DCF3DA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知识库"清单"分类下已存在生效区间 2026-01-01 至 2026-12-31 的 CN 管控清单</w:t>
            </w:r>
          </w:p>
          <w:p w14:paraId="3C548A3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录入人员新增生效区间为 2026-06-01 至 2026-12-31 的清单版本</w:t>
            </w:r>
          </w:p>
          <w:p w14:paraId="2B0C1B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前端即时拦截并阻断保存</w:t>
            </w:r>
          </w:p>
          <w:p w14:paraId="2B5AF2B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返回错误码 E_KB_VERSION_RANGE_OVERLAP</w:t>
            </w:r>
          </w:p>
          <w:p w14:paraId="5676D0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无当前生效版本阻断默认值使用</w:t>
            </w:r>
          </w:p>
          <w:p w14:paraId="66AE7D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某分类下全部条目的生效区间均不覆盖当前日期</w:t>
            </w:r>
          </w:p>
          <w:p w14:paraId="2B2114B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核算引擎请求该分类的默认排放值</w:t>
            </w:r>
          </w:p>
          <w:p w14:paraId="1891004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提示"适用法规版本缺失"并阻断默认值的使用</w:t>
            </w:r>
          </w:p>
          <w:p w14:paraId="6D4DA22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返回错误码 E_KB_ACTIVE_VERSION_MISSING</w:t>
            </w:r>
          </w:p>
          <w:p w14:paraId="75718B9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智能助手无依据不作答</w:t>
            </w:r>
          </w:p>
          <w:p w14:paraId="47347C6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用户向 CBAM 智能助手提问一个知识库中不存在相关条目的问题</w:t>
            </w:r>
          </w:p>
          <w:p w14:paraId="55359F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助手完成检索</w:t>
            </w:r>
          </w:p>
          <w:p w14:paraId="44F7049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输出"未检索到依据，请咨询 P5 报关与关税专家"</w:t>
            </w:r>
          </w:p>
          <w:p w14:paraId="5BF09BE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不生成任何无引用来源的结论性回答</w:t>
            </w:r>
          </w:p>
        </w:tc>
      </w:tr>
    </w:tbl>
    <w:p w14:paraId="111CC11B">
      <w:pPr>
        <w:spacing w:after="40"/>
        <w:rPr>
          <w:rFonts w:hint="eastAsia" w:ascii="宋体" w:hAnsi="宋体" w:eastAsia="宋体" w:cs="宋体"/>
          <w:i w:val="0"/>
          <w:iCs w:val="0"/>
          <w:sz w:val="24"/>
          <w:szCs w:val="24"/>
        </w:rPr>
      </w:pPr>
    </w:p>
    <w:p w14:paraId="6E555475">
      <w:pPr>
        <w:spacing w:after="40"/>
        <w:rPr>
          <w:rFonts w:hint="eastAsia" w:ascii="宋体" w:hAnsi="宋体" w:eastAsia="宋体" w:cs="宋体"/>
          <w:i w:val="0"/>
          <w:iCs w:val="0"/>
          <w:sz w:val="24"/>
          <w:szCs w:val="24"/>
        </w:rPr>
      </w:pPr>
    </w:p>
    <w:p w14:paraId="4C42EB5D">
      <w:pPr>
        <w:spacing w:after="40"/>
        <w:rPr>
          <w:rFonts w:hint="eastAsia" w:ascii="宋体" w:hAnsi="宋体" w:eastAsia="宋体" w:cs="宋体"/>
          <w:i w:val="0"/>
          <w:iCs w:val="0"/>
          <w:sz w:val="24"/>
          <w:szCs w:val="24"/>
        </w:rPr>
      </w:pPr>
    </w:p>
    <w:p w14:paraId="1793BA14">
      <w:pPr>
        <w:spacing w:after="40"/>
        <w:rPr>
          <w:rFonts w:hint="eastAsia" w:ascii="宋体" w:hAnsi="宋体" w:eastAsia="宋体" w:cs="宋体"/>
          <w:i w:val="0"/>
          <w:iCs w:val="0"/>
          <w:sz w:val="24"/>
          <w:szCs w:val="24"/>
        </w:rPr>
      </w:pPr>
    </w:p>
    <w:p w14:paraId="45F7FC88">
      <w:pPr>
        <w:pStyle w:val="4"/>
        <w:numPr>
          <w:ilvl w:val="0"/>
          <w:numId w:val="135"/>
        </w:numPr>
        <w:topLinePunct w:val="0"/>
        <w:ind w:left="0" w:leftChars="0" w:firstLine="0" w:firstLineChars="0"/>
        <w:outlineLvl w:val="0"/>
        <w:rPr>
          <w:rFonts w:hint="eastAsia" w:eastAsia="黑体"/>
          <w:b w:val="0"/>
          <w:bCs w:val="0"/>
          <w:sz w:val="30"/>
          <w:szCs w:val="32"/>
        </w:rPr>
      </w:pPr>
      <w:bookmarkStart w:id="53" w:name="_Toc2256"/>
      <w:r>
        <w:rPr>
          <w:rFonts w:ascii="Times New Roman" w:hAnsi="Times New Roman" w:eastAsia="黑体" w:cs="Times New Roman"/>
          <w:b w:val="0"/>
          <w:bCs w:val="0"/>
          <w:sz w:val="30"/>
          <w:szCs w:val="32"/>
        </w:rPr>
        <w:t>第三方认证管理</w:t>
      </w:r>
      <w:bookmarkEnd w:id="53"/>
    </w:p>
    <w:p w14:paraId="568CFE2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板块导语｜第三方认证管理</w:t>
      </w:r>
    </w:p>
    <w:p w14:paraId="4A719DA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本板块是产品碳足迹"对外可信"的最后一道关口，管理"资料准备 → 机构申请 → 结果归档与熔断"的完整外部协作闭环。板块下辖 3 个模块：认证资料维护（材料包组装与锁定）、认证申请（询价、排期、补正、进度跟踪）、认证结果管理（证书登记、验真、到期熔断）。</w:t>
      </w:r>
    </w:p>
    <w:p w14:paraId="5D1382C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边界声明：本板块管理的是过程与凭证，不产生碳足迹数值；认证机构（SGS / TÜV 莱茵 / BV 必维 等）为外部主体，其出具的审核结论为权威结论，系统只做结构化登记与状态跟随，任何角色不得人工改写机构结论。</w:t>
      </w:r>
    </w:p>
    <w:p w14:paraId="3FF7555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三模块的输入输出链：认证资料维护产出「已锁定资料包」→ 认证申请以其为唯一输入版本发起委托 → 认证结果管理以申请流水为「来源申请」登记证书，并反向驱动数字碳标签发布开关。三者构成不可跳跃的单向链，任一环节状态不满足即阻断下游入口。</w:t>
      </w:r>
    </w:p>
    <w:p w14:paraId="5123E682">
      <w:pPr>
        <w:pStyle w:val="5"/>
        <w:numPr>
          <w:ilvl w:val="0"/>
          <w:numId w:val="186"/>
        </w:numPr>
        <w:ind w:left="0" w:leftChars="0" w:firstLine="0" w:firstLineChars="0"/>
        <w:outlineLvl w:val="1"/>
        <w:rPr>
          <w:rFonts w:ascii="Times New Roman" w:hAnsi="Times New Roman" w:eastAsia="黑体" w:cs="Times New Roman"/>
          <w:b w:val="0"/>
          <w:bCs w:val="0"/>
          <w:sz w:val="30"/>
          <w:szCs w:val="24"/>
        </w:rPr>
      </w:pPr>
      <w:bookmarkStart w:id="54" w:name="_Toc7298"/>
      <w:r>
        <w:rPr>
          <w:rFonts w:ascii="Times New Roman" w:hAnsi="Times New Roman" w:eastAsia="黑体" w:cs="Times New Roman"/>
          <w:b w:val="0"/>
          <w:bCs w:val="0"/>
          <w:sz w:val="30"/>
          <w:szCs w:val="24"/>
        </w:rPr>
        <w:t xml:space="preserve">认证资料维护</w:t>
      </w:r>
      <w:bookmarkEnd w:id="54"/>
    </w:p>
    <w:p w14:paraId="183F5A4F">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7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0"/>
                    <pic:cNvPicPr>
                      <a:picLocks noChangeAspect="1"/>
                    </pic:cNvPicPr>
                  </pic:nvPicPr>
                  <pic:blipFill>
                    <a:blip r:embed="rId88"/>
                    <a:stretch>
                      <a:fillRect/>
                    </a:stretch>
                  </pic:blipFill>
                  <pic:spPr>
                    <a:xfrm>
                      <a:off x="0" y="0"/>
                      <a:ext cx="5900420" cy="2925445"/>
                    </a:xfrm>
                    <a:prstGeom prst="rect">
                      <a:avLst/>
                    </a:prstGeom>
                    <a:noFill/>
                    <a:ln>
                      <a:noFill/>
                    </a:ln>
                  </pic:spPr>
                </pic:pic>
              </a:graphicData>
            </a:graphic>
          </wp:inline>
        </w:drawing>
      </w:r>
    </w:p>
    <w:p w14:paraId="3465176A">
      <w:pPr>
        <w:pStyle w:val="6"/>
        <w:numPr>
          <w:ilvl w:val="0"/>
          <w:numId w:val="1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1A9247AE">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：LCA 报告原始凭证、物料平衡单、绿电发票与第三方检测报告的数字化封装归集库，为对外认证申报提供可核验、可追溯、可防篡改的证据链底座。</w:t>
      </w:r>
    </w:p>
    <w:p w14:paraId="080E8C54">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碳核算与认证工程师（资料包组装与锁定）、P3 基层填报员（原始凭证上传）、P6 外部独立审计机构（只读核验）。</w:t>
      </w:r>
    </w:p>
    <w:p w14:paraId="510FC546">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 /carbon-footprint/certification/material 。</w:t>
      </w:r>
    </w:p>
    <w:p w14:paraId="5E041BE6">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：碳足迹核算模块（已内审通过的 LCA 报告）、实景数据库（BOM 物料凭证）、能源台账与绿证核销记录、第三方检测报告。</w:t>
      </w:r>
    </w:p>
    <w:p w14:paraId="0C31C995">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：已锁定认证资料包（含逐件凭证 SHA-256 清单）→ 作为「认证申请」模块的唯一输入版本。</w:t>
      </w:r>
    </w:p>
    <w:p w14:paraId="6DF2D0D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数据权限：可查看组织范围＝本级及以下（P4 本园区全部型号、P3 仅本人上传凭证、PM 本园区全部）；跨单位聚合＝按"产品型号 × 认证标准"成包，不做跨单位聚合；对外可见档位＝INTERNAL（资料包内含原始凭证与供应商信息，对外仅可向认证机构在委托关系成立后按需开放）；越权写入返回 403 + E_AUTH_RLS_SCOPE_DENIED。</w:t>
      </w:r>
    </w:p>
    <w:p w14:paraId="25B0AF48">
      <w:pPr>
        <w:pStyle w:val="6"/>
        <w:numPr>
          <w:ilvl w:val="0"/>
          <w:numId w:val="1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D96C196">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：面向 SGS、TÜV 南德、中国方圆等机构的认证前证据归集环节，将分散在核算、采购、能源、质检各域的过程凭证，按认证标准模板一次性归集、校验、封装并锁定，杜绝机构形式审查阶段的反复补正。</w:t>
      </w:r>
    </w:p>
    <w:p w14:paraId="6CCE6037">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ED6C3D3">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As a 碳核算与认证工程师 (Persona P4)，</w:t>
      </w:r>
    </w:p>
    <w:p w14:paraId="67770F0D">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I want 按认证资料包模板在线组装 LCA 原始凭证、物料平衡单、绿电发票与检测报告，并由系统自动校验必传资料齐备率与凭证完整性，</w:t>
      </w:r>
    </w:p>
    <w:p w14:paraId="60D009DC">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So that 我能一次性通过机构的形式审查，避免因资料缺项导致的发证周期延误。</w:t>
      </w:r>
    </w:p>
    <w:p w14:paraId="5DD5DAB2">
      <w:pPr>
        <w:pStyle w:val="6"/>
        <w:numPr>
          <w:ilvl w:val="0"/>
          <w:numId w:val="1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64A6C5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资料包组装向导</w:t>
      </w:r>
      <w:r>
        <w:rPr>
          <w:rFonts w:ascii="Times New Roman" w:hAnsi="Times New Roman" w:eastAsia="宋体" w:cs="Times New Roman"/>
          <w:i w:val="0"/>
          <w:color w:val="1F2937"/>
          <w:sz w:val="24"/>
          <w:szCs w:val="24"/>
        </w:rPr>
        <w:t>：按认证标准（ISO 14067:2018 / PAS 2050:2011）自动生成资料包骨架，左侧为必传与可选资料目录树，右侧为凭证上传与跨模块挂载区，支持从实景数据库、能源台账直接引用而无需重复上传。</w:t>
      </w:r>
    </w:p>
    <w:p w14:paraId="75DC466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缺失资料清单校验：实时计算必传资料齐备率与 BOM 物料凭证覆盖率，缺失项以红色徽标逐条列出，并同步给出补正责任角色与数据来源模块。</w:t>
      </w:r>
    </w:p>
    <w:p w14:paraId="7D9543EE">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凭证 Hash 自动计算绑定：每件凭证上传即计算 SHA-256 并写入凭证清单，锁定文件与哈希的绑定关系；任何替换均生成新版本凭证并保留原版本与替换流水。</w:t>
      </w:r>
    </w:p>
    <w:p w14:paraId="39C88AD5">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资料包锁定与解锁</w:t>
      </w:r>
      <w:r>
        <w:rPr>
          <w:rFonts w:ascii="Times New Roman" w:hAnsi="Times New Roman" w:eastAsia="宋体" w:cs="Times New Roman"/>
          <w:i w:val="0"/>
          <w:color w:val="1F2937"/>
          <w:sz w:val="24"/>
          <w:szCs w:val="24"/>
        </w:rPr>
        <w:t>：齐备率与覆盖率均达 100% 且绿电发票核验通过后方可锁定；锁定后资料包内容禁止修改，解锁须经 PM 审批并生成解锁流水号。</w:t>
      </w:r>
    </w:p>
    <w:p w14:paraId="1B1E8E95">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凭证核验状态跟踪</w:t>
      </w:r>
      <w:r>
        <w:rPr>
          <w:rFonts w:ascii="Times New Roman" w:hAnsi="Times New Roman" w:eastAsia="宋体" w:cs="Times New Roman"/>
          <w:i w:val="0"/>
          <w:color w:val="1F2937"/>
          <w:sz w:val="24"/>
          <w:szCs w:val="24"/>
        </w:rPr>
        <w:t>：绿电发票、检测报告等需外部核验的凭证按「未核验 / 核验中 / 已核验 / 核验不通过」四态跟踪，核验不通过时冻结锁定入口。</w:t>
      </w:r>
    </w:p>
    <w:p w14:paraId="7D81E491">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版本留痕与反向追溯</w:t>
      </w:r>
      <w:r>
        <w:rPr>
          <w:rFonts w:ascii="Times New Roman" w:hAnsi="Times New Roman" w:eastAsia="宋体" w:cs="Times New Roman"/>
          <w:i w:val="0"/>
          <w:color w:val="1F2937"/>
          <w:sz w:val="24"/>
          <w:szCs w:val="24"/>
        </w:rPr>
        <w:t>：资料包每一次组装、替换、锁定、解锁动作均写入操作流水（操作人、工号、时间戳、前后哈希），支持按凭证反向追溯至原始业务单据。</w:t>
      </w:r>
    </w:p>
    <w:p w14:paraId="33616CF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认证机构对接方式</w:t>
      </w:r>
      <w:r>
        <w:rPr>
          <w:rFonts w:ascii="Times New Roman" w:hAnsi="Times New Roman" w:eastAsia="宋体" w:cs="Times New Roman"/>
          <w:i w:val="0"/>
          <w:color w:val="1F2937"/>
          <w:sz w:val="24"/>
          <w:szCs w:val="24"/>
        </w:rPr>
        <w:t>：具备开放平台的机构采用 API 直连自动回传送达回执；不具备 API 条件的机构统一采用「加密邮件 + 机构门户上传」双通道，跨境传输须经数据出境合规网关（见第十章）。</w:t>
      </w:r>
    </w:p>
    <w:p w14:paraId="7BC6D83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本模块页面以「认证机构工作台」形态组织：</w:t>
      </w:r>
    </w:p>
    <w:p w14:paraId="7A609A2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1）筛选条：合作机构 · 办理事项（评价 / 认证）。</w:t>
      </w:r>
    </w:p>
    <w:p w14:paraId="5B1BE17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2）机构卡片（每机构一卡）：机构名（合作中 / 待评估标签）· 可办理标准（如 ISO 14067 产品碳足迹 / EPD 环境产品声明）· 出证周期（约 X-Y 周）· 合作次数 · 认可资质项数；当前事项下的材料按三个桶归集：+ 系统自动出 N 项（黄）· 线下自查 N 项（灰）· 共享模板 N 项（绿），并给出"共提供 N 项材料"合计。</w:t>
      </w:r>
    </w:p>
    <w:p w14:paraId="5B530FD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3）材料行：材料名称（如 产品 BOM 明细材料运距表 / 工厂近 12 个月连续能碳实采台账 / 碳足迹核算模型与 LCA 数据清单）· 提供方式（系统自动输出 / 线下上传）· 模板下载入口。</w:t>
      </w:r>
    </w:p>
    <w:p w14:paraId="4A48CF2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4）底部操作："支持一键发起询价申请与模板下载" + 「查看完整材料清单与模板 →」。</w:t>
      </w:r>
    </w:p>
    <w:p w14:paraId="69B377A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截图实测：TÜV 莱茵 出证周期约 6-8 周 / 合作 12 次 / 认可资质 4 项 / 材料 8+4+6 = 共 7 项；SGS 约 4-6 周 / 9 次 / 4 项；BV 必维 约 8-10 周 / 5 次 / 4 项。</w:t>
      </w:r>
    </w:p>
    <w:p w14:paraId="55D9DF47">
      <w:pPr>
        <w:pStyle w:val="6"/>
        <w:numPr>
          <w:ilvl w:val="0"/>
          <w:numId w:val="1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5F2D0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A8C35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2920A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58A5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0864B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D59A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528A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合作机构</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60E8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4226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D53F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取自机构白名单（TÜV 莱茵 / SGS / BV 必维 / 方圆 CQM …）</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A302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E010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可办理标准</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76C9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751A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BF37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ISO 14067 / ISO 14064 / PAS 2050 / GHG Protocol / LCI / EPD</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007E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2280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出证周期</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1123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区间（整数周）</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0922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周</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FED8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下限 &lt; 上限；仅可引用机构历史数据，不手工填写</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CBBE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1929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合作次数</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AC4A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FFF6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次</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EE6A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0；系统累计，不可编辑</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CF44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AF60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认可资质</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FAA7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05D3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项</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A4A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8132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234C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材料提供方式</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BAC0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3EB9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CC50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系统自动输出 / 线下上传</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FD51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0EE5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资料包齐备率</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C790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百分比(2 位)</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C2E5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A2BF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已上传必传项 ÷ 必传项 × 100%；分母 0 时置 --</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1219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D017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BOM 物料凭证覆盖率</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8E87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百分比(2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B10A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2C40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按 金额加权 ；与核算模块金额口径绝对一致</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B8CD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9</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3184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凭证哈希</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A051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86EC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6F48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SHA-256（64 位小写）</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CEAF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10</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62D4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资料包锁定状态</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FC83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6164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3F6E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草稿 / 待锁定校验 / 已锁定</w:t>
            </w:r>
          </w:p>
        </w:tc>
      </w:tr>
    </w:tbl>
    <w:p w14:paraId="285D52B7">
      <w:pPr>
        <w:pStyle w:val="6"/>
        <w:numPr>
          <w:ilvl w:val="0"/>
          <w:numId w:val="1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27496E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4E9327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资料包齐备率 = Σ( 已上传必传资料项 ) ÷ Σ( 必传资料项 ) × 100%                          必传资料齐备程度</w:t>
            </w:r>
          </w:p>
          <w:p w14:paraId="765644E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BOM物料凭证覆盖率 = Σ( 已绑定凭证的物料金额 ) ÷ Σ( BOM物料总金额 ) × 100%               按金额加权的凭证覆盖度</w:t>
            </w:r>
          </w:p>
          <w:p w14:paraId="29AA8F1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Hash_bind = SHA256( File_Bytes )                          凭证文件与哈希绑定值</w:t>
            </w:r>
          </w:p>
          <w:p w14:paraId="6E1377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Lock_Allowed = ( 资料包齐备率 == 100% ) AND ( BOM物料凭证覆盖率 == 100% ) AND ( 绿电发票核验状态 == 已核验 )                          锁定准入判定</w:t>
            </w:r>
          </w:p>
        </w:tc>
      </w:tr>
    </w:tbl>
    <w:p w14:paraId="74DA5391">
      <w:pPr>
        <w:spacing w:after="40"/>
        <w:rPr>
          <w:rFonts w:hint="eastAsia" w:ascii="宋体" w:hAnsi="宋体" w:eastAsia="宋体" w:cs="宋体"/>
          <w:i w:val="0"/>
          <w:iCs w:val="0"/>
          <w:sz w:val="24"/>
          <w:szCs w:val="24"/>
        </w:rPr>
      </w:pPr>
    </w:p>
    <w:p w14:paraId="3F650BC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：齐备率与覆盖率的分子分母均按资料项与物料条目自然汇总，不取项均值；分母为 0（无必传资料项或无 BOM 物料）时统一输出  --  并提示「无可校验对象」；覆盖率一律按金额加权，不采用物料条目数加权。</w:t>
      </w:r>
    </w:p>
    <w:p w14:paraId="48A6A47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取值示例：某资料包必传资料 10 项，已上传 9 项（缺"绿电发票"）→ 资料包齐备率 = 9 ÷ 10 = 90.00%；BOM 物料凭证覆盖率按金额加权 = 96.40% → Lock_Allowed = (90.00% == 100%) AND (96.40% == 100%) AND (绿电发票 == 已核验) = false → 锁定按钮置灰，缺失清单列出"绿电发票"（责任角色 P3 基层填报员，来源模块 第二章能源台账）。</w:t>
      </w:r>
    </w:p>
    <w:p w14:paraId="64BBCBF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精度与容差：齐备率与覆盖率保留 2 位小数；判定为"是否严格等于 100.00%"的二值判定，无容差（99.99% 视为不达标）；分子分母均按资料项 / 物料条目自然汇总（不取项均值）；分母为 0 时统一输出 -- 并提示"无可校验对象"，禁止 NaN / Infinity。</w:t>
      </w:r>
    </w:p>
    <w:p w14:paraId="1FCC03B9">
      <w:pPr>
        <w:pStyle w:val="6"/>
        <w:numPr>
          <w:ilvl w:val="0"/>
          <w:numId w:val="1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50F775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粒度口径：认证资料包按「产品型号 × 认证标准」唯一，同一产品不同标准各自独立成包，禁止跨标准复用资料包。</w:t>
      </w:r>
    </w:p>
    <w:p w14:paraId="6F055C5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覆盖率口径：BOM 物料凭证覆盖率按金额加权计算，其分子分母口径与碳足迹核算模块的物料金额口径保持绝对一致。</w:t>
      </w:r>
    </w:p>
    <w:p w14:paraId="2B890B9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锁定口径：锁定后的资料包为认证申请的唯一输入版本；历史解锁版本仅存档留痕，不得被认证申请引用。</w:t>
      </w:r>
    </w:p>
    <w:p w14:paraId="7E0CA6A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除零口径：齐备率与覆盖率的分母为 0 时统一输出 --，禁止输出 NaN / Infinity 或空白单元格。</w:t>
      </w:r>
    </w:p>
    <w:p w14:paraId="1C138FF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锁定准入三条件全部为 100% 硬阈值（齐备率 100%、凭证覆盖率 100%、绿电发票已核验），无一例外；② 哈希绑定算法固定 SHA-256，文件字节级比对，无容差；③ 机构资质有效期：机构框架协议到期日 &lt; 当前日期即置灰该机构；④ 机构历史数据基准：出证周期与合作次数取该机构在本系统内的历史成交记录，样本 &lt; 1 次时出证周期显示 --；⑤ 版本基准：资料包引用的因子版本须为因子库管理板块当前生效版本，过期即触发 E_VAL_FACTOR_EXPIRED。</w:t>
      </w:r>
    </w:p>
    <w:p w14:paraId="2152EEDC">
      <w:pPr>
        <w:pStyle w:val="6"/>
        <w:numPr>
          <w:ilvl w:val="0"/>
          <w:numId w:val="1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1EE0442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7D06B8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必传资料缺失或覆盖率 &lt; 100%：锁定按钮置灰并列出缺失清单（含责任角色与来源模块）。</w:t>
            </w:r>
          </w:p>
          <w:p w14:paraId="5F6FF49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凭证重复上传：同一凭证号重复上传触发  E_CERT_DUP_VOUCHER ，保留最新版本并标注重复记录。</w:t>
            </w:r>
          </w:p>
          <w:p w14:paraId="778BE50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凭证被替换导致哈希变更：触发  E_CERT_HASH_MISMATCH ，资料包自动回退至「草稿」状态并锁定待复核。</w:t>
            </w:r>
          </w:p>
          <w:p w14:paraId="364A88D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关联合算报告非已内审状态：资料包入口直接拦截，提示先完成碳足迹核算与内审。</w:t>
            </w:r>
          </w:p>
          <w:p w14:paraId="7199AE7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已锁定资料包被写入：拒绝写入并返回  E_CERT_PACKAGE_LOCKED ，须走解锁审批流程。</w:t>
            </w:r>
          </w:p>
          <w:p w14:paraId="536DA21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绿电发票核验不通过：禁止锁定，提示补正该凭证或剔除其对应的绿电抵扣量。</w:t>
            </w:r>
          </w:p>
        </w:tc>
      </w:tr>
    </w:tbl>
    <w:p w14:paraId="4088DA81">
      <w:pPr>
        <w:spacing w:after="40"/>
        <w:rPr>
          <w:rFonts w:hint="eastAsia" w:ascii="宋体" w:hAnsi="宋体" w:eastAsia="宋体" w:cs="宋体"/>
          <w:i w:val="0"/>
          <w:iCs w:val="0"/>
          <w:sz w:val="24"/>
          <w:szCs w:val="24"/>
        </w:rPr>
      </w:pPr>
    </w:p>
    <w:p w14:paraId="3F0D530C">
      <w:pPr>
        <w:pStyle w:val="6"/>
        <w:numPr>
          <w:ilvl w:val="0"/>
          <w:numId w:val="18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41ECA5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Feature: 认证资料维护</w:t>
            </w:r>
          </w:p>
          <w:p w14:paraId="643194B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作为 P4 碳核算与认证工程师</w:t>
            </w:r>
          </w:p>
          <w:p w14:paraId="150A5EC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我希望系统对 LCA 报告原始凭证、物料平衡单、绿电发票与第三方检测报告进行数字化封装与哈希绑定</w:t>
            </w:r>
          </w:p>
          <w:p w14:paraId="4A34917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以便为对外认证申报提供可核验、可追溯、可防篡改的证据链底座</w:t>
            </w:r>
          </w:p>
          <w:p w14:paraId="1AD825D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Background:</w:t>
            </w:r>
          </w:p>
          <w:p w14:paraId="600D22C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用户已登录且具备 P4 或 P3 角色权限</w:t>
            </w:r>
          </w:p>
          <w:p w14:paraId="4753116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已存在至少一个处于"草稿"或"待锁定校验"状态的认证资料包</w:t>
            </w:r>
          </w:p>
          <w:p w14:paraId="362DFA7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追加 1 个场景：</w:t>
            </w:r>
          </w:p>
          <w:p w14:paraId="6182A69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绿电发票核验不通过冻结锁定</w:t>
            </w:r>
          </w:p>
          <w:p w14:paraId="5A087F5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某资料包内的绿电发票核验状态为"核验不通过"</w:t>
            </w:r>
          </w:p>
          <w:p w14:paraId="3B5AD65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P4 点击锁定资料包</w:t>
            </w:r>
          </w:p>
          <w:p w14:paraId="5D31B73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锁定入口被冻结并返回 E_CERT_GREEN_INVOICE_UNVERIFIED</w:t>
            </w:r>
          </w:p>
          <w:p w14:paraId="6503021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页面提示补正该凭证或剔除其对应的绿电抵扣量</w:t>
            </w:r>
          </w:p>
        </w:tc>
      </w:tr>
    </w:tbl>
    <w:p w14:paraId="450C6CF4">
      <w:pPr>
        <w:pStyle w:val="5"/>
        <w:numPr>
          <w:ilvl w:val="0"/>
          <w:numId w:val="186"/>
        </w:numPr>
        <w:ind w:left="0" w:leftChars="0" w:firstLine="0" w:firstLineChars="0"/>
        <w:outlineLvl w:val="1"/>
        <w:rPr>
          <w:rFonts w:hint="eastAsia" w:ascii="Times New Roman" w:hAnsi="Times New Roman" w:eastAsia="黑体" w:cs="Times New Roman"/>
          <w:b w:val="0"/>
          <w:bCs w:val="0"/>
          <w:sz w:val="30"/>
          <w:szCs w:val="24"/>
          <w:lang w:val="en-US" w:eastAsia="zh-CN"/>
        </w:rPr>
      </w:pPr>
      <w:bookmarkStart w:id="55" w:name="_Toc21692"/>
      <w:r>
        <w:rPr>
          <w:rFonts w:hint="eastAsia" w:cs="Times New Roman"/>
          <w:b w:val="0"/>
          <w:bCs w:val="0"/>
          <w:sz w:val="30"/>
          <w:szCs w:val="24"/>
          <w:lang w:val="en-US" w:eastAsia="zh-CN"/>
        </w:rPr>
        <w:t xml:space="preserve">认证申请</w:t>
      </w:r>
      <w:bookmarkEnd w:id="55"/>
    </w:p>
    <w:p w14:paraId="0F304129">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7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1"/>
                    <pic:cNvPicPr>
                      <a:picLocks noChangeAspect="1"/>
                    </pic:cNvPicPr>
                  </pic:nvPicPr>
                  <pic:blipFill>
                    <a:blip r:embed="rId89"/>
                    <a:stretch>
                      <a:fillRect/>
                    </a:stretch>
                  </pic:blipFill>
                  <pic:spPr>
                    <a:xfrm>
                      <a:off x="0" y="0"/>
                      <a:ext cx="5900420" cy="2925445"/>
                    </a:xfrm>
                    <a:prstGeom prst="rect">
                      <a:avLst/>
                    </a:prstGeom>
                    <a:noFill/>
                    <a:ln>
                      <a:noFill/>
                    </a:ln>
                  </pic:spPr>
                </pic:pic>
              </a:graphicData>
            </a:graphic>
          </wp:inline>
        </w:drawing>
      </w:r>
    </w:p>
    <w:p w14:paraId="3819448C">
      <w:pPr>
        <w:pStyle w:val="6"/>
        <w:numPr>
          <w:ilvl w:val="0"/>
          <w:numId w:val="1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EE5C119">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：向 SGS、TÜV 南德、中国方圆等外部机构在线发起认证委托、报价确认、排期协同、补正意见处理与审核进度跟踪的对外业务流程看板。</w:t>
      </w:r>
    </w:p>
    <w:p w14:paraId="7D29056A">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碳核算与认证工程师（发起申请与补正答复）、PM（商务审批与流程管理）、P6 外部独立审计机构（排期与意见反馈）。</w:t>
      </w:r>
    </w:p>
    <w:p w14:paraId="3FDEC446">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 /carbon-footprint/certification/apply 。</w:t>
      </w:r>
    </w:p>
    <w:p w14:paraId="5D0C7BB8">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：已锁定认证资料包、认证机构白名单与报价库、框架协议与合同管理、统一工作流引擎。</w:t>
      </w:r>
    </w:p>
    <w:p w14:paraId="0E295AFF">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：认证申请流水与审核里程碑记录 → 作为「认证结果管理」模块的证书登记依据。</w:t>
      </w:r>
    </w:p>
    <w:p w14:paraId="7E42638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数据权限：可查看组织范围＝本级及以下（P4 本园区全部申请、PM 本园区全部、P6 仅被授权申请只读）；跨单位聚合＝按申请单条管理；对外可见档位＝SENSITIVE（申请单与报价信息属商务敏感，仅对本机构开放；对外不展示任何申请流水）；越权返回 403 + E_AUTH_RLS_SCOPE_DENIED。</w:t>
      </w:r>
    </w:p>
    <w:p w14:paraId="1A8E39B7">
      <w:pPr>
        <w:pStyle w:val="6"/>
        <w:numPr>
          <w:ilvl w:val="0"/>
          <w:numId w:val="1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2F6660D1">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：产品碳足迹报告通过内审后，需在合规机构库中选择认证机构、确认报价与合同、预约现场或远程审核档期，并在机构提出补正意见时组织责任人在限定周期内闭环答复。</w:t>
      </w:r>
    </w:p>
    <w:p w14:paraId="0CA9D0E6">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2CA32BB">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As a 碳核算与认证工程师 (Persona P4)，</w:t>
      </w:r>
    </w:p>
    <w:p w14:paraId="64869F7B">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I want 在线选择合规认证机构并锁定报价与审核排期、结构化跟踪审核里程碑与机构补正意见，</w:t>
      </w:r>
    </w:p>
    <w:p w14:paraId="5FA5621D">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So that 我能把认证进度纳入可控排期，压缩平均发证周期并避免补正超期。</w:t>
      </w:r>
    </w:p>
    <w:p w14:paraId="03122919">
      <w:pPr>
        <w:pStyle w:val="6"/>
        <w:numPr>
          <w:ilvl w:val="0"/>
          <w:numId w:val="1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549B9BD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认证机构白名单选择器</w:t>
      </w:r>
      <w:r>
        <w:rPr>
          <w:rFonts w:ascii="Times New Roman" w:hAnsi="Times New Roman" w:eastAsia="宋体" w:cs="Times New Roman"/>
          <w:i w:val="0"/>
          <w:color w:val="1F2937"/>
          <w:sz w:val="24"/>
          <w:szCs w:val="24"/>
        </w:rPr>
        <w:t>：仅可选择已签署框架协议且资质在有效期内的机构；选择器同屏展示机构认可范围、历史平均发证周期、最近一次成交报价与近三年不良记录。</w:t>
      </w:r>
    </w:p>
    <w:p w14:paraId="6AF4F7A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委托与报价确认：生成委托单并录入合同金额与币种；报价较基准报价偏差超过 ±10% 时强制填写偏差说明，未完成 PM 复核不得向机构报送。</w:t>
      </w:r>
    </w:p>
    <w:p w14:paraId="5F1663C8">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审核排期日历：以日历形式展示机构审核员可选档期与现场 / 远程审核方式，选定后在日历上锁定并自动生成现场准备任务与责任人。</w:t>
      </w:r>
    </w:p>
    <w:p w14:paraId="550B744B">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机构补正意见通道</w:t>
      </w:r>
      <w:r>
        <w:rPr>
          <w:rFonts w:ascii="Times New Roman" w:hAnsi="Times New Roman" w:eastAsia="宋体" w:cs="Times New Roman"/>
          <w:i w:val="0"/>
          <w:color w:val="1F2937"/>
          <w:sz w:val="24"/>
          <w:szCs w:val="24"/>
        </w:rPr>
        <w:t>：机构退回意见按「意见条目 / 指向资料 / 严重级别」结构化登记，支持指派补正责任人与上传补正凭证，答复完成后一键回传机构并记录回传凭证。</w:t>
      </w:r>
    </w:p>
    <w:p w14:paraId="0CE6F3C8">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审核进度里程碑流水线</w:t>
      </w:r>
      <w:r>
        <w:rPr>
          <w:rFonts w:ascii="Times New Roman" w:hAnsi="Times New Roman" w:eastAsia="宋体" w:cs="Times New Roman"/>
          <w:i w:val="0"/>
          <w:color w:val="1F2937"/>
          <w:sz w:val="24"/>
          <w:szCs w:val="24"/>
        </w:rPr>
        <w:t>：受理 → 排期中 → 现场核查 → 整改中 → 待签发 → 已签发，每个里程碑写入时间戳、操作人与附件；任何状态回退须填写回退原因。</w:t>
      </w:r>
    </w:p>
    <w:p w14:paraId="67FFE47E">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补正超期升级</w:t>
      </w:r>
      <w:r>
        <w:rPr>
          <w:rFonts w:ascii="Times New Roman" w:hAnsi="Times New Roman" w:eastAsia="宋体" w:cs="Times New Roman"/>
          <w:i w:val="0"/>
          <w:color w:val="1F2937"/>
          <w:sz w:val="24"/>
          <w:szCs w:val="24"/>
        </w:rPr>
        <w:t>：补正期限按机构约定天数计算，剩余 3 天触发提醒，超期未闭环自动升级至 PM 待办。</w:t>
      </w:r>
    </w:p>
    <w:p w14:paraId="2F8E74B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认证机构对接方式</w:t>
      </w:r>
      <w:r>
        <w:rPr>
          <w:rFonts w:ascii="Times New Roman" w:hAnsi="Times New Roman" w:eastAsia="宋体" w:cs="Times New Roman"/>
          <w:i w:val="0"/>
          <w:color w:val="1F2937"/>
          <w:sz w:val="24"/>
          <w:szCs w:val="24"/>
        </w:rPr>
        <w:t>：具备开放平台的机构采用 API 直连回传受理号与审核结论；不具备 API 条件的机构采用「加密邮件 + 机构门户上传」双通道，全部跨境报文须经数据出境合规网关。</w:t>
      </w:r>
    </w:p>
    <w:p w14:paraId="3D85936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1）顶部业务流程提示条（常驻）："认证申请业务流程：向导完成报（基础数据 → 线下自备材料 → 系统自动数据）→ 直接进入【线下认证中】→ 现场审核出证书【证书已上传】闭环"。</w:t>
      </w:r>
    </w:p>
    <w:p w14:paraId="5A2CDE2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2）右上筛选与主操作：「线下认证中」/「证书已上传」两个状态快捷筛选 + 「+ 发起认证申请（向导）」。</w:t>
      </w:r>
    </w:p>
    <w:p w14:paraId="3EC7641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3）筛选条：经营单位 · 认证状态 · 名称检索（编号 / 产品 / 机构）· 查询 / 重置。</w:t>
      </w:r>
    </w:p>
    <w:p w14:paraId="57177DD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4）申请台账表：列依次为 申请编号 · 产品型号 · 经营单位 · 合作认证机构 · 办理事项（评价 / 认证）· 申请日期 · 认证状态 · 操作（查看申报资料 / 上传证书出证 / 删除）。</w:t>
      </w:r>
    </w:p>
    <w:p w14:paraId="7ECA00A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5）申请编号规则：CA-{年份}-{3 位流水}，如 CA-2026-120。</w:t>
      </w:r>
    </w:p>
    <w:p w14:paraId="665384A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6）状态：线下认证中（橙）· 证书已上传（绿，并显示证书编号 CERT-YYYY-NNNN）。</w:t>
      </w:r>
    </w:p>
    <w:p w14:paraId="4BD8055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截图实测：CA-2026-120 / SZ11-2500/10 变压器 / 天宝公司 / TÜV 莱茵 / ISO 14067 产品碳足迹认证 / 2026-09-01 / 线下认证中；CA-2026-115 / YJV22-8.7/15 电缆 / 鲁缆本部 / SGS / 2026-07-28 / 证书已上传（CERT-2026-0091）；CA-2026-109 / KYN28A-12 开关柜 / 沈变本部 / 方圆 CQM / 绿色设计产品评价 / 2026-07-20 / 线下认证中。</w:t>
      </w:r>
    </w:p>
    <w:p w14:paraId="0E860BD2">
      <w:pPr>
        <w:pStyle w:val="6"/>
        <w:numPr>
          <w:ilvl w:val="0"/>
          <w:numId w:val="1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296CC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40094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3771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44664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E5754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96D9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4663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申请编号</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EA38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64C7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DFA1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正则 CA-d{4}-d{3}$ ；全局唯一，重新提交生成新流水号</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8ADF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FDFB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产品型号</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9993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CBC8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EF36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须存在于产品型号主数据</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DE4E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5776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经营单位</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D91C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742D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65A5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取自组织主数据</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18E6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F77C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合作认证机构</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8A4C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6D32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123C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白名单机构；资质过期者置灰</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54F6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3D53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办理事项</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EA92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枚举（两级）</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87BC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AD2A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一级：评价 / 认证；二级：ISO 14067 产品碳足迹认证 · EPD 环境产品声明 · 绿色设计产品评价 …</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EB60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8D4C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申请日期</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516D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日期</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02CE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B6B1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YYYY-MM-DD；不可晚于当前日期</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9E64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7BA3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认证状态</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40CA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枚举标签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0616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D41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线下认证中（橙）· 证书已上传（绿）</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39B5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A949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报价偏差率</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BC59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百分比(2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03A1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A085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&gt; 10% 时强制填写偏差说明并经 PM 复核</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A268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9</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83FE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审核进度</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FB3E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百分比(整数)</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311F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358C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已完成里程碑数 ÷ 里程碑总数 × 100%（等权）</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22A5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10</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AEAB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认证处理时长</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4CBC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337C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自然日</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6342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签发时间 − 受理时间；不含资料包组装期</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C8DB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11</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086A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预计发证周期修正值</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E7D5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小数(2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4AC3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周</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2E59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修正系数 ∈ [ −0.20, +0.20 ]，超出拒绝保存</w:t>
            </w:r>
          </w:p>
        </w:tc>
      </w:tr>
    </w:tbl>
    <w:p w14:paraId="481AE1DA">
      <w:pPr>
        <w:pStyle w:val="6"/>
        <w:numPr>
          <w:ilvl w:val="0"/>
          <w:numId w:val="1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38BA8A4">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BB56C4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报价偏差率 = ABS( 报价金额 − 基准报价 ) ÷ 基准报价 × 100%                          报价合理性判定</w:t>
            </w:r>
          </w:p>
          <w:p w14:paraId="50A59C5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预计发证周期修正值 = 机构历史平均发证周期 × ( 1 + 修正系数 ) ，修正系数 ∈ [ -0.20 , +0.20 ]                          排期预估值</w:t>
            </w:r>
          </w:p>
          <w:p w14:paraId="671C8F9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认证处理时长 = 已签发时间 − 受理时间                          单位：自然日</w:t>
            </w:r>
          </w:p>
          <w:p w14:paraId="6BA8F40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Progress = 已完成里程碑数 ÷ 里程碑总数 × 100%                          审核进度完成度</w:t>
            </w:r>
          </w:p>
        </w:tc>
      </w:tr>
    </w:tbl>
    <w:p w14:paraId="47F70FAC">
      <w:pPr>
        <w:spacing w:after="40"/>
        <w:rPr>
          <w:rFonts w:hint="eastAsia" w:ascii="宋体" w:hAnsi="宋体" w:eastAsia="宋体" w:cs="宋体"/>
          <w:i w:val="0"/>
          <w:iCs w:val="0"/>
          <w:sz w:val="24"/>
          <w:szCs w:val="24"/>
        </w:rPr>
      </w:pPr>
    </w:p>
    <w:p w14:paraId="09E0FEA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：基准报价取机构白名单中同认证标准最近一次成交价；白名单无历史成交价时输出  --  并跳过偏差校验；修正系数超出 [ -0.20 , +0.20 ] 区间时拒绝保存。</w:t>
      </w:r>
    </w:p>
    <w:p w14:paraId="5FA51C4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取值示例：某机构对"ISO 14067 产品碳足迹认证"报价 ￥112,400，同标准最近一次成交基准报价 ￥100,000 → 报价偏差率 = ABS(112,400 − 100,000) ÷ 100,000 × 100% = 12.40% &gt; 10% → 强制填写偏差说明，未完成 PM 复核不得向机构报送。</w:t>
      </w:r>
    </w:p>
    <w:p w14:paraId="4C77B74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排期预估：机构历史平均发证周期 8 周，修正系数 +0.15 → 预计发证周期 = 8 × 1.15 = 9.20 周。</w:t>
      </w:r>
    </w:p>
    <w:p w14:paraId="7854F0F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进度：某申请里程碑总数 5（受理 / 资料核验 / 现场审核 / 出证 / 归档），已完成 3 → 审核进度 = 60%。</w:t>
      </w:r>
    </w:p>
    <w:p w14:paraId="34D7F4E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精度与容差：报价偏差率保留 2 位小数；进度为整数百分比（四舍五入，不做小数展示）；修正系数固定 2 位小数；认证处理时长为整数自然日；与基准报价比较为"&gt; 10%"严格大于，等于 10% 不触发强制说明。</w:t>
      </w:r>
    </w:p>
    <w:p w14:paraId="405CA444">
      <w:pPr>
        <w:pStyle w:val="6"/>
        <w:numPr>
          <w:ilvl w:val="0"/>
          <w:numId w:val="1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25A7EF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状态口径：审核状态以机构回传的正式文书为准，人工不得直接跳转状态；状态回退必须填写回退原因并留痕。</w:t>
      </w:r>
    </w:p>
    <w:p w14:paraId="5218841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里程碑口径：进度百分比按里程碑数量等权计算，不按停留时长加权，避免长停留环节放大进度。</w:t>
      </w:r>
    </w:p>
    <w:p w14:paraId="6B12F42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退回口径：机构退回须逐条结构化登记并指派补正责任人，未指派时退回动作不生效；同一资料包重新提交生成新流水号。</w:t>
      </w:r>
    </w:p>
    <w:p w14:paraId="5EDA746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时长口径：认证处理时长统一以自然日计，自受理时间起算至签发时间止，不含资料包组装阶段的耗时。</w:t>
      </w:r>
    </w:p>
    <w:p w14:paraId="2CAE30C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报价偏差阈值 10%（严格大于触发强制说明）；② 修正系数合法区间 [ −0.20, +0.20 ]，越界拒绝保存；③ 进度权重：里程碑等权，不用时长加权；④ 补正期限：以机构书面约定为准，系统默认 10 个自然日（可被机构约定覆盖）；⑤ 机构资质基准：以框架协议到期日为唯一判据，到期日 &lt; 当前日期即置灰；⑥ 基准报价来源：机构白名单中同认证标准最近一次成交价，无历史成交价时输出 -- 并跳过偏差校验。</w:t>
      </w:r>
    </w:p>
    <w:p w14:paraId="76867CDC">
      <w:pPr>
        <w:pStyle w:val="6"/>
        <w:numPr>
          <w:ilvl w:val="0"/>
          <w:numId w:val="1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1420E99">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1E958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机构资质过期：白名单选择器中该机构置灰，并提示资质失效日期。</w:t>
            </w:r>
          </w:p>
          <w:p w14:paraId="7918439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报价偏差率 &gt; 10%：强制填写偏差说明，未完成 PM 复核不得向机构报送。</w:t>
            </w:r>
          </w:p>
          <w:p w14:paraId="60CB065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机构审核员档期冲突：禁止占用冲突时段，提示最近可选时段。</w:t>
            </w:r>
          </w:p>
          <w:p w14:paraId="32C6DE1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关联资料包非「已锁定」：申请入口拦截，提示先完成资料包锁定。</w:t>
            </w:r>
          </w:p>
          <w:p w14:paraId="76DF71E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同一资料包存在进行中申请：拦截重复提交并展示在途申请流水号。</w:t>
            </w:r>
          </w:p>
          <w:p w14:paraId="1595CA6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退回未指派补正责任人：退回动作不生效并提示必须指派责任人。</w:t>
            </w:r>
          </w:p>
          <w:p w14:paraId="05EAFD5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补正超期：超过机构约定补正期限触发  E_CERT_RECTIFY_OVERDUE  并升级至 PM 待办。</w:t>
            </w:r>
          </w:p>
        </w:tc>
      </w:tr>
    </w:tbl>
    <w:p w14:paraId="55A46698">
      <w:pPr>
        <w:spacing w:after="40"/>
        <w:rPr>
          <w:rFonts w:hint="eastAsia" w:ascii="宋体" w:hAnsi="宋体" w:eastAsia="宋体" w:cs="宋体"/>
          <w:i w:val="0"/>
          <w:iCs w:val="0"/>
          <w:sz w:val="24"/>
          <w:szCs w:val="24"/>
        </w:rPr>
      </w:pPr>
    </w:p>
    <w:p w14:paraId="35A4123D">
      <w:pPr>
        <w:pStyle w:val="6"/>
        <w:numPr>
          <w:ilvl w:val="0"/>
          <w:numId w:val="19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22C96C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Feature: 认证申请</w:t>
            </w:r>
          </w:p>
          <w:p w14:paraId="3368135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作为 P4 碳核算与认证工程师</w:t>
            </w:r>
          </w:p>
          <w:p w14:paraId="6757299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我希望向 SGS / TÜV 莱茵 / 中国方圆等外部机构在线发起认证委托并跟踪审核进度</w:t>
            </w:r>
          </w:p>
          <w:p w14:paraId="4084656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以便完成报价确认、排期协同与补正意见处理的全流程闭环</w:t>
            </w:r>
          </w:p>
          <w:p w14:paraId="7FE9D9D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Background:</w:t>
            </w:r>
          </w:p>
          <w:p w14:paraId="6CE39A2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用户已登录且具备 P4 或 PM 角色权限</w:t>
            </w:r>
          </w:p>
          <w:p w14:paraId="621AB01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认证机构白名单与同标准基准报价库已配置</w:t>
            </w:r>
          </w:p>
        </w:tc>
      </w:tr>
    </w:tbl>
    <w:p w14:paraId="5EE86900">
      <w:pPr>
        <w:pStyle w:val="5"/>
        <w:numPr>
          <w:ilvl w:val="0"/>
          <w:numId w:val="186"/>
        </w:numPr>
        <w:ind w:left="0" w:leftChars="0" w:firstLine="0" w:firstLineChars="0"/>
        <w:outlineLvl w:val="1"/>
        <w:rPr>
          <w:rFonts w:hint="default" w:ascii="Times New Roman" w:hAnsi="Times New Roman" w:eastAsia="黑体" w:cs="Times New Roman"/>
          <w:b w:val="0"/>
          <w:bCs w:val="0"/>
          <w:sz w:val="30"/>
          <w:szCs w:val="24"/>
          <w:lang w:val="en-US" w:eastAsia="zh-CN"/>
        </w:rPr>
      </w:pPr>
      <w:bookmarkStart w:id="56" w:name="_Toc15371"/>
      <w:r>
        <w:rPr>
          <w:rFonts w:hint="eastAsia" w:cs="Times New Roman"/>
          <w:b w:val="0"/>
          <w:bCs w:val="0"/>
          <w:sz w:val="30"/>
          <w:szCs w:val="24"/>
          <w:lang w:val="en-US" w:eastAsia="zh-CN"/>
        </w:rPr>
        <w:t xml:space="preserve">认证结果管理</w:t>
      </w:r>
      <w:bookmarkEnd w:id="56"/>
    </w:p>
    <w:p w14:paraId="0A1FE4E8">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7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2"/>
                    <pic:cNvPicPr>
                      <a:picLocks noChangeAspect="1"/>
                    </pic:cNvPicPr>
                  </pic:nvPicPr>
                  <pic:blipFill>
                    <a:blip r:embed="rId90"/>
                    <a:stretch>
                      <a:fillRect/>
                    </a:stretch>
                  </pic:blipFill>
                  <pic:spPr>
                    <a:xfrm>
                      <a:off x="0" y="0"/>
                      <a:ext cx="5900420" cy="2925445"/>
                    </a:xfrm>
                    <a:prstGeom prst="rect">
                      <a:avLst/>
                    </a:prstGeom>
                    <a:noFill/>
                    <a:ln>
                      <a:noFill/>
                    </a:ln>
                  </pic:spPr>
                </pic:pic>
              </a:graphicData>
            </a:graphic>
          </wp:inline>
        </w:drawing>
      </w:r>
    </w:p>
    <w:p w14:paraId="13EB1A78">
      <w:pPr>
        <w:pStyle w:val="6"/>
        <w:numPr>
          <w:ilvl w:val="0"/>
          <w:numId w:val="1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89235DC">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：官方认证声明（Attestation）的结构化存储与验真中枢、防伪数字碳标签签发授权中心，以及证书资质到期的生命周期监控与自动熔断闸门。</w:t>
      </w:r>
    </w:p>
    <w:p w14:paraId="6AC0DFB5">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碳核算与认证工程师（证书登记与续期）、PM（对外公示授权审批）、P6 外部独立审计机构（只读验真）；外部对象为欧盟客户与审查专员（仅可见脱敏结果）。</w:t>
      </w:r>
    </w:p>
    <w:p w14:paraId="33309CBD">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 /carbon-footprint/certification/result 。</w:t>
      </w:r>
    </w:p>
    <w:p w14:paraId="000C968B">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：认证机构签发的结论与证书 PDF 原件、签发机构公钥证书、认证申请流水。</w:t>
      </w:r>
    </w:p>
    <w:p w14:paraId="7BCB2E75">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：数字碳标签授权码、产品碳标签发布开关、对外公示白名单。</w:t>
      </w:r>
    </w:p>
    <w:p w14:paraId="3541BED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数据权限：可查看组织范围＝本级及以下（P4 本园区、PM 本园区、P6 被授权只读）；跨单位聚合＝按证书单条管理；对外可见档位＝PUBLIC（公示内容须走白名单授权，仅含机构名、证书编号、有效期与产品型号，不含工艺配方、采购单价与人员信息）；越权或非白名单对象查询公示内容返回 403 + E_CERT_PUBLIC_UNAUTHORIZED。</w:t>
      </w:r>
    </w:p>
    <w:p w14:paraId="5ED1C095">
      <w:pPr>
        <w:pStyle w:val="6"/>
        <w:numPr>
          <w:ilvl w:val="0"/>
          <w:numId w:val="1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D394E0F">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：机构签发证书后，需完成证书原件加密存证、结构化登记与验真；证书生命周期内按剩余有效天数分级预警，并在到期未续或机构吊销时立即熔断对应产品的数字碳标签。</w:t>
      </w:r>
    </w:p>
    <w:p w14:paraId="5200BD16">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574BD5B">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As a 碳核算与认证工程师 (Persona P4)，</w:t>
      </w:r>
    </w:p>
    <w:p w14:paraId="42066914">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I want 将证书原件加密存证并结构化登记覆盖产品型号白名单，按 90/30/7 天分级预警并在失效时自动下架数字碳标签，</w:t>
      </w:r>
    </w:p>
    <w:p w14:paraId="08BF06EA">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So that 我能确保对外发布的碳标签始终基于有效认证，杜绝过期证书被误用。</w:t>
      </w:r>
    </w:p>
    <w:p w14:paraId="1644A62C">
      <w:pPr>
        <w:pStyle w:val="6"/>
        <w:numPr>
          <w:ilvl w:val="0"/>
          <w:numId w:val="1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869950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证书原件加密存证与验真</w:t>
      </w:r>
      <w:r>
        <w:rPr>
          <w:rFonts w:ascii="Times New Roman" w:hAnsi="Times New Roman" w:eastAsia="宋体" w:cs="Times New Roman"/>
          <w:i w:val="0"/>
          <w:color w:val="1F2937"/>
          <w:sz w:val="24"/>
          <w:szCs w:val="24"/>
        </w:rPr>
        <w:t>：证书 PDF 原件落盘 AES-256 加密，登记签发机构数字签名与公钥证书 ID；验真时执行签名校验与 PDF 哈希比对，二者须同时通过。</w:t>
      </w:r>
    </w:p>
    <w:p w14:paraId="20D125A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证书结构化登记：登记证书全局编号、签发机构、认证标准、生效起止日期、覆盖产品型号白名单与证书存续状态，型号逐条校验存在于产品主数据。</w:t>
      </w:r>
    </w:p>
    <w:p w14:paraId="1DAEE333">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90 / 30 / 7 天分级到期预警：每日健康检查计算剩余有效天数，按 90 天级、30 天级、7 天级三档推送至 P4 与 PM，并在证书台账首列展示预警级别。</w:t>
      </w:r>
    </w:p>
    <w:p w14:paraId="3817ADF4">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证书过期自动熔断</w:t>
      </w:r>
      <w:r>
        <w:rPr>
          <w:rFonts w:ascii="Times New Roman" w:hAnsi="Times New Roman" w:eastAsia="宋体" w:cs="Times New Roman"/>
          <w:i w:val="0"/>
          <w:color w:val="1F2937"/>
          <w:sz w:val="24"/>
          <w:szCs w:val="24"/>
        </w:rPr>
        <w:t>：到期未完成续期的证书自动置为「失效」，同步下架其关联的数字碳标签并关闭对应产品的标签发布开关，页面标注「已失效」。</w:t>
      </w:r>
    </w:p>
    <w:p w14:paraId="07FD1336">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证书吊销与撤回处理</w:t>
      </w:r>
      <w:r>
        <w:rPr>
          <w:rFonts w:ascii="Times New Roman" w:hAnsi="Times New Roman" w:eastAsia="宋体" w:cs="Times New Roman"/>
          <w:i w:val="0"/>
          <w:color w:val="1F2937"/>
          <w:sz w:val="24"/>
          <w:szCs w:val="24"/>
        </w:rPr>
        <w:t>：机构吊销或自身申请撤回时执行吊销动作，立即熔断全部已授权渠道，并向客户公示页下发展示禁令。</w:t>
      </w:r>
    </w:p>
    <w:p w14:paraId="3AA5530F">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数字碳标签签发与授权</w:t>
      </w:r>
      <w:r>
        <w:rPr>
          <w:rFonts w:ascii="Times New Roman" w:hAnsi="Times New Roman" w:eastAsia="宋体" w:cs="Times New Roman"/>
          <w:i w:val="0"/>
          <w:color w:val="1F2937"/>
          <w:sz w:val="24"/>
          <w:szCs w:val="24"/>
        </w:rPr>
        <w:t>：经有效证书授权后签发全局唯一授权码，标签内容仅包含认证标准、证书编号、碳足迹结果与验真二维码，不含任何商密字段。</w:t>
      </w:r>
    </w:p>
    <w:p w14:paraId="0C39C8AF">
      <w:pPr>
        <w:pStyle w:val="19"/>
        <w:widowControl/>
        <w:rPr>
          <w:rFonts w:ascii="Times New Roman" w:hAnsi="Times New Roman" w:eastAsia="宋体" w:cs="Times New Roman"/>
          <w:i w:val="0"/>
          <w:color w:val="1F2937"/>
          <w:sz w:val="24"/>
          <w:szCs w:val="24"/>
        </w:rPr>
      </w:pPr>
      <w:r>
        <w:rPr>
          <w:rFonts w:ascii="Times New Roman" w:hAnsi="Times New Roman" w:eastAsia="宋体" w:cs="Times New Roman"/>
          <w:b/>
          <w:i w:val="0"/>
          <w:color w:val="1E3A8A"/>
          <w:sz w:val="24"/>
          <w:szCs w:val="24"/>
        </w:rPr>
        <w:t>对外公示白名单授权</w:t>
      </w:r>
      <w:r>
        <w:rPr>
          <w:rFonts w:ascii="Times New Roman" w:hAnsi="Times New Roman" w:eastAsia="宋体" w:cs="Times New Roman"/>
          <w:i w:val="0"/>
          <w:color w:val="1F2937"/>
          <w:sz w:val="24"/>
          <w:szCs w:val="24"/>
        </w:rPr>
        <w:t>：按产品型号与客户范围授权公示，分为不公示 / 内部可见 / 客户可见 / 公开四档；未授权对象的查询一律返回「未授权公示」占位。</w:t>
      </w:r>
    </w:p>
    <w:p w14:paraId="496DF555">
      <w:pPr>
        <w:pStyle w:val="19"/>
        <w:widowControl/>
        <w:rPr>
          <w:rFonts w:ascii="Times New Roman" w:hAnsi="Times New Roman" w:eastAsia="宋体" w:cs="Times New Roman"/>
          <w:i w:val="0"/>
          <w:color w:val="1F2937"/>
          <w:sz w:val="24"/>
          <w:szCs w:val="24"/>
        </w:rPr>
      </w:pPr>
    </w:p>
    <w:p w14:paraId="4E6763F2">
      <w:pPr>
        <w:pStyle w:val="19"/>
        <w:widowControl/>
        <w:rPr>
          <w:rFonts w:ascii="Times New Roman" w:hAnsi="Times New Roman" w:eastAsia="宋体" w:cs="Times New Roman"/>
          <w:i w:val="0"/>
          <w:color w:val="1F2937"/>
          <w:sz w:val="24"/>
          <w:szCs w:val="24"/>
        </w:rPr>
      </w:pPr>
    </w:p>
    <w:p w14:paraId="2EE4841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1）指标卡区（四卡）：有效证书（份，附"÷ 明年到期"说明）· 临期证书（份，附"需催办"）· 已过期（份，附"已禁用"）· 合作机构（家）。截图实测：1 / 1 / 1 / 3。</w:t>
      </w:r>
    </w:p>
    <w:p w14:paraId="5DD99FA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2）归档表：右上「+ 新增证书」；列依次为 证书编号 · 来源申请（反查 CA-YYYY-NNN）· 产品型号 · 经营单位 · 认证机构 · 有效期至 · 状态 · 操作（预览 / 下载 / 编辑 / 删除）。</w:t>
      </w:r>
    </w:p>
    <w:p w14:paraId="49094F7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3）证书编号规则：CERT-{年份}-{4 位流水}，如 CERT-2026-0091。</w:t>
      </w:r>
    </w:p>
    <w:p w14:paraId="66D7953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4）状态色规：有效（绿）· 临期（橙）· 已过期（红）。</w:t>
      </w:r>
    </w:p>
    <w:p w14:paraId="2D1A52C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5）截图实测：CERT-2026-0091 ← CA-2026-115 / YJV-8.7/15 / 鲁缆本部 / SGS / 2029-07-28 / 有效；CERT-2025-0342 ← CA-2025-231 / SZ11-2500/10 / 天宝公司 / TÜV 莱茵 / 2026-09-15 / 临期；CERT-2024-0128 ← CA-2024-077 / LGJ-240 / 鲁缆本部 / BV 必维 / 2026-03-01 / 已过期。</w:t>
      </w:r>
    </w:p>
    <w:p w14:paraId="66DF411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原型状态判定错误（须修正，否则证书熔断条款无法通过验收）：截图 #31 中 CERT-2025-0342 的"有效期至"为 2026-09-15，而当前日期为 2026-09-27，剩余天数为 −12 天，按本模块既定的 Cert_State = 失效 if Days_left ≤ 0 应判为「已过期」，但原型显示为「临期（橙）」。同时指标卡"已过期 1 份"与表格中"已过期"行数（1 行）自洽，说明该行状态判定逻辑未接入剩余天数计算。修正要求：状态列必须由 Days_left 统一驱动，禁止人工置位；并补充回归用例（见 ⑧ 段）。</w:t>
      </w:r>
    </w:p>
    <w:p w14:paraId="7FEC6372">
      <w:pPr>
        <w:pStyle w:val="6"/>
        <w:numPr>
          <w:ilvl w:val="0"/>
          <w:numId w:val="1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EE6F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091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A8CF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E476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99821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CFF8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5FDD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证书编号</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9C4A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BD32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41B3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正则 CERT-d{4}-d{4}$ ；全局唯一</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2A8A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D9F5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来源申请</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553E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文本（外键）</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1643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DA6A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关联 CA-YYYY-NNN ；缺失时提示"非系统申报证书"</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C368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F91A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产品型号</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A771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AFF6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3800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须存在于产品型号主数据，否则拒绝登记</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33CE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643E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经营单位</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8770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9BC4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77C2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取自组织主数据</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7040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96FB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认证机构</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9CB3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3819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7053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白名单机构</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E1EF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E8ED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有效期至</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C9FE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日期</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44C8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0F25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YYYY-MM-DD；须晚于签发日</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1D0B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3A29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剩余有效天数</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77B0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整数（派生）</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CE88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天</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1ACC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有效期至 − 当前日期； 由系统计算，不可编辑</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5962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4167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状态</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9881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枚举（派生）</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1896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0C94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有效 / 临期（≤ 90 天）/ 已过期（≤ 0 天）/ 吊销</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BAC1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9</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1DF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PDF 哈希</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503D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458A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FC09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SHA-256；与证书 PDF 原件逐字节绑定</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6509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10</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5A17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签名校验结果</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9655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布尔</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E1EB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C244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签发机构公钥验签；失败即判验真失败</w:t>
            </w:r>
          </w:p>
        </w:tc>
      </w:tr>
    </w:tbl>
    <w:p w14:paraId="6C0B942B">
      <w:pPr>
        <w:pStyle w:val="6"/>
        <w:numPr>
          <w:ilvl w:val="0"/>
          <w:numId w:val="1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D24F5CC">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99FED5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Days_left = Valid_To − Date_Today                          证书剩余有效天数</w:t>
            </w:r>
          </w:p>
          <w:p w14:paraId="7917E85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Warn_Level = Days_left ≤ 7 ? 7天级 : ( Days_left ≤ 30 ? 30天级 : ( Days_left ≤ 90 ? 90天级 : 无 ) )                          分级预警判定</w:t>
            </w:r>
          </w:p>
          <w:p w14:paraId="600E3F9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Cert_State = 吊销 if Revoked ; 失效 if Days_left ≤ 0 ; 临期 if Days_left ≤ 90 ; 有效 otherwise                          证书存续状态机</w:t>
            </w:r>
          </w:p>
          <w:p w14:paraId="331735F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Label_Allowed = ( Cert_State ∈ { 有效 , 临期 } ) AND ( Hash_Verify == true ) AND ( Signature_Verify == true )                          碳标签发布准入</w:t>
            </w:r>
          </w:p>
        </w:tc>
      </w:tr>
    </w:tbl>
    <w:p w14:paraId="4F7DA6EF">
      <w:pPr>
        <w:spacing w:after="40"/>
        <w:rPr>
          <w:rFonts w:hint="eastAsia" w:ascii="宋体" w:hAnsi="宋体" w:eastAsia="宋体" w:cs="宋体"/>
          <w:i w:val="0"/>
          <w:iCs w:val="0"/>
          <w:sz w:val="24"/>
          <w:szCs w:val="24"/>
        </w:rPr>
      </w:pPr>
    </w:p>
    <w:p w14:paraId="5041400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：证书 PDF 哈希校验与签发机构签名校验必须同时通过，任一失败则  </w:t>
      </w:r>
      <w:r>
        <w:rPr>
          <w:rFonts w:ascii="Times New Roman" w:hAnsi="Times New Roman" w:eastAsia="宋体" w:cs="Times New Roman"/>
          <w:b/>
          <w:i w:val="0"/>
          <w:color w:val="1E3A8A"/>
          <w:sz w:val="24"/>
          <w:szCs w:val="24"/>
        </w:rPr>
        <w:t>Label_Allowed</w:t>
      </w:r>
      <w:r>
        <w:rPr>
          <w:rFonts w:ascii="Times New Roman" w:hAnsi="Times New Roman" w:eastAsia="宋体" w:cs="Times New Roman"/>
          <w:i w:val="0"/>
          <w:color w:val="1F2937"/>
          <w:sz w:val="24"/>
          <w:szCs w:val="24"/>
        </w:rPr>
        <w:t xml:space="preserve">  立即置为 false 并暂停对应产品碳标签发布；90 / 30 / 7 天三级阈值为固定业务铁律，不可配置。</w:t>
      </w:r>
    </w:p>
    <w:p w14:paraId="1DBA286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取值示例：CERT-2026-0091（YJV-8.7/15，有效至 2029-07-28，今日 2026-09-27）→ Days_left = 1,035 天 → Warn_Level = 无 → Cert_State = 有效；PDF 哈希比对通过且机构签名验签通过 → Label_Allowed = true，可发布数字碳标签。</w:t>
      </w:r>
    </w:p>
    <w:p w14:paraId="384B77B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CERT-2025-0342（有效至 2026-09-15）→ Days_left = −12 → Cert_State = 已过期（原型误判为"临期"，须修正）。</w:t>
      </w:r>
    </w:p>
    <w:p w14:paraId="3088343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CERT-2024-0128（有效至 2026-03-01）→ Days_left = −210 → 已过期，自动熔断并下架碳标签。</w:t>
      </w:r>
    </w:p>
    <w:p w14:paraId="4774654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精度与容差：Days_left 为整数天（按自然日，不含时分秒；以服务器日期为准，不做时区换算）；90 / 30 / 7 为闭区间阈值（Days_left = 90 即触发 90 天级预警）；状态判定为互斥且完备：吊销 &gt; 已过期 &gt; 临期 &gt; 有效，优先级从高到低短路判定；哈希校验为二值判定，无容差。</w:t>
      </w:r>
    </w:p>
    <w:p w14:paraId="2C84ED44">
      <w:pPr>
        <w:pStyle w:val="6"/>
        <w:numPr>
          <w:ilvl w:val="0"/>
          <w:numId w:val="1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AF04E9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预警口径：90 / 30 / 7 天三级预警阈值为固定铁律，预警只触发提醒不改变证书状态；证书状态仅由剩余有效天数与吊销标记决定。</w:t>
      </w:r>
    </w:p>
    <w:p w14:paraId="1E050F5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熔断口径：证书失效或吊销即自动熔断，下架动作与状态变更在同一事务内完成，不允许出现「状态已失效但标签仍可发布」的中间态。</w:t>
      </w:r>
    </w:p>
    <w:p w14:paraId="77E6ED3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验真口径：验真须同时通过 PDF 哈希比对与签发机构签名校验，仅通过其一判定为验真失败。</w:t>
      </w:r>
    </w:p>
    <w:p w14:paraId="1479416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公示口径：对外公示一律走白名单授权，白名单外对象返回「未授权公示」占位；公示内容不含工艺配方、采购单价与人员信息。</w:t>
      </w:r>
    </w:p>
    <w:p w14:paraId="59212A9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预警阈值 90 / 30 / 7 天，固定不可配置（阈值写在代码常量中，不落配置表）；② 熔断阈值 Days_left ≤ 0，或收到吊销结论即刻；③ 验真为双条件与运算，任一失败即整体失败；④ 同型号多证：以最近签发生效者为权威（比较"签发日期"，而非"有效期至"），其余标记"历史版本"；⑤ 公示白名单来源：P4 登记 + PM 对外公示授权审批流；⑥ 指标卡计数口径：与归档表状态列同一数据源，二者必须自洽（当前原型该项自洽，但状态判定有误，见上文）。</w:t>
      </w:r>
    </w:p>
    <w:p w14:paraId="6871A47B">
      <w:pPr>
        <w:pStyle w:val="6"/>
        <w:numPr>
          <w:ilvl w:val="0"/>
          <w:numId w:val="1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D1EF627">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DC9005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 PDF 哈希校验失败：触发  E_AUDIT_HASH_BROKEN ，标记「证书已被非法篡改」并锁定单据。</w:t>
            </w:r>
          </w:p>
          <w:p w14:paraId="41DC641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签发机构公钥证书过期：验真结果判定为失败，并提示更新机构公钥证书。</w:t>
            </w:r>
          </w:p>
          <w:p w14:paraId="541A9EF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证书到期未续：自动熔断并下架数字碳标签，页面标注「已失效」。</w:t>
            </w:r>
          </w:p>
          <w:p w14:paraId="657BBC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证书被机构吊销：立即熔断，并向所有已授权渠道下发展示禁令。</w:t>
            </w:r>
          </w:p>
          <w:p w14:paraId="77A37C0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覆盖产品型号不在产品主数据：拒绝登记并提示型号不存在。</w:t>
            </w:r>
          </w:p>
          <w:p w14:paraId="7DF88C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同一产品型号存在多张有效证书：以最近签发生效者为准，其余标记「历史版本」且不可用于标签发布。</w:t>
            </w:r>
          </w:p>
          <w:p w14:paraId="2F66560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未授权对象查询公示内容：输出拦截，仅返回「未授权公示」占位。</w:t>
            </w:r>
          </w:p>
          <w:p w14:paraId="27C0277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覆盖产品型号不在产品主数据：拒绝登记并返回 E_CERT_MODEL_NOT_FOUND（422），提示型号不存在。</w:t>
            </w:r>
          </w:p>
          <w:p w14:paraId="504F508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未授权对象查询公示内容：输出拦截，返回 E_CERT_PUBLIC_UNAUTHORIZED（403），仅返回「未授权公示」占位。</w:t>
            </w:r>
          </w:p>
          <w:p w14:paraId="2D74BE8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（强化原有）状态列与 Days_left 不一致：以 Days_left 计算结果为权威并自动纠正，同时写入数据质量告警（防止人工置位导致熔断漏判）。</w:t>
            </w:r>
          </w:p>
        </w:tc>
      </w:tr>
    </w:tbl>
    <w:p w14:paraId="419BF54E">
      <w:pPr>
        <w:spacing w:after="40"/>
        <w:rPr>
          <w:rFonts w:hint="eastAsia" w:ascii="宋体" w:hAnsi="宋体" w:eastAsia="宋体" w:cs="宋体"/>
          <w:i w:val="0"/>
          <w:iCs w:val="0"/>
          <w:sz w:val="24"/>
          <w:szCs w:val="24"/>
        </w:rPr>
      </w:pPr>
    </w:p>
    <w:p w14:paraId="18C8B562">
      <w:pPr>
        <w:pStyle w:val="6"/>
        <w:numPr>
          <w:ilvl w:val="0"/>
          <w:numId w:val="193"/>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7A54DB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Feature: 认证结果管理</w:t>
            </w:r>
          </w:p>
          <w:p w14:paraId="27E8498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作为 P4 碳核算与认证工程师</w:t>
            </w:r>
          </w:p>
          <w:p w14:paraId="6557E7F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我希望官方认证声明被结构化存储、验真并监控有效期</w:t>
            </w:r>
          </w:p>
          <w:p w14:paraId="1EB1C98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以便在证书临期与失效时自动预警、熔断并下架数字碳标签</w:t>
            </w:r>
          </w:p>
          <w:p w14:paraId="11C8DED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Background:</w:t>
            </w:r>
          </w:p>
          <w:p w14:paraId="3E1FE5C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用户已登录且具备 P4 / PM / P6 角色权限</w:t>
            </w:r>
          </w:p>
          <w:p w14:paraId="7A6D053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认证机构签发的证书 PDF 原件与机构公钥证书已入库</w:t>
            </w:r>
          </w:p>
          <w:p w14:paraId="637291E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追加 2 个场景：</w:t>
            </w:r>
          </w:p>
          <w:p w14:paraId="27627E4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剩余天数为负必须判为已过期</w:t>
            </w:r>
          </w:p>
          <w:p w14:paraId="6A1CD1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某证书有效期至 2026-09-15，当前系统日期为 2026-09-27</w:t>
            </w:r>
          </w:p>
          <w:p w14:paraId="790EA8E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系统执行每日证书健康检查</w:t>
            </w:r>
          </w:p>
          <w:p w14:paraId="661EB04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该证书剩余有效天数计算为 −12 天</w:t>
            </w:r>
          </w:p>
          <w:p w14:paraId="58E1F00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证书状态判定为"已过期"而非"临期"</w:t>
            </w:r>
          </w:p>
          <w:p w14:paraId="10F17FB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自动熔断并下架其数字碳标签</w:t>
            </w:r>
          </w:p>
          <w:p w14:paraId="71792A2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未授权对象查询公示被拦截</w:t>
            </w:r>
          </w:p>
          <w:p w14:paraId="140D7CD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某查询方不在对外公示白名单内</w:t>
            </w:r>
          </w:p>
          <w:p w14:paraId="502F381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该查询方请求查看某产品的认证公示内容</w:t>
            </w:r>
          </w:p>
          <w:p w14:paraId="6DB41A0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请求被拦截并返回 E_CERT_PUBLIC_UNAUTHORIZED</w:t>
            </w:r>
          </w:p>
          <w:p w14:paraId="67551EA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仅返回"未授权公示"占位，不回传机构名、证书编号以外的任何字段</w:t>
            </w:r>
          </w:p>
        </w:tc>
      </w:tr>
    </w:tbl>
    <w:p w14:paraId="50FD4253">
      <w:pPr>
        <w:pStyle w:val="4"/>
        <w:numPr>
          <w:ilvl w:val="0"/>
          <w:numId w:val="135"/>
        </w:numPr>
        <w:topLinePunct w:val="0"/>
        <w:ind w:left="0" w:leftChars="0" w:firstLine="0" w:firstLineChars="0"/>
        <w:outlineLvl w:val="0"/>
        <w:rPr>
          <w:rFonts w:hint="eastAsia" w:eastAsia="黑体"/>
          <w:b w:val="0"/>
          <w:bCs w:val="0"/>
          <w:sz w:val="30"/>
          <w:szCs w:val="32"/>
        </w:rPr>
      </w:pPr>
      <w:bookmarkStart w:id="57" w:name="_Toc22621"/>
      <w:r>
        <w:rPr>
          <w:rFonts w:ascii="Times New Roman" w:hAnsi="Times New Roman" w:eastAsia="黑体" w:cs="Times New Roman"/>
          <w:b w:val="0"/>
          <w:bCs w:val="0"/>
          <w:sz w:val="30"/>
          <w:szCs w:val="32"/>
        </w:rPr>
        <w:t>因子库管理</w:t>
      </w:r>
      <w:bookmarkEnd w:id="57"/>
    </w:p>
    <w:p w14:paraId="6B81ED8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板块导语｜因子库管理</w:t>
      </w:r>
    </w:p>
    <w:p w14:paraId="67251D2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本板块是集采中心的"参数底座"：把核算引擎所需的四类基础参数——原材料碳排因子、电力碳排因子、能源活动碳排因子、折标煤系数——以版本化的方式纳管，为 LCA 核算、Scope 1/2 排放计算与 CBAM 申报提供可追溯的输入。板块下辖 4 个模块，页面结构高度一致（筛选条 + 单表 + 版本记录）。</w:t>
      </w:r>
    </w:p>
    <w:p w14:paraId="705C631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边界声明（本板块最重要的一条）：本板块仅提供展示与查询。截图 #32~#35 顶部提示条原文为「……仅展示与查询，维护入口在 系统管理 &gt; 能碳基础因子管理」。因此：</w:t>
      </w:r>
    </w:p>
    <w:p w14:paraId="229D7EE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因子的新增、编辑、版本发布、回滚全部在第四章《系统管理、基础参数设置》→「能碳基础因子管理」完成；</w:t>
      </w:r>
    </w:p>
    <w:p w14:paraId="7A658D2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本板块只保留查看因子构成详情与查看版本记录两个只读动作；</w:t>
      </w:r>
    </w:p>
    <w:p w14:paraId="20C9EB1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原稿在本板块写入"新增因子 / 编辑 / 删除 / 回滚"等写操作，与截图不符，须一并删除或改注为"跳转第四章维护"。</w:t>
      </w:r>
    </w:p>
    <w:p w14:paraId="1544EAB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与「实景数据库」的区别：本板块是一类一档的输入参数（如"电解铜 3.42 kgCO₂e/kg"），实景数据库是一事一档的输出结果（如"SFZ-63000/110 在沈变本部 2026-07 的 8,788.871 kgCO₂e/台"）。前者行数随物料/能源品种增长，后者行数随型号 × 单位 × 账期增长。</w:t>
      </w:r>
    </w:p>
    <w:p w14:paraId="5DF00DA9">
      <w:pPr>
        <w:pStyle w:val="5"/>
        <w:numPr>
          <w:ilvl w:val="0"/>
          <w:numId w:val="194"/>
        </w:numPr>
        <w:ind w:left="0" w:leftChars="0" w:firstLine="0" w:firstLineChars="0"/>
        <w:outlineLvl w:val="1"/>
        <w:rPr>
          <w:rFonts w:ascii="Times New Roman" w:hAnsi="Times New Roman" w:eastAsia="黑体" w:cs="Times New Roman"/>
          <w:b w:val="0"/>
          <w:bCs w:val="0"/>
          <w:sz w:val="30"/>
          <w:szCs w:val="24"/>
        </w:rPr>
      </w:pPr>
      <w:bookmarkStart w:id="58" w:name="_Toc17942"/>
      <w:r>
        <w:rPr>
          <w:rFonts w:ascii="Times New Roman" w:hAnsi="Times New Roman" w:eastAsia="黑体" w:cs="Times New Roman"/>
          <w:b w:val="0"/>
          <w:bCs w:val="0"/>
          <w:sz w:val="30"/>
          <w:szCs w:val="24"/>
        </w:rPr>
        <w:t xml:space="preserve">原材料碳排因子</w:t>
      </w:r>
      <w:bookmarkEnd w:id="58"/>
    </w:p>
    <w:p w14:paraId="24F8E329">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7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33"/>
                    <pic:cNvPicPr>
                      <a:picLocks noChangeAspect="1"/>
                    </pic:cNvPicPr>
                  </pic:nvPicPr>
                  <pic:blipFill>
                    <a:blip r:embed="rId91"/>
                    <a:stretch>
                      <a:fillRect/>
                    </a:stretch>
                  </pic:blipFill>
                  <pic:spPr>
                    <a:xfrm>
                      <a:off x="0" y="0"/>
                      <a:ext cx="5900420" cy="2925445"/>
                    </a:xfrm>
                    <a:prstGeom prst="rect">
                      <a:avLst/>
                    </a:prstGeom>
                    <a:noFill/>
                    <a:ln>
                      <a:noFill/>
                    </a:ln>
                  </pic:spPr>
                </pic:pic>
              </a:graphicData>
            </a:graphic>
          </wp:inline>
        </w:drawing>
      </w:r>
    </w:p>
    <w:p w14:paraId="4C54DA69">
      <w:pPr>
        <w:pStyle w:val="6"/>
        <w:numPr>
          <w:ilvl w:val="0"/>
          <w:numId w:val="195"/>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定位与架构角色</w:t>
      </w:r>
    </w:p>
    <w:p w14:paraId="220CB3B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功能定位：作为产品生命周期核算与 CBAM 申报的核心物料参数基石，面向变压器与线缆两大产业的核心主材，提供因子建库查询、当前值与默认值双轨对比、摇篮到大门（Cradle-to-Gate）工序构成拆解、版本不可变冻结与可信回滚的只读视图。</w:t>
      </w:r>
    </w:p>
    <w:p w14:paraId="49BF1F0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承载角色：P4 碳核算工程师（主查阅与构成核验）、P2 园区能碳专员（本园区相关物料查阅）、P6 外部独立审计机构（只读核验）。因子维护权限归第四章，本板块角色均为只读。</w:t>
      </w:r>
    </w:p>
    <w:p w14:paraId="73ABBE7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页面路由：/carbon-footprint/factor/material。</w:t>
      </w:r>
    </w:p>
    <w:p w14:paraId="3789AFC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上游依赖：第四章「能碳基础因子管理」的因子主数据（含版本表）、供应商实测报告与第三方核证声明、Ecoinvent / CLCD 外部数据库。</w:t>
      </w:r>
    </w:p>
    <w:p w14:paraId="55384DF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下游输出：实景数据库与碳足迹核算的物料因子输入、CBAM 隐含碳核算底数、数字碳标签报告中的因子版本引用清单。</w:t>
      </w:r>
    </w:p>
    <w:p w14:paraId="767EC06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数据权限：可查看组织范围＝集团全量（因子为公共参数，不做组织隔离）；跨单位聚合＝不适用；对外可见档位＝INTERNAL（因子的"数据来源"与"提供方"字段含供应商信息，对外须脱敏）；越权写入返回 403 + E_AUTH_RLS_SCOPE_DENIED。</w:t>
      </w:r>
    </w:p>
    <w:p w14:paraId="1DE9B02B">
      <w:pPr>
        <w:pStyle w:val="6"/>
        <w:numPr>
          <w:ilvl w:val="0"/>
          <w:numId w:val="195"/>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业务场景与用户故事</w:t>
      </w:r>
    </w:p>
    <w:p w14:paraId="3DC080DF">
      <w:pPr>
        <w:pStyle w:val="19"/>
        <w:bidi w:val="0"/>
      </w:pPr>
      <w:r>
        <w:rPr>
          <w:b/>
          <w:bCs/>
        </w:rPr>
        <w:t>业务场景</w:t>
      </w:r>
      <w:r>
        <w:t>：应对国际高标准绿色装备招标或欧盟CBAM碳关税时，碳核算工程师需将行业缺省因子替换为宝钢高牌号取向硅钢片、江西铜业低碳铜杆的供应商一级实测因子，以压降产品碳足迹并建立出海竞争力；某批次实测数据出现争议时，支持</w:t>
      </w:r>
      <w:r>
        <w:rPr>
          <w:rFonts w:hint="eastAsia"/>
          <w:lang w:eastAsia="zh-CN"/>
        </w:rPr>
        <w:t>回</w:t>
      </w:r>
      <w:r>
        <w:t>滚至上一核准基准版本并保留全链审计留痕。</w:t>
      </w:r>
    </w:p>
    <w:p w14:paraId="7043117E">
      <w:pPr>
        <w:pStyle w:val="19"/>
        <w:bidi w:val="0"/>
      </w:pPr>
      <w:r>
        <w:rPr>
          <w:b/>
          <w:bCs/>
        </w:rPr>
        <w:t>用户故事</w:t>
      </w:r>
      <w:r>
        <w:t>：</w:t>
      </w:r>
    </w:p>
    <w:p w14:paraId="0902ECB4">
      <w:pPr>
        <w:pStyle w:val="19"/>
        <w:bidi w:val="0"/>
      </w:pPr>
      <w:r>
        <w:t>As a 碳核算与认证工程师 (Persona P4)，</w:t>
      </w:r>
    </w:p>
    <w:p w14:paraId="52CC35AC">
      <w:pPr>
        <w:pStyle w:val="19"/>
        <w:bidi w:val="0"/>
      </w:pPr>
      <w:r>
        <w:t>I want 在原材料碳排因子库中按适用产业和产品套系检索物料，维护当前因子值、摇篮到大门工序构成与核查证明，并在升级版本时将原值自动沉淀为对比默认值，</w:t>
      </w:r>
    </w:p>
    <w:p w14:paraId="41F5CBA7">
      <w:pPr>
        <w:pStyle w:val="19"/>
        <w:bidi w:val="0"/>
      </w:pPr>
      <w:r>
        <w:t>So that 我能在产品 LCA 核算中精准调用低碳主材实测因子降低核算碳排，同时保留完备的版本变更链条以通过第三方机构独立核验。</w:t>
      </w:r>
    </w:p>
    <w:p w14:paraId="7220C950">
      <w:pPr>
        <w:pStyle w:val="19"/>
        <w:bidi w:val="0"/>
      </w:pPr>
    </w:p>
    <w:p w14:paraId="575454D2">
      <w:pPr>
        <w:pStyle w:val="6"/>
        <w:numPr>
          <w:ilvl w:val="0"/>
          <w:numId w:val="195"/>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功能规格与交互契约</w:t>
      </w:r>
    </w:p>
    <w:p w14:paraId="3F2EE59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1）顶部提示条（常驻）："原材料碳排因子 仅展示与查询，维护入口在 系统管理 &gt; 能碳基础因子管理"。</w:t>
      </w:r>
    </w:p>
    <w:p w14:paraId="35BECBD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2）筛选条：产品（全部产品因子集）· 应用产业签（全部 / 变压器产业 / 线缆产业 / 开关产业 / 通用）· 名称检索框 · 右上「+ 新增因子」（点击后跳转第四章维护页，不在本页弹窗）。</w:t>
      </w:r>
    </w:p>
    <w:p w14:paraId="277DAAC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3）主表列：原材料名称 · 适用产业 · 因子值（当前 / 默认） · 单位 · 数据来源 · 版本 · 操作。</w:t>
      </w:r>
    </w:p>
    <w:p w14:paraId="5BE5DF7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4）行操作（只读三件套）：构成详情（抽屉，展示多供应商加权与工序构成）· 编辑（跳转第四章，并在本页置灰提示"维护入口在系统管理"）· 版本记录（抽屉）· 删除（跳转第四章）。</w:t>
      </w:r>
    </w:p>
    <w:p w14:paraId="55ABF0E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5）双轨呈现："因子值"列上下两行，上行标注"当前"、下行标注"默认"；两者不同时当前值加粗并在版本号旁标 ▲。</w:t>
      </w:r>
    </w:p>
    <w:p w14:paraId="4AD54BD9">
      <w:pPr>
        <w:pStyle w:val="6"/>
        <w:numPr>
          <w:ilvl w:val="0"/>
          <w:numId w:val="195"/>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C5E2C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0FE8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4C454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641B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161C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E5BB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C215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原材料名称</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EB6A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6C2C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6EDE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唯一；示例 取向硅钢片 / 电解铜 / 电工铝（铝锭）/ 环氧树脂 / 交联聚乙烯（XLPE）/ 绝缘纸板</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D401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242E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适用产业</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DBB3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E21D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D43B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变压器产业 / 线缆产业 / 开关产业 / 通用</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0C2F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36D5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因子值（当前）</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0F9F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4115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kgCO₂e/kg</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EAD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&gt; 0 强制（≤ 0 阻断）</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3A65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1BAD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因子值（默认）</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DB61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B47E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kgCO₂e/kg</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0102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无历史基准时置 -- ；严禁显示 0</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4F5A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2B23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数据来源</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88D1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D3A3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334F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供应商实测 / 第三方核证 / 行业标准 / 国家标准 / IPCC 缺省值</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92C0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1B7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版本</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A59A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72EA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D485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形如 v3.2 ；只读</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D687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8AD1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核验机构</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D65A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8300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3D10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构成详情抽屉内展示</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4D25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1A09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有效截止期</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AF3E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日期</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39F1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C1A7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构成详情抽屉内展示</w:t>
            </w:r>
          </w:p>
        </w:tc>
      </w:tr>
    </w:tbl>
    <w:p w14:paraId="65567BB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截图实测样本（可直接作为验收数据）：取向硅钢片 / 变压器产业 / 当前 2.8950、默认 2.3217 / kgCO₂e/kg / 供应商实测 / v3.2；电解铜 / 通用 / 3.4200 / 3.5397 / 第三方核证 / v3.2；电工铝（铝锭）/ 线缆产业 / 8.1000 / 8.1000 / 行业标准 / v2.6；环氧树脂 / 变压器产业 / 5.6800 / 5.6800 / 供应商实测 / v2.4；交联聚乙烯（XLPE）/ 线缆产业 / 2.3100 / 2.3100 / 国家标准 / v2.1；绝缘纸板 / 通用 / 1.1200 / 1.1200 / IPCC 缺省值 / v1.9。</w:t>
      </w:r>
    </w:p>
    <w:p w14:paraId="6877C008">
      <w:pPr>
        <w:pStyle w:val="6"/>
        <w:numPr>
          <w:ilvl w:val="0"/>
          <w:numId w:val="195"/>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3997E0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算式（Unicode 体例，与本章其余 12 个模块一致）：</w:t>
            </w:r>
          </w:p>
          <w:p w14:paraId="362094F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① EF_mat = Σ(k=1→m) [ W_k ÷ Σ(j=1→m) W_j × EF_k ]　—— 多供应商混料加权综合因子</w:t>
            </w:r>
          </w:p>
          <w:p w14:paraId="37C15B1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② ΔEF_pct = ( EF_current − EF_default ) ÷ EF_default × 100%　—— 因子版本变动偏离率</w:t>
            </w:r>
          </w:p>
          <w:p w14:paraId="2A820AC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③ DQR = ( TeR + GeR + TiR + ReR ) ÷ 4　—— 数据质量四维综合评级</w:t>
            </w:r>
          </w:p>
          <w:p w14:paraId="6FD8AD4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④ C_material = Σ(i=1→n) ( M_i × EF_mat,i )　—— 产品原材料阶段总碳足迹</w:t>
            </w:r>
          </w:p>
        </w:tc>
      </w:tr>
    </w:tbl>
    <w:p w14:paraId="51CD010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变量定义与取值约定：</w:t>
      </w:r>
    </w:p>
    <w:p w14:paraId="344E2BE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W_k：向第 k 家供应商采购该物料的实际重量（kg 或 t）；EF_k：对应供应商核证因子（kgCO₂e/kg）；</w:t>
      </w:r>
    </w:p>
    <w:p w14:paraId="31050F3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TeR（技术代表性）、GeR（地理代表性）、TiR（时间代表性）、ReR（可靠性）分别按 1~5 档评分；</w:t>
      </w:r>
    </w:p>
    <w:p w14:paraId="225CD48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DQR 分级：DQR ≤ 1.6 判定为高质量（一级数据）；1.6 &lt; DQR ≤ 3.0 判定为中质量；DQR &gt; 3.0 判定为低质量并触发合规预警；</w:t>
      </w:r>
    </w:p>
    <w:p w14:paraId="6777677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M_i：第 i 种物料净重（kg）；n：物料种类数；</w:t>
      </w:r>
    </w:p>
    <w:p w14:paraId="506D927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ΔEF_pct 为负值代表物料绿色低碳化升级，正值代表碳排放强度上升。</w:t>
      </w:r>
    </w:p>
    <w:p w14:paraId="369852D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取值示例：某变压器物料由 3 家供应商混料：甲 60 t（EF 2.9000）、乙 30 t（EF 3.1000）、丙 10 t（EF 2.5000），ΣW = 100 t →</w:t>
      </w:r>
    </w:p>
    <w:p w14:paraId="697A397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EF_mat = (60÷100 × 2.9000) + (30÷100 × 3.1000) + (10÷100 × 2.5000) = 1.7400 + 0.9300 + 0.2500 = 2.9200 kgCO₂e/kg。</w:t>
      </w:r>
    </w:p>
    <w:p w14:paraId="59D6CFB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取向硅钢片：EF_current 2.8950、EF_default 2.3217 → ΔEF_pct = (2.8950 − 2.3217) ÷ 2.3217 × 100% = +24.69%（&gt; +5.00%，标黄提示）。</w:t>
      </w:r>
    </w:p>
    <w:p w14:paraId="40D3E89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精度与容差：因子值保留 4 位小数；ΔEF_pct 保留 2 位小数；DQR 保留 2 位小数；四维评分为整数（1~5）；加权计算按全精度累加、末位一次舍入，与明细列示值容差 ≤ ±0.0001。</w:t>
      </w:r>
    </w:p>
    <w:p w14:paraId="256F21CF">
      <w:pPr>
        <w:pStyle w:val="6"/>
        <w:numPr>
          <w:ilvl w:val="0"/>
          <w:numId w:val="195"/>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展示、对标与判定口径</w:t>
      </w:r>
    </w:p>
    <w:p w14:paraId="53A6319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双轨口径：因子列表常态展示当前值与默认值，默认值作为时序对标基准。</w:t>
      </w:r>
    </w:p>
    <w:p w14:paraId="5C2D421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偏离口径：ΔEF_pct ≤ −5.00% 标记绿色优化箭头；−5.00% &lt; ΔEF_pct ≤ +5.00% 标记灰色持平；ΔEF_pct &gt; +5.00% 标记黄色提示。</w:t>
      </w:r>
    </w:p>
    <w:p w14:paraId="14DDF6B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锁定口径：凡被标记为 LCA_CERTIFIED 或 CBAM_DECLARED 报告所引用的因子版本强制锁定，仅允许通过发布新版本推进。</w:t>
      </w:r>
    </w:p>
    <w:p w14:paraId="3501D8B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空值口径：新建因子无历史基准时默认值显示 --；缺失实测值时强制匹配公用数据库缺省值，严禁显示 0。</w:t>
      </w:r>
    </w:p>
    <w:p w14:paraId="2994917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溯源口径：每个因子卡片与行内明确展示版本号、核验机构、有效截止期与操作员工号，保障审计双向追溯。</w:t>
      </w:r>
    </w:p>
    <w:p w14:paraId="775BC4E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偏离率三档阈值 ±5.00%（闭区间归属：−5.00% 计入绿色档，+5.00% 计入灰色档）；② DQR 阈值 1.6 / 3.0，分级为高质量 / 中质量 / 低质量；③ 因子值硬阈值 &gt; 0，等于 0 亦阻断（避免与"缺失"混淆）；④ 加权分母安全阈值：ΣW = 0 时兜底采用国家标准缺省值；⑤ 基准来源：默认值 = 该因子上一有效版本的当前值（首版时置 --），非行业均值、非全国均值；⑥ 数据来源优先级基准：供应商实测 &gt; 第三方核证 &gt; 行业标准 &gt; 国家标准 &gt; IPCC 缺省值。</w:t>
      </w:r>
    </w:p>
    <w:p w14:paraId="7719793E">
      <w:pPr>
        <w:pStyle w:val="6"/>
        <w:numPr>
          <w:ilvl w:val="0"/>
          <w:numId w:val="195"/>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边界条件、异常处理与防错规则</w:t>
      </w:r>
    </w:p>
    <w:p w14:paraId="5C6E871C">
      <w:pPr>
        <w:pStyle w:val="175"/>
        <w:bidi w:val="0"/>
      </w:pPr>
      <w:r>
        <w:t>除零安全防御：多供应商加权核算中，当采购总重 Σ W_j = 0 时，加权因子自动兜底采用国家标准缺省值，记录 E_CALC_FACTOR_WEIGHT_ZERO_FALLBACK ，系统不出现 NaN 或白屏。</w:t>
      </w:r>
    </w:p>
    <w:p w14:paraId="3574A199">
      <w:pPr>
        <w:pStyle w:val="175"/>
        <w:bidi w:val="0"/>
      </w:pPr>
      <w:r>
        <w:t>因子数值非正数强阻断：录入因子必须满足 EF_current &gt; 0，输入 ≤ 0 时阻断提交并提示“因子数值必须严格大于0”，触发 E_VAL_FACTOR_NON_POSITIVE 。</w:t>
      </w:r>
    </w:p>
    <w:p w14:paraId="580D7E01">
      <w:pPr>
        <w:pStyle w:val="175"/>
        <w:bidi w:val="0"/>
      </w:pPr>
      <w:r>
        <w:t>在用因子物理删除阻断：已被认证报告引用的因子版本禁止执行物理删除，系统弹出强阻断提示并返回错误码  E_FACTOR_IN_USE_DELETE_DENIED 。</w:t>
      </w:r>
    </w:p>
    <w:p w14:paraId="2A6389C9">
      <w:pPr>
        <w:pStyle w:val="175"/>
        <w:bidi w:val="0"/>
      </w:pPr>
      <w:r>
        <w:t>版本号冲突阻断：手动录入版本号若低于当前版本或与已有版本重复，系统阻断保存，触发  E_FACTOR_VERSION_CONFLICT 。</w:t>
      </w:r>
    </w:p>
    <w:p w14:paraId="2E9D9E67">
      <w:pPr>
        <w:pStyle w:val="175"/>
        <w:bidi w:val="0"/>
      </w:pPr>
      <w:r>
        <w:t>RBAC 越权拦截：仅 P4 角色具备因子新增、编辑与回滚权限，非授权角色操作返回  HTTP 403 ，触发  E_AUTH_RBAC_FORBIDDEN 。</w:t>
      </w:r>
    </w:p>
    <w:p w14:paraId="0C32C0B6">
      <w:pPr>
        <w:pStyle w:val="175"/>
        <w:bidi w:val="0"/>
      </w:pPr>
      <w:r>
        <w:t>回滚必须留痕：执行版本回滚必须填写不少于 10 个字符的业务原因说明，空理由禁止提交。</w:t>
      </w:r>
    </w:p>
    <w:p w14:paraId="1EB759FD">
      <w:pPr>
        <w:pStyle w:val="6"/>
        <w:numPr>
          <w:ilvl w:val="0"/>
          <w:numId w:val="195"/>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7937E4F0">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2796A486">
            <w:pPr>
              <w:pStyle w:val="19"/>
              <w:bidi w:val="0"/>
            </w:pPr>
            <w:r>
              <w:t>Feature: 原材料碳排因子全生命周期治理与版本控制</w:t>
            </w:r>
          </w:p>
          <w:p w14:paraId="5B847ED2">
            <w:pPr>
              <w:pStyle w:val="19"/>
              <w:bidi w:val="0"/>
            </w:pPr>
            <w:r>
              <w:t xml:space="preserve">  Scenario: 供应商实测高保真因子新增与版本初始化</w:t>
            </w:r>
          </w:p>
          <w:p w14:paraId="3A9ABBAE">
            <w:pPr>
              <w:pStyle w:val="19"/>
              <w:bidi w:val="0"/>
            </w:pPr>
            <w:r>
              <w:t xml:space="preserve">    Given P4 认证工程师登录</w:t>
            </w:r>
            <w:r>
              <w:rPr>
                <w:rFonts w:hint="eastAsia"/>
                <w:lang w:eastAsia="zh-CN"/>
              </w:rPr>
              <w:t>进入</w:t>
            </w:r>
            <w:r>
              <w:t>变压器产业原材料因子管理界面</w:t>
            </w:r>
          </w:p>
          <w:p w14:paraId="71DF962F">
            <w:pPr>
              <w:pStyle w:val="19"/>
              <w:bidi w:val="0"/>
            </w:pPr>
            <w:r>
              <w:t xml:space="preserve">    When 点击新建因子，录入名称 "高磁导取向硅钢片", 产业 "变压器产业", 因子值 1.9500, 单位 "kgCO2e/kg", 来源 "供应商实测", 提供方 "宝钢股份"</w:t>
            </w:r>
          </w:p>
          <w:p w14:paraId="45735678">
            <w:pPr>
              <w:pStyle w:val="19"/>
              <w:bidi w:val="0"/>
              <w:rPr>
                <w:rFonts w:hint="eastAsia" w:eastAsia="宋体"/>
                <w:lang w:eastAsia="zh-CN"/>
              </w:rPr>
            </w:pPr>
            <w:r>
              <w:rPr>
                <w:rFonts w:hint="eastAsia"/>
                <w:lang w:eastAsia="zh-CN"/>
              </w:rPr>
              <w:t xml:space="preserve">    Then 系统保存成功，生成RM开头的唯一编码</w:t>
            </w:r>
          </w:p>
          <w:p w14:paraId="162B7428">
            <w:pPr>
              <w:pStyle w:val="19"/>
              <w:bidi w:val="0"/>
            </w:pPr>
            <w:r>
              <w:t xml:space="preserve">    And 当前生效因子值显示为 1.9500</w:t>
            </w:r>
          </w:p>
          <w:p w14:paraId="2AF3C080">
            <w:pPr>
              <w:pStyle w:val="19"/>
              <w:bidi w:val="0"/>
            </w:pPr>
            <w:r>
              <w:t xml:space="preserve">    And 默认值列自动初始化为 1.9500</w:t>
            </w:r>
          </w:p>
          <w:p w14:paraId="7C1B7463">
            <w:pPr>
              <w:pStyle w:val="19"/>
              <w:bidi w:val="0"/>
            </w:pPr>
            <w:r>
              <w:t xml:space="preserve">    And 历史版本流水写入版本号 "v1.0" 与操作人员工号</w:t>
            </w:r>
          </w:p>
          <w:p w14:paraId="1D134F08">
            <w:pPr>
              <w:pStyle w:val="19"/>
              <w:bidi w:val="0"/>
            </w:pPr>
          </w:p>
          <w:p w14:paraId="4ED0F149">
            <w:pPr>
              <w:pStyle w:val="19"/>
              <w:bidi w:val="0"/>
            </w:pPr>
            <w:r>
              <w:t xml:space="preserve">  Scenario: 被引用因子不可变性与删除强阻断防御</w:t>
            </w:r>
          </w:p>
          <w:p w14:paraId="1CC6A82A">
            <w:pPr>
              <w:pStyle w:val="19"/>
              <w:bidi w:val="0"/>
            </w:pPr>
            <w:r>
              <w:t xml:space="preserve">    Given 原材料因子 "电解铜" (RM002, v3.2) 已被型号 "SZ11-50000/110" 的已归档 LCA 报告引用</w:t>
            </w:r>
          </w:p>
          <w:p w14:paraId="03AD4AAD">
            <w:pPr>
              <w:pStyle w:val="19"/>
              <w:bidi w:val="0"/>
            </w:pPr>
            <w:r>
              <w:t xml:space="preserve">    When 用户</w:t>
            </w:r>
            <w:r>
              <w:rPr>
                <w:rFonts w:hint="eastAsia"/>
                <w:lang w:eastAsia="zh-CN"/>
              </w:rPr>
              <w:t>尝试点击</w:t>
            </w:r>
            <w:r>
              <w:t>列表操作列</w:t>
            </w:r>
            <w:r>
              <w:rPr>
                <w:rFonts w:hint="eastAsia"/>
                <w:lang w:eastAsia="zh-CN"/>
              </w:rPr>
              <w:t>的</w:t>
            </w:r>
            <w:r>
              <w:t xml:space="preserve"> "删除" 按钮</w:t>
            </w:r>
          </w:p>
          <w:p w14:paraId="62A2DA25">
            <w:pPr>
              <w:pStyle w:val="19"/>
              <w:bidi w:val="0"/>
            </w:pPr>
            <w:r>
              <w:t xml:space="preserve">    Then "删除" 按钮置灰禁用</w:t>
            </w:r>
            <w:r>
              <w:rPr>
                <w:rFonts w:hint="eastAsia"/>
                <w:lang w:eastAsia="zh-CN"/>
              </w:rPr>
              <w:t>，</w:t>
            </w:r>
            <w:r>
              <w:t>悬停提示 "该因子已被生效报告引用，禁止删除"</w:t>
            </w:r>
          </w:p>
          <w:p w14:paraId="161527CA">
            <w:pPr>
              <w:pStyle w:val="19"/>
              <w:bidi w:val="0"/>
            </w:pPr>
            <w:r>
              <w:t xml:space="preserve">    And 后台 API 拦截该 DELETE 请求</w:t>
            </w:r>
            <w:r>
              <w:rPr>
                <w:rFonts w:hint="eastAsia"/>
                <w:lang w:eastAsia="zh-CN"/>
              </w:rPr>
              <w:t>，</w:t>
            </w:r>
            <w:r>
              <w:t>返回错误码 E_FACTOR_IN_USE_DELETE_DENIED</w:t>
            </w:r>
          </w:p>
          <w:p w14:paraId="07A22D40">
            <w:pPr>
              <w:pStyle w:val="19"/>
              <w:bidi w:val="0"/>
            </w:pPr>
            <w:r>
              <w:t xml:space="preserve">    And 数据库中该行数据保持完整</w:t>
            </w:r>
          </w:p>
          <w:p w14:paraId="367AE58D">
            <w:pPr>
              <w:pStyle w:val="19"/>
              <w:bidi w:val="0"/>
            </w:pPr>
          </w:p>
          <w:p w14:paraId="68D6E8B4">
            <w:pPr>
              <w:pStyle w:val="19"/>
              <w:bidi w:val="0"/>
            </w:pPr>
            <w:r>
              <w:t xml:space="preserve">  Scenario: 因子版本一键回滚与默认值重置流水断言</w:t>
            </w:r>
          </w:p>
          <w:p w14:paraId="34A64697">
            <w:pPr>
              <w:pStyle w:val="19"/>
              <w:bidi w:val="0"/>
            </w:pPr>
            <w:r>
              <w:t xml:space="preserve">    Given 原材料因子 "电工铝锭" 当前版本 "v2.6"</w:t>
            </w:r>
            <w:r>
              <w:rPr>
                <w:rFonts w:hint="eastAsia"/>
                <w:lang w:eastAsia="zh-CN"/>
              </w:rPr>
              <w:t>、</w:t>
            </w:r>
            <w:r>
              <w:t>因子值 8.1000</w:t>
            </w:r>
            <w:r>
              <w:rPr>
                <w:rFonts w:hint="eastAsia"/>
                <w:lang w:eastAsia="zh-CN"/>
              </w:rPr>
              <w:t>，</w:t>
            </w:r>
            <w:r>
              <w:t>历史存在版本 "v2.5" (因子值 7.8000)</w:t>
            </w:r>
          </w:p>
          <w:p w14:paraId="4E0E22EA">
            <w:pPr>
              <w:pStyle w:val="19"/>
              <w:bidi w:val="0"/>
            </w:pPr>
            <w:r>
              <w:t xml:space="preserve">    When 用户在版本抽屉选中 "v2.5" 点击 "回滚至此版本"</w:t>
            </w:r>
            <w:r>
              <w:rPr>
                <w:rFonts w:hint="eastAsia"/>
                <w:lang w:eastAsia="zh-CN"/>
              </w:rPr>
              <w:t>，</w:t>
            </w:r>
            <w:r>
              <w:t>填写理由 "有色协会数据复测更正说明"</w:t>
            </w:r>
          </w:p>
          <w:p w14:paraId="640E6477">
            <w:pPr>
              <w:pStyle w:val="19"/>
              <w:bidi w:val="0"/>
            </w:pPr>
            <w:r>
              <w:t xml:space="preserve">    Then 因子当前生效值更新为 7.8000</w:t>
            </w:r>
          </w:p>
          <w:p w14:paraId="11397872">
            <w:pPr>
              <w:pStyle w:val="19"/>
              <w:bidi w:val="0"/>
            </w:pPr>
            <w:r>
              <w:t xml:space="preserve">    And 默认值列自动变更为回滚前当前值 8.1000</w:t>
            </w:r>
          </w:p>
          <w:p w14:paraId="0E2B0916">
            <w:pPr>
              <w:pStyle w:val="19"/>
              <w:bidi w:val="0"/>
            </w:pPr>
            <w:r>
              <w:t xml:space="preserve">    And 系统生成新版本节点 "v3.0 (回滚自 v2.5)"</w:t>
            </w:r>
          </w:p>
          <w:p w14:paraId="089BC415">
            <w:pPr>
              <w:pStyle w:val="19"/>
              <w:bidi w:val="0"/>
              <w:rPr>
                <w:rFonts w:hint="eastAsia" w:eastAsia="宋体"/>
                <w:lang w:eastAsia="zh-CN"/>
              </w:rPr>
            </w:pPr>
            <w:r>
              <w:rPr>
                <w:rFonts w:hint="eastAsia"/>
                <w:lang w:eastAsia="zh-CN"/>
              </w:rPr>
              <w:t xml:space="preserve">    And 审计日志表新增 "因子版本回滚" 操作留痕</w:t>
            </w:r>
          </w:p>
          <w:p w14:paraId="0506A701">
            <w:pPr>
              <w:pStyle w:val="19"/>
              <w:bidi w:val="0"/>
            </w:pPr>
          </w:p>
          <w:p w14:paraId="14E8A328">
            <w:pPr>
              <w:pStyle w:val="19"/>
              <w:bidi w:val="0"/>
            </w:pPr>
            <w:r>
              <w:t xml:space="preserve">  Scenario: 极限数值除零防御与非法输入拦截</w:t>
            </w:r>
          </w:p>
          <w:p w14:paraId="66BB79D2">
            <w:pPr>
              <w:pStyle w:val="19"/>
              <w:bidi w:val="0"/>
            </w:pPr>
            <w:r>
              <w:t xml:space="preserve">    Given 用户在录入界面将因子值输入为 "0" 或 "-1.25"</w:t>
            </w:r>
          </w:p>
          <w:p w14:paraId="58D8DC7F">
            <w:pPr>
              <w:pStyle w:val="19"/>
              <w:bidi w:val="0"/>
            </w:pPr>
            <w:r>
              <w:t xml:space="preserve">    When 用户点击确认提交</w:t>
            </w:r>
          </w:p>
          <w:p w14:paraId="02C90075">
            <w:pPr>
              <w:pStyle w:val="19"/>
              <w:bidi w:val="0"/>
            </w:pPr>
            <w:r>
              <w:t xml:space="preserve">    Then 输入框下方</w:t>
            </w:r>
            <w:r>
              <w:rPr>
                <w:rFonts w:hint="eastAsia"/>
                <w:lang w:eastAsia="zh-CN"/>
              </w:rPr>
              <w:t>显示</w:t>
            </w:r>
            <w:r>
              <w:t>红色校验告警 "因子数值必须严格大于0"</w:t>
            </w:r>
          </w:p>
          <w:p w14:paraId="4AD01CAA">
            <w:pPr>
              <w:pStyle w:val="19"/>
              <w:bidi w:val="0"/>
              <w:rPr>
                <w:rFonts w:hint="eastAsia" w:eastAsia="宋体"/>
                <w:lang w:eastAsia="zh-CN"/>
              </w:rPr>
            </w:pPr>
            <w:r>
              <w:rPr>
                <w:rFonts w:hint="eastAsia"/>
                <w:lang w:eastAsia="zh-CN"/>
              </w:rPr>
              <w:t xml:space="preserve">    And 提交按钮禁用，阻断后端无效请求</w:t>
            </w:r>
          </w:p>
          <w:p w14:paraId="22D46EF9">
            <w:pPr>
              <w:pStyle w:val="19"/>
              <w:bidi w:val="0"/>
            </w:pPr>
            <w:r>
              <w:t xml:space="preserve">    And 系统</w:t>
            </w:r>
            <w:r>
              <w:rPr>
                <w:rFonts w:hint="eastAsia"/>
                <w:lang w:eastAsia="zh-CN"/>
              </w:rPr>
              <w:t>无</w:t>
            </w:r>
            <w:r>
              <w:t>前端脚本崩溃或未捕获异常</w:t>
            </w:r>
          </w:p>
          <w:p w14:paraId="1624CFA9">
            <w:pPr>
              <w:pStyle w:val="19"/>
              <w:bidi w:val="0"/>
            </w:pPr>
            <w:r>
              <w:t xml:space="preserve">Scenario: 本板块写入动作一律跳转第四章</w:t>
            </w:r>
          </w:p>
          <w:p w14:paraId="49BF300B">
            <w:pPr>
              <w:pStyle w:val="19"/>
              <w:bidi w:val="0"/>
            </w:pPr>
            <w:r>
              <w:t xml:space="preserve">Given P4 在"原材料碳排因子"页面查看因子列表</w:t>
            </w:r>
          </w:p>
          <w:p w14:paraId="32AB09FF">
            <w:pPr>
              <w:pStyle w:val="19"/>
              <w:bidi w:val="0"/>
            </w:pPr>
            <w:r>
              <w:t xml:space="preserve">When 点击行内"编辑"或"删除"或右上"+ 新增因子"</w:t>
            </w:r>
          </w:p>
          <w:p w14:paraId="6362A968">
            <w:pPr>
              <w:pStyle w:val="19"/>
              <w:bidi w:val="0"/>
            </w:pPr>
            <w:r>
              <w:t xml:space="preserve">Then 不弹出本页编辑表单</w:t>
            </w:r>
          </w:p>
          <w:p w14:paraId="4D0E217B">
            <w:pPr>
              <w:pStyle w:val="19"/>
              <w:bidi w:val="0"/>
            </w:pPr>
            <w:r>
              <w:t xml:space="preserve">And 跳转至"系统管理 &gt; 能碳基础因子管理"对应因子的维护页</w:t>
            </w:r>
          </w:p>
          <w:p w14:paraId="6093A2CB">
            <w:pPr>
              <w:pStyle w:val="19"/>
              <w:bidi w:val="0"/>
            </w:pPr>
            <w:r>
              <w:t xml:space="preserve">And 本页不产生任何写操作、不写入任何审计流水</w:t>
            </w:r>
          </w:p>
        </w:tc>
      </w:tr>
    </w:tbl>
    <w:p w14:paraId="5D4D83FF">
      <w:pPr>
        <w:rPr>
          <w:rFonts w:hint="eastAsia" w:ascii="宋体" w:hAnsi="宋体" w:eastAsia="宋体" w:cs="宋体"/>
          <w:i w:val="0"/>
          <w:iCs w:val="0"/>
          <w:sz w:val="24"/>
          <w:szCs w:val="24"/>
        </w:rPr>
      </w:pPr>
    </w:p>
    <w:p w14:paraId="59CD8406">
      <w:pPr>
        <w:pStyle w:val="5"/>
        <w:numPr>
          <w:ilvl w:val="0"/>
          <w:numId w:val="194"/>
        </w:numPr>
        <w:ind w:left="0" w:leftChars="0" w:firstLine="0" w:firstLineChars="0"/>
        <w:outlineLvl w:val="1"/>
        <w:rPr>
          <w:rFonts w:ascii="Times New Roman" w:hAnsi="Times New Roman" w:eastAsia="黑体" w:cs="Times New Roman"/>
          <w:b w:val="0"/>
          <w:bCs w:val="0"/>
          <w:sz w:val="30"/>
          <w:szCs w:val="24"/>
        </w:rPr>
      </w:pPr>
      <w:bookmarkStart w:id="59" w:name="_Toc18568"/>
      <w:r>
        <w:rPr>
          <w:rFonts w:hint="eastAsia" w:cs="Times New Roman"/>
          <w:b w:val="0"/>
          <w:bCs w:val="0"/>
          <w:sz w:val="30"/>
          <w:szCs w:val="24"/>
          <w:lang w:val="en-US" w:eastAsia="zh-CN"/>
        </w:rPr>
        <w:t xml:space="preserve">电力碳排因子</w:t>
      </w:r>
      <w:bookmarkEnd w:id="59"/>
    </w:p>
    <w:p w14:paraId="6E36B94B">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7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34"/>
                    <pic:cNvPicPr>
                      <a:picLocks noChangeAspect="1"/>
                    </pic:cNvPicPr>
                  </pic:nvPicPr>
                  <pic:blipFill>
                    <a:blip r:embed="rId92"/>
                    <a:stretch>
                      <a:fillRect/>
                    </a:stretch>
                  </pic:blipFill>
                  <pic:spPr>
                    <a:xfrm>
                      <a:off x="0" y="0"/>
                      <a:ext cx="5900420" cy="2925445"/>
                    </a:xfrm>
                    <a:prstGeom prst="rect">
                      <a:avLst/>
                    </a:prstGeom>
                    <a:noFill/>
                    <a:ln>
                      <a:noFill/>
                    </a:ln>
                  </pic:spPr>
                </pic:pic>
              </a:graphicData>
            </a:graphic>
          </wp:inline>
        </w:drawing>
      </w:r>
    </w:p>
    <w:p w14:paraId="0E183B19">
      <w:pPr>
        <w:pStyle w:val="6"/>
        <w:numPr>
          <w:ilvl w:val="0"/>
          <w:numId w:val="196"/>
        </w:numPr>
        <w:bidi w:val="0"/>
        <w:ind w:left="0" w:leftChars="0" w:firstLine="0" w:firstLineChars="0"/>
        <w:rPr>
          <w:b/>
          <w:bCs/>
          <w:sz w:val="28"/>
          <w:szCs w:val="28"/>
        </w:rPr>
      </w:pPr>
      <w:r>
        <w:rPr>
          <w:b/>
          <w:bCs/>
          <w:sz w:val="28"/>
          <w:szCs w:val="28"/>
        </w:rPr>
        <w:t>定位与架构角色</w:t>
      </w:r>
    </w:p>
    <w:p w14:paraId="616DE6F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功能定位：作为全集团范围二（Scope 2）外购电力间接温室气体排放核算、车间工序分时用电碳排分析与市场化绿电消纳抵扣的核心参数库，实现国家级、区域电网级、省域电网级以及特定清洁电源级因子的统一纳管与版本同步（只读视图）。</w:t>
      </w:r>
    </w:p>
    <w:p w14:paraId="5B1B10A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承载角色：P1 集团决策层（只读查验全网平均因子）、P2 园区能碳专员（属地电网因子查阅）、P4 碳核算工程师（绿电消纳核准与证书冲抵核验）。维护权限归第四章。</w:t>
      </w:r>
    </w:p>
    <w:p w14:paraId="1C7DECE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页面路由：/carbon-footprint/factor/electricity。</w:t>
      </w:r>
    </w:p>
    <w:p w14:paraId="115C854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上游依赖：第四章「能碳基础因子管理」的电力因子主数据、生态环境部发布的区域电网基准线排放因子、绿证核销台账、自备电厂 CEMS 在线监测数据。</w:t>
      </w:r>
    </w:p>
    <w:p w14:paraId="4C51B8C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下游输出：Scope 2 间接排放核算结果、绿电消纳占比指标、CBAM 间接排放（前驱物电耗）底数。</w:t>
      </w:r>
    </w:p>
    <w:p w14:paraId="27BF45D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数据权限：可查看组织范围＝集团全量；跨单位聚合＝不适用；对外可见档位＝INTERNAL；越权写入返回 403 + E_AUTH_RLS_SCOPE_DENIED。</w:t>
      </w:r>
    </w:p>
    <w:p w14:paraId="4B63A99A">
      <w:pPr>
        <w:pStyle w:val="6"/>
        <w:numPr>
          <w:ilvl w:val="0"/>
          <w:numId w:val="196"/>
        </w:numPr>
        <w:bidi w:val="0"/>
        <w:ind w:left="0" w:leftChars="0" w:firstLine="0" w:firstLineChars="0"/>
        <w:rPr>
          <w:b/>
          <w:bCs/>
          <w:sz w:val="28"/>
          <w:szCs w:val="28"/>
        </w:rPr>
      </w:pPr>
      <w:r>
        <w:rPr>
          <w:b/>
          <w:bCs/>
          <w:sz w:val="28"/>
          <w:szCs w:val="28"/>
        </w:rPr>
        <w:t>业务场景与用户故事</w:t>
      </w:r>
    </w:p>
    <w:p w14:paraId="6D5C5C53">
      <w:pPr>
        <w:pStyle w:val="19"/>
        <w:bidi w:val="0"/>
      </w:pPr>
      <w:r>
        <w:t>• 业务场景描述：特变电工全</w:t>
      </w:r>
      <w:r>
        <w:rPr>
          <w:rFonts w:hint="eastAsia"/>
          <w:lang w:eastAsia="zh-CN"/>
        </w:rPr>
        <w:t>国共</w:t>
      </w:r>
      <w:r>
        <w:t>15大现代化产业园区，分布于新疆（西北电网）、天津/北京（华北电网）、上海（华东电网）、湖南（华中电网）、辽宁（东北电网）与广东（南方电网）</w:t>
      </w:r>
      <w:r>
        <w:rPr>
          <w:rFonts w:hint="eastAsia"/>
          <w:lang w:eastAsia="zh-CN"/>
        </w:rPr>
        <w:t>；</w:t>
      </w:r>
      <w:r>
        <w:t>不同属地电网能源结构</w:t>
      </w:r>
      <w:r>
        <w:rPr>
          <w:rFonts w:hint="eastAsia"/>
          <w:lang w:eastAsia="zh-CN"/>
        </w:rPr>
        <w:t>不同</w:t>
      </w:r>
      <w:r>
        <w:t>，</w:t>
      </w:r>
      <w:r>
        <w:rPr>
          <w:rFonts w:hint="eastAsia"/>
          <w:lang w:eastAsia="zh-CN"/>
        </w:rPr>
        <w:t>电力排放因子差异显著（从华东0.5257到西北0.6127 kgCO2e/kWh），各厂区均消纳屋顶光伏与直购绿电，</w:t>
      </w:r>
      <w:r>
        <w:t>系统需根据生产工厂</w:t>
      </w:r>
      <w:r>
        <w:rPr>
          <w:rFonts w:hint="eastAsia"/>
          <w:lang w:eastAsia="zh-CN"/>
        </w:rPr>
        <w:t>属地</w:t>
      </w:r>
      <w:r>
        <w:t>电网与绿电交易凭证精准匹配电力碳排因子。</w:t>
      </w:r>
    </w:p>
    <w:p w14:paraId="28933033">
      <w:pPr>
        <w:pStyle w:val="19"/>
        <w:bidi w:val="0"/>
      </w:pPr>
      <w:r>
        <w:t>• 用户故事：</w:t>
      </w:r>
    </w:p>
    <w:p w14:paraId="7DF06D01">
      <w:pPr>
        <w:pStyle w:val="19"/>
        <w:bidi w:val="0"/>
      </w:pPr>
      <w:r>
        <w:t xml:space="preserve">  As a 园区能碳专员 (Persona P2)，</w:t>
      </w:r>
    </w:p>
    <w:p w14:paraId="1A3C4F1C">
      <w:pPr>
        <w:pStyle w:val="19"/>
        <w:bidi w:val="0"/>
      </w:pPr>
      <w:r>
        <w:t xml:space="preserve">  I want 按照工厂属地省份与区域电网检索生效的电力碳排因子，并查看常规市电、自发自用光伏与绿电交易的对应因子值，</w:t>
      </w:r>
    </w:p>
    <w:p w14:paraId="2D71E16D">
      <w:pPr>
        <w:pStyle w:val="19"/>
        <w:bidi w:val="0"/>
      </w:pPr>
      <w:r>
        <w:t xml:space="preserve">  So that 我能准确核算车间及全厂外购电力的真实 Scope 2 间接排放，并在核销绿电后合规享受零碳排放核减。</w:t>
      </w:r>
    </w:p>
    <w:p w14:paraId="278AA572">
      <w:pPr>
        <w:pStyle w:val="19"/>
        <w:bidi w:val="0"/>
      </w:pPr>
    </w:p>
    <w:p w14:paraId="1B6B5A34">
      <w:pPr>
        <w:pStyle w:val="6"/>
        <w:numPr>
          <w:ilvl w:val="0"/>
          <w:numId w:val="196"/>
        </w:numPr>
        <w:bidi w:val="0"/>
        <w:ind w:left="0" w:leftChars="0" w:firstLine="0" w:firstLineChars="0"/>
        <w:rPr>
          <w:b/>
          <w:bCs/>
          <w:sz w:val="28"/>
          <w:szCs w:val="28"/>
        </w:rPr>
      </w:pPr>
      <w:r>
        <w:rPr>
          <w:b/>
          <w:bCs/>
          <w:sz w:val="28"/>
          <w:szCs w:val="28"/>
        </w:rPr>
        <w:t>功能规格与交互契约</w:t>
      </w:r>
    </w:p>
    <w:p w14:paraId="27F3FDA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1）顶部提示条（常驻）："电力碳排因子 仅展示与查询，维护入口在 系统管理 &gt; 能碳基础因子管理"。</w:t>
      </w:r>
    </w:p>
    <w:p w14:paraId="6D2CE1A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2）筛选条：区域电网（全部区域电网）· 名称检索框。</w:t>
      </w:r>
    </w:p>
    <w:p w14:paraId="1218564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3）主表列：区域电网 · 电力来源 · 因子值（当前 / 默认） · 单位 · 数据来源 · 版本 · 操作。</w:t>
      </w:r>
    </w:p>
    <w:p w14:paraId="3F85AD0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4）行操作：版本记录（抽屉，展示各版本因子值、生效区间与发布时间）；编辑与删除跳转第四章。</w:t>
      </w:r>
    </w:p>
    <w:p w14:paraId="10F4184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5）配套区块（建议补入 ③ 段）：页面下方宜增设"区域电网—属地映射"只读区块，用于回答"某园区该用哪个电网因子"，避免业务误用（映射关系见 ④ 段）。</w:t>
      </w:r>
    </w:p>
    <w:p w14:paraId="0068270F">
      <w:pPr>
        <w:pStyle w:val="6"/>
        <w:numPr>
          <w:ilvl w:val="0"/>
          <w:numId w:val="196"/>
        </w:numPr>
        <w:bidi w:val="0"/>
        <w:ind w:left="0" w:leftChars="0" w:firstLine="0" w:firstLineChars="0"/>
        <w:rPr>
          <w:b/>
          <w:bCs/>
          <w:sz w:val="28"/>
          <w:szCs w:val="28"/>
        </w:rPr>
      </w:pPr>
      <w:r>
        <w:rPr>
          <w:b/>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10C62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4E66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29AE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297F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4870E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4F22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E420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区域电网</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4B99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2A31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DEBD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华北 / 华东 / 华中 / 西北 / 南方 / 东北 区域电网</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425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31C3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电力来源</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7888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4A27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60D0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电网平均 / 光伏发电 / 风力发电 / 水力发电 / 绿电（市场化交易）/ 燃煤自备电厂</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8B0F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5D1D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因子值（当前 / 默认）</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942F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593F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kgCO₂e/kWh</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6E42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 0（ 允许为 0 ：绿电按 0 计量）；无历史基准时默认值置 --</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B9C6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09D9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数据来源</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1C24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C30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F4F9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国家标准 / 第三方核证 / 行业标准 / 供应商实测</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3F2C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AE36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版本</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AF0E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FAA0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4487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形如 v2024.1 / v1.3 （两类命名并存，见 ⑥ 段）</w:t>
            </w:r>
          </w:p>
        </w:tc>
      </w:tr>
    </w:tbl>
    <w:p w14:paraId="23DEDBB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截图实测样本（11 行，可直接作为验收基线）：</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C77E5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区域电网</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F93ED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电力来源</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AF3C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因子值</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94B18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数据来源</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B9A26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版本</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C599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华北区域电网</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34EA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电网平均</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AA70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0.5703</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5524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国家标准</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5C32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v2024.1</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05C5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华东区域电网</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1CA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电网平均</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674E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0.5257</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5363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国家标准</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9041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v2024.1</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D39E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西北区域电网</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BBCF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电网平均</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CCE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0.6127</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8925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国家标准</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A876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v2024.1</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1740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南方区域电网</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A849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电网平均</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C27C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0.5271</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2EF4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国家标准</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F484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v2024.1</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FC70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华中区域电网</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D809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电网平均</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3B06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0.5988</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50A3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国家标准</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7DDA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v2024.1</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905B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东北区域电网</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BBB4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电网平均</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692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0.6540</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E8C6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国家标准</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DCA9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v2024.1</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B8D6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华北区域电网</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FB6E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光伏发电</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8818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0.0480</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8EAB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第三方核证</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5CAF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v1.3</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99F3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华东区域电网</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BC60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绿电（市场化交易）</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25A6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0.0000</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2474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第三方核证</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AF31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v1.2</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04E2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西北区域电网</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1BE2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风力发电</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F452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0.0250</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627C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行业标准</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1B0B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v1.1</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E229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华北区域电网</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A499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燃煤自备电厂</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FF64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0.8320</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796C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供应商实测</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F15C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v2.0</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826A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华中区域电网</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58FC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水力发电</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AF80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0.0110</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7057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第三方核证</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2924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v1.0</w:t>
            </w:r>
          </w:p>
        </w:tc>
      </w:tr>
    </w:tbl>
    <w:p w14:paraId="1C8C603D">
      <w:pPr>
        <w:pStyle w:val="6"/>
        <w:numPr>
          <w:ilvl w:val="0"/>
          <w:numId w:val="196"/>
        </w:numPr>
        <w:bidi w:val="0"/>
        <w:ind w:left="0" w:leftChars="0" w:firstLine="0" w:firstLineChars="0"/>
        <w:rPr>
          <w:b/>
          <w:bCs/>
          <w:sz w:val="28"/>
          <w:szCs w:val="28"/>
        </w:rPr>
      </w:pPr>
      <w:r>
        <w:rPr>
          <w:b/>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BF7FAA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算式：</w:t>
            </w:r>
          </w:p>
          <w:p w14:paraId="71ADB1D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① EF_grid_composite = Σ(i=1→p) ( Q_purchased,i × EF_grid,i ) ÷ Σ(i=1→p) Q_purchased,i　—— 全集团购网电力综合加权因子</w:t>
            </w:r>
          </w:p>
          <w:p w14:paraId="1A25191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② C_Scope2,elec = ( Q_grid_total − Q_green_verified ) × EF_grid + Q_green_verified × 0　—— 电力间接排放净额（kWh × kgCO₂e/kWh = kgCO₂e）</w:t>
            </w:r>
          </w:p>
          <w:p w14:paraId="54FEB80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③ R_green_power = ( Q_pv_self + Q_green_market ) ÷ ( Q_grid_total + Q_pv_self ) × 100%　—— 绿电综合消纳占比</w:t>
            </w:r>
          </w:p>
        </w:tc>
      </w:tr>
    </w:tbl>
    <w:p w14:paraId="32B7101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变量定义与取值约定：</w:t>
      </w:r>
    </w:p>
    <w:p w14:paraId="5CCD5B8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Q_purchased,i：第 i 个园区购入市电量（kWh）；EF_grid,i：第 i 个园区所在地电网排放因子（kgCO₂e/kWh）；p：园区数；</w:t>
      </w:r>
    </w:p>
    <w:p w14:paraId="6493254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Q_grid_total：外购市电总量（kWh）；Q_green_verified：取得官方核销绿证对应的结算电量（kWh）；</w:t>
      </w:r>
    </w:p>
    <w:p w14:paraId="50075C6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Q_pv_self：分布式光伏自发自用电量（kWh）；Q_green_market：市场化交易绿电电量（kWh）；</w:t>
      </w:r>
    </w:p>
    <w:p w14:paraId="576A473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严禁出现负碳计算：当 Q_green_verified &gt; Q_grid_total 时，C_Scope2,elec 兜底锁定为 0.00 kgCO₂e，不得产生"负碳抵消外部化石燃料"。</w:t>
      </w:r>
    </w:p>
    <w:p w14:paraId="7276699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取值示例：某车间当月市电消耗 Q_grid_total = 100,000 kWh，录入合规核销绿电 Q_green_verified = 40,000 kWh，属地电网因子 EF_grid = 0.5257 kgCO₂e/kWh（华东）→</w:t>
      </w:r>
    </w:p>
    <w:p w14:paraId="3462575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C_Scope2,elec = (100,000 − 40,000) × 0.5257 + 40,000 × 0 = 31,542.00 kgCO₂e。</w:t>
      </w:r>
    </w:p>
    <w:p w14:paraId="3CC67D6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综合加权因子示例：某集团三园区购电量分别为 50,000 / 30,000 / 20,000 kWh，因子 0.5703 / 0.5257 / 0.6127 → EF_grid_composite = (50,000×0.5703 + 30,000×0.5257 + 20,000×0.6127) ÷ 100,000 = (28,515.0 + 15,771.0 + 12,254.0) ÷ 100,000 = 0.56540 kgCO₂e/kWh。</w:t>
      </w:r>
    </w:p>
    <w:p w14:paraId="4759A55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精度与容差：因子值保留 4 位小数；排放量按 kgCO₂e，允许 2 位小数，内部计算按全精度、末位一次舍入，容差 ≤ ±0.01 kgCO₂e；消纳占比保留 2 位小数（%）；绿电凭证与用电量的比较为"≤"闭区间（相等即全额抵扣，不产生负值）。</w:t>
      </w:r>
    </w:p>
    <w:p w14:paraId="0F872FD4">
      <w:pPr>
        <w:pStyle w:val="6"/>
        <w:numPr>
          <w:ilvl w:val="0"/>
          <w:numId w:val="196"/>
        </w:numPr>
        <w:bidi w:val="0"/>
        <w:ind w:left="0" w:leftChars="0" w:firstLine="0" w:firstLineChars="0"/>
        <w:rPr>
          <w:b/>
          <w:bCs/>
          <w:sz w:val="28"/>
          <w:szCs w:val="28"/>
        </w:rPr>
      </w:pPr>
      <w:r>
        <w:rPr>
          <w:b/>
          <w:bCs/>
          <w:sz w:val="28"/>
          <w:szCs w:val="28"/>
        </w:rPr>
        <w:t>展示、对标与判定口径</w:t>
      </w:r>
    </w:p>
    <w:p w14:paraId="7197C83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分级对标口径：各园区电力排放因子常态与全国平均电网因子（全国基准线 0.5703）横向对齐。</w:t>
      </w:r>
    </w:p>
    <w:p w14:paraId="1289665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消纳认定口径：厂房屋顶分布式光伏自发自用电量，因子按 0.0000 kgCO₂e/kWh 认定；全生命周期 LCA 制造端分摊按 0.0480 kgCO₂e/kWh 认定。</w:t>
      </w:r>
    </w:p>
    <w:p w14:paraId="260BA9D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空值口径：对于未联网的小微测点，因子默认继承所在地所属省级电网平均因子，严禁显示 -- 导致计算中断。</w:t>
      </w:r>
    </w:p>
    <w:p w14:paraId="289C50E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全国基准线 0.5703 kgCO₂e/kWh（来源：生态环境部 2024 年度全国电网平均排放因子，经第四章发布）；② 绿电抵扣为 0.0000，超量部分按 100% 截断并顺延下一周期；③ 自备电厂实测要求：未上传 CEMS 连续在线监测值即强制采用燃煤发电机组上限 0.8320 kgCO₂e/kWh；④ 版本命名规则冲突（须统一）：截图中国网平均因子用年度版号 v2024.1，清洁电源因子用序号版号 v1.0~v1.3，两类混排会造成"版本号不可比"。建议统一为「发布年 + 序号」格式（如 v2024.1 / v2026.2），并在版本记录中固定展示"生效区间 + 发布依据"；⑤ 比对基准来源：区域电网划分以国家发改委区域电网划分为准，禁止按行政省自行归类。⑥ 区域电网—属地映射（建议固化入 ④ 段）：新疆 → 西北电网；上海 / 江苏 → 华东电网；湖南 → 华中电网；辽宁 / 吉林 / 黑龙江 → 东北电网；广东 / 广西 / 云南 / 贵州 / 海南 → 南方电网；北京 / 天津 / 河北 / 山西 / 山东 → 华北电网。</w:t>
      </w:r>
    </w:p>
    <w:p w14:paraId="38FE526F">
      <w:pPr>
        <w:pStyle w:val="6"/>
        <w:numPr>
          <w:ilvl w:val="0"/>
          <w:numId w:val="196"/>
        </w:numPr>
        <w:bidi w:val="0"/>
        <w:ind w:left="0" w:leftChars="0" w:firstLine="0" w:firstLineChars="0"/>
        <w:rPr>
          <w:b/>
          <w:bCs/>
          <w:sz w:val="28"/>
          <w:szCs w:val="28"/>
        </w:rPr>
      </w:pPr>
      <w:r>
        <w:rPr>
          <w:b/>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7D6450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历史关账月度强冻结：已完成财务锁账的月份，其核算所引用的电力因子版本自动固化，即便后续生态环境部补丁修正因子，历史月份禁止自动刷新，触发 E_SYS_FACTOR_LOCKED_HISTORIC（422）。</w:t>
            </w:r>
          </w:p>
          <w:p w14:paraId="1ED6919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绿电超量抵扣截断：绿电核销申报量大于用电总量时，系统自动截断至总用电量，溢出部分自动流转至下一统计周期，记录告警 E_CALC_GREEN_OFFSET_OVERFLOW（200）。</w:t>
            </w:r>
          </w:p>
          <w:p w14:paraId="686ADDD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自备电厂实测脱失拦截：自备电厂当月未上传 CEMS 烟气实测值时，阻断其提交"超低因子"，强制采用 0.8320 kgCO₂e/kWh，抛出 E_VAL_CEMS_OFFLINE_PENALTY（422）。</w:t>
            </w:r>
          </w:p>
          <w:p w14:paraId="336E8AC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（新增）因子值为 0 的合法性区分：绿电类来源允许因子 = 0.0000（合法），国网平均类来源因子 = 0 视为异常并拦截，返回 E_VAL_FACTOR_ZERO_UNEXPECTED（422）。</w:t>
            </w:r>
          </w:p>
          <w:p w14:paraId="5393275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（新增）区域电网缺失：园区属地无法映射到任一区域电网（如境外园区），因子置 -- 并要求人工指定，禁止默认取全国平均。</w:t>
            </w:r>
          </w:p>
        </w:tc>
      </w:tr>
    </w:tbl>
    <w:p w14:paraId="56464043">
      <w:pPr>
        <w:pStyle w:val="6"/>
        <w:numPr>
          <w:ilvl w:val="0"/>
          <w:numId w:val="196"/>
        </w:numPr>
        <w:bidi w:val="0"/>
        <w:ind w:left="0" w:leftChars="0" w:firstLine="0" w:firstLineChars="0"/>
        <w:rPr>
          <w:b/>
          <w:bCs/>
          <w:sz w:val="28"/>
          <w:szCs w:val="28"/>
        </w:rPr>
      </w:pPr>
      <w:r>
        <w:rPr>
          <w:b/>
          <w:bCs/>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5B3A7FBC">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339AC5B2">
            <w:pPr>
              <w:pStyle w:val="19"/>
              <w:bidi w:val="0"/>
            </w:pPr>
            <w:r>
              <w:t>Feature: 电力碳排因子多电网匹配与绿电核销</w:t>
            </w:r>
          </w:p>
          <w:p w14:paraId="06F86175">
            <w:pPr>
              <w:pStyle w:val="19"/>
              <w:bidi w:val="0"/>
            </w:pPr>
            <w:r>
              <w:t xml:space="preserve">  Scenario: 跨省多园区属地电网因子精准匹配</w:t>
            </w:r>
          </w:p>
          <w:p w14:paraId="5DEC416C">
            <w:pPr>
              <w:pStyle w:val="19"/>
              <w:bidi w:val="0"/>
            </w:pPr>
            <w:r>
              <w:t xml:space="preserve">    Given 新疆变压器厂位于乌鲁木齐，上海销售技术中心位于上海闵行</w:t>
            </w:r>
          </w:p>
          <w:p w14:paraId="3D3D161E">
            <w:pPr>
              <w:pStyle w:val="19"/>
              <w:bidi w:val="0"/>
            </w:pPr>
            <w:r>
              <w:t xml:space="preserve">    When 系统分别抓取两地当月市电消耗的计算因子</w:t>
            </w:r>
          </w:p>
          <w:p w14:paraId="2579BA5F">
            <w:pPr>
              <w:pStyle w:val="19"/>
              <w:bidi w:val="0"/>
            </w:pPr>
            <w:r>
              <w:t xml:space="preserve">    Then 新疆园区自动匹配西北电网因子 0.6127 kgCO2e/kWh</w:t>
            </w:r>
          </w:p>
          <w:p w14:paraId="7465C930">
            <w:pPr>
              <w:pStyle w:val="19"/>
              <w:bidi w:val="0"/>
            </w:pPr>
            <w:r>
              <w:t xml:space="preserve">    And 上海中心自动匹配华东电网因子 0.5257 kgCO2e/kWh</w:t>
            </w:r>
          </w:p>
          <w:p w14:paraId="7CD826CE">
            <w:pPr>
              <w:pStyle w:val="19"/>
              <w:bidi w:val="0"/>
            </w:pPr>
            <w:r>
              <w:t xml:space="preserve">    And 系统不产生跨电网串用</w:t>
            </w:r>
          </w:p>
          <w:p w14:paraId="67AC0DFF">
            <w:pPr>
              <w:pStyle w:val="19"/>
              <w:bidi w:val="0"/>
            </w:pPr>
          </w:p>
          <w:p w14:paraId="2E1FD314">
            <w:pPr>
              <w:pStyle w:val="19"/>
              <w:bidi w:val="0"/>
            </w:pPr>
            <w:r>
              <w:t xml:space="preserve">  Scenario: 市场化绿电凭证冲抵归零断言</w:t>
            </w:r>
          </w:p>
          <w:p w14:paraId="18D31097">
            <w:pPr>
              <w:pStyle w:val="19"/>
              <w:bidi w:val="0"/>
            </w:pPr>
            <w:r>
              <w:t xml:space="preserve">    Given 某车间当月市电消耗 100,000 kWh, 录入合规核销绿电凭证 40,000 kWh</w:t>
            </w:r>
          </w:p>
          <w:p w14:paraId="40B9EFDF">
            <w:pPr>
              <w:pStyle w:val="19"/>
              <w:bidi w:val="0"/>
            </w:pPr>
            <w:r>
              <w:t xml:space="preserve">    When 系统计算该车间当月外购电力 Scope 2 间接排放</w:t>
            </w:r>
          </w:p>
          <w:p w14:paraId="7452AC57">
            <w:pPr>
              <w:pStyle w:val="19"/>
              <w:bidi w:val="0"/>
            </w:pPr>
            <w:r>
              <w:t xml:space="preserve">    Then 40,000 kWh 绿电部分按 0.0000 kgCO2e/kWh 核算</w:t>
            </w:r>
          </w:p>
          <w:p w14:paraId="12E3A060">
            <w:pPr>
              <w:pStyle w:val="19"/>
              <w:bidi w:val="0"/>
            </w:pPr>
            <w:r>
              <w:t xml:space="preserve">    And 剩余 60,000 kWh 按属地电网因子核算</w:t>
            </w:r>
          </w:p>
          <w:p w14:paraId="39616011">
            <w:pPr>
              <w:pStyle w:val="19"/>
              <w:bidi w:val="0"/>
            </w:pPr>
            <w:r>
              <w:t xml:space="preserve">    And 总电力排放精准等于 60,000 × EF_grid</w:t>
            </w:r>
          </w:p>
          <w:p w14:paraId="7E49430A">
            <w:pPr>
              <w:pStyle w:val="19"/>
              <w:bidi w:val="0"/>
            </w:pPr>
            <w:r>
              <w:t xml:space="preserve">Scenario: 历史关账月份因子强冻结</w:t>
            </w:r>
          </w:p>
          <w:p w14:paraId="6ED3E592">
            <w:pPr>
              <w:pStyle w:val="19"/>
              <w:bidi w:val="0"/>
            </w:pPr>
            <w:r>
              <w:t xml:space="preserve">Given 2026-06 已完成财务锁账并核算引用电力因子版本 v2024.1</w:t>
            </w:r>
          </w:p>
          <w:p w14:paraId="4D5EA4F1">
            <w:pPr>
              <w:pStyle w:val="19"/>
              <w:bidi w:val="0"/>
            </w:pPr>
            <w:r>
              <w:t xml:space="preserve">When 生态环境部发布 v2026.1 修正因子</w:t>
            </w:r>
          </w:p>
          <w:p w14:paraId="60A60CA9">
            <w:pPr>
              <w:pStyle w:val="19"/>
              <w:bidi w:val="0"/>
            </w:pPr>
            <w:r>
              <w:t xml:space="preserve">Then 2026-06 的核算结果保持引用 v2024.1 不自动刷新</w:t>
            </w:r>
          </w:p>
          <w:p w14:paraId="60B92368">
            <w:pPr>
              <w:pStyle w:val="19"/>
              <w:bidi w:val="0"/>
            </w:pPr>
            <w:r>
              <w:t xml:space="preserve">And 返回错误码 E_SYS_FACTOR_LOCKED_HISTORIC</w:t>
            </w:r>
          </w:p>
          <w:p w14:paraId="3FDF7080">
            <w:pPr>
              <w:pStyle w:val="19"/>
              <w:bidi w:val="0"/>
            </w:pPr>
            <w:r>
              <w:t xml:space="preserve">Scenario: 绿电超量抵扣自动截断并顺延</w:t>
            </w:r>
          </w:p>
          <w:p w14:paraId="15DB10C4">
            <w:pPr>
              <w:pStyle w:val="19"/>
              <w:bidi w:val="0"/>
            </w:pPr>
            <w:r>
              <w:t xml:space="preserve">Given 某车间当月总用电量 100,000 kWh，绿电核销申报量 120,000 kWh</w:t>
            </w:r>
          </w:p>
          <w:p w14:paraId="74BF4267">
            <w:pPr>
              <w:pStyle w:val="19"/>
              <w:bidi w:val="0"/>
            </w:pPr>
            <w:r>
              <w:t xml:space="preserve">When 系统核算该车间 Scope 2 间接排放</w:t>
            </w:r>
          </w:p>
          <w:p w14:paraId="475DE885">
            <w:pPr>
              <w:pStyle w:val="19"/>
              <w:bidi w:val="0"/>
            </w:pPr>
            <w:r>
              <w:t xml:space="preserve">Then 抵扣量被截断至 100,000 kWh，排放量为 0.00 kgCO₂e</w:t>
            </w:r>
          </w:p>
          <w:p w14:paraId="31F05887">
            <w:pPr>
              <w:pStyle w:val="19"/>
              <w:bidi w:val="0"/>
            </w:pPr>
            <w:r>
              <w:t xml:space="preserve">And 溢出的 20,000 kWh 自动流转至下一统计周期</w:t>
            </w:r>
          </w:p>
          <w:p w14:paraId="1AF90695">
            <w:pPr>
              <w:pStyle w:val="19"/>
              <w:bidi w:val="0"/>
            </w:pPr>
            <w:r>
              <w:t xml:space="preserve">And 记录告警 E_CALC_GREEN_OFFSET_OVERFLOW</w:t>
            </w:r>
          </w:p>
          <w:p w14:paraId="6280BF72">
            <w:pPr>
              <w:pStyle w:val="19"/>
              <w:bidi w:val="0"/>
            </w:pPr>
            <w:r>
              <w:t xml:space="preserve">Scenario: 自备电厂 CEMS 脱失强制上限因子</w:t>
            </w:r>
          </w:p>
          <w:p w14:paraId="2451C903">
            <w:pPr>
              <w:pStyle w:val="19"/>
              <w:bidi w:val="0"/>
            </w:pPr>
            <w:r>
              <w:t xml:space="preserve">Given 某自备电厂当月未上传 CEMS 烟气实测值</w:t>
            </w:r>
          </w:p>
          <w:p w14:paraId="2A45D6A3">
            <w:pPr>
              <w:pStyle w:val="19"/>
              <w:bidi w:val="0"/>
            </w:pPr>
            <w:r>
              <w:t xml:space="preserve">When 该电厂提交低于 0.8320 kgCO₂e/kWh 的"超低排放"因子</w:t>
            </w:r>
          </w:p>
          <w:p w14:paraId="3D56339E">
            <w:pPr>
              <w:pStyle w:val="19"/>
              <w:bidi w:val="0"/>
            </w:pPr>
            <w:r>
              <w:t xml:space="preserve">Then 提交被阻断并强制采用 0.8320 kgCO₂e/kWh</w:t>
            </w:r>
          </w:p>
          <w:p w14:paraId="5CAE91B4">
            <w:pPr>
              <w:pStyle w:val="19"/>
              <w:bidi w:val="0"/>
            </w:pPr>
            <w:r>
              <w:t xml:space="preserve">And 返回错误码 E_VAL_CEMS_OFFLINE_PENALTY</w:t>
            </w:r>
          </w:p>
        </w:tc>
      </w:tr>
    </w:tbl>
    <w:p w14:paraId="2327B818">
      <w:pPr>
        <w:pStyle w:val="19"/>
        <w:bidi w:val="0"/>
      </w:pPr>
    </w:p>
    <w:p w14:paraId="35D5EB07">
      <w:pPr>
        <w:pStyle w:val="5"/>
        <w:numPr>
          <w:ilvl w:val="0"/>
          <w:numId w:val="194"/>
        </w:numPr>
        <w:ind w:left="0" w:leftChars="0" w:firstLine="0" w:firstLineChars="0"/>
        <w:outlineLvl w:val="1"/>
        <w:rPr>
          <w:rFonts w:ascii="Times New Roman" w:hAnsi="Times New Roman" w:eastAsia="黑体" w:cs="Times New Roman"/>
          <w:b w:val="0"/>
          <w:bCs w:val="0"/>
          <w:sz w:val="30"/>
          <w:szCs w:val="24"/>
        </w:rPr>
      </w:pPr>
      <w:bookmarkStart w:id="60" w:name="_Toc25421"/>
      <w:r>
        <w:rPr>
          <w:rFonts w:hint="eastAsia" w:cs="Times New Roman"/>
          <w:b w:val="0"/>
          <w:bCs w:val="0"/>
          <w:sz w:val="30"/>
          <w:szCs w:val="24"/>
          <w:lang w:val="en-US" w:eastAsia="zh-CN"/>
        </w:rPr>
        <w:t xml:space="preserve">能源活动碳排因子</w:t>
      </w:r>
      <w:bookmarkEnd w:id="60"/>
    </w:p>
    <w:p w14:paraId="007AC635">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7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5"/>
                    <pic:cNvPicPr>
                      <a:picLocks noChangeAspect="1"/>
                    </pic:cNvPicPr>
                  </pic:nvPicPr>
                  <pic:blipFill>
                    <a:blip r:embed="rId93"/>
                    <a:stretch>
                      <a:fillRect/>
                    </a:stretch>
                  </pic:blipFill>
                  <pic:spPr>
                    <a:xfrm>
                      <a:off x="0" y="0"/>
                      <a:ext cx="5900420" cy="2925445"/>
                    </a:xfrm>
                    <a:prstGeom prst="rect">
                      <a:avLst/>
                    </a:prstGeom>
                    <a:noFill/>
                    <a:ln>
                      <a:noFill/>
                    </a:ln>
                  </pic:spPr>
                </pic:pic>
              </a:graphicData>
            </a:graphic>
          </wp:inline>
        </w:drawing>
      </w:r>
    </w:p>
    <w:p w14:paraId="7D02E7BF">
      <w:pPr>
        <w:pStyle w:val="6"/>
        <w:numPr>
          <w:ilvl w:val="0"/>
          <w:numId w:val="197"/>
        </w:numPr>
        <w:bidi w:val="0"/>
        <w:ind w:left="0" w:leftChars="0" w:firstLine="0" w:firstLineChars="0"/>
        <w:rPr>
          <w:b/>
          <w:bCs/>
          <w:sz w:val="28"/>
          <w:szCs w:val="28"/>
        </w:rPr>
      </w:pPr>
      <w:r>
        <w:rPr>
          <w:b/>
          <w:bCs/>
          <w:sz w:val="28"/>
          <w:szCs w:val="28"/>
        </w:rPr>
        <w:t>定位与架构角色</w:t>
      </w:r>
    </w:p>
    <w:p w14:paraId="26F51F4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功能定位：作为全集团范围一（Scope 1）化石燃料直接燃烧排放及外购热力蒸汽排放的核算参数中枢，管理化石燃料（天然气、柴油、汽油、原煤、液化石油气）、外购工业蒸汽以及设备逸散制冷剂（如 R134a、R410A）的核心排放参数（只读视图）。</w:t>
      </w:r>
    </w:p>
    <w:p w14:paraId="3474B56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承载角色：P2 园区能碳专员（燃料消耗录入与检验单上传在第二章，本板块仅查阅）、P4 碳核算工程师（因子基线核准与低位发热量实测修正核验）。维护权限归第四章。</w:t>
      </w:r>
    </w:p>
    <w:p w14:paraId="3E78515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页面路由：/carbon-footprint/factor/energy-activity。</w:t>
      </w:r>
    </w:p>
    <w:p w14:paraId="32B2F57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上游依赖：第四章「能碳基础因子管理」的能源活动因子主数据、供应商燃料质检单（低位热值实测）、IPCC 国家温室气体清单指南缺省值、制冷剂 GWP 值表。</w:t>
      </w:r>
    </w:p>
    <w:p w14:paraId="6C95E7D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下游输出：Scope 1 直接排放核算结果、单位产品燃料单耗碳排、CBAM 直接排放底数。</w:t>
      </w:r>
    </w:p>
    <w:p w14:paraId="7AF286F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数据权限：可查看组织范围＝集团全量；跨单位聚合＝不适用；对外可见档位＝INTERNAL；越权写入返回 403 + E_AUTH_RLS_SCOPE_DENIED。</w:t>
      </w:r>
    </w:p>
    <w:p w14:paraId="3DF26ED6">
      <w:pPr>
        <w:pStyle w:val="6"/>
        <w:numPr>
          <w:ilvl w:val="0"/>
          <w:numId w:val="197"/>
        </w:numPr>
        <w:bidi w:val="0"/>
        <w:ind w:left="0" w:leftChars="0" w:firstLine="0" w:firstLineChars="0"/>
        <w:rPr>
          <w:b/>
          <w:bCs/>
          <w:sz w:val="28"/>
          <w:szCs w:val="28"/>
        </w:rPr>
      </w:pPr>
      <w:r>
        <w:rPr>
          <w:b/>
          <w:bCs/>
          <w:sz w:val="28"/>
          <w:szCs w:val="28"/>
        </w:rPr>
        <w:t>业务场景与用户故事</w:t>
      </w:r>
    </w:p>
    <w:p w14:paraId="0D4EF278">
      <w:pPr>
        <w:pStyle w:val="19"/>
        <w:bidi w:val="0"/>
      </w:pPr>
      <w:r>
        <w:t>• 业务场景描述：特变电工大型变压器绝缘干燥车间配有大型燃气热风炉与煤油气相干燥罐，线缆拉丝车间退火炉常年消耗管道天然气；厂区物流叉车与应急柴油发电机定期消耗轻柴油；高压试验室大型空调系统存在微量制冷剂逸散。上述能源活动的物理消耗量必须精准乘以对应能源活动碳排因子，转化为二氧化碳当量（tCO2e）。</w:t>
      </w:r>
    </w:p>
    <w:p w14:paraId="169D1516">
      <w:pPr>
        <w:pStyle w:val="19"/>
        <w:bidi w:val="0"/>
      </w:pPr>
      <w:r>
        <w:t>• 用户故事：</w:t>
      </w:r>
    </w:p>
    <w:p w14:paraId="3DE27FB1">
      <w:pPr>
        <w:pStyle w:val="19"/>
        <w:bidi w:val="0"/>
      </w:pPr>
      <w:r>
        <w:t xml:space="preserve">  As a 园区能碳专员 (Persona P2)，</w:t>
      </w:r>
    </w:p>
    <w:p w14:paraId="554AC305">
      <w:pPr>
        <w:pStyle w:val="19"/>
        <w:bidi w:val="0"/>
      </w:pPr>
      <w:r>
        <w:t xml:space="preserve">  I want 在能源活动碳排因子库中查看各类燃料的标准因子值，并能根据天然气每月化验单录入低位热值与含碳量以动态刷新实测因子，</w:t>
      </w:r>
    </w:p>
    <w:p w14:paraId="6E2983E9">
      <w:pPr>
        <w:pStyle w:val="19"/>
        <w:bidi w:val="0"/>
        <w:rPr>
          <w:b/>
          <w:bCs/>
        </w:rPr>
      </w:pPr>
      <w:r>
        <w:t xml:space="preserve">  So that 我能依据精准的燃料特性核算车间工业炉窑的直接燃烧碳排放，避免采用保守缺省值虚增企业碳排。</w:t>
      </w:r>
    </w:p>
    <w:p w14:paraId="370178F3">
      <w:pPr>
        <w:pStyle w:val="6"/>
        <w:numPr>
          <w:ilvl w:val="0"/>
          <w:numId w:val="197"/>
        </w:numPr>
        <w:bidi w:val="0"/>
        <w:ind w:left="0" w:leftChars="0" w:firstLine="0" w:firstLineChars="0"/>
        <w:rPr>
          <w:b/>
          <w:bCs/>
          <w:sz w:val="28"/>
          <w:szCs w:val="28"/>
        </w:rPr>
      </w:pPr>
      <w:r>
        <w:rPr>
          <w:b/>
          <w:bCs/>
          <w:sz w:val="28"/>
          <w:szCs w:val="28"/>
        </w:rPr>
        <w:t>功能规格与交互契约</w:t>
      </w:r>
    </w:p>
    <w:p w14:paraId="6BF2CE9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1）顶部提示条（常驻）："能源活动碳排因子 仅展示与查询，维护入口在 系统管理 &gt; 能碳基础因子管理"。</w:t>
      </w:r>
    </w:p>
    <w:p w14:paraId="354E1FA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2）筛选条：能源类别（全部能源类别）· 名称检索框。</w:t>
      </w:r>
    </w:p>
    <w:p w14:paraId="61338DE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3）主表列：能源 / 活动名称 · 能源类别 · 因子值（当前 / 默认） · 单位 · 数据来源 · 版本 · 操作。</w:t>
      </w:r>
    </w:p>
    <w:p w14:paraId="3D00435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4）能源类别取值：化石燃料 / 热力·蒸汽 / 制冷剂。</w:t>
      </w:r>
    </w:p>
    <w:p w14:paraId="6512964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5）行操作：版本记录（抽屉）；编辑与删除跳转第四章。</w:t>
      </w:r>
    </w:p>
    <w:p w14:paraId="246E1509">
      <w:pPr>
        <w:pStyle w:val="6"/>
        <w:numPr>
          <w:ilvl w:val="0"/>
          <w:numId w:val="197"/>
        </w:numPr>
        <w:bidi w:val="0"/>
        <w:ind w:left="0" w:leftChars="0" w:firstLine="0" w:firstLineChars="0"/>
        <w:rPr>
          <w:b/>
          <w:bCs/>
          <w:sz w:val="28"/>
          <w:szCs w:val="28"/>
        </w:rPr>
      </w:pPr>
      <w:r>
        <w:rPr>
          <w:b/>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59C91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6C93D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F780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5930B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D075E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DA56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C4C3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能源/活动名称</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B413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E675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9EA5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天然气 / 原煤（烟煤）/ 柴油 / 汽油 / 液化石油气（LPG）/ 外购蒸汽 / R134a 制冷剂 …</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B4AA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0EB3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能源类别</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21D4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E49B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1A7D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化石燃料 / 热力·蒸汽 / 制冷剂</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758C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CF5E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因子值（当前 / 默认）</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3C43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959E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随品种</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A82E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kgCO₂e/kg（固液）· kgCO₂e/m³（气）· kgCO₂e/MJ（热力）</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3065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D837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数据来源</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6121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3379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6707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IPCC 缺省值 / 国家标准 / 供应商实测 / 协议下发</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14BB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9A5C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版本</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E926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147B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1BA0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形如 v2023.2 / v2024.1 / v2026.1</w:t>
            </w:r>
          </w:p>
        </w:tc>
      </w:tr>
    </w:tbl>
    <w:p w14:paraId="664B793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截图实测样本（6 行，可直接作为验收基线）：天然气 / 化石燃料 / 2.1622 kgCO₂e/m³ / IPCC 缺省值 / v2023.2；原煤（烟煤）/ 化石燃料 / 1.9003 kgCO₂e/kg / IPCC 缺省值 / v2023.2；柴油 / 化石燃料 / 3.0959 kgCO₂e/kg / 国家标准 / v2024.1；外购蒸汽 / 热力·蒸汽 / 0.1100 kgCO₂e/MJ / 协议下发 / v2026.1；R134a 制冷剂 / 制冷剂 / 1430.0000 kgCO₂e/kg / IPCC 缺省值 / v2023.1；液化石油气（LPG）/ 化石燃料 / 3.1013 kgCO₂e/kg / 国家标准 / v2023.1。</w:t>
      </w:r>
    </w:p>
    <w:p w14:paraId="3A9BF347">
      <w:pPr>
        <w:pStyle w:val="6"/>
        <w:numPr>
          <w:ilvl w:val="0"/>
          <w:numId w:val="197"/>
        </w:numPr>
        <w:bidi w:val="0"/>
        <w:ind w:left="0" w:leftChars="0" w:firstLine="0" w:firstLineChars="0"/>
        <w:rPr>
          <w:b/>
          <w:bCs/>
          <w:sz w:val="28"/>
          <w:szCs w:val="28"/>
        </w:rPr>
      </w:pPr>
      <w:r>
        <w:rPr>
          <w:b/>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560C19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算式：</w:t>
            </w:r>
          </w:p>
          <w:p w14:paraId="59DA3FA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① EF_fossil = NCV × CC × OF × (44 ÷ 12) × 10⁻³　—— 化石燃料直接燃烧排放因子（kgCO₂e/实物单位）</w:t>
            </w:r>
          </w:p>
          <w:p w14:paraId="59823ED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② EF_steam = [ ( h_steam − h_water ) ÷ η_boiler ] × EF_fuel　—— 外购工业蒸汽折算因子（kgCO₂e/MJ）</w:t>
            </w:r>
          </w:p>
          <w:p w14:paraId="6451B37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③ C_Scope1,total = Σ(j=1→k) ( Q_fuel,j × EF_fossil,j ) + Σ(m=1→r) ( L_refrig,m × GWP_m )　—— 范围一直接排放总量</w:t>
            </w:r>
          </w:p>
        </w:tc>
      </w:tr>
    </w:tbl>
    <w:p w14:paraId="5E20DE4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变量定义与取值约定：</w:t>
      </w:r>
    </w:p>
    <w:p w14:paraId="57FBFFE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NCV：平均低位发热量（固体/液体为 kJ/kg，气体为 kJ/m³）；CC：单位热值含碳量（tC/TJ）；OF：碳氧化率（%）；</w:t>
      </w:r>
    </w:p>
    <w:p w14:paraId="1157DFF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44÷12：二氧化碳与碳的分子量比率（约等于 3.6667）；10⁻³：单位折算系数；</w:t>
      </w:r>
    </w:p>
    <w:p w14:paraId="68B458B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h_steam：蒸汽供汽比焓（kJ/kg）；h_water：锅炉给水温度比焓（kJ/kg）；η_boiler：供热锅炉综合热效率（系统缺省取 80.0%）；</w:t>
      </w:r>
    </w:p>
    <w:p w14:paraId="53961C8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Q_fuel,j：第 j 种燃料实物消耗量；L_refrig,m：第 m 种制冷剂逸散量（kg）；GWP_m：该制冷剂全球增温潜势（100 年）。</w:t>
      </w:r>
    </w:p>
    <w:p w14:paraId="400C3B3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取值示例：天然气实测 NCV = 38.931 MJ/m³、CC = 15.32 tC/TJ、OF = 99.0% →</w:t>
      </w:r>
    </w:p>
    <w:p w14:paraId="5FCB2A6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EF_fossil = 38.931 × 15.32 × 0.990 × (44 ÷ 12) × 10⁻³ = 2.1650 kgCO₂e/m³。</w:t>
      </w:r>
    </w:p>
    <w:p w14:paraId="7C8F8E5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原稿参数与记录值不自洽，须择一修正：原稿 Gherkin 用例声称该三参数复算结果"精确等于 2.1622 kgCO₂e/m³（容差 ≤ 0.0001）"，但按本模块自身公式复算为 2.1650，偏离 0.0028（0.13%），已达该用例自定容差的 28 倍——即该用例本身跑不过。</w:t>
      </w:r>
    </w:p>
    <w:p w14:paraId="5854772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反推：若因子记录值 2.1622（截图 #34 当前值）正确，则对应实测低位热值应为 38.8804 MJ/m³，而非用例中的 38.931。</w:t>
      </w:r>
    </w:p>
    <w:p w14:paraId="585CCBE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处理建议：二选一——① 修正用例中的 NCV 为 38.8804 MJ/m³（保留记录值 2.1622）；② 将因子记录值更正为 2.1650 kgCO₂e/m³（保留用例参数 38.931）。本稿按 ① 记录值不变、用例参数待核的方式留待与研发确认。</w:t>
      </w:r>
    </w:p>
    <w:p w14:paraId="6B057BA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蒸汽示例：某厂 h_steam = 2,763 kJ/kg、h_water = 209 kJ/kg、η_boiler = 80.0%、EF_fuel = 0.1100 kgCO₂e/MJ（对应燃料侧）→ EF_steam = (2,763 − 209) ÷ 0.800 = 3,192.5 MJ/t 供汽，按燃料因子折算得蒸汽因子。</w:t>
      </w:r>
    </w:p>
    <w:p w14:paraId="19D5BA8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精度与容差：化石燃料因子保留 4 位小数；制冷剂 GWP 为整数（R134a = 1430）；三参数核算的重算容差 ≤ 0.0001 kgCO₂e/实物单位；NCV 保留 3 位小数，CC 保留 2 位小数，OF 保留 1 位小数（%）；锅炉热效率缺省 80.0%。</w:t>
      </w:r>
    </w:p>
    <w:p w14:paraId="0DE42529">
      <w:pPr>
        <w:pStyle w:val="6"/>
        <w:numPr>
          <w:ilvl w:val="0"/>
          <w:numId w:val="197"/>
        </w:numPr>
        <w:bidi w:val="0"/>
        <w:ind w:left="0" w:leftChars="0" w:firstLine="0" w:firstLineChars="0"/>
        <w:rPr>
          <w:b/>
          <w:bCs/>
          <w:sz w:val="28"/>
          <w:szCs w:val="28"/>
        </w:rPr>
      </w:pPr>
      <w:r>
        <w:rPr>
          <w:b/>
          <w:bCs/>
          <w:sz w:val="28"/>
          <w:szCs w:val="28"/>
        </w:rPr>
        <w:t>展示、对标与判定口径</w:t>
      </w:r>
    </w:p>
    <w:p w14:paraId="400C824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双轨展示：因子卡片明确标注实测值与发改委缺省值对比。</w:t>
      </w:r>
    </w:p>
    <w:p w14:paraId="627C959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温室气体折算口径：所有能源活动排放结果统一以二氧化碳当量（tCO₂e / kgCO₂e）汇总，非二氧化碳温室气体（如甲烷 CH₄、氧化亚氮 N₂O）已按 GWP 统一折算入综合因子中。</w:t>
      </w:r>
    </w:p>
    <w:p w14:paraId="216B0EA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空值口径：任何车间新增特种燃气或工业副产气未录入实测热值时，系统强制回退采用通用化石燃料上限缺省值，严禁空值运行。</w:t>
      </w:r>
    </w:p>
    <w:p w14:paraId="5EC4365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低位发热量物理上限：天然气 NCV ≤ 50 MJ/m³，超出即判非物理极值（来源：天然气管网热值区间上限）；② 碳氧化率合法区间 [90.0%, 100.0%]，&gt; 100% 一律阻断（来源：IPCC 指南碳氧化率经验区间）；③ 三参数复算容差 ≤ 0.0001；④ 蒸汽热焓查表失效时启用经验线性插值并给出黄色非标提示；⑤ 基准来源：默认值 = 上一有效版本的当前值；缺省值 = IPCC 国家温室气体清单指南或 GB/T 标准；实测值 = 供应商质检单（须上传检验单附件）；⑥ 双轨偏差提示：实测值与缺省值偏差 &gt; ±5.00% 时在因子行标注"实测偏离较大，请复核质检单"。</w:t>
      </w:r>
    </w:p>
    <w:p w14:paraId="3A81B9F3">
      <w:pPr>
        <w:pStyle w:val="6"/>
        <w:numPr>
          <w:ilvl w:val="0"/>
          <w:numId w:val="197"/>
        </w:numPr>
        <w:bidi w:val="0"/>
        <w:ind w:left="0" w:leftChars="0" w:firstLine="0" w:firstLineChars="0"/>
        <w:rPr>
          <w:b/>
          <w:bCs/>
          <w:sz w:val="28"/>
          <w:szCs w:val="28"/>
        </w:rPr>
      </w:pPr>
      <w:r>
        <w:rPr>
          <w:b/>
          <w:bCs/>
          <w:sz w:val="28"/>
          <w:szCs w:val="28"/>
        </w:rPr>
        <w:t>边界条件、异常处理与防错规则</w:t>
      </w:r>
    </w:p>
    <w:p w14:paraId="574967E7">
      <w:pPr>
        <w:pStyle w:val="175"/>
        <w:bidi w:val="0"/>
      </w:pPr>
      <w:r>
        <w:t>• 发热量非物理极值拦截：低位发热量输入超过热力学物理极限（如天然气输入 &gt; 50 MJ/m³）时，系统强阻断保存，抛出 E_VAL_NCV_OUT_OF_PHYSICAL_RANGE ；</w:t>
      </w:r>
    </w:p>
    <w:p w14:paraId="308D92C0">
      <w:pPr>
        <w:pStyle w:val="175"/>
        <w:bidi w:val="0"/>
      </w:pPr>
      <w:r>
        <w:t>• 碳氧化率非法越界阻断：碳氧化率输入必须在  [90.0%, 100.0%]  之间，大于 100% 阻断提交，记录  E_VAL_OF_RATE_INVALID ；</w:t>
      </w:r>
    </w:p>
    <w:p w14:paraId="144A748A">
      <w:pPr>
        <w:pStyle w:val="175"/>
        <w:bidi w:val="0"/>
      </w:pPr>
      <w:r>
        <w:t>• 蒸汽热焓查表失效兜底：当输入表压与温度在 IAPWS 饱和区外时，系统自动使用经验线性插值计算，并弹出黄色非标提示，避免算式除零崩溃。</w:t>
      </w:r>
    </w:p>
    <w:p w14:paraId="15E18D80">
      <w:pPr>
        <w:pStyle w:val="6"/>
        <w:numPr>
          <w:ilvl w:val="0"/>
          <w:numId w:val="197"/>
        </w:numPr>
        <w:bidi w:val="0"/>
        <w:ind w:left="0" w:leftChars="0" w:firstLine="0" w:firstLineChars="0"/>
        <w:rPr>
          <w:b/>
          <w:bCs/>
          <w:sz w:val="28"/>
          <w:szCs w:val="28"/>
        </w:rPr>
      </w:pPr>
      <w:r>
        <w:rPr>
          <w:b/>
          <w:bCs/>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4B15588D">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2CDDCF18">
            <w:pPr>
              <w:pStyle w:val="19"/>
              <w:bidi w:val="0"/>
            </w:pPr>
            <w:r>
              <w:t>Feature: 能源活动与化石燃料碳排因子核算验证</w:t>
            </w:r>
          </w:p>
          <w:p w14:paraId="4FC501C3">
            <w:pPr>
              <w:pStyle w:val="19"/>
              <w:bidi w:val="0"/>
            </w:pPr>
            <w:r>
              <w:t xml:space="preserve">  Scenario: 天然气三参数动态计算排放因子精度</w:t>
            </w:r>
          </w:p>
          <w:p w14:paraId="19F12E59">
            <w:pPr>
              <w:pStyle w:val="19"/>
              <w:bidi w:val="0"/>
            </w:pPr>
            <w:r>
              <w:t xml:space="preserve">    Given 天然气实测低位热值 NCV 为 38.931 MJ/m³, 单位热值含碳量 CC 为 15.32 tC/TJ, 碳氧化率 OF 为 99.0%</w:t>
            </w:r>
          </w:p>
          <w:p w14:paraId="1F13A529">
            <w:pPr>
              <w:pStyle w:val="19"/>
              <w:bidi w:val="0"/>
            </w:pPr>
            <w:r>
              <w:t xml:space="preserve">    When 碳核算引擎计算其综合二氧化碳排放因子</w:t>
            </w:r>
          </w:p>
          <w:p w14:paraId="43950581">
            <w:pPr>
              <w:pStyle w:val="19"/>
              <w:bidi w:val="0"/>
            </w:pPr>
            <w:r>
              <w:t xml:space="preserve">    Then 计算出的因子值精确等于 2.1622 kgCO2e/m³ (容差 &lt;= 0.0001)</w:t>
            </w:r>
          </w:p>
          <w:p w14:paraId="62E3E4F5">
            <w:pPr>
              <w:pStyle w:val="19"/>
              <w:bidi w:val="0"/>
            </w:pPr>
            <w:r>
              <w:t xml:space="preserve">    And 界面因子当前值同步更新并标注为实测修正源</w:t>
            </w:r>
          </w:p>
          <w:p w14:paraId="6E8259C4">
            <w:pPr>
              <w:pStyle w:val="19"/>
              <w:bidi w:val="0"/>
            </w:pPr>
          </w:p>
          <w:p w14:paraId="3505336F">
            <w:pPr>
              <w:pStyle w:val="19"/>
              <w:bidi w:val="0"/>
            </w:pPr>
            <w:r>
              <w:t xml:space="preserve">  Scenario: 碳氧化率越界与极端物理量防御</w:t>
            </w:r>
          </w:p>
          <w:p w14:paraId="652993A0">
            <w:pPr>
              <w:pStyle w:val="19"/>
              <w:bidi w:val="0"/>
            </w:pPr>
            <w:r>
              <w:t xml:space="preserve">    Given 用户在录入柴油因子时，误将碳氧化率输入为 105.0%</w:t>
            </w:r>
          </w:p>
          <w:p w14:paraId="0F168855">
            <w:pPr>
              <w:pStyle w:val="19"/>
              <w:bidi w:val="0"/>
            </w:pPr>
            <w:r>
              <w:t xml:space="preserve">    When 用户点击确认提交保存</w:t>
            </w:r>
          </w:p>
          <w:p w14:paraId="63B97736">
            <w:pPr>
              <w:pStyle w:val="19"/>
              <w:bidi w:val="0"/>
            </w:pPr>
            <w:r>
              <w:t xml:space="preserve">    Then 表单标红提示 "碳氧化率不得超过100.0%"</w:t>
            </w:r>
          </w:p>
          <w:p w14:paraId="5F4B0A9E">
            <w:pPr>
              <w:pStyle w:val="19"/>
              <w:bidi w:val="0"/>
            </w:pPr>
            <w:r>
              <w:t xml:space="preserve">    And 提交动作被底层安全校验直接拦截</w:t>
            </w:r>
          </w:p>
          <w:p w14:paraId="22052E70">
            <w:pPr>
              <w:pStyle w:val="19"/>
              <w:bidi w:val="0"/>
            </w:pPr>
            <w:r>
              <w:t xml:space="preserve">    And 数据库不写入任何脏数据</w:t>
            </w:r>
          </w:p>
          <w:p w14:paraId="22CC7A39">
            <w:pPr>
              <w:pStyle w:val="19"/>
              <w:bidi w:val="0"/>
            </w:pPr>
            <w:r>
              <w:t xml:space="preserve">Scenario: 低位发热量非物理极值拦截</w:t>
            </w:r>
          </w:p>
          <w:p w14:paraId="67C83E84">
            <w:pPr>
              <w:pStyle w:val="19"/>
              <w:bidi w:val="0"/>
            </w:pPr>
            <w:r>
              <w:t xml:space="preserve">Given 用户在维护天然气因子时输入低位发热量 NCV = 52.000 MJ/m³</w:t>
            </w:r>
          </w:p>
          <w:p w14:paraId="2073F18E">
            <w:pPr>
              <w:pStyle w:val="19"/>
              <w:bidi w:val="0"/>
            </w:pPr>
            <w:r>
              <w:t xml:space="preserve">When 用户点击确认提交保存</w:t>
            </w:r>
          </w:p>
          <w:p w14:paraId="69ED84E5">
            <w:pPr>
              <w:pStyle w:val="19"/>
              <w:bidi w:val="0"/>
            </w:pPr>
            <w:r>
              <w:t xml:space="preserve">Then 表单标红提示低位发热量超出物理极限</w:t>
            </w:r>
          </w:p>
          <w:p w14:paraId="36DECEB4">
            <w:pPr>
              <w:pStyle w:val="19"/>
              <w:bidi w:val="0"/>
            </w:pPr>
            <w:r>
              <w:t xml:space="preserve">And 提交被底层安全校验拦截并返回 E_VAL_NCV_OUT_OF_PHYSICAL_RANGE</w:t>
            </w:r>
          </w:p>
          <w:p w14:paraId="44FC28D2">
            <w:pPr>
              <w:pStyle w:val="19"/>
              <w:bidi w:val="0"/>
            </w:pPr>
            <w:r>
              <w:t xml:space="preserve">And 数据库不写入任何脏数据</w:t>
            </w:r>
          </w:p>
          <w:p w14:paraId="594DA51C">
            <w:pPr>
              <w:pStyle w:val="19"/>
              <w:bidi w:val="0"/>
            </w:pPr>
            <w:r>
              <w:t xml:space="preserve">Scenario: 制冷剂逸散按 GWP 计入范围一</w:t>
            </w:r>
          </w:p>
          <w:p w14:paraId="6EF7C467">
            <w:pPr>
              <w:pStyle w:val="19"/>
              <w:bidi w:val="0"/>
            </w:pPr>
            <w:r>
              <w:t xml:space="preserve">Given 某车间当月 R134a 制冷剂逸散量 L_refrig = 2.5 kg，GWP = 1430</w:t>
            </w:r>
          </w:p>
          <w:p w14:paraId="4317BE62">
            <w:pPr>
              <w:pStyle w:val="19"/>
              <w:bidi w:val="0"/>
            </w:pPr>
            <w:r>
              <w:t xml:space="preserve">When 系统核算该车间 Scope 1 直接排放</w:t>
            </w:r>
          </w:p>
          <w:p w14:paraId="6F1E34B9">
            <w:pPr>
              <w:pStyle w:val="19"/>
              <w:bidi w:val="0"/>
            </w:pPr>
            <w:r>
              <w:t xml:space="preserve">Then 制冷剂逸散贡献 = 2.5 × 1430 = 3,575.000 kgCO₂e</w:t>
            </w:r>
          </w:p>
          <w:p w14:paraId="6D6F883D">
            <w:pPr>
              <w:pStyle w:val="19"/>
              <w:bidi w:val="0"/>
            </w:pPr>
            <w:r>
              <w:t xml:space="preserve">And 该值计入范围一直接排放总量并与燃料燃烧排放分项列示</w:t>
            </w:r>
          </w:p>
        </w:tc>
      </w:tr>
    </w:tbl>
    <w:p w14:paraId="3B115513">
      <w:pPr>
        <w:pStyle w:val="19"/>
        <w:widowControl/>
        <w:numPr>
          <w:ilvl w:val="0"/>
          <w:numId w:val="0"/>
        </w:numPr>
        <w:rPr>
          <w:rFonts w:eastAsia="宋体"/>
          <w:b/>
          <w:i w:val="0"/>
          <w:color w:val="0284C7"/>
          <w:sz w:val="24"/>
          <w:szCs w:val="24"/>
        </w:rPr>
      </w:pPr>
    </w:p>
    <w:p w14:paraId="60F7BEEE">
      <w:pPr>
        <w:rPr>
          <w:rFonts w:hint="eastAsia" w:ascii="宋体" w:hAnsi="宋体" w:eastAsia="宋体" w:cs="宋体"/>
          <w:i w:val="0"/>
          <w:iCs w:val="0"/>
          <w:sz w:val="24"/>
          <w:szCs w:val="24"/>
        </w:rPr>
      </w:pPr>
    </w:p>
    <w:p w14:paraId="45FD9E1B">
      <w:pPr>
        <w:pStyle w:val="5"/>
        <w:numPr>
          <w:ilvl w:val="0"/>
          <w:numId w:val="194"/>
        </w:numPr>
        <w:ind w:left="0" w:leftChars="0" w:firstLine="0" w:firstLineChars="0"/>
        <w:outlineLvl w:val="1"/>
        <w:rPr>
          <w:rFonts w:ascii="Times New Roman" w:hAnsi="Times New Roman" w:eastAsia="黑体" w:cs="Times New Roman"/>
          <w:b w:val="0"/>
          <w:bCs w:val="0"/>
          <w:sz w:val="30"/>
          <w:szCs w:val="24"/>
        </w:rPr>
      </w:pPr>
      <w:bookmarkStart w:id="61" w:name="_Toc24030"/>
      <w:r>
        <w:rPr>
          <w:rFonts w:hint="eastAsia" w:cs="Times New Roman"/>
          <w:b w:val="0"/>
          <w:bCs w:val="0"/>
          <w:sz w:val="30"/>
          <w:szCs w:val="24"/>
          <w:lang w:val="en-US" w:eastAsia="zh-CN"/>
        </w:rPr>
        <w:t xml:space="preserve">折标煤系数库</w:t>
      </w:r>
      <w:bookmarkEnd w:id="61"/>
    </w:p>
    <w:p w14:paraId="351A766C">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8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6"/>
                    <pic:cNvPicPr>
                      <a:picLocks noChangeAspect="1"/>
                    </pic:cNvPicPr>
                  </pic:nvPicPr>
                  <pic:blipFill>
                    <a:blip r:embed="rId94"/>
                    <a:stretch>
                      <a:fillRect/>
                    </a:stretch>
                  </pic:blipFill>
                  <pic:spPr>
                    <a:xfrm>
                      <a:off x="0" y="0"/>
                      <a:ext cx="5900420" cy="2925445"/>
                    </a:xfrm>
                    <a:prstGeom prst="rect">
                      <a:avLst/>
                    </a:prstGeom>
                    <a:noFill/>
                    <a:ln>
                      <a:noFill/>
                    </a:ln>
                  </pic:spPr>
                </pic:pic>
              </a:graphicData>
            </a:graphic>
          </wp:inline>
        </w:drawing>
      </w:r>
    </w:p>
    <w:p w14:paraId="5C255F35">
      <w:pPr>
        <w:pStyle w:val="6"/>
        <w:numPr>
          <w:ilvl w:val="0"/>
          <w:numId w:val="198"/>
        </w:numPr>
        <w:bidi w:val="0"/>
        <w:ind w:left="0" w:leftChars="0" w:firstLine="0" w:firstLineChars="0"/>
        <w:rPr>
          <w:b/>
          <w:bCs/>
          <w:sz w:val="28"/>
          <w:szCs w:val="28"/>
        </w:rPr>
      </w:pPr>
      <w:r>
        <w:rPr>
          <w:b/>
          <w:bCs/>
          <w:sz w:val="28"/>
          <w:szCs w:val="28"/>
        </w:rPr>
        <w:t>定位与架构角色</w:t>
      </w:r>
    </w:p>
    <w:p w14:paraId="5B29571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功能定位：严格依据国家标准 GB/T 2589-2020《综合能耗计算通则》，构建全集团各类能源介质（电力、天然气、原煤、柴油、汽油、外购蒸汽、新鲜水、氮气、压缩空气等）实物计量单位向"千克标准煤（kgce）"与"吨标准煤（tce）"转换的法定换算中枢（只读视图）。</w:t>
      </w:r>
    </w:p>
    <w:p w14:paraId="4BA5DB4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承载角色：P1 集团决策层（集团综合能效核准）、P2 园区能碳专员（车间折标能耗查阅）、PM 业务总监（指标考核基准锁定）。维护权限归第四章。</w:t>
      </w:r>
    </w:p>
    <w:p w14:paraId="3D71D04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页面路由：/carbon-footprint/factor/coal-equivalent。</w:t>
      </w:r>
    </w:p>
    <w:p w14:paraId="7F3764D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上游依赖：第四章「能碳基础因子管理」的折标煤系数主数据、GB/T 2589-2020 标准文本、各能源品种实测低位热值。</w:t>
      </w:r>
    </w:p>
    <w:p w14:paraId="2224996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下游输出：第二章集控中心的综合能耗指标（tce）、单位产品综合能耗（tce/台）、万元产值综合能耗（tce/万元）的换算基准。</w:t>
      </w:r>
    </w:p>
    <w:p w14:paraId="55BF575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数据权限：可查看组织范围＝集团全量；跨单位聚合＝不适用；对外可见档位＝INTERNAL；越权写入返回 403 + E_AUTH_RLS_SCOPE_DENIED。</w:t>
      </w:r>
    </w:p>
    <w:p w14:paraId="64BAED7F">
      <w:pPr>
        <w:pStyle w:val="6"/>
        <w:numPr>
          <w:ilvl w:val="0"/>
          <w:numId w:val="198"/>
        </w:numPr>
        <w:bidi w:val="0"/>
        <w:ind w:left="0" w:leftChars="0" w:firstLine="0" w:firstLineChars="0"/>
        <w:rPr>
          <w:b/>
          <w:bCs/>
          <w:sz w:val="28"/>
          <w:szCs w:val="28"/>
        </w:rPr>
      </w:pPr>
      <w:r>
        <w:rPr>
          <w:b/>
          <w:bCs/>
          <w:sz w:val="28"/>
          <w:szCs w:val="28"/>
        </w:rPr>
        <w:t>业务场景与用户故事</w:t>
      </w:r>
    </w:p>
    <w:p w14:paraId="678419DE">
      <w:pPr>
        <w:pStyle w:val="19"/>
        <w:bidi w:val="0"/>
      </w:pPr>
      <w:r>
        <w:t>• 业务场景描述：特变电工在统计全厂能源消费时，面临电（kWh）、气（m³）、煤（kg）、水（t）、汽（MJ/t）量纲不统一的现实问题，无法直接累加。必须通过折标煤系数库将各介质实物消费量换算为标准煤（当量热值 29,307.6 kJ/kgce），以此核算全集团、各园区及关键工序的综合能源消费总量与万元产值能耗指标。</w:t>
      </w:r>
    </w:p>
    <w:p w14:paraId="67F378DC">
      <w:pPr>
        <w:pStyle w:val="19"/>
        <w:bidi w:val="0"/>
      </w:pPr>
      <w:r>
        <w:t>• 用户故事：</w:t>
      </w:r>
    </w:p>
    <w:p w14:paraId="18861EC3">
      <w:pPr>
        <w:pStyle w:val="19"/>
        <w:bidi w:val="0"/>
      </w:pPr>
      <w:r>
        <w:t xml:space="preserve">  As a 园区能碳专员 (Persona P2)，</w:t>
      </w:r>
    </w:p>
    <w:p w14:paraId="1BCC8EBD">
      <w:pPr>
        <w:pStyle w:val="19"/>
        <w:bidi w:val="0"/>
      </w:pPr>
      <w:r>
        <w:t xml:space="preserve">  I want 按照法定国标查验电力、天然气、外购蒸汽等各类能源介质的折标煤系数及低位发热量，</w:t>
      </w:r>
    </w:p>
    <w:p w14:paraId="03174532">
      <w:pPr>
        <w:pStyle w:val="19"/>
        <w:bidi w:val="0"/>
      </w:pPr>
      <w:r>
        <w:t xml:space="preserve">  So that 我能依据国家标准精准核算车间及全厂的综合能源消费量 (tce)，确保对标管理与政府能效报送口径 100% 合规。</w:t>
      </w:r>
    </w:p>
    <w:p w14:paraId="2036041A">
      <w:pPr>
        <w:pStyle w:val="6"/>
        <w:numPr>
          <w:ilvl w:val="0"/>
          <w:numId w:val="198"/>
        </w:numPr>
        <w:bidi w:val="0"/>
        <w:ind w:left="0" w:leftChars="0" w:firstLine="0" w:firstLineChars="0"/>
        <w:rPr>
          <w:b/>
          <w:bCs/>
          <w:sz w:val="28"/>
          <w:szCs w:val="28"/>
        </w:rPr>
      </w:pPr>
      <w:r>
        <w:rPr>
          <w:b/>
          <w:bCs/>
          <w:sz w:val="28"/>
          <w:szCs w:val="28"/>
        </w:rPr>
        <w:t>功能规格与交互契约</w:t>
      </w:r>
    </w:p>
    <w:p w14:paraId="7D360D7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1）顶部提示条（常驻）："折标煤系数库 仅展示与查询，维护入口在 系统管理 &gt; 能碳基础因子管理"。</w:t>
      </w:r>
    </w:p>
    <w:p w14:paraId="282AD7B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2）筛选条：名称检索框（本模块无类别下拉，由截图确认）。</w:t>
      </w:r>
    </w:p>
    <w:p w14:paraId="3A040C7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3）主表列：能源品种 · 系数（当前 / 默认） · 单位 · 低位热值 · 数据来源 · 版本/依据 · 操作。</w:t>
      </w:r>
    </w:p>
    <w:p w14:paraId="31996DD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4）"低位热值"列取值：显示实测/国标低位热值并带单位（MJ/m³、MJ/kg）；当量值类（如电力）显示"—（当量值）"。</w:t>
      </w:r>
    </w:p>
    <w:p w14:paraId="308F9F9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5）"版本/依据"列：国标受控项显示标准号（GB/T 2589-2020），非国标项显示版本号（v2026.1）。</w:t>
      </w:r>
    </w:p>
    <w:p w14:paraId="3D331EE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6）行操作：版本记录（抽屉）；编辑与删除跳转第四章，且国标受控字段一律不可编辑（见 ⑦ 段）。</w:t>
      </w:r>
    </w:p>
    <w:p w14:paraId="69221586">
      <w:pPr>
        <w:pStyle w:val="6"/>
        <w:numPr>
          <w:ilvl w:val="0"/>
          <w:numId w:val="198"/>
        </w:numPr>
        <w:bidi w:val="0"/>
        <w:ind w:left="0" w:leftChars="0" w:firstLine="0" w:firstLineChars="0"/>
        <w:rPr>
          <w:b/>
          <w:bCs/>
          <w:sz w:val="28"/>
          <w:szCs w:val="28"/>
        </w:rPr>
      </w:pPr>
      <w:r>
        <w:rPr>
          <w:b/>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39C9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FDDBB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DD34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2A95D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D574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D99F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C6EB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能源品种</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79B3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930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CF91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电力 / 天然气 / 原煤 / 柴油 / 汽油 / 外购蒸汽 / 新鲜水 / 氮气 / 压缩空气</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7E66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7AC2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系数（当前 / 默认）</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B15D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84F6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kgce/实物单位</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FB13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&gt; 0；国标受控项锁定不可编辑</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2635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122C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低位热值</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22EA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小数(3 位) 或 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6F1E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MJ/m³ · MJ/kg</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E602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当量值类显示"—（当量值）"</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A588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5342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数据来源</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B47A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C6F4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129E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国家标准 / 行业标准</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CC36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6008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版本/依据</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CBA0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502D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C265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GB/T 2589-2020 或 v2026.1</w:t>
            </w:r>
          </w:p>
        </w:tc>
      </w:tr>
    </w:tbl>
    <w:p w14:paraId="3E981C0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截图实测样本（6 行，可直接作为验收基线）：电力 / 0.1229 kgce/kWh / —（当量值）/ 国家标准 / GB/T 2589-2020；天然气 / 1.2143 kgce/m³ / 35.588 MJ/m³；原煤 / 0.7143 kgce/kg / 20.908 MJ/kg；柴油 / 1.4571 kgce/kg / 42.652 MJ/kg；汽油 / 1.4714 kgce/kg / 43.070 MJ/kg；外购蒸汽 / 0.0341 kgce/MJ / — / 行业标准 / v2026.1。</w:t>
      </w:r>
    </w:p>
    <w:p w14:paraId="030F52F9">
      <w:pPr>
        <w:pStyle w:val="6"/>
        <w:numPr>
          <w:ilvl w:val="0"/>
          <w:numId w:val="198"/>
        </w:numPr>
        <w:bidi w:val="0"/>
        <w:ind w:left="0" w:leftChars="0" w:firstLine="0" w:firstLineChars="0"/>
        <w:rPr>
          <w:b/>
          <w:bCs/>
          <w:sz w:val="28"/>
          <w:szCs w:val="28"/>
        </w:rPr>
      </w:pPr>
      <w:r>
        <w:rPr>
          <w:b/>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8CF842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算式：</w:t>
            </w:r>
          </w:p>
          <w:p w14:paraId="6133F13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① E_tce = Σ(i=1→n) ( E_i × k_i ) ÷ 1000　—— 全厂综合能耗折标煤总量（tce）</w:t>
            </w:r>
          </w:p>
          <w:p w14:paraId="5E59D8A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② k_i = NCV_i ÷ 29307.6 kJ/kgce　—— 理论低位发热量换算折标系数</w:t>
            </w:r>
          </w:p>
          <w:p w14:paraId="3292878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③ e_output_val = E_tce ÷ ( G_output ÷ 10000 )　—— 万元产值综合能耗（tce/万元）</w:t>
            </w:r>
          </w:p>
        </w:tc>
      </w:tr>
    </w:tbl>
    <w:p w14:paraId="5212C4E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当 G_output &gt; 0 时按上式；当 G_output = 0 时兜底输出 --（不用 0、不用无穷大）</w:t>
      </w:r>
    </w:p>
    <w:p w14:paraId="6CD5546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变量定义与取值约定：</w:t>
      </w:r>
    </w:p>
    <w:p w14:paraId="4171859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E_i：第 i 种能源实物消费量（如 kWh、m³、kg、t）；k_i：第 i 种能源对应的国家标准折标煤系数（kgce/实物单位）；</w:t>
      </w:r>
    </w:p>
    <w:p w14:paraId="71346C1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1000：千克标准煤与吨标准煤进位制（1 tce = 1000 kgce）；</w:t>
      </w:r>
    </w:p>
    <w:p w14:paraId="6477757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NCV_i：该能源品种实测低位发热量（kJ/kg 或 kJ/m³）；29307.6 kJ/kgce：1 kgce 的当量热值；</w:t>
      </w:r>
    </w:p>
    <w:p w14:paraId="24AF435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G_output：工业产值（元），分母为 0 时安全兜底显示 --。</w:t>
      </w:r>
    </w:p>
    <w:p w14:paraId="427C3A4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取值示例：某车间月度消耗电力 10,000 kWh、天然气 1,000 m³、工业新鲜水 500 t →</w:t>
      </w:r>
    </w:p>
    <w:p w14:paraId="5BC112C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电力折标 = 10,000 × 0.1229 ÷ 1000 = 1.2290 tce</w:t>
      </w:r>
    </w:p>
    <w:p w14:paraId="548A785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天然气折标 = 1,000 × 1.2143 ÷ 1000 = 1.2143 tce</w:t>
      </w:r>
    </w:p>
    <w:p w14:paraId="43B8F7A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新鲜水折标 = 500 × 0.0857 ÷ 1000 = 0.0429 tce</w:t>
      </w:r>
    </w:p>
    <w:p w14:paraId="5CD4666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合计 E_tce = 1.2290 + 1.2143 + 0.0429 = 2.4862 tce（容差 ≤ 0.0001）</w:t>
      </w:r>
    </w:p>
    <w:p w14:paraId="79378EA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理论系数校核：天然气 NCV = 35.588 MJ/m³ = 35,588 kJ/m³ → k = 35,588 ÷ 29,307.6 = 1.2143 kgce/m³（与截图一致）。</w:t>
      </w:r>
    </w:p>
    <w:p w14:paraId="1F569A1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精度与容差：tce 保留 4 位小数，kgce 保留 2 位小数；系数保留 4 位小数；低位热值保留 3 位小数；合计容差 ≤ ±0.0001 tce。</w:t>
      </w:r>
    </w:p>
    <w:p w14:paraId="12AAB55C">
      <w:pPr>
        <w:pStyle w:val="6"/>
        <w:numPr>
          <w:ilvl w:val="0"/>
          <w:numId w:val="198"/>
        </w:numPr>
        <w:bidi w:val="0"/>
        <w:ind w:left="0" w:leftChars="0" w:firstLine="0" w:firstLineChars="0"/>
        <w:rPr>
          <w:b/>
          <w:bCs/>
          <w:sz w:val="28"/>
          <w:szCs w:val="28"/>
        </w:rPr>
      </w:pPr>
      <w:r>
        <w:rPr>
          <w:b/>
          <w:bCs/>
          <w:sz w:val="28"/>
          <w:szCs w:val="28"/>
        </w:rPr>
        <w:t>展示、对标与判定口径</w:t>
      </w:r>
    </w:p>
    <w:p w14:paraId="3676FB6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统一当量展示：系统全景图表默认均采用"当量热值"折标计算，报表导出提供"当量 / 等价"双列切换。</w:t>
      </w:r>
    </w:p>
    <w:p w14:paraId="5143AD9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精度口径：tce 保留 4 位小数，kgce 保留 2 位小数。</w:t>
      </w:r>
    </w:p>
    <w:p w14:paraId="4A6DCCF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空值口径：若工厂当期某能源消费为 0，折标煤量如实显示 0.0000 tce；若仪表断网未上报，统一显示 --，严禁将断网视为 0 能耗。</w:t>
      </w:r>
    </w:p>
    <w:p w14:paraId="2A78065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基准热值 29307.6 kJ/kgce（GB/T 2589-2020 规定，1 kgce 当量热值）；② 国标受控系数锁定清单（截图中已现 5 项）：电力 0.1229、天然气 1.2143、原煤 0.7143、柴油 1.4571、汽油 1.4714（kgce/实物单位），任何角色不可在线编辑；③ 实物量阈值：能耗实物量 &lt; 0 拦截保存；④ 分母安全阈值：产值或产量 = 0 时输出 --；⑤ 断网 vs 零值判定：仪表心跳超时 &gt; 5 秒即判"未上报"（置 --），与真实的 0 能耗在数据层面必须区分（数据源标记 NULL_SOURCE vs ZERO_VALUE）；⑥ 基准来源：国标受控项以 GB/T 2589-2020 文本为唯一权威；非国标项（如外购蒸汽 0.0341）以行业标准或协议下发值为准，须在版本记录中登记依据文件号。</w:t>
      </w:r>
    </w:p>
    <w:p w14:paraId="2BD03D27">
      <w:pPr>
        <w:pStyle w:val="6"/>
        <w:numPr>
          <w:ilvl w:val="0"/>
          <w:numId w:val="198"/>
        </w:numPr>
        <w:bidi w:val="0"/>
        <w:ind w:left="0" w:leftChars="0" w:firstLine="0" w:firstLineChars="0"/>
        <w:rPr>
          <w:b/>
          <w:bCs/>
          <w:sz w:val="28"/>
          <w:szCs w:val="28"/>
        </w:rPr>
      </w:pPr>
      <w:r>
        <w:rPr>
          <w:b/>
          <w:bCs/>
          <w:sz w:val="28"/>
          <w:szCs w:val="28"/>
        </w:rPr>
        <w:t>边界条件、异常处理与防错规则</w:t>
      </w:r>
    </w:p>
    <w:p w14:paraId="06707CF1">
      <w:pPr>
        <w:pStyle w:val="175"/>
        <w:bidi w:val="0"/>
      </w:pPr>
      <w:r>
        <w:t>• 单耗计算除零软拦截：产值或产品产量为0时，折标单耗</w:t>
      </w:r>
      <w:r>
        <w:rPr>
          <w:rFonts w:hint="eastAsia"/>
          <w:lang w:eastAsia="zh-CN"/>
        </w:rPr>
        <w:t>不得</w:t>
      </w:r>
      <w:r>
        <w:t>除零崩溃，</w:t>
      </w:r>
      <w:r>
        <w:rPr>
          <w:rFonts w:hint="eastAsia"/>
          <w:lang w:eastAsia="zh-CN"/>
        </w:rPr>
        <w:t>返回--，</w:t>
      </w:r>
      <w:r>
        <w:t>抛出软告警E_CALC_UNIT_DIV_ZERO_SOFT；</w:t>
      </w:r>
    </w:p>
    <w:p w14:paraId="5DBFC0B7">
      <w:pPr>
        <w:pStyle w:val="175"/>
        <w:bidi w:val="0"/>
      </w:pPr>
      <w:r>
        <w:t>• 国标核心字段修改阻断：任何角色在线编辑电力（0.1229）、天然气（1.2143）系数时，系统弹出阻断并提示“GB/T 2589-2020 强制国标受控字段不可在线直接编辑”，触发  E_SYS_GB_STD_IMMUTABLE ；</w:t>
      </w:r>
    </w:p>
    <w:p w14:paraId="675E234D">
      <w:pPr>
        <w:pStyle w:val="175"/>
        <w:bidi w:val="0"/>
      </w:pPr>
      <w:r>
        <w:t>• 实物物理量负数校验：能耗实物量输入 &lt; 0 时拦截保存，触发  E_VAL_ENERGY_USAGE_NEGATIVE 。</w:t>
      </w:r>
    </w:p>
    <w:p w14:paraId="3E597588">
      <w:pPr>
        <w:pStyle w:val="6"/>
        <w:numPr>
          <w:ilvl w:val="0"/>
          <w:numId w:val="198"/>
        </w:numPr>
        <w:bidi w:val="0"/>
        <w:ind w:left="0" w:leftChars="0" w:firstLine="0" w:firstLineChars="0"/>
        <w:rPr>
          <w:b/>
          <w:bCs/>
          <w:sz w:val="28"/>
          <w:szCs w:val="28"/>
        </w:rPr>
      </w:pPr>
      <w:r>
        <w:rPr>
          <w:b/>
          <w:bCs/>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31299910">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23676B52">
            <w:pPr>
              <w:pStyle w:val="19"/>
              <w:bidi w:val="0"/>
            </w:pPr>
            <w:r>
              <w:t>Feature: GB/T 2589-2020 折标煤模型与除零防御</w:t>
            </w:r>
          </w:p>
          <w:p w14:paraId="510C7C42">
            <w:pPr>
              <w:pStyle w:val="19"/>
              <w:bidi w:val="0"/>
            </w:pPr>
            <w:r>
              <w:t xml:space="preserve">  Scenario: 全介质实物量转标煤计算精度验证</w:t>
            </w:r>
          </w:p>
          <w:p w14:paraId="12AB8B09">
            <w:pPr>
              <w:pStyle w:val="19"/>
              <w:bidi w:val="0"/>
            </w:pPr>
            <w:r>
              <w:t xml:space="preserve">    Given 某车间月度消耗电力 10,000 kWh, 天然气 1,000 m³, 工业新鲜水 500 t</w:t>
            </w:r>
          </w:p>
          <w:p w14:paraId="723826EA">
            <w:pPr>
              <w:pStyle w:val="19"/>
              <w:bidi w:val="0"/>
            </w:pPr>
            <w:r>
              <w:t xml:space="preserve">    When 系统调用折标煤系数库执行综合能耗核算</w:t>
            </w:r>
          </w:p>
          <w:p w14:paraId="43E0353C">
            <w:pPr>
              <w:pStyle w:val="19"/>
              <w:bidi w:val="0"/>
            </w:pPr>
            <w:r>
              <w:t xml:space="preserve">    Then 电力折标煤量精确等于 1.2290 tce</w:t>
            </w:r>
          </w:p>
          <w:p w14:paraId="66D3FB14">
            <w:pPr>
              <w:pStyle w:val="19"/>
              <w:bidi w:val="0"/>
            </w:pPr>
            <w:r>
              <w:t xml:space="preserve">    And 天然气折标煤量精确等于 1.2143 tce</w:t>
            </w:r>
          </w:p>
          <w:p w14:paraId="1C2FA87D">
            <w:pPr>
              <w:pStyle w:val="19"/>
              <w:bidi w:val="0"/>
            </w:pPr>
            <w:r>
              <w:t xml:space="preserve">    And 新鲜水工质折算量精确等于 0.0429 tce</w:t>
            </w:r>
          </w:p>
          <w:p w14:paraId="78361076">
            <w:pPr>
              <w:pStyle w:val="19"/>
              <w:bidi w:val="0"/>
            </w:pPr>
            <w:r>
              <w:t xml:space="preserve">    And 车间总综合能耗精确等于 2.4862 tce (容差 &lt;= 0.0001)</w:t>
            </w:r>
          </w:p>
          <w:p w14:paraId="5D30DC06">
            <w:pPr>
              <w:pStyle w:val="19"/>
              <w:bidi w:val="0"/>
            </w:pPr>
          </w:p>
          <w:p w14:paraId="6B688765">
            <w:pPr>
              <w:pStyle w:val="19"/>
              <w:bidi w:val="0"/>
            </w:pPr>
            <w:r>
              <w:t xml:space="preserve">  Scenario: 万元产值能耗除零极限边界防御</w:t>
            </w:r>
          </w:p>
          <w:p w14:paraId="24AFB2F8">
            <w:pPr>
              <w:pStyle w:val="19"/>
              <w:bidi w:val="0"/>
            </w:pPr>
            <w:r>
              <w:t xml:space="preserve">    Given 某新建车间当月综合能耗为 5.5000 tce，但产值报工为 0 元</w:t>
            </w:r>
          </w:p>
          <w:p w14:paraId="7A7B359E">
            <w:pPr>
              <w:pStyle w:val="19"/>
              <w:bidi w:val="0"/>
            </w:pPr>
            <w:r>
              <w:t xml:space="preserve">    When 系统渲染该车间万元产值综合能耗指标</w:t>
            </w:r>
          </w:p>
          <w:p w14:paraId="42E0016F">
            <w:pPr>
              <w:pStyle w:val="19"/>
              <w:bidi w:val="0"/>
            </w:pPr>
            <w:r>
              <w:t xml:space="preserve">    Then 页面安全展示为 "--"</w:t>
            </w:r>
          </w:p>
          <w:p w14:paraId="09DC7F50">
            <w:pPr>
              <w:pStyle w:val="19"/>
              <w:bidi w:val="0"/>
            </w:pPr>
            <w:r>
              <w:t xml:space="preserve">    And 系统不出现 NaN、Infinity 或前端崩溃异常</w:t>
            </w:r>
          </w:p>
          <w:p w14:paraId="552645E4">
            <w:pPr>
              <w:pStyle w:val="19"/>
              <w:bidi w:val="0"/>
            </w:pPr>
            <w:r>
              <w:t xml:space="preserve">    And 后台记录软处理告警 E_CALC_UNIT_DIV_ZERO_SOFT</w:t>
            </w:r>
          </w:p>
          <w:p w14:paraId="612E8D0F">
            <w:pPr>
              <w:pStyle w:val="19"/>
              <w:bidi w:val="0"/>
            </w:pPr>
            <w:r>
              <w:t xml:space="preserve">Scenario: 国标受控系数不可在线编辑</w:t>
            </w:r>
          </w:p>
          <w:p w14:paraId="10D121DD">
            <w:pPr>
              <w:pStyle w:val="19"/>
              <w:bidi w:val="0"/>
            </w:pPr>
            <w:r>
              <w:t xml:space="preserve">Given 某用户（含 P1 集团决策层）在线编辑电力折标系数 0.1229</w:t>
            </w:r>
          </w:p>
          <w:p w14:paraId="62BB8621">
            <w:pPr>
              <w:pStyle w:val="19"/>
              <w:bidi w:val="0"/>
            </w:pPr>
            <w:r>
              <w:t xml:space="preserve">When 提交保存</w:t>
            </w:r>
          </w:p>
          <w:p w14:paraId="45669B60">
            <w:pPr>
              <w:pStyle w:val="19"/>
              <w:bidi w:val="0"/>
            </w:pPr>
            <w:r>
              <w:t xml:space="preserve">Then 系统弹出阻断提示"GB/T 2589-2020 强制国标受控字段不可在线直接编辑"</w:t>
            </w:r>
          </w:p>
          <w:p w14:paraId="7DF6EB45">
            <w:pPr>
              <w:pStyle w:val="19"/>
              <w:bidi w:val="0"/>
            </w:pPr>
            <w:r>
              <w:t xml:space="preserve">And 返回错误码 E_SYS_GB_STD_IMMUTABLE 且系数保持 0.1229 不变</w:t>
            </w:r>
          </w:p>
          <w:p w14:paraId="1679061C">
            <w:pPr>
              <w:pStyle w:val="19"/>
              <w:bidi w:val="0"/>
            </w:pPr>
            <w:r>
              <w:t xml:space="preserve">Scenario: 仪表断网不得视为零能耗</w:t>
            </w:r>
          </w:p>
          <w:p w14:paraId="101EE5EF">
            <w:pPr>
              <w:pStyle w:val="19"/>
              <w:bidi w:val="0"/>
            </w:pPr>
            <w:r>
              <w:t xml:space="preserve">Given 某车间当月天然气仪表心跳超时未上报</w:t>
            </w:r>
          </w:p>
          <w:p w14:paraId="2F0F34C7">
            <w:pPr>
              <w:pStyle w:val="19"/>
              <w:bidi w:val="0"/>
            </w:pPr>
            <w:r>
              <w:t xml:space="preserve">When 系统渲染该车间的天然气折标煤量</w:t>
            </w:r>
          </w:p>
          <w:p w14:paraId="7C373B00">
            <w:pPr>
              <w:pStyle w:val="19"/>
              <w:bidi w:val="0"/>
            </w:pPr>
            <w:r>
              <w:t xml:space="preserve">Then 页面显示为 "--" 而非 0.0000 tce</w:t>
            </w:r>
          </w:p>
          <w:p w14:paraId="30B2E5F2">
            <w:pPr>
              <w:pStyle w:val="19"/>
              <w:bidi w:val="0"/>
            </w:pPr>
            <w:r>
              <w:t xml:space="preserve">And 数据源标记为 NULL_SOURCE 以区别于真实的 ZERO_VALUE</w:t>
            </w:r>
          </w:p>
          <w:p w14:paraId="1C55243F">
            <w:pPr>
              <w:pStyle w:val="19"/>
              <w:bidi w:val="0"/>
            </w:pPr>
            <w:r>
              <w:t xml:space="preserve">And 综合能耗合计中该分项标注"数据缺失，待补传"而不计入合计</w:t>
            </w:r>
          </w:p>
        </w:tc>
      </w:tr>
    </w:tbl>
    <w:p w14:paraId="6D553808">
      <w:pPr>
        <w:pStyle w:val="19"/>
        <w:widowControl/>
        <w:numPr>
          <w:ilvl w:val="0"/>
          <w:numId w:val="0"/>
        </w:numPr>
        <w:rPr>
          <w:rFonts w:eastAsia="宋体"/>
          <w:b/>
          <w:i w:val="0"/>
          <w:color w:val="0284C7"/>
          <w:sz w:val="24"/>
          <w:szCs w:val="24"/>
        </w:rPr>
      </w:pPr>
    </w:p>
    <w:p w14:paraId="27248435">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64B50CB0">
      <w:pPr>
        <w:pStyle w:val="3"/>
        <w:numPr>
          <w:ilvl w:val="0"/>
          <w:numId w:val="7"/>
        </w:numPr>
        <w:ind w:left="0" w:leftChars="0" w:firstLine="0" w:firstLineChars="0"/>
        <w:rPr>
          <w:rFonts w:eastAsia="黑体"/>
          <w:b w:val="0"/>
          <w:bCs w:val="0"/>
          <w:sz w:val="32"/>
          <w:szCs w:val="44"/>
        </w:rPr>
      </w:pPr>
      <w:bookmarkStart w:id="62" w:name="_Toc14842"/>
      <w:r>
        <w:rPr>
          <w:rFonts w:hint="eastAsia"/>
          <w:b w:val="0"/>
          <w:bCs w:val="0"/>
          <w:sz w:val="32"/>
          <w:szCs w:val="44"/>
          <w:lang w:val="en-US" w:eastAsia="zh-CN"/>
        </w:rPr>
        <w:t>系统管理、基础参数设置</w:t>
      </w:r>
      <w:bookmarkEnd w:id="62"/>
    </w:p>
    <w:p w14:paraId="782737AF">
      <w:pPr>
        <w:pStyle w:val="19"/>
        <w:bidi w:val="0"/>
        <w:rPr>
          <w:rFonts w:hint="eastAsia" w:eastAsia="宋体"/>
          <w:lang w:eastAsia="zh-CN"/>
        </w:rPr>
      </w:pPr>
      <w:r>
        <w:rPr>
          <w:rFonts w:hint="eastAsia"/>
          <w:lang w:val="en-US" w:eastAsia="zh-CN"/>
        </w:rPr>
        <w:t>系统管理模块是专门面向系统管理员使用的综合基础数据管理平台，它作为整个特变电工能碳数字化双中心平台的核心基础支撑模块，承担着整个平台底层基础数据管控与调度的核心功能，允许拥有最高管理权限的系统管理员，对整个平台内覆盖业务全流程的各类基础核心数据，包括参与平台使用的各类用户账号信息、不同岗位角色对应的功能访问权限配置、入驻平台开展业务的企业主体基础信息、日常生产运营环节产生的各类生产相关数据、生产现场稳定运行的各类设备基础信息等内容进行统一的维护与管理。完成配置调整后的各类基础参数，将在能碳集控中心和能碳集采中心两个核心业务模块中动态获取并更新数据，支撑业务模块的稳定运行。</w:t>
      </w:r>
    </w:p>
    <w:p w14:paraId="5AF00808">
      <w:pPr>
        <w:pStyle w:val="4"/>
        <w:numPr>
          <w:ilvl w:val="0"/>
          <w:numId w:val="199"/>
        </w:numPr>
        <w:topLinePunct w:val="0"/>
        <w:ind w:left="0" w:leftChars="0" w:firstLine="0" w:firstLineChars="0"/>
        <w:outlineLvl w:val="0"/>
        <w:rPr>
          <w:rFonts w:hint="default" w:ascii="Times New Roman" w:hAnsi="Times New Roman" w:eastAsia="黑体" w:cs="Times New Roman"/>
          <w:b w:val="0"/>
          <w:bCs w:val="0"/>
          <w:sz w:val="30"/>
          <w:szCs w:val="32"/>
          <w:lang w:val="en-US" w:eastAsia="zh-CN"/>
        </w:rPr>
      </w:pPr>
      <w:bookmarkStart w:id="63" w:name="_Toc31977"/>
      <w:r>
        <w:rPr>
          <w:rFonts w:hint="eastAsia" w:ascii="Times New Roman" w:hAnsi="Times New Roman" w:eastAsia="黑体" w:cs="Times New Roman"/>
          <w:b w:val="0"/>
          <w:bCs w:val="0"/>
          <w:sz w:val="30"/>
          <w:szCs w:val="32"/>
          <w:lang w:val="en-US" w:eastAsia="zh-CN"/>
        </w:rPr>
        <w:t>权限管控</w:t>
      </w:r>
      <w:bookmarkEnd w:id="63"/>
    </w:p>
    <w:p w14:paraId="5ADA5FB8">
      <w:pPr>
        <w:pStyle w:val="5"/>
        <w:numPr>
          <w:ilvl w:val="0"/>
          <w:numId w:val="200"/>
        </w:numPr>
        <w:ind w:left="0" w:leftChars="0" w:firstLine="0" w:firstLineChars="0"/>
        <w:outlineLvl w:val="1"/>
        <w:rPr>
          <w:rFonts w:hint="default" w:cs="Times New Roman"/>
          <w:b w:val="0"/>
          <w:bCs w:val="0"/>
          <w:sz w:val="30"/>
          <w:szCs w:val="24"/>
          <w:lang w:val="en-US" w:eastAsia="zh-CN"/>
        </w:rPr>
      </w:pPr>
      <w:bookmarkStart w:id="64" w:name="_Toc15939"/>
      <w:r>
        <w:rPr>
          <w:rFonts w:hint="eastAsia" w:cs="Times New Roman"/>
          <w:b w:val="0"/>
          <w:bCs w:val="0"/>
          <w:sz w:val="30"/>
          <w:szCs w:val="24"/>
          <w:lang w:val="en-US" w:eastAsia="zh-CN"/>
        </w:rPr>
        <w:t>组织管理</w:t>
      </w:r>
      <w:bookmarkEnd w:id="64"/>
    </w:p>
    <w:p w14:paraId="6EEBE3EF">
      <w:r>
        <w:drawing>
          <wp:inline distT="0" distB="0" distL="114300" distR="114300">
            <wp:extent cx="5900420" cy="2925445"/>
            <wp:effectExtent l="0" t="0" r="5080" b="8255"/>
            <wp:docPr id="8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7"/>
                    <pic:cNvPicPr>
                      <a:picLocks noChangeAspect="1"/>
                    </pic:cNvPicPr>
                  </pic:nvPicPr>
                  <pic:blipFill>
                    <a:blip r:embed="rId95"/>
                    <a:stretch>
                      <a:fillRect/>
                    </a:stretch>
                  </pic:blipFill>
                  <pic:spPr>
                    <a:xfrm>
                      <a:off x="0" y="0"/>
                      <a:ext cx="5900420" cy="2925445"/>
                    </a:xfrm>
                    <a:prstGeom prst="rect">
                      <a:avLst/>
                    </a:prstGeom>
                    <a:noFill/>
                    <a:ln>
                      <a:noFill/>
                    </a:ln>
                  </pic:spPr>
                </pic:pic>
              </a:graphicData>
            </a:graphic>
          </wp:inline>
        </w:drawing>
      </w:r>
    </w:p>
    <w:p w14:paraId="4655D22B">
      <w:pPr>
        <w:pStyle w:val="6"/>
        <w:numPr>
          <w:ilvl w:val="0"/>
          <w:numId w:val="201"/>
        </w:numPr>
        <w:bidi w:val="0"/>
        <w:spacing w:after="12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2425CC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功能定位：</w:t>
            </w:r>
            <w:r>
              <w:rPr>
                <w:rFonts w:hint="eastAsia" w:ascii="宋体" w:hAnsi="宋体" w:eastAsia="宋体" w:cs="宋体"/>
                <w:b w:val="0"/>
                <w:i w:val="0"/>
                <w:iCs w:val="0"/>
                <w:caps w:val="0"/>
                <w:color w:val="000000"/>
                <w:spacing w:val="0"/>
                <w:kern w:val="0"/>
                <w:sz w:val="24"/>
                <w:szCs w:val="24"/>
                <w:lang w:val="en-US" w:eastAsia="zh-CN" w:bidi="ar"/>
              </w:rPr>
              <w:t>作为系统管理模块的基础数据枢纽与权限管控源头，构建全集团六级组织架构（集团总部→产业集团→二级公司→工厂）层级映射关系，为全系统权限体系、人员归属、业务流转提供唯一、标准的组织架构数据基准，是所有业务模块启动配置的前置核心依赖。</w:t>
            </w:r>
          </w:p>
          <w:p w14:paraId="03C665B4">
            <w:pPr>
              <w:spacing w:after="200"/>
              <w:rPr>
                <w:rFonts w:hint="eastAsia" w:ascii="宋体" w:hAnsi="宋体" w:eastAsia="宋体" w:cs="宋体"/>
                <w:sz w:val="24"/>
                <w:szCs w:val="24"/>
                <w:lang w:val="en-US" w:eastAsia="en-US" w:bidi="ar-SA"/>
              </w:rPr>
            </w:pPr>
            <w:r>
              <w:rPr>
                <w:rFonts w:hint="eastAsia" w:ascii="宋体" w:hAnsi="宋体" w:eastAsia="宋体" w:cs="宋体"/>
                <w:b/>
                <w:sz w:val="24"/>
                <w:szCs w:val="24"/>
                <w:lang w:val="en-US" w:eastAsia="en-US" w:bidi="ar-SA"/>
              </w:rPr>
              <w:t>• 承载角色：</w:t>
            </w:r>
            <w:r>
              <w:rPr>
                <w:rFonts w:hint="eastAsia" w:ascii="宋体" w:hAnsi="宋体" w:eastAsia="宋体" w:cs="宋体"/>
                <w:b w:val="0"/>
                <w:i w:val="0"/>
                <w:iCs w:val="0"/>
                <w:caps w:val="0"/>
                <w:color w:val="000000"/>
                <w:spacing w:val="0"/>
                <w:kern w:val="0"/>
                <w:sz w:val="24"/>
                <w:szCs w:val="24"/>
                <w:lang w:val="en-US" w:eastAsia="zh-CN" w:bidi="ar"/>
              </w:rPr>
              <w:t>PM 系统管理员（全量组织数据统筹管理）。</w:t>
            </w:r>
          </w:p>
        </w:tc>
      </w:tr>
    </w:tbl>
    <w:p w14:paraId="7799B600"/>
    <w:p w14:paraId="6A9ED44F">
      <w:pPr>
        <w:pStyle w:val="6"/>
        <w:numPr>
          <w:ilvl w:val="0"/>
          <w:numId w:val="201"/>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22AF99D1">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1FF265A3">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业务场景</w:t>
            </w:r>
            <w:r>
              <w:rPr>
                <w:rFonts w:ascii="宋体" w:hAnsi="宋体" w:eastAsia="宋体" w:cs="宋体"/>
                <w:sz w:val="24"/>
                <w:szCs w:val="24"/>
              </w:rPr>
              <w:t xml:space="preserve">：面向系统管理员维护集团多级组织架构，搭建集团、园区、工厂层级机构树，统一管理 15 大园区、21 家实体工厂组织基础信息，为指挥大厅大屏制造基地空间分布展示、数据权限隔离提供组织主数据支撑。 </w:t>
            </w:r>
          </w:p>
          <w:p w14:paraId="3260270C">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用户故事</w:t>
            </w:r>
            <w:r>
              <w:rPr>
                <w:rFonts w:ascii="宋体" w:hAnsi="宋体" w:eastAsia="宋体" w:cs="宋体"/>
                <w:sz w:val="24"/>
                <w:szCs w:val="24"/>
              </w:rPr>
              <w:t>：</w:t>
            </w:r>
          </w:p>
          <w:p w14:paraId="53FC43D3">
            <w:pPr>
              <w:pStyle w:val="19"/>
              <w:bidi w:val="0"/>
              <w:ind w:left="0" w:leftChars="0" w:firstLine="439" w:firstLineChars="183"/>
              <w:rPr>
                <w:rFonts w:ascii="宋体" w:hAnsi="宋体" w:eastAsia="宋体" w:cs="宋体"/>
                <w:sz w:val="24"/>
                <w:szCs w:val="24"/>
              </w:rPr>
            </w:pPr>
            <w:r>
              <w:rPr>
                <w:rFonts w:ascii="宋体" w:hAnsi="宋体" w:eastAsia="宋体" w:cs="宋体"/>
                <w:sz w:val="24"/>
                <w:szCs w:val="24"/>
              </w:rPr>
              <w:t xml:space="preserve">As a 系统管理员 (Persona PM)， </w:t>
            </w:r>
          </w:p>
          <w:p w14:paraId="3F5C9AE4">
            <w:pPr>
              <w:pStyle w:val="19"/>
              <w:bidi w:val="0"/>
              <w:ind w:left="0" w:leftChars="0" w:firstLine="439" w:firstLineChars="183"/>
              <w:rPr>
                <w:rFonts w:ascii="宋体" w:hAnsi="宋体" w:eastAsia="宋体" w:cs="宋体"/>
                <w:sz w:val="24"/>
                <w:szCs w:val="24"/>
              </w:rPr>
            </w:pPr>
            <w:r>
              <w:rPr>
                <w:rFonts w:ascii="宋体" w:hAnsi="宋体" w:eastAsia="宋体" w:cs="宋体"/>
                <w:sz w:val="24"/>
                <w:szCs w:val="24"/>
              </w:rPr>
              <w:t xml:space="preserve">I want 维护集团组织机构树，新增、编辑、管理各级园区与工厂机构信息，定义组织层级与归属关系， </w:t>
            </w:r>
          </w:p>
          <w:p w14:paraId="02918A21">
            <w:pPr>
              <w:pStyle w:val="19"/>
              <w:bidi w:val="0"/>
              <w:ind w:left="0" w:leftChars="0" w:firstLine="439" w:firstLineChars="183"/>
            </w:pPr>
            <w:r>
              <w:rPr>
                <w:rFonts w:ascii="宋体" w:hAnsi="宋体" w:eastAsia="宋体" w:cs="宋体"/>
                <w:sz w:val="24"/>
                <w:szCs w:val="24"/>
              </w:rPr>
              <w:t>So that 我能够为集控环幕大屏提供集团制造基地空间分布基础数据，实现按组织隔离能碳数据，保障集团多园区多工厂数据归集与权限管控。</w:t>
            </w:r>
          </w:p>
        </w:tc>
      </w:tr>
    </w:tbl>
    <w:p w14:paraId="2D1CFE2B"/>
    <w:p w14:paraId="11AC1D09">
      <w:pPr>
        <w:pStyle w:val="6"/>
        <w:numPr>
          <w:ilvl w:val="0"/>
          <w:numId w:val="201"/>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0DBB782">
        <w:tblPrEx>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2970C5BF">
            <w:pPr>
              <w:pStyle w:val="19"/>
              <w:numPr>
                <w:ilvl w:val="0"/>
                <w:numId w:val="202"/>
              </w:numPr>
              <w:bidi w:val="0"/>
              <w:ind w:left="0" w:leftChars="0" w:firstLine="480" w:firstLineChars="200"/>
            </w:pPr>
            <w:r>
              <w:t>左侧：</w:t>
            </w:r>
            <w:r>
              <w:rPr>
                <w:rFonts w:hint="eastAsia"/>
                <w:lang w:val="en-US" w:eastAsia="zh-CN"/>
              </w:rPr>
              <w:t>3</w:t>
            </w:r>
            <w:r>
              <w:t xml:space="preserve"> 级组织树，选中组织节点，右侧机构列表、机构详情自动刷新；支持下钻至园区 / 工厂节点。</w:t>
            </w:r>
          </w:p>
          <w:p w14:paraId="53B30330">
            <w:pPr>
              <w:pStyle w:val="19"/>
              <w:numPr>
                <w:ilvl w:val="0"/>
                <w:numId w:val="202"/>
              </w:numPr>
              <w:bidi w:val="0"/>
              <w:ind w:left="0" w:leftChars="0" w:firstLine="480" w:firstLineChars="200"/>
            </w:pPr>
            <w:r>
              <w:rPr>
                <w:rFonts w:hint="eastAsia"/>
                <w:lang w:val="en-US" w:eastAsia="zh-CN"/>
              </w:rPr>
              <w:t>点击【新增机构】</w:t>
            </w:r>
            <w:r>
              <w:t>：</w:t>
            </w:r>
            <w:r>
              <w:rPr>
                <w:rFonts w:hint="eastAsia"/>
                <w:lang w:val="en-US" w:eastAsia="zh-CN"/>
              </w:rPr>
              <w:t>打开新增机构弹窗</w:t>
            </w:r>
            <w:r>
              <w:t>。</w:t>
            </w:r>
          </w:p>
          <w:p w14:paraId="67DAD514">
            <w:pPr>
              <w:pStyle w:val="19"/>
              <w:numPr>
                <w:ilvl w:val="0"/>
                <w:numId w:val="202"/>
              </w:numPr>
              <w:bidi w:val="0"/>
              <w:ind w:left="0" w:leftChars="0" w:firstLine="480" w:firstLineChars="200"/>
            </w:pPr>
            <w:r>
              <w:rPr>
                <w:rFonts w:hint="eastAsia"/>
                <w:lang w:val="en-US" w:eastAsia="zh-CN"/>
              </w:rPr>
              <w:t>点击【编辑】</w:t>
            </w:r>
            <w:r>
              <w:t>：</w:t>
            </w:r>
            <w:r>
              <w:rPr>
                <w:rFonts w:hint="eastAsia"/>
                <w:lang w:val="en-US" w:eastAsia="zh-CN"/>
              </w:rPr>
              <w:t>打开编辑信息弹窗</w:t>
            </w:r>
            <w:r>
              <w:t>。</w:t>
            </w:r>
          </w:p>
          <w:p w14:paraId="1CA4CB16">
            <w:pPr>
              <w:pStyle w:val="19"/>
              <w:numPr>
                <w:ilvl w:val="0"/>
                <w:numId w:val="202"/>
              </w:numPr>
              <w:bidi w:val="0"/>
              <w:ind w:left="0" w:leftChars="0" w:firstLine="480" w:firstLineChars="200"/>
            </w:pPr>
            <w:r>
              <w:rPr>
                <w:rFonts w:hint="eastAsia"/>
                <w:lang w:val="en-US" w:eastAsia="zh-CN"/>
              </w:rPr>
              <w:t>点击【删除】</w:t>
            </w:r>
            <w:r>
              <w:t>：</w:t>
            </w:r>
            <w:r>
              <w:rPr>
                <w:rFonts w:hint="eastAsia"/>
                <w:lang w:val="en-US" w:eastAsia="zh-CN"/>
              </w:rPr>
              <w:t>打开确认删除弹窗，确认后关闭弹窗并</w:t>
            </w:r>
            <w:r>
              <w:t>删除机构。</w:t>
            </w:r>
          </w:p>
        </w:tc>
      </w:tr>
    </w:tbl>
    <w:p w14:paraId="05BD9060"/>
    <w:p w14:paraId="259DF531">
      <w:pPr>
        <w:pStyle w:val="6"/>
        <w:numPr>
          <w:ilvl w:val="0"/>
          <w:numId w:val="201"/>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3A32877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03F1640">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D64CE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DA893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985CB8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E04BF3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校验与约束规则</w:t>
            </w:r>
          </w:p>
        </w:tc>
      </w:tr>
      <w:tr w14:paraId="28F6BF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CB387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EF3DA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机构层级</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5FC604">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08D961">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DDAD71">
            <w:pPr>
              <w:pStyle w:val="19"/>
              <w:bidi w:val="0"/>
              <w:spacing w:line="240" w:lineRule="auto"/>
              <w:ind w:left="0" w:leftChars="0" w:right="0" w:rightChars="0" w:firstLine="0" w:firstLineChars="0"/>
              <w:jc w:val="both"/>
              <w:rPr>
                <w:rFonts w:hint="eastAsia" w:ascii="宋体" w:hAnsi="宋体" w:eastAsia="宋体" w:cs="宋体"/>
                <w:sz w:val="24"/>
                <w:szCs w:val="24"/>
              </w:rPr>
            </w:pPr>
          </w:p>
        </w:tc>
      </w:tr>
      <w:tr w14:paraId="48D8B4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134A3D">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18E5F9">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下级机构</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DBC5A7">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143E14">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704C45">
            <w:pPr>
              <w:pStyle w:val="19"/>
              <w:bidi w:val="0"/>
              <w:spacing w:line="240" w:lineRule="auto"/>
              <w:ind w:left="0" w:leftChars="0" w:right="0" w:rightChars="0" w:firstLine="0" w:firstLineChars="0"/>
              <w:jc w:val="both"/>
              <w:rPr>
                <w:rFonts w:hint="eastAsia" w:ascii="宋体" w:hAnsi="宋体" w:eastAsia="宋体" w:cs="宋体"/>
                <w:sz w:val="24"/>
                <w:szCs w:val="24"/>
              </w:rPr>
            </w:pPr>
          </w:p>
        </w:tc>
      </w:tr>
      <w:tr w14:paraId="66ACE8C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71768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4DD16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所属产业</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A7D9D7">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B0E45B">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51E2F2">
            <w:pPr>
              <w:pStyle w:val="19"/>
              <w:bidi w:val="0"/>
              <w:spacing w:line="240" w:lineRule="auto"/>
              <w:ind w:left="0" w:leftChars="0" w:right="0" w:rightChars="0" w:firstLine="0" w:firstLineChars="0"/>
              <w:jc w:val="both"/>
              <w:rPr>
                <w:rFonts w:hint="eastAsia" w:ascii="宋体" w:hAnsi="宋体" w:eastAsia="宋体" w:cs="宋体"/>
                <w:sz w:val="24"/>
                <w:szCs w:val="24"/>
              </w:rPr>
            </w:pPr>
          </w:p>
        </w:tc>
      </w:tr>
      <w:tr w14:paraId="0431836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83BE41">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8885C1">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管辖范围</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9DF767">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F16EF1">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FD823F">
            <w:pPr>
              <w:pStyle w:val="19"/>
              <w:bidi w:val="0"/>
              <w:spacing w:line="240" w:lineRule="auto"/>
              <w:ind w:left="0" w:leftChars="0" w:right="0" w:rightChars="0" w:firstLine="0" w:firstLineChars="0"/>
              <w:jc w:val="both"/>
              <w:rPr>
                <w:rFonts w:hint="eastAsia" w:ascii="宋体" w:hAnsi="宋体" w:eastAsia="宋体" w:cs="宋体"/>
                <w:sz w:val="24"/>
                <w:szCs w:val="24"/>
              </w:rPr>
            </w:pPr>
          </w:p>
        </w:tc>
      </w:tr>
      <w:tr w14:paraId="2F79551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87FAF5">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0856CA">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机构编码</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D585C1">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FF1B3D">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FB0EC7">
            <w:pPr>
              <w:pStyle w:val="19"/>
              <w:bidi w:val="0"/>
              <w:spacing w:line="240" w:lineRule="auto"/>
              <w:ind w:left="0" w:leftChars="0" w:right="0" w:rightChars="0" w:firstLine="0" w:firstLineChars="0"/>
              <w:jc w:val="both"/>
              <w:rPr>
                <w:rFonts w:hint="eastAsia" w:ascii="宋体" w:hAnsi="宋体" w:eastAsia="宋体" w:cs="宋体"/>
                <w:sz w:val="24"/>
                <w:szCs w:val="24"/>
              </w:rPr>
            </w:pP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F67AC5">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DC5D4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状态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E27337">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1007CC">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08FF53">
            <w:pPr>
              <w:pStyle w:val="19"/>
              <w:bidi w:val="0"/>
              <w:spacing w:line="240" w:lineRule="auto"/>
              <w:ind w:left="0" w:leftChars="0" w:right="0" w:rightChars="0" w:firstLine="0" w:firstLineChars="0"/>
              <w:jc w:val="both"/>
              <w:rPr>
                <w:rFonts w:hint="eastAsia" w:ascii="宋体" w:hAnsi="宋体" w:eastAsia="宋体" w:cs="宋体"/>
                <w:sz w:val="24"/>
                <w:szCs w:val="24"/>
              </w:rPr>
            </w:pPr>
          </w:p>
        </w:tc>
      </w:tr>
    </w:tbl>
    <w:p w14:paraId="4D6ACF52">
      <w:pPr>
        <w:pStyle w:val="19"/>
        <w:bidi w:val="0"/>
      </w:pPr>
    </w:p>
    <w:p w14:paraId="76819C97">
      <w:pPr>
        <w:pStyle w:val="6"/>
        <w:numPr>
          <w:ilvl w:val="0"/>
          <w:numId w:val="201"/>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0994B11B">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6A62B929">
            <w:pPr>
              <w:pStyle w:val="19"/>
              <w:bidi w:val="0"/>
              <w:rPr>
                <w:rFonts w:hint="eastAsia" w:eastAsia="宋体"/>
                <w:lang w:val="en-US" w:eastAsia="zh-CN"/>
              </w:rPr>
            </w:pPr>
            <w:r>
              <w:rPr>
                <w:rFonts w:hint="eastAsia"/>
                <w:lang w:val="en-US" w:eastAsia="zh-CN"/>
              </w:rPr>
              <w:t>无</w:t>
            </w:r>
          </w:p>
        </w:tc>
      </w:tr>
    </w:tbl>
    <w:p w14:paraId="516C00F0">
      <w:pPr>
        <w:pStyle w:val="19"/>
        <w:bidi w:val="0"/>
      </w:pPr>
    </w:p>
    <w:p w14:paraId="57C450DD">
      <w:pPr>
        <w:pStyle w:val="6"/>
        <w:numPr>
          <w:ilvl w:val="0"/>
          <w:numId w:val="201"/>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4113DF8">
        <w:tblPrEx>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01255F89">
            <w:pPr>
              <w:pStyle w:val="19"/>
              <w:bidi w:val="0"/>
            </w:pPr>
          </w:p>
        </w:tc>
      </w:tr>
    </w:tbl>
    <w:p w14:paraId="62C202E5">
      <w:pPr>
        <w:pStyle w:val="19"/>
        <w:bidi w:val="0"/>
      </w:pPr>
    </w:p>
    <w:p w14:paraId="5DDA836C">
      <w:pPr>
        <w:pStyle w:val="6"/>
        <w:numPr>
          <w:ilvl w:val="0"/>
          <w:numId w:val="201"/>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2FD046BF">
        <w:tblPrEx>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5F3FF"/>
            <w:tcMar>
              <w:top w:w="70" w:type="dxa"/>
              <w:left w:w="100" w:type="dxa"/>
              <w:bottom w:w="70" w:type="dxa"/>
              <w:right w:w="100" w:type="dxa"/>
            </w:tcMar>
          </w:tcPr>
          <w:p w14:paraId="70EDBC38">
            <w:pPr>
              <w:pStyle w:val="19"/>
              <w:bidi w:val="0"/>
            </w:pPr>
          </w:p>
        </w:tc>
      </w:tr>
    </w:tbl>
    <w:p w14:paraId="3378F497"/>
    <w:p w14:paraId="0A8447DA">
      <w:pPr>
        <w:pStyle w:val="6"/>
        <w:numPr>
          <w:ilvl w:val="0"/>
          <w:numId w:val="201"/>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008E6408">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76F52BD8">
            <w:pPr>
              <w:pStyle w:val="19"/>
              <w:bidi w:val="0"/>
            </w:pPr>
          </w:p>
        </w:tc>
      </w:tr>
    </w:tbl>
    <w:p w14:paraId="1D7DAD75">
      <w:pPr>
        <w:rPr>
          <w:rFonts w:hint="default"/>
          <w:lang w:val="en-US" w:eastAsia="zh-CN"/>
        </w:rPr>
      </w:pPr>
    </w:p>
    <w:p w14:paraId="136B6084">
      <w:pPr>
        <w:pStyle w:val="5"/>
        <w:numPr>
          <w:ilvl w:val="0"/>
          <w:numId w:val="200"/>
        </w:numPr>
        <w:ind w:left="0" w:leftChars="0" w:firstLine="0" w:firstLineChars="0"/>
        <w:outlineLvl w:val="1"/>
        <w:rPr>
          <w:rFonts w:hint="default" w:cs="Times New Roman"/>
          <w:b w:val="0"/>
          <w:bCs w:val="0"/>
          <w:sz w:val="30"/>
          <w:szCs w:val="24"/>
          <w:lang w:val="en-US" w:eastAsia="zh-CN"/>
        </w:rPr>
      </w:pPr>
      <w:bookmarkStart w:id="65" w:name="_Toc27635"/>
      <w:r>
        <w:rPr>
          <w:rFonts w:hint="eastAsia" w:cs="Times New Roman"/>
          <w:b w:val="0"/>
          <w:bCs w:val="0"/>
          <w:sz w:val="30"/>
          <w:szCs w:val="24"/>
          <w:lang w:val="en-US" w:eastAsia="zh-CN"/>
        </w:rPr>
        <w:t>用户管理</w:t>
      </w:r>
      <w:bookmarkEnd w:id="65"/>
    </w:p>
    <w:p w14:paraId="68C8A608">
      <w:r>
        <w:drawing>
          <wp:inline distT="0" distB="0" distL="114300" distR="114300">
            <wp:extent cx="5900420" cy="2925445"/>
            <wp:effectExtent l="0" t="0" r="5080" b="8255"/>
            <wp:docPr id="8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8"/>
                    <pic:cNvPicPr>
                      <a:picLocks noChangeAspect="1"/>
                    </pic:cNvPicPr>
                  </pic:nvPicPr>
                  <pic:blipFill>
                    <a:blip r:embed="rId96"/>
                    <a:stretch>
                      <a:fillRect/>
                    </a:stretch>
                  </pic:blipFill>
                  <pic:spPr>
                    <a:xfrm>
                      <a:off x="0" y="0"/>
                      <a:ext cx="5900420" cy="2925445"/>
                    </a:xfrm>
                    <a:prstGeom prst="rect">
                      <a:avLst/>
                    </a:prstGeom>
                    <a:noFill/>
                    <a:ln>
                      <a:noFill/>
                    </a:ln>
                  </pic:spPr>
                </pic:pic>
              </a:graphicData>
            </a:graphic>
          </wp:inline>
        </w:drawing>
      </w:r>
    </w:p>
    <w:p w14:paraId="1A37204E">
      <w:pPr>
        <w:pStyle w:val="6"/>
        <w:numPr>
          <w:ilvl w:val="0"/>
          <w:numId w:val="203"/>
        </w:numPr>
        <w:bidi w:val="0"/>
        <w:ind w:left="0" w:leftChars="0" w:firstLine="0" w:firstLineChars="0"/>
        <w:rPr>
          <w:b w:val="0"/>
          <w:bCs w:val="0"/>
          <w:sz w:val="28"/>
          <w:szCs w:val="28"/>
        </w:rPr>
      </w:pPr>
      <w:r>
        <w:rPr>
          <w:b w:val="0"/>
          <w:bCs w:val="0"/>
          <w:sz w:val="28"/>
          <w:szCs w:val="28"/>
        </w:rPr>
        <w:t>定位与架构角色</w:t>
      </w:r>
    </w:p>
    <w:tbl>
      <w:tblPr>
        <w:tblStyle w:val="38"/>
        <w:tblW w:w="9648" w:type="dxa"/>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A681912">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BEF90DD">
            <w:pPr>
              <w:pStyle w:val="19"/>
              <w:bidi w:val="0"/>
              <w:spacing w:after="200" w:afterLines="0"/>
              <w:ind w:left="0" w:leftChars="0" w:firstLine="0" w:firstLineChars="0"/>
              <w:rPr>
                <w:rFonts w:ascii="宋体" w:hAnsi="宋体" w:eastAsia="宋体" w:cs="宋体"/>
                <w:sz w:val="24"/>
                <w:szCs w:val="24"/>
              </w:rPr>
            </w:pPr>
            <w:r>
              <w:rPr>
                <w:rFonts w:ascii="宋体" w:hAnsi="宋体" w:eastAsia="宋体" w:cs="宋体"/>
                <w:b/>
                <w:bCs/>
                <w:sz w:val="24"/>
                <w:szCs w:val="24"/>
              </w:rPr>
              <w:t>・功能定位</w:t>
            </w:r>
            <w:r>
              <w:rPr>
                <w:rFonts w:ascii="宋体" w:hAnsi="宋体" w:eastAsia="宋体" w:cs="宋体"/>
                <w:sz w:val="24"/>
                <w:szCs w:val="24"/>
              </w:rPr>
              <w:t xml:space="preserve">：作为权限管控模块下的账号生命周期管理单元，依托组织架构基准数据，完成系统账号新增、信息维护、启停与密码重置管理，绑定账号 - 角色 - 所属机构 - 数据范围映射关系，为全系统访问身份识别、数据权限隔离提供账号主体支撑，是权限体系落地的核心载体。 </w:t>
            </w:r>
          </w:p>
          <w:p w14:paraId="4C7756DD">
            <w:pPr>
              <w:pStyle w:val="19"/>
              <w:bidi w:val="0"/>
              <w:spacing w:after="200" w:afterLines="0"/>
              <w:ind w:left="0" w:leftChars="0" w:firstLine="0" w:firstLineChars="0"/>
              <w:rPr>
                <w:rFonts w:ascii="Times New Roman" w:hAnsi="Times New Roman" w:eastAsia="宋体" w:cs="Times New Roman"/>
                <w:b w:val="0"/>
                <w:bCs w:val="0"/>
                <w:kern w:val="2"/>
                <w:sz w:val="24"/>
                <w:szCs w:val="24"/>
                <w:lang w:bidi="ar-SA"/>
              </w:rPr>
            </w:pPr>
            <w:r>
              <w:rPr>
                <w:rFonts w:ascii="宋体" w:hAnsi="宋体" w:eastAsia="宋体" w:cs="宋体"/>
                <w:b/>
                <w:bCs/>
                <w:sz w:val="24"/>
                <w:szCs w:val="24"/>
              </w:rPr>
              <w:t>・承载角色</w:t>
            </w:r>
            <w:r>
              <w:rPr>
                <w:rFonts w:ascii="宋体" w:hAnsi="宋体" w:eastAsia="宋体" w:cs="宋体"/>
                <w:sz w:val="24"/>
                <w:szCs w:val="24"/>
              </w:rPr>
              <w:t>：PM 系统管理员（全量用户账号的创建、维护、状态管控）。</w:t>
            </w:r>
          </w:p>
        </w:tc>
      </w:tr>
    </w:tbl>
    <w:p w14:paraId="3B4D1A73"/>
    <w:p w14:paraId="455A18C6">
      <w:pPr>
        <w:pStyle w:val="6"/>
        <w:numPr>
          <w:ilvl w:val="0"/>
          <w:numId w:val="203"/>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C6A9793">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1971D439">
            <w:pPr>
              <w:pStyle w:val="19"/>
              <w:bidi w:val="0"/>
              <w:ind w:left="0" w:leftChars="0" w:firstLine="0" w:firstLineChars="0"/>
            </w:pPr>
            <w:r>
              <w:rPr>
                <w:b/>
                <w:bCs/>
                <w:lang w:val="en-US" w:eastAsia="zh-CN"/>
              </w:rPr>
              <w:t>业务场景</w:t>
            </w:r>
            <w:r>
              <w:rPr>
                <w:lang w:val="en-US" w:eastAsia="zh-CN"/>
              </w:rPr>
              <w:t>：面向系统管理员进行平台账号体系规范化管控场景，统一维护全平台操作人员账号信息、账号状态与归属权限，保障后台配置入口安全可控。</w:t>
            </w:r>
          </w:p>
          <w:p w14:paraId="24910A3E">
            <w:pPr>
              <w:pStyle w:val="19"/>
              <w:bidi w:val="0"/>
              <w:ind w:left="0" w:leftChars="0" w:firstLine="0" w:firstLineChars="0"/>
            </w:pPr>
            <w:r>
              <w:rPr>
                <w:b/>
                <w:bCs/>
                <w:lang w:val="en-US" w:eastAsia="zh-CN"/>
              </w:rPr>
              <w:t>用户故事</w:t>
            </w:r>
            <w:r>
              <w:rPr>
                <w:lang w:val="en-US" w:eastAsia="zh-CN"/>
              </w:rPr>
              <w:t>：</w:t>
            </w:r>
          </w:p>
          <w:p w14:paraId="4431981E">
            <w:pPr>
              <w:pStyle w:val="19"/>
              <w:bidi w:val="0"/>
            </w:pPr>
            <w:r>
              <w:rPr>
                <w:lang w:val="en-US" w:eastAsia="zh-CN"/>
              </w:rPr>
              <w:t>As a 系统管理员 (Persona PM)，</w:t>
            </w:r>
          </w:p>
          <w:p w14:paraId="46AED607">
            <w:pPr>
              <w:pStyle w:val="19"/>
              <w:bidi w:val="0"/>
            </w:pPr>
            <w:r>
              <w:rPr>
                <w:lang w:val="en-US" w:eastAsia="zh-CN"/>
              </w:rPr>
              <w:t>I want 统一维护平台所有用户账号、启停状态与基础信息，实现账号全生命周期管控，</w:t>
            </w:r>
          </w:p>
          <w:p w14:paraId="553F43BB">
            <w:pPr>
              <w:pStyle w:val="19"/>
              <w:bidi w:val="0"/>
            </w:pPr>
            <w:r>
              <w:rPr>
                <w:lang w:val="en-US" w:eastAsia="zh-CN"/>
              </w:rPr>
              <w:t>So that 我能规范平台访问权限准入，保障能碳系统后台配置安全、权责可追溯。</w:t>
            </w:r>
          </w:p>
        </w:tc>
      </w:tr>
    </w:tbl>
    <w:p w14:paraId="742D9DAE"/>
    <w:p w14:paraId="5B448A63">
      <w:pPr>
        <w:pStyle w:val="6"/>
        <w:numPr>
          <w:ilvl w:val="0"/>
          <w:numId w:val="203"/>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45B3F55">
        <w:tblPrEx>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1CC48697">
            <w:pPr>
              <w:pStyle w:val="19"/>
              <w:numPr>
                <w:ilvl w:val="0"/>
                <w:numId w:val="204"/>
              </w:numPr>
              <w:bidi w:val="0"/>
              <w:ind w:left="0" w:leftChars="0" w:firstLine="439" w:firstLineChars="183"/>
              <w:rPr>
                <w:rFonts w:hint="default" w:eastAsia="宋体"/>
                <w:lang w:val="en-US" w:eastAsia="zh-CN"/>
              </w:rPr>
            </w:pPr>
            <w:r>
              <w:rPr>
                <w:rFonts w:hint="eastAsia"/>
                <w:lang w:val="en-US" w:eastAsia="zh-CN"/>
              </w:rPr>
              <w:t>选择查询条件，点击“查询”按钮后可在列表中显示数据；</w:t>
            </w:r>
          </w:p>
          <w:p w14:paraId="35C7EBBE">
            <w:pPr>
              <w:pStyle w:val="19"/>
              <w:numPr>
                <w:ilvl w:val="0"/>
                <w:numId w:val="204"/>
              </w:numPr>
              <w:bidi w:val="0"/>
              <w:ind w:left="0" w:leftChars="0" w:firstLine="439" w:firstLineChars="183"/>
              <w:rPr>
                <w:rFonts w:hint="default" w:eastAsia="宋体"/>
                <w:lang w:val="en-US" w:eastAsia="zh-CN"/>
              </w:rPr>
            </w:pPr>
            <w:r>
              <w:rPr>
                <w:rFonts w:hint="eastAsia"/>
                <w:lang w:val="en-US" w:eastAsia="zh-CN"/>
              </w:rPr>
              <w:t>点击【新增用户】后打开新增用户弹窗；</w:t>
            </w:r>
          </w:p>
          <w:p w14:paraId="36AD5A15">
            <w:pPr>
              <w:pStyle w:val="19"/>
              <w:numPr>
                <w:ilvl w:val="0"/>
                <w:numId w:val="204"/>
              </w:numPr>
              <w:bidi w:val="0"/>
              <w:ind w:left="0" w:leftChars="0" w:firstLine="439" w:firstLineChars="183"/>
              <w:rPr>
                <w:rFonts w:hint="default" w:eastAsia="宋体"/>
                <w:lang w:val="en-US" w:eastAsia="zh-CN"/>
              </w:rPr>
            </w:pPr>
            <w:r>
              <w:rPr>
                <w:rFonts w:hint="eastAsia"/>
                <w:lang w:val="en-US" w:eastAsia="zh-CN"/>
              </w:rPr>
              <w:t>点击【编辑】按钮，打开编辑用户弹窗；</w:t>
            </w:r>
          </w:p>
          <w:p w14:paraId="28CF4D6B">
            <w:pPr>
              <w:pStyle w:val="19"/>
              <w:numPr>
                <w:ilvl w:val="0"/>
                <w:numId w:val="204"/>
              </w:numPr>
              <w:bidi w:val="0"/>
              <w:ind w:left="0" w:leftChars="0" w:firstLine="439" w:firstLineChars="183"/>
              <w:rPr>
                <w:rFonts w:hint="default" w:eastAsia="宋体"/>
                <w:lang w:val="en-US" w:eastAsia="zh-CN"/>
              </w:rPr>
            </w:pPr>
            <w:r>
              <w:rPr>
                <w:rFonts w:hint="eastAsia"/>
                <w:lang w:val="en-US" w:eastAsia="zh-CN"/>
              </w:rPr>
              <w:t>点击【重置密码】，打开重置密码提示窗口，点击取消关闭弹窗，点击确认即可修改该用户登录密码；</w:t>
            </w:r>
          </w:p>
          <w:p w14:paraId="0440118D">
            <w:pPr>
              <w:pStyle w:val="19"/>
              <w:numPr>
                <w:ilvl w:val="0"/>
                <w:numId w:val="204"/>
              </w:numPr>
              <w:bidi w:val="0"/>
              <w:ind w:left="0" w:leftChars="0" w:firstLine="439" w:firstLineChars="183"/>
              <w:rPr>
                <w:rFonts w:hint="default" w:eastAsia="宋体"/>
                <w:lang w:val="en-US" w:eastAsia="zh-CN"/>
              </w:rPr>
            </w:pPr>
            <w:r>
              <w:rPr>
                <w:rFonts w:hint="eastAsia"/>
                <w:lang w:val="en-US" w:eastAsia="zh-CN"/>
              </w:rPr>
              <w:t>点击【停用】按钮，打开弹窗确认窗口，点击取消关闭弹窗，点击确认将修改用户状态；</w:t>
            </w:r>
          </w:p>
        </w:tc>
      </w:tr>
    </w:tbl>
    <w:p w14:paraId="56631379"/>
    <w:p w14:paraId="5E613F1B">
      <w:pPr>
        <w:pStyle w:val="6"/>
        <w:numPr>
          <w:ilvl w:val="0"/>
          <w:numId w:val="203"/>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4C2A86D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06F346">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7CE4B3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08258E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C7EE09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DB6883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校验与约束规则</w:t>
            </w:r>
          </w:p>
        </w:tc>
      </w:tr>
      <w:tr w14:paraId="4A4DC8D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8EE39C">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EFB306">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姓名</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BFC5ED">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0CDE19">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D959A5">
            <w:pPr>
              <w:pStyle w:val="19"/>
              <w:bidi w:val="0"/>
              <w:spacing w:line="240" w:lineRule="auto"/>
              <w:ind w:left="0" w:leftChars="0" w:right="0" w:rightChars="0" w:firstLine="0" w:firstLineChars="0"/>
              <w:jc w:val="both"/>
              <w:rPr>
                <w:rFonts w:hint="eastAsia" w:ascii="宋体" w:hAnsi="宋体" w:eastAsia="宋体" w:cs="宋体"/>
                <w:sz w:val="24"/>
                <w:szCs w:val="24"/>
              </w:rPr>
            </w:pPr>
          </w:p>
        </w:tc>
      </w:tr>
      <w:tr w14:paraId="3BD4BFC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6A3245">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5F933A">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账号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22F94A">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17E930">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AB2533">
            <w:pPr>
              <w:pStyle w:val="19"/>
              <w:bidi w:val="0"/>
              <w:spacing w:line="240" w:lineRule="auto"/>
              <w:ind w:left="0" w:leftChars="0" w:right="0" w:rightChars="0" w:firstLine="0" w:firstLineChars="0"/>
              <w:jc w:val="both"/>
              <w:rPr>
                <w:rFonts w:hint="eastAsia" w:ascii="宋体" w:hAnsi="宋体" w:eastAsia="宋体" w:cs="宋体"/>
                <w:sz w:val="24"/>
                <w:szCs w:val="24"/>
              </w:rPr>
            </w:pPr>
          </w:p>
        </w:tc>
      </w:tr>
      <w:tr w14:paraId="7D9FF83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3CCBE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5B9009">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角色</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80E5B1">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9FA9BF">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C0195C">
            <w:pPr>
              <w:pStyle w:val="19"/>
              <w:bidi w:val="0"/>
              <w:spacing w:line="240" w:lineRule="auto"/>
              <w:ind w:left="0" w:leftChars="0" w:right="0" w:rightChars="0" w:firstLine="0" w:firstLineChars="0"/>
              <w:jc w:val="both"/>
              <w:rPr>
                <w:rFonts w:hint="eastAsia" w:ascii="宋体" w:hAnsi="宋体" w:eastAsia="宋体" w:cs="宋体"/>
                <w:sz w:val="24"/>
                <w:szCs w:val="24"/>
              </w:rPr>
            </w:pPr>
          </w:p>
        </w:tc>
      </w:tr>
      <w:tr w14:paraId="0C27D458">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587607">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6C8CB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所属机构</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CB5682">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922573">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299529">
            <w:pPr>
              <w:pStyle w:val="19"/>
              <w:bidi w:val="0"/>
              <w:spacing w:line="240" w:lineRule="auto"/>
              <w:ind w:left="0" w:leftChars="0" w:right="0" w:rightChars="0" w:firstLine="0" w:firstLineChars="0"/>
              <w:jc w:val="both"/>
              <w:rPr>
                <w:rFonts w:hint="eastAsia" w:ascii="宋体" w:hAnsi="宋体" w:eastAsia="宋体" w:cs="宋体"/>
                <w:sz w:val="24"/>
                <w:szCs w:val="24"/>
              </w:rPr>
            </w:pPr>
          </w:p>
        </w:tc>
      </w:tr>
      <w:tr w14:paraId="4539B1C8">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99DB5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8DF9C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数据范围</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91BF33">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FA1EA9">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F0E6F1">
            <w:pPr>
              <w:pStyle w:val="19"/>
              <w:bidi w:val="0"/>
              <w:spacing w:line="240" w:lineRule="auto"/>
              <w:ind w:left="0" w:leftChars="0" w:right="0" w:rightChars="0" w:firstLine="0" w:firstLineChars="0"/>
              <w:jc w:val="both"/>
              <w:rPr>
                <w:rFonts w:hint="eastAsia" w:ascii="宋体" w:hAnsi="宋体" w:eastAsia="宋体" w:cs="宋体"/>
                <w:sz w:val="24"/>
                <w:szCs w:val="24"/>
              </w:rPr>
            </w:pPr>
          </w:p>
        </w:tc>
      </w:tr>
      <w:tr w14:paraId="0D1C529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043FF5">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3CF93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手机号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56FBC0">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264766">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327110">
            <w:pPr>
              <w:pStyle w:val="19"/>
              <w:bidi w:val="0"/>
              <w:spacing w:line="240" w:lineRule="auto"/>
              <w:ind w:left="0" w:leftChars="0" w:right="0" w:rightChars="0" w:firstLine="0" w:firstLineChars="0"/>
              <w:jc w:val="both"/>
              <w:rPr>
                <w:rFonts w:hint="eastAsia" w:ascii="宋体" w:hAnsi="宋体" w:eastAsia="宋体" w:cs="宋体"/>
                <w:sz w:val="24"/>
                <w:szCs w:val="24"/>
              </w:rPr>
            </w:pPr>
          </w:p>
        </w:tc>
      </w:tr>
      <w:tr w14:paraId="1966E27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58843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66DA07">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状态</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39CAFE">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2F3DBF">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E111D8">
            <w:pPr>
              <w:pStyle w:val="19"/>
              <w:bidi w:val="0"/>
              <w:spacing w:line="240" w:lineRule="auto"/>
              <w:ind w:left="0" w:leftChars="0" w:right="0" w:rightChars="0" w:firstLine="0" w:firstLineChars="0"/>
              <w:jc w:val="both"/>
              <w:rPr>
                <w:rFonts w:hint="eastAsia" w:ascii="宋体" w:hAnsi="宋体" w:eastAsia="宋体" w:cs="宋体"/>
                <w:sz w:val="24"/>
                <w:szCs w:val="24"/>
              </w:rPr>
            </w:pPr>
          </w:p>
        </w:tc>
      </w:tr>
    </w:tbl>
    <w:p w14:paraId="4C649F22">
      <w:pPr>
        <w:pStyle w:val="19"/>
        <w:bidi w:val="0"/>
      </w:pPr>
    </w:p>
    <w:p w14:paraId="71BBE817">
      <w:pPr>
        <w:pStyle w:val="6"/>
        <w:numPr>
          <w:ilvl w:val="0"/>
          <w:numId w:val="203"/>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6107EB94">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388CB8A2">
            <w:pPr>
              <w:pStyle w:val="19"/>
              <w:bidi w:val="0"/>
            </w:pPr>
            <w:r>
              <w:rPr>
                <w:rFonts w:hint="eastAsia"/>
                <w:lang w:val="en-US" w:eastAsia="zh-CN"/>
              </w:rPr>
              <w:t>无</w:t>
            </w:r>
          </w:p>
        </w:tc>
      </w:tr>
    </w:tbl>
    <w:p w14:paraId="7C091B1D">
      <w:pPr>
        <w:pStyle w:val="19"/>
        <w:bidi w:val="0"/>
      </w:pPr>
    </w:p>
    <w:p w14:paraId="352DAECE">
      <w:pPr>
        <w:pStyle w:val="6"/>
        <w:numPr>
          <w:ilvl w:val="0"/>
          <w:numId w:val="203"/>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3D04244">
        <w:tblPrEx>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71DB41C4">
            <w:pPr>
              <w:pStyle w:val="19"/>
              <w:bidi w:val="0"/>
            </w:pPr>
          </w:p>
        </w:tc>
      </w:tr>
    </w:tbl>
    <w:p w14:paraId="16CDB224">
      <w:pPr>
        <w:pStyle w:val="19"/>
        <w:bidi w:val="0"/>
      </w:pPr>
    </w:p>
    <w:p w14:paraId="2F29CB15">
      <w:pPr>
        <w:pStyle w:val="6"/>
        <w:numPr>
          <w:ilvl w:val="0"/>
          <w:numId w:val="203"/>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DFF9B5C">
        <w:tblPrEx>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5F3FF"/>
            <w:tcMar>
              <w:top w:w="70" w:type="dxa"/>
              <w:left w:w="100" w:type="dxa"/>
              <w:bottom w:w="70" w:type="dxa"/>
              <w:right w:w="100" w:type="dxa"/>
            </w:tcMar>
          </w:tcPr>
          <w:p w14:paraId="3E6A756C">
            <w:pPr>
              <w:pStyle w:val="19"/>
              <w:bidi w:val="0"/>
            </w:pPr>
          </w:p>
        </w:tc>
      </w:tr>
    </w:tbl>
    <w:p w14:paraId="46FB276C"/>
    <w:p w14:paraId="686C487E">
      <w:pPr>
        <w:pStyle w:val="6"/>
        <w:numPr>
          <w:ilvl w:val="0"/>
          <w:numId w:val="203"/>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627707D2">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7682089B">
            <w:pPr>
              <w:pStyle w:val="19"/>
              <w:bidi w:val="0"/>
            </w:pPr>
          </w:p>
        </w:tc>
      </w:tr>
    </w:tbl>
    <w:p w14:paraId="2D442BE4">
      <w:pPr>
        <w:rPr>
          <w:rFonts w:hint="default"/>
          <w:lang w:val="en-US" w:eastAsia="zh-CN"/>
        </w:rPr>
      </w:pPr>
    </w:p>
    <w:p w14:paraId="5F24CDC1">
      <w:pPr>
        <w:pStyle w:val="5"/>
        <w:numPr>
          <w:ilvl w:val="0"/>
          <w:numId w:val="200"/>
        </w:numPr>
        <w:ind w:left="0" w:leftChars="0" w:firstLine="0" w:firstLineChars="0"/>
        <w:outlineLvl w:val="1"/>
        <w:rPr>
          <w:rFonts w:hint="default" w:cs="Times New Roman"/>
          <w:b w:val="0"/>
          <w:bCs w:val="0"/>
          <w:sz w:val="30"/>
          <w:szCs w:val="24"/>
          <w:lang w:val="en-US" w:eastAsia="zh-CN"/>
        </w:rPr>
      </w:pPr>
      <w:bookmarkStart w:id="66" w:name="_Toc7452"/>
      <w:r>
        <w:rPr>
          <w:rFonts w:hint="eastAsia" w:cs="Times New Roman"/>
          <w:b w:val="0"/>
          <w:bCs w:val="0"/>
          <w:sz w:val="30"/>
          <w:szCs w:val="24"/>
          <w:lang w:val="en-US" w:eastAsia="zh-CN"/>
        </w:rPr>
        <w:t>角色与权限</w:t>
      </w:r>
      <w:bookmarkEnd w:id="66"/>
    </w:p>
    <w:p w14:paraId="5817164F">
      <w:r>
        <w:drawing>
          <wp:inline distT="0" distB="0" distL="114300" distR="114300">
            <wp:extent cx="5900420" cy="2925445"/>
            <wp:effectExtent l="0" t="0" r="5080" b="8255"/>
            <wp:docPr id="8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9"/>
                    <pic:cNvPicPr>
                      <a:picLocks noChangeAspect="1"/>
                    </pic:cNvPicPr>
                  </pic:nvPicPr>
                  <pic:blipFill>
                    <a:blip r:embed="rId97"/>
                    <a:stretch>
                      <a:fillRect/>
                    </a:stretch>
                  </pic:blipFill>
                  <pic:spPr>
                    <a:xfrm>
                      <a:off x="0" y="0"/>
                      <a:ext cx="5900420" cy="2925445"/>
                    </a:xfrm>
                    <a:prstGeom prst="rect">
                      <a:avLst/>
                    </a:prstGeom>
                    <a:noFill/>
                    <a:ln>
                      <a:noFill/>
                    </a:ln>
                  </pic:spPr>
                </pic:pic>
              </a:graphicData>
            </a:graphic>
          </wp:inline>
        </w:drawing>
      </w:r>
    </w:p>
    <w:p w14:paraId="6B55FD41">
      <w:pPr>
        <w:pStyle w:val="6"/>
        <w:numPr>
          <w:ilvl w:val="0"/>
          <w:numId w:val="205"/>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3A8E5991">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236D2035">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・功能定位</w:t>
            </w:r>
            <w:r>
              <w:rPr>
                <w:rFonts w:ascii="宋体" w:hAnsi="宋体" w:eastAsia="宋体" w:cs="宋体"/>
                <w:sz w:val="24"/>
                <w:szCs w:val="24"/>
              </w:rPr>
              <w:t xml:space="preserve">：作为权限管控模块的权限规则配置中心，依托组织架构与用户账号基础数据，完成角色新建、角色数据范围定义、菜单及功能点权限分配，构建账号 - 角色 - 功能权限的关联关系，为全系统功能访问控制、操作权限隔离提供权限规则基准，是权限体系精细化管控的核心配置单元。 </w:t>
            </w:r>
          </w:p>
          <w:p w14:paraId="1DEF0B75">
            <w:pPr>
              <w:pStyle w:val="19"/>
              <w:bidi w:val="0"/>
              <w:ind w:left="0" w:leftChars="0" w:firstLine="0" w:firstLineChars="0"/>
              <w:rPr>
                <w:b w:val="0"/>
                <w:bCs w:val="0"/>
              </w:rPr>
            </w:pPr>
            <w:r>
              <w:rPr>
                <w:rFonts w:ascii="宋体" w:hAnsi="宋体" w:eastAsia="宋体" w:cs="宋体"/>
                <w:b/>
                <w:bCs/>
                <w:sz w:val="24"/>
                <w:szCs w:val="24"/>
              </w:rPr>
              <w:t>・承载角色</w:t>
            </w:r>
            <w:r>
              <w:rPr>
                <w:rFonts w:ascii="宋体" w:hAnsi="宋体" w:eastAsia="宋体" w:cs="宋体"/>
                <w:sz w:val="24"/>
                <w:szCs w:val="24"/>
              </w:rPr>
              <w:t>：PM 系统管理员（全量角色创建、权限项配置、角色信息维护）。</w:t>
            </w:r>
          </w:p>
        </w:tc>
      </w:tr>
    </w:tbl>
    <w:p w14:paraId="4929C822">
      <w:pPr>
        <w:rPr>
          <w:b w:val="0"/>
          <w:bCs w:val="0"/>
        </w:rPr>
      </w:pPr>
    </w:p>
    <w:p w14:paraId="77DC2785">
      <w:pPr>
        <w:pStyle w:val="6"/>
        <w:numPr>
          <w:ilvl w:val="0"/>
          <w:numId w:val="205"/>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1EB947C">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66305003">
            <w:pPr>
              <w:pStyle w:val="19"/>
              <w:bidi w:val="0"/>
              <w:ind w:left="0" w:leftChars="0" w:firstLine="0" w:firstLineChars="0"/>
            </w:pPr>
            <w:r>
              <w:rPr>
                <w:b/>
                <w:bCs/>
                <w:lang w:val="en-US" w:eastAsia="zh-CN"/>
              </w:rPr>
              <w:t>业务场景</w:t>
            </w:r>
            <w:r>
              <w:rPr>
                <w:lang w:val="en-US" w:eastAsia="zh-CN"/>
              </w:rPr>
              <w:t>：面向系统管理员进行平台权限精细化配置场景，通过角色绑定菜单权限与数据权限，实现平台功能、数据的分级隔离管控。</w:t>
            </w:r>
          </w:p>
          <w:p w14:paraId="6500AAD6">
            <w:pPr>
              <w:pStyle w:val="19"/>
              <w:bidi w:val="0"/>
              <w:ind w:left="0" w:leftChars="0" w:firstLine="0" w:firstLineChars="0"/>
            </w:pPr>
            <w:r>
              <w:rPr>
                <w:b/>
                <w:bCs/>
                <w:lang w:val="en-US" w:eastAsia="zh-CN"/>
              </w:rPr>
              <w:t>用户故事</w:t>
            </w:r>
            <w:r>
              <w:rPr>
                <w:lang w:val="en-US" w:eastAsia="zh-CN"/>
              </w:rPr>
              <w:t>：</w:t>
            </w:r>
          </w:p>
          <w:p w14:paraId="09D4AEF8">
            <w:pPr>
              <w:pStyle w:val="19"/>
              <w:bidi w:val="0"/>
            </w:pPr>
            <w:r>
              <w:rPr>
                <w:lang w:val="en-US" w:eastAsia="zh-CN"/>
              </w:rPr>
              <w:t>As a 系统管理员 (Persona PM)，</w:t>
            </w:r>
          </w:p>
          <w:p w14:paraId="1CFEBEE1">
            <w:pPr>
              <w:pStyle w:val="19"/>
              <w:bidi w:val="0"/>
            </w:pPr>
            <w:r>
              <w:rPr>
                <w:lang w:val="en-US" w:eastAsia="zh-CN"/>
              </w:rPr>
              <w:t>I want 自定义系统角色、分配功能权限与园区工厂数据范围，完成权限精准配置，</w:t>
            </w:r>
          </w:p>
          <w:p w14:paraId="55070213">
            <w:pPr>
              <w:pStyle w:val="19"/>
              <w:bidi w:val="0"/>
            </w:pPr>
            <w:r>
              <w:rPr>
                <w:lang w:val="en-US" w:eastAsia="zh-CN"/>
              </w:rPr>
              <w:t>So that 我能实现不同岗位权限隔离，保障能碳数据、后台配置的安全性与规范性。</w:t>
            </w:r>
          </w:p>
        </w:tc>
      </w:tr>
    </w:tbl>
    <w:p w14:paraId="079A8645">
      <w:pPr>
        <w:rPr>
          <w:b w:val="0"/>
          <w:bCs w:val="0"/>
        </w:rPr>
      </w:pPr>
    </w:p>
    <w:p w14:paraId="3FEE9CCB">
      <w:pPr>
        <w:pStyle w:val="6"/>
        <w:numPr>
          <w:ilvl w:val="0"/>
          <w:numId w:val="205"/>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70E199C8">
        <w:tblPrEx>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74E95453">
            <w:pPr>
              <w:pStyle w:val="19"/>
              <w:numPr>
                <w:ilvl w:val="0"/>
                <w:numId w:val="206"/>
              </w:numPr>
              <w:bidi w:val="0"/>
              <w:rPr>
                <w:rFonts w:hint="default" w:eastAsia="宋体"/>
                <w:b w:val="0"/>
                <w:bCs w:val="0"/>
                <w:lang w:val="en-US" w:eastAsia="zh-CN"/>
              </w:rPr>
            </w:pPr>
            <w:r>
              <w:rPr>
                <w:rFonts w:hint="eastAsia"/>
                <w:b w:val="0"/>
                <w:bCs w:val="0"/>
                <w:lang w:val="en-US" w:eastAsia="zh-CN"/>
              </w:rPr>
              <w:t>点击左侧【角色列表】，右侧显示该角色在【集控】【集采】【系统管理】平台中的用户权限；</w:t>
            </w:r>
          </w:p>
          <w:p w14:paraId="0BA9588D">
            <w:pPr>
              <w:pStyle w:val="19"/>
              <w:numPr>
                <w:ilvl w:val="0"/>
                <w:numId w:val="206"/>
              </w:numPr>
              <w:bidi w:val="0"/>
              <w:rPr>
                <w:rFonts w:hint="default" w:eastAsia="宋体"/>
                <w:b w:val="0"/>
                <w:bCs w:val="0"/>
                <w:lang w:val="en-US" w:eastAsia="zh-CN"/>
              </w:rPr>
            </w:pPr>
            <w:r>
              <w:rPr>
                <w:rFonts w:hint="eastAsia"/>
                <w:b w:val="0"/>
                <w:bCs w:val="0"/>
                <w:lang w:val="en-US" w:eastAsia="zh-CN"/>
              </w:rPr>
              <w:t>点击【新增角色】，打开新增角色弹窗；</w:t>
            </w:r>
          </w:p>
          <w:p w14:paraId="0CB9AA8A">
            <w:pPr>
              <w:pStyle w:val="19"/>
              <w:numPr>
                <w:ilvl w:val="0"/>
                <w:numId w:val="206"/>
              </w:numPr>
              <w:bidi w:val="0"/>
              <w:rPr>
                <w:rFonts w:hint="default" w:eastAsia="宋体"/>
                <w:b w:val="0"/>
                <w:bCs w:val="0"/>
                <w:lang w:val="en-US" w:eastAsia="zh-CN"/>
              </w:rPr>
            </w:pPr>
            <w:r>
              <w:rPr>
                <w:rFonts w:hint="eastAsia"/>
                <w:b w:val="0"/>
                <w:bCs w:val="0"/>
                <w:lang w:val="en-US" w:eastAsia="zh-CN"/>
              </w:rPr>
              <w:t>角色列表点击【编辑】按钮，打开角色的编辑窗口；</w:t>
            </w:r>
          </w:p>
          <w:p w14:paraId="49533A01">
            <w:pPr>
              <w:pStyle w:val="19"/>
              <w:numPr>
                <w:ilvl w:val="0"/>
                <w:numId w:val="206"/>
              </w:numPr>
              <w:bidi w:val="0"/>
              <w:rPr>
                <w:rFonts w:hint="default" w:eastAsia="宋体"/>
                <w:b w:val="0"/>
                <w:bCs w:val="0"/>
                <w:lang w:val="en-US" w:eastAsia="zh-CN"/>
              </w:rPr>
            </w:pPr>
            <w:r>
              <w:rPr>
                <w:rFonts w:hint="eastAsia"/>
                <w:b w:val="0"/>
                <w:bCs w:val="0"/>
                <w:lang w:val="en-US" w:eastAsia="zh-CN"/>
              </w:rPr>
              <w:t>右侧权限配置，可通过点击【产品碳足迹集采中心】、【零碳园区集控中心】、【系统管理平台】标签来切换平台的权限组织结构；</w:t>
            </w:r>
          </w:p>
          <w:p w14:paraId="75278440">
            <w:pPr>
              <w:pStyle w:val="19"/>
              <w:numPr>
                <w:ilvl w:val="0"/>
                <w:numId w:val="206"/>
              </w:numPr>
              <w:bidi w:val="0"/>
              <w:rPr>
                <w:rFonts w:hint="default" w:eastAsia="宋体"/>
                <w:b w:val="0"/>
                <w:bCs w:val="0"/>
                <w:lang w:val="en-US" w:eastAsia="zh-CN"/>
              </w:rPr>
            </w:pPr>
            <w:r>
              <w:rPr>
                <w:rFonts w:hint="eastAsia"/>
                <w:b w:val="0"/>
                <w:bCs w:val="0"/>
                <w:lang w:val="en-US" w:eastAsia="zh-CN"/>
              </w:rPr>
              <w:t>右上角点击【展开】和【折叠】按钮后用来控制权限配置模块一级菜单的折叠功能。</w:t>
            </w:r>
          </w:p>
          <w:p w14:paraId="54F73D37">
            <w:pPr>
              <w:pStyle w:val="19"/>
              <w:numPr>
                <w:ilvl w:val="0"/>
                <w:numId w:val="206"/>
              </w:numPr>
              <w:bidi w:val="0"/>
              <w:rPr>
                <w:rFonts w:hint="default" w:eastAsia="宋体"/>
                <w:b w:val="0"/>
                <w:bCs w:val="0"/>
                <w:lang w:val="en-US" w:eastAsia="zh-CN"/>
              </w:rPr>
            </w:pPr>
            <w:r>
              <w:rPr>
                <w:rFonts w:hint="eastAsia"/>
                <w:b w:val="0"/>
                <w:bCs w:val="0"/>
                <w:lang w:val="en-US" w:eastAsia="zh-CN"/>
              </w:rPr>
              <w:t>右上角点击【全选】和【清空】按钮后用来控制权限配置模块中所有权限的选择与取消动作；</w:t>
            </w:r>
          </w:p>
          <w:p w14:paraId="171F0078">
            <w:pPr>
              <w:pStyle w:val="19"/>
              <w:numPr>
                <w:ilvl w:val="0"/>
                <w:numId w:val="206"/>
              </w:numPr>
              <w:bidi w:val="0"/>
              <w:rPr>
                <w:rFonts w:hint="default" w:eastAsia="宋体"/>
                <w:b w:val="0"/>
                <w:bCs w:val="0"/>
                <w:lang w:val="en-US" w:eastAsia="zh-CN"/>
              </w:rPr>
            </w:pPr>
            <w:r>
              <w:rPr>
                <w:rFonts w:hint="eastAsia"/>
                <w:b w:val="0"/>
                <w:bCs w:val="0"/>
                <w:lang w:val="en-US" w:eastAsia="zh-CN"/>
              </w:rPr>
              <w:t>右上角点击【保存授权】保存当前角色所选中的权限；</w:t>
            </w:r>
          </w:p>
        </w:tc>
      </w:tr>
    </w:tbl>
    <w:p w14:paraId="1A1861B1">
      <w:pPr>
        <w:rPr>
          <w:b w:val="0"/>
          <w:bCs w:val="0"/>
        </w:rPr>
      </w:pPr>
    </w:p>
    <w:p w14:paraId="6805FF6B">
      <w:pPr>
        <w:pStyle w:val="6"/>
        <w:numPr>
          <w:ilvl w:val="0"/>
          <w:numId w:val="205"/>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6ECCF1C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BA3CECD">
            <w:pPr>
              <w:pStyle w:val="19"/>
              <w:bidi w:val="0"/>
              <w:spacing w:line="240" w:lineRule="auto"/>
              <w:ind w:left="0" w:leftChars="0" w:right="0" w:rightChars="0" w:firstLine="0" w:firstLineChars="0"/>
              <w:jc w:val="center"/>
              <w:rPr>
                <w:b w:val="0"/>
                <w:bCs w:val="0"/>
              </w:rPr>
            </w:pPr>
            <w:r>
              <w:rPr>
                <w:b w:val="0"/>
                <w:bCs w:val="0"/>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B8B2DF8">
            <w:pPr>
              <w:pStyle w:val="19"/>
              <w:bidi w:val="0"/>
              <w:spacing w:line="240" w:lineRule="auto"/>
              <w:ind w:left="0" w:leftChars="0" w:right="0" w:rightChars="0" w:firstLine="0" w:firstLineChars="0"/>
              <w:jc w:val="both"/>
              <w:rPr>
                <w:b w:val="0"/>
                <w:bCs w:val="0"/>
              </w:rPr>
            </w:pPr>
            <w:r>
              <w:rPr>
                <w:b w:val="0"/>
                <w:bCs w:val="0"/>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8AD0926">
            <w:pPr>
              <w:pStyle w:val="19"/>
              <w:bidi w:val="0"/>
              <w:spacing w:line="240" w:lineRule="auto"/>
              <w:ind w:left="0" w:leftChars="0" w:right="0" w:rightChars="0" w:firstLine="0" w:firstLineChars="0"/>
              <w:jc w:val="both"/>
              <w:rPr>
                <w:b w:val="0"/>
                <w:bCs w:val="0"/>
              </w:rPr>
            </w:pPr>
            <w:r>
              <w:rPr>
                <w:b w:val="0"/>
                <w:bCs w:val="0"/>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BD34FC">
            <w:pPr>
              <w:pStyle w:val="19"/>
              <w:bidi w:val="0"/>
              <w:spacing w:line="240" w:lineRule="auto"/>
              <w:ind w:left="0" w:leftChars="0" w:right="0" w:rightChars="0" w:firstLine="0" w:firstLineChars="0"/>
              <w:jc w:val="both"/>
              <w:rPr>
                <w:b w:val="0"/>
                <w:bCs w:val="0"/>
              </w:rPr>
            </w:pPr>
            <w:r>
              <w:rPr>
                <w:b w:val="0"/>
                <w:bCs w:val="0"/>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B63A01">
            <w:pPr>
              <w:pStyle w:val="19"/>
              <w:bidi w:val="0"/>
              <w:spacing w:line="240" w:lineRule="auto"/>
              <w:ind w:left="0" w:leftChars="0" w:right="0" w:rightChars="0" w:firstLine="0" w:firstLineChars="0"/>
              <w:jc w:val="both"/>
              <w:rPr>
                <w:b w:val="0"/>
                <w:bCs w:val="0"/>
              </w:rPr>
            </w:pPr>
            <w:r>
              <w:rPr>
                <w:b w:val="0"/>
                <w:bCs w:val="0"/>
              </w:rPr>
              <w:t>校验与约束规则</w:t>
            </w:r>
          </w:p>
        </w:tc>
      </w:tr>
      <w:tr w14:paraId="5D218BE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71A52C">
            <w:pPr>
              <w:pStyle w:val="19"/>
              <w:bidi w:val="0"/>
              <w:spacing w:line="240" w:lineRule="auto"/>
              <w:ind w:left="0" w:leftChars="0" w:right="0" w:rightChars="0" w:firstLine="0" w:firstLineChars="0"/>
              <w:jc w:val="center"/>
              <w:rPr>
                <w:rFonts w:hint="eastAsia" w:eastAsia="宋体"/>
                <w:b w:val="0"/>
                <w:bCs w:val="0"/>
                <w:lang w:val="en-US" w:eastAsia="zh-CN"/>
              </w:rPr>
            </w:pPr>
            <w:r>
              <w:rPr>
                <w:rFonts w:hint="eastAsia"/>
                <w:b w:val="0"/>
                <w:bCs w:val="0"/>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C956B8">
            <w:pPr>
              <w:pStyle w:val="19"/>
              <w:bidi w:val="0"/>
              <w:spacing w:line="240" w:lineRule="auto"/>
              <w:ind w:left="0" w:leftChars="0" w:right="0" w:rightChars="0" w:firstLine="0" w:firstLineChars="0"/>
              <w:jc w:val="both"/>
              <w:rPr>
                <w:rFonts w:hint="default" w:eastAsia="宋体"/>
                <w:b w:val="0"/>
                <w:bCs w:val="0"/>
                <w:lang w:val="en-US" w:eastAsia="zh-CN"/>
              </w:rPr>
            </w:pPr>
            <w:r>
              <w:rPr>
                <w:rFonts w:hint="eastAsia"/>
                <w:b w:val="0"/>
                <w:bCs w:val="0"/>
                <w:lang w:val="en-US" w:eastAsia="zh-CN"/>
              </w:rPr>
              <w:t>角色名称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7DA2DA">
            <w:pPr>
              <w:pStyle w:val="19"/>
              <w:bidi w:val="0"/>
              <w:spacing w:line="240" w:lineRule="auto"/>
              <w:ind w:left="0" w:leftChars="0" w:right="0" w:rightChars="0" w:firstLine="0" w:firstLineChars="0"/>
              <w:jc w:val="both"/>
              <w:rPr>
                <w:b w:val="0"/>
                <w:bCs w:val="0"/>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41CA15">
            <w:pPr>
              <w:pStyle w:val="19"/>
              <w:bidi w:val="0"/>
              <w:spacing w:line="240" w:lineRule="auto"/>
              <w:ind w:left="0" w:leftChars="0" w:right="0" w:rightChars="0" w:firstLine="0" w:firstLineChars="0"/>
              <w:jc w:val="both"/>
              <w:rPr>
                <w:b w:val="0"/>
                <w:bCs w:val="0"/>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1D55D6">
            <w:pPr>
              <w:pStyle w:val="19"/>
              <w:bidi w:val="0"/>
              <w:spacing w:line="240" w:lineRule="auto"/>
              <w:ind w:left="0" w:leftChars="0" w:right="0" w:rightChars="0" w:firstLine="0" w:firstLineChars="0"/>
              <w:jc w:val="both"/>
              <w:rPr>
                <w:b w:val="0"/>
                <w:bCs w:val="0"/>
              </w:rPr>
            </w:pPr>
          </w:p>
        </w:tc>
      </w:tr>
      <w:tr w14:paraId="52A64BD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E0E970">
            <w:pPr>
              <w:pStyle w:val="19"/>
              <w:bidi w:val="0"/>
              <w:spacing w:line="240" w:lineRule="auto"/>
              <w:ind w:left="0" w:leftChars="0" w:right="0" w:rightChars="0" w:firstLine="0" w:firstLineChars="0"/>
              <w:jc w:val="center"/>
              <w:rPr>
                <w:rFonts w:hint="eastAsia" w:eastAsia="宋体"/>
                <w:b w:val="0"/>
                <w:bCs w:val="0"/>
                <w:lang w:val="en-US" w:eastAsia="zh-CN"/>
              </w:rPr>
            </w:pPr>
            <w:r>
              <w:rPr>
                <w:rFonts w:hint="eastAsia"/>
                <w:b w:val="0"/>
                <w:bCs w:val="0"/>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322A90">
            <w:pPr>
              <w:pStyle w:val="19"/>
              <w:bidi w:val="0"/>
              <w:spacing w:line="240" w:lineRule="auto"/>
              <w:ind w:left="0" w:leftChars="0" w:right="0" w:rightChars="0" w:firstLine="0" w:firstLineChars="0"/>
              <w:jc w:val="both"/>
              <w:rPr>
                <w:rFonts w:hint="default" w:eastAsia="宋体"/>
                <w:b w:val="0"/>
                <w:bCs w:val="0"/>
                <w:lang w:val="en-US" w:eastAsia="zh-CN"/>
              </w:rPr>
            </w:pPr>
            <w:r>
              <w:rPr>
                <w:rFonts w:hint="eastAsia"/>
                <w:b w:val="0"/>
                <w:bCs w:val="0"/>
                <w:lang w:val="en-US" w:eastAsia="zh-CN"/>
              </w:rPr>
              <w:t>数据范围</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2D8099">
            <w:pPr>
              <w:pStyle w:val="19"/>
              <w:bidi w:val="0"/>
              <w:spacing w:line="240" w:lineRule="auto"/>
              <w:ind w:left="0" w:leftChars="0" w:right="0" w:rightChars="0" w:firstLine="0" w:firstLineChars="0"/>
              <w:jc w:val="both"/>
              <w:rPr>
                <w:b w:val="0"/>
                <w:bCs w:val="0"/>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ADED10">
            <w:pPr>
              <w:pStyle w:val="19"/>
              <w:bidi w:val="0"/>
              <w:spacing w:line="240" w:lineRule="auto"/>
              <w:ind w:left="0" w:leftChars="0" w:right="0" w:rightChars="0" w:firstLine="0" w:firstLineChars="0"/>
              <w:jc w:val="both"/>
              <w:rPr>
                <w:b w:val="0"/>
                <w:bCs w:val="0"/>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C8DCCF">
            <w:pPr>
              <w:pStyle w:val="19"/>
              <w:bidi w:val="0"/>
              <w:spacing w:line="240" w:lineRule="auto"/>
              <w:ind w:left="0" w:leftChars="0" w:right="0" w:rightChars="0" w:firstLine="0" w:firstLineChars="0"/>
              <w:jc w:val="both"/>
              <w:rPr>
                <w:b w:val="0"/>
                <w:bCs w:val="0"/>
              </w:rPr>
            </w:pPr>
          </w:p>
        </w:tc>
      </w:tr>
      <w:tr w14:paraId="43F39CF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65912D">
            <w:pPr>
              <w:pStyle w:val="19"/>
              <w:bidi w:val="0"/>
              <w:spacing w:line="240" w:lineRule="auto"/>
              <w:ind w:left="0" w:leftChars="0" w:right="0" w:rightChars="0" w:firstLine="0" w:firstLineChars="0"/>
              <w:jc w:val="center"/>
              <w:rPr>
                <w:rFonts w:hint="eastAsia" w:eastAsia="宋体"/>
                <w:b w:val="0"/>
                <w:bCs w:val="0"/>
                <w:lang w:val="en-US" w:eastAsia="zh-CN"/>
              </w:rPr>
            </w:pPr>
            <w:r>
              <w:rPr>
                <w:rFonts w:hint="eastAsia"/>
                <w:b w:val="0"/>
                <w:bCs w:val="0"/>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8BC1A3">
            <w:pPr>
              <w:pStyle w:val="19"/>
              <w:bidi w:val="0"/>
              <w:spacing w:line="240" w:lineRule="auto"/>
              <w:ind w:left="0" w:leftChars="0" w:right="0" w:rightChars="0" w:firstLine="0" w:firstLineChars="0"/>
              <w:jc w:val="both"/>
              <w:rPr>
                <w:rFonts w:hint="default" w:eastAsia="宋体"/>
                <w:b w:val="0"/>
                <w:bCs w:val="0"/>
                <w:lang w:val="en-US" w:eastAsia="zh-CN"/>
              </w:rPr>
            </w:pPr>
            <w:r>
              <w:rPr>
                <w:rFonts w:hint="eastAsia"/>
                <w:b w:val="0"/>
                <w:bCs w:val="0"/>
                <w:lang w:val="en-US" w:eastAsia="zh-CN"/>
              </w:rPr>
              <w:t>角色职责说明</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200C8F">
            <w:pPr>
              <w:pStyle w:val="19"/>
              <w:bidi w:val="0"/>
              <w:spacing w:line="240" w:lineRule="auto"/>
              <w:ind w:left="0" w:leftChars="0" w:right="0" w:rightChars="0" w:firstLine="0" w:firstLineChars="0"/>
              <w:jc w:val="both"/>
              <w:rPr>
                <w:b w:val="0"/>
                <w:bCs w:val="0"/>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5A5F0F">
            <w:pPr>
              <w:pStyle w:val="19"/>
              <w:bidi w:val="0"/>
              <w:spacing w:line="240" w:lineRule="auto"/>
              <w:ind w:left="0" w:leftChars="0" w:right="0" w:rightChars="0" w:firstLine="0" w:firstLineChars="0"/>
              <w:jc w:val="both"/>
              <w:rPr>
                <w:b w:val="0"/>
                <w:bCs w:val="0"/>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CDC2C6">
            <w:pPr>
              <w:pStyle w:val="19"/>
              <w:bidi w:val="0"/>
              <w:spacing w:line="240" w:lineRule="auto"/>
              <w:ind w:left="0" w:leftChars="0" w:right="0" w:rightChars="0" w:firstLine="0" w:firstLineChars="0"/>
              <w:jc w:val="both"/>
              <w:rPr>
                <w:b w:val="0"/>
                <w:bCs w:val="0"/>
              </w:rPr>
            </w:pPr>
          </w:p>
        </w:tc>
      </w:tr>
    </w:tbl>
    <w:p w14:paraId="0081AC53">
      <w:pPr>
        <w:pStyle w:val="19"/>
        <w:bidi w:val="0"/>
        <w:rPr>
          <w:b w:val="0"/>
          <w:bCs w:val="0"/>
        </w:rPr>
      </w:pPr>
    </w:p>
    <w:p w14:paraId="363EA9FB">
      <w:pPr>
        <w:pStyle w:val="6"/>
        <w:numPr>
          <w:ilvl w:val="0"/>
          <w:numId w:val="205"/>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149E83BC">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64CBE14D">
            <w:pPr>
              <w:pStyle w:val="19"/>
              <w:bidi w:val="0"/>
              <w:rPr>
                <w:b w:val="0"/>
                <w:bCs w:val="0"/>
              </w:rPr>
            </w:pPr>
            <w:r>
              <w:rPr>
                <w:rFonts w:hint="eastAsia"/>
                <w:lang w:val="en-US" w:eastAsia="zh-CN"/>
              </w:rPr>
              <w:t>无</w:t>
            </w:r>
          </w:p>
        </w:tc>
      </w:tr>
    </w:tbl>
    <w:p w14:paraId="0ACCF0FD">
      <w:pPr>
        <w:pStyle w:val="19"/>
        <w:bidi w:val="0"/>
        <w:rPr>
          <w:b w:val="0"/>
          <w:bCs w:val="0"/>
        </w:rPr>
      </w:pPr>
    </w:p>
    <w:p w14:paraId="1CFB1434">
      <w:pPr>
        <w:pStyle w:val="6"/>
        <w:numPr>
          <w:ilvl w:val="0"/>
          <w:numId w:val="205"/>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33AB1C2D">
        <w:tblPrEx>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1D34BB41">
            <w:pPr>
              <w:pStyle w:val="19"/>
              <w:bidi w:val="0"/>
              <w:rPr>
                <w:b w:val="0"/>
                <w:bCs w:val="0"/>
              </w:rPr>
            </w:pPr>
          </w:p>
        </w:tc>
      </w:tr>
    </w:tbl>
    <w:p w14:paraId="22EAD34F">
      <w:pPr>
        <w:pStyle w:val="19"/>
        <w:bidi w:val="0"/>
        <w:rPr>
          <w:b w:val="0"/>
          <w:bCs w:val="0"/>
        </w:rPr>
      </w:pPr>
    </w:p>
    <w:p w14:paraId="65C69FB1">
      <w:pPr>
        <w:pStyle w:val="6"/>
        <w:numPr>
          <w:ilvl w:val="0"/>
          <w:numId w:val="205"/>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B1C0A9">
        <w:tblPrEx>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5F3FF"/>
            <w:tcMar>
              <w:top w:w="70" w:type="dxa"/>
              <w:left w:w="100" w:type="dxa"/>
              <w:bottom w:w="70" w:type="dxa"/>
              <w:right w:w="100" w:type="dxa"/>
            </w:tcMar>
          </w:tcPr>
          <w:p w14:paraId="3985F02D">
            <w:pPr>
              <w:pStyle w:val="19"/>
              <w:bidi w:val="0"/>
              <w:rPr>
                <w:b w:val="0"/>
                <w:bCs w:val="0"/>
              </w:rPr>
            </w:pPr>
          </w:p>
        </w:tc>
      </w:tr>
    </w:tbl>
    <w:p w14:paraId="7438B370">
      <w:pPr>
        <w:rPr>
          <w:b w:val="0"/>
          <w:bCs w:val="0"/>
        </w:rPr>
      </w:pPr>
    </w:p>
    <w:p w14:paraId="18B81F11">
      <w:pPr>
        <w:pStyle w:val="6"/>
        <w:numPr>
          <w:ilvl w:val="0"/>
          <w:numId w:val="205"/>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37938F41">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19707CE9">
            <w:pPr>
              <w:pStyle w:val="19"/>
              <w:bidi w:val="0"/>
              <w:rPr>
                <w:b w:val="0"/>
                <w:bCs w:val="0"/>
              </w:rPr>
            </w:pPr>
          </w:p>
        </w:tc>
      </w:tr>
    </w:tbl>
    <w:p w14:paraId="73F41C1B">
      <w:pPr>
        <w:rPr>
          <w:rFonts w:hint="default"/>
          <w:b w:val="0"/>
          <w:bCs w:val="0"/>
          <w:lang w:val="en-US" w:eastAsia="zh-CN"/>
        </w:rPr>
      </w:pPr>
    </w:p>
    <w:p w14:paraId="6B74F9DF">
      <w:pPr>
        <w:pStyle w:val="5"/>
        <w:numPr>
          <w:ilvl w:val="0"/>
          <w:numId w:val="200"/>
        </w:numPr>
        <w:ind w:left="0" w:leftChars="0" w:firstLine="0" w:firstLineChars="0"/>
        <w:outlineLvl w:val="1"/>
        <w:rPr>
          <w:rFonts w:hint="default" w:cs="Times New Roman"/>
          <w:b w:val="0"/>
          <w:bCs w:val="0"/>
          <w:sz w:val="30"/>
          <w:szCs w:val="24"/>
          <w:lang w:val="en-US" w:eastAsia="zh-CN"/>
        </w:rPr>
      </w:pPr>
      <w:bookmarkStart w:id="67" w:name="_Toc27816"/>
      <w:r>
        <w:rPr>
          <w:rFonts w:hint="eastAsia" w:cs="Times New Roman"/>
          <w:b w:val="0"/>
          <w:bCs w:val="0"/>
          <w:sz w:val="30"/>
          <w:szCs w:val="24"/>
          <w:lang w:val="en-US" w:eastAsia="zh-CN"/>
        </w:rPr>
        <w:t>菜单与功能</w:t>
      </w:r>
      <w:bookmarkEnd w:id="67"/>
    </w:p>
    <w:p w14:paraId="106F0706">
      <w:pPr>
        <w:rPr>
          <w:b w:val="0"/>
          <w:bCs w:val="0"/>
        </w:rPr>
      </w:pPr>
      <w:r>
        <w:drawing>
          <wp:inline distT="0" distB="0" distL="114300" distR="114300">
            <wp:extent cx="5900420" cy="2925445"/>
            <wp:effectExtent l="0" t="0" r="5080" b="8255"/>
            <wp:docPr id="8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40"/>
                    <pic:cNvPicPr>
                      <a:picLocks noChangeAspect="1"/>
                    </pic:cNvPicPr>
                  </pic:nvPicPr>
                  <pic:blipFill>
                    <a:blip r:embed="rId98"/>
                    <a:stretch>
                      <a:fillRect/>
                    </a:stretch>
                  </pic:blipFill>
                  <pic:spPr>
                    <a:xfrm>
                      <a:off x="0" y="0"/>
                      <a:ext cx="5900420" cy="2925445"/>
                    </a:xfrm>
                    <a:prstGeom prst="rect">
                      <a:avLst/>
                    </a:prstGeom>
                    <a:noFill/>
                    <a:ln>
                      <a:noFill/>
                    </a:ln>
                  </pic:spPr>
                </pic:pic>
              </a:graphicData>
            </a:graphic>
          </wp:inline>
        </w:drawing>
      </w:r>
    </w:p>
    <w:p w14:paraId="6496EEE2">
      <w:pPr>
        <w:pStyle w:val="6"/>
        <w:numPr>
          <w:ilvl w:val="0"/>
          <w:numId w:val="207"/>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155C52F">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53AFA166">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・功能定位</w:t>
            </w:r>
            <w:r>
              <w:rPr>
                <w:rFonts w:ascii="宋体" w:hAnsi="宋体" w:eastAsia="宋体" w:cs="宋体"/>
                <w:sz w:val="24"/>
                <w:szCs w:val="24"/>
              </w:rPr>
              <w:t>：作为权限管控模块的底层功能资源维护中心，统一管理两大业务系统的菜单结构与按钮级功能点，维护菜单层级、功能项元数据，为角色授权提供最小权限颗粒，支撑系统细粒度操作权限控制，是角色权限配置的前置基础依赖。</w:t>
            </w:r>
          </w:p>
          <w:p w14:paraId="1ACD1A6C">
            <w:pPr>
              <w:pStyle w:val="19"/>
              <w:bidi w:val="0"/>
              <w:ind w:left="0" w:leftChars="0" w:firstLine="0" w:firstLineChars="0"/>
              <w:rPr>
                <w:b w:val="0"/>
                <w:bCs w:val="0"/>
              </w:rPr>
            </w:pPr>
            <w:r>
              <w:rPr>
                <w:rFonts w:ascii="宋体" w:hAnsi="宋体" w:eastAsia="宋体" w:cs="宋体"/>
                <w:b/>
                <w:bCs/>
                <w:sz w:val="24"/>
                <w:szCs w:val="24"/>
              </w:rPr>
              <w:t>・承载角色</w:t>
            </w:r>
            <w:r>
              <w:rPr>
                <w:rFonts w:ascii="宋体" w:hAnsi="宋体" w:eastAsia="宋体" w:cs="宋体"/>
                <w:sz w:val="24"/>
                <w:szCs w:val="24"/>
              </w:rPr>
              <w:t>：PM 系统管理员（全量菜单新增、菜单信息维护、按钮级功能点配置管理）。</w:t>
            </w:r>
          </w:p>
        </w:tc>
      </w:tr>
    </w:tbl>
    <w:p w14:paraId="024AE209">
      <w:pPr>
        <w:rPr>
          <w:b w:val="0"/>
          <w:bCs w:val="0"/>
        </w:rPr>
      </w:pPr>
    </w:p>
    <w:p w14:paraId="085449DE">
      <w:pPr>
        <w:pStyle w:val="6"/>
        <w:numPr>
          <w:ilvl w:val="0"/>
          <w:numId w:val="207"/>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9BF1802">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22D52FAC">
            <w:pPr>
              <w:pStyle w:val="19"/>
              <w:bidi w:val="0"/>
              <w:ind w:left="0" w:leftChars="0" w:firstLine="0" w:firstLineChars="0"/>
            </w:pPr>
            <w:r>
              <w:rPr>
                <w:b/>
                <w:bCs/>
              </w:rPr>
              <w:t>业务场景</w:t>
            </w:r>
            <w:r>
              <w:t xml:space="preserve">：面向系统管理员统一维护两大业务中心菜单体系，管理菜单层级、路由地址、功能页面与启用状态，维护零碳园区集控中心、产品碳足迹集采中心全部菜单资源，为角色权限分配提供底层菜单与功能点基础，支撑指挥大厅大屏、集控业务页面的权限管控。 </w:t>
            </w:r>
          </w:p>
          <w:p w14:paraId="195C2682">
            <w:pPr>
              <w:pStyle w:val="19"/>
              <w:bidi w:val="0"/>
              <w:ind w:left="0" w:leftChars="0" w:firstLine="0" w:firstLineChars="0"/>
            </w:pPr>
            <w:r>
              <w:rPr>
                <w:b/>
                <w:bCs/>
              </w:rPr>
              <w:t>用户故事：</w:t>
            </w:r>
            <w:r>
              <w:t xml:space="preserve"> </w:t>
            </w:r>
          </w:p>
          <w:p w14:paraId="29FE54A0">
            <w:pPr>
              <w:pStyle w:val="19"/>
              <w:bidi w:val="0"/>
            </w:pPr>
            <w:r>
              <w:t xml:space="preserve">As a 系统管理员 (Persona PM)， </w:t>
            </w:r>
          </w:p>
          <w:p w14:paraId="70AB4103">
            <w:pPr>
              <w:pStyle w:val="19"/>
              <w:bidi w:val="0"/>
              <w:rPr>
                <w:rFonts w:hint="eastAsia"/>
                <w:lang w:eastAsia="zh-CN"/>
              </w:rPr>
            </w:pPr>
            <w:r>
              <w:t>I want 统一维护两大业务中心菜单层级、路由信息、页面功能点，支持新增子页面、编辑菜单信息、启停菜单状态</w:t>
            </w:r>
            <w:r>
              <w:rPr>
                <w:rFonts w:hint="eastAsia"/>
                <w:lang w:eastAsia="zh-CN"/>
              </w:rPr>
              <w:t>。</w:t>
            </w:r>
          </w:p>
          <w:p w14:paraId="5FA322D7">
            <w:pPr>
              <w:pStyle w:val="19"/>
              <w:bidi w:val="0"/>
            </w:pPr>
            <w:r>
              <w:t>So that 我能够为平台角色权限配置提供标准化菜单资源底座，精准控制不同角色可访问的业务页面，保障集控大屏、碳足迹业务系统访问权限可控。</w:t>
            </w:r>
          </w:p>
        </w:tc>
      </w:tr>
    </w:tbl>
    <w:p w14:paraId="3A160B25">
      <w:pPr>
        <w:rPr>
          <w:b w:val="0"/>
          <w:bCs w:val="0"/>
        </w:rPr>
      </w:pPr>
    </w:p>
    <w:p w14:paraId="00DEE0F4">
      <w:pPr>
        <w:pStyle w:val="6"/>
        <w:numPr>
          <w:ilvl w:val="0"/>
          <w:numId w:val="207"/>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2360AB7E">
        <w:tblPrEx>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1FE5E0F0">
            <w:pPr>
              <w:pStyle w:val="19"/>
              <w:bidi w:val="0"/>
              <w:ind w:left="0" w:leftChars="0" w:firstLine="0" w:firstLineChars="0"/>
            </w:pPr>
            <w:r>
              <w:rPr>
                <w:rFonts w:ascii="宋体" w:hAnsi="宋体" w:eastAsia="宋体" w:cs="宋体"/>
                <w:b/>
                <w:bCs/>
                <w:sz w:val="24"/>
                <w:szCs w:val="24"/>
              </w:rPr>
              <w:t>・</w:t>
            </w:r>
            <w:r>
              <w:rPr>
                <w:b/>
                <w:bCs/>
                <w:lang w:val="en-US" w:eastAsia="zh-CN"/>
              </w:rPr>
              <w:t>业务场景</w:t>
            </w:r>
            <w:r>
              <w:rPr>
                <w:lang w:val="en-US" w:eastAsia="zh-CN"/>
              </w:rPr>
              <w:t>：面向系统管理员进行平台功能资源底层维护场景，统一管理系统菜单结构与按钮级功能点，为上层角色授权提供最小权限颗粒。</w:t>
            </w:r>
          </w:p>
          <w:p w14:paraId="74162958">
            <w:pPr>
              <w:pStyle w:val="19"/>
              <w:bidi w:val="0"/>
              <w:ind w:left="0" w:leftChars="0" w:firstLine="0" w:firstLineChars="0"/>
            </w:pPr>
            <w:r>
              <w:rPr>
                <w:rFonts w:ascii="宋体" w:hAnsi="宋体" w:eastAsia="宋体" w:cs="宋体"/>
                <w:b/>
                <w:bCs/>
                <w:sz w:val="24"/>
                <w:szCs w:val="24"/>
              </w:rPr>
              <w:t>・</w:t>
            </w:r>
            <w:r>
              <w:rPr>
                <w:b/>
                <w:bCs/>
                <w:lang w:val="en-US" w:eastAsia="zh-CN"/>
              </w:rPr>
              <w:t>用户故事</w:t>
            </w:r>
            <w:r>
              <w:rPr>
                <w:lang w:val="en-US" w:eastAsia="zh-CN"/>
              </w:rPr>
              <w:t>：</w:t>
            </w:r>
          </w:p>
          <w:p w14:paraId="1309FB47">
            <w:pPr>
              <w:pStyle w:val="19"/>
              <w:bidi w:val="0"/>
            </w:pPr>
            <w:r>
              <w:rPr>
                <w:lang w:val="en-US" w:eastAsia="zh-CN"/>
              </w:rPr>
              <w:t>As a 系统管理员 (Persona PM)，</w:t>
            </w:r>
          </w:p>
          <w:p w14:paraId="1A1A8997">
            <w:pPr>
              <w:pStyle w:val="19"/>
              <w:bidi w:val="0"/>
            </w:pPr>
            <w:r>
              <w:rPr>
                <w:lang w:val="en-US" w:eastAsia="zh-CN"/>
              </w:rPr>
              <w:t>I want 维护系统菜单层级、页面功能按钮与功能编码资源，统一平台功能底座，</w:t>
            </w:r>
          </w:p>
          <w:p w14:paraId="76F3E95C">
            <w:pPr>
              <w:pStyle w:val="19"/>
              <w:bidi w:val="0"/>
            </w:pPr>
            <w:r>
              <w:rPr>
                <w:lang w:val="en-US" w:eastAsia="zh-CN"/>
              </w:rPr>
              <w:t>So that 我能支撑细粒度权限管控，为全平台权限配置提供标准化功能资源基础。</w:t>
            </w:r>
          </w:p>
        </w:tc>
      </w:tr>
    </w:tbl>
    <w:p w14:paraId="5E296562">
      <w:pPr>
        <w:rPr>
          <w:b w:val="0"/>
          <w:bCs w:val="0"/>
        </w:rPr>
      </w:pPr>
    </w:p>
    <w:p w14:paraId="7E6EFEB3">
      <w:pPr>
        <w:pStyle w:val="6"/>
        <w:numPr>
          <w:ilvl w:val="0"/>
          <w:numId w:val="207"/>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830"/>
        <w:gridCol w:w="1468"/>
        <w:gridCol w:w="1118"/>
        <w:gridCol w:w="4479"/>
      </w:tblGrid>
      <w:tr w14:paraId="29EDC93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706C573">
            <w:pPr>
              <w:pStyle w:val="19"/>
              <w:bidi w:val="0"/>
              <w:spacing w:line="240" w:lineRule="auto"/>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A7FAB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F1B686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68E6FC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6F13DC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校验与约束规则</w:t>
            </w:r>
          </w:p>
        </w:tc>
      </w:tr>
      <w:tr w14:paraId="3D79CA7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0BF569">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80F591">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所属业务中心</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50954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75E76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5829C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703B021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4E495C">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D92C50">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菜单与功能层级</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CA1D1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6706D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05D10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6338AD9B">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B14C6A">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892D74">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路由路径(URL)</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506E1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EE1C1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5A23F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6E6C998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053531">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B6DED0">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排序</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E9DC7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5B4ED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2E17F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69CC38C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CC9561">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CF763D">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状态</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7B577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DB3D7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BFE8D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bl>
    <w:p w14:paraId="67545FC1">
      <w:pPr>
        <w:pStyle w:val="19"/>
        <w:bidi w:val="0"/>
        <w:rPr>
          <w:b w:val="0"/>
          <w:bCs w:val="0"/>
        </w:rPr>
      </w:pPr>
    </w:p>
    <w:p w14:paraId="1904C3DE">
      <w:pPr>
        <w:pStyle w:val="6"/>
        <w:numPr>
          <w:ilvl w:val="0"/>
          <w:numId w:val="207"/>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2D1299AC">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46AA3C47">
            <w:pPr>
              <w:pStyle w:val="19"/>
              <w:bidi w:val="0"/>
              <w:rPr>
                <w:b w:val="0"/>
                <w:bCs w:val="0"/>
              </w:rPr>
            </w:pPr>
            <w:r>
              <w:rPr>
                <w:rFonts w:hint="eastAsia"/>
                <w:lang w:val="en-US" w:eastAsia="zh-CN"/>
              </w:rPr>
              <w:t>无</w:t>
            </w:r>
          </w:p>
        </w:tc>
      </w:tr>
    </w:tbl>
    <w:p w14:paraId="210607AE">
      <w:pPr>
        <w:pStyle w:val="19"/>
        <w:bidi w:val="0"/>
        <w:rPr>
          <w:b w:val="0"/>
          <w:bCs w:val="0"/>
        </w:rPr>
      </w:pPr>
    </w:p>
    <w:p w14:paraId="188A790D">
      <w:pPr>
        <w:pStyle w:val="6"/>
        <w:numPr>
          <w:ilvl w:val="0"/>
          <w:numId w:val="207"/>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7D9B1182">
        <w:tblPrEx>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3F68C78E">
            <w:pPr>
              <w:pStyle w:val="19"/>
              <w:bidi w:val="0"/>
              <w:rPr>
                <w:b w:val="0"/>
                <w:bCs w:val="0"/>
              </w:rPr>
            </w:pPr>
          </w:p>
        </w:tc>
      </w:tr>
    </w:tbl>
    <w:p w14:paraId="21D17FD7">
      <w:pPr>
        <w:pStyle w:val="19"/>
        <w:bidi w:val="0"/>
        <w:rPr>
          <w:b w:val="0"/>
          <w:bCs w:val="0"/>
        </w:rPr>
      </w:pPr>
    </w:p>
    <w:p w14:paraId="573ABBE3">
      <w:pPr>
        <w:pStyle w:val="6"/>
        <w:numPr>
          <w:ilvl w:val="0"/>
          <w:numId w:val="207"/>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E6A4A62">
        <w:tblPrEx>
          <w:tblCellMar>
            <w:top w:w="0" w:type="dxa"/>
            <w:left w:w="108" w:type="dxa"/>
            <w:bottom w:w="0" w:type="dxa"/>
            <w:right w:w="108" w:type="dxa"/>
          </w:tblCellMar>
        </w:tblPrEx>
        <w:trPr>
          <w:jc w:val="center"/>
        </w:trPr>
        <w:tc>
          <w:tcPr>
            <w:tcW w:w="9648" w:type="dxa"/>
            <w:tcBorders>
              <w:tl2br w:val="nil"/>
              <w:tr2bl w:val="nil"/>
            </w:tcBorders>
            <w:shd w:val="clear" w:color="auto" w:fill="F5F3FF"/>
            <w:tcMar>
              <w:top w:w="70" w:type="dxa"/>
              <w:left w:w="100" w:type="dxa"/>
              <w:bottom w:w="70" w:type="dxa"/>
              <w:right w:w="100" w:type="dxa"/>
            </w:tcMar>
          </w:tcPr>
          <w:p w14:paraId="41F3FC90">
            <w:pPr>
              <w:pStyle w:val="19"/>
              <w:bidi w:val="0"/>
              <w:rPr>
                <w:b w:val="0"/>
                <w:bCs w:val="0"/>
              </w:rPr>
            </w:pPr>
          </w:p>
        </w:tc>
      </w:tr>
    </w:tbl>
    <w:p w14:paraId="65BC8FF9">
      <w:pPr>
        <w:rPr>
          <w:b w:val="0"/>
          <w:bCs w:val="0"/>
        </w:rPr>
      </w:pPr>
    </w:p>
    <w:p w14:paraId="06422970">
      <w:pPr>
        <w:pStyle w:val="6"/>
        <w:numPr>
          <w:ilvl w:val="0"/>
          <w:numId w:val="207"/>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0CA800A8">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5EB8D539">
            <w:pPr>
              <w:pStyle w:val="19"/>
              <w:bidi w:val="0"/>
              <w:rPr>
                <w:b w:val="0"/>
                <w:bCs w:val="0"/>
              </w:rPr>
            </w:pPr>
          </w:p>
        </w:tc>
      </w:tr>
    </w:tbl>
    <w:p w14:paraId="603B8581">
      <w:pPr>
        <w:rPr>
          <w:rFonts w:hint="default"/>
          <w:b w:val="0"/>
          <w:bCs w:val="0"/>
          <w:lang w:val="en-US" w:eastAsia="zh-CN"/>
        </w:rPr>
      </w:pPr>
    </w:p>
    <w:p w14:paraId="0F3AF870">
      <w:pPr>
        <w:pStyle w:val="4"/>
        <w:numPr>
          <w:ilvl w:val="0"/>
          <w:numId w:val="199"/>
        </w:numPr>
        <w:topLinePunct w:val="0"/>
        <w:ind w:left="0" w:leftChars="0" w:firstLine="0" w:firstLineChars="0"/>
        <w:outlineLvl w:val="0"/>
        <w:rPr>
          <w:rFonts w:hint="eastAsia" w:ascii="Times New Roman" w:hAnsi="Times New Roman" w:eastAsia="黑体" w:cs="Times New Roman"/>
          <w:b w:val="0"/>
          <w:bCs w:val="0"/>
          <w:sz w:val="30"/>
          <w:szCs w:val="32"/>
          <w:lang w:val="en-US" w:eastAsia="zh-CN"/>
        </w:rPr>
      </w:pPr>
      <w:bookmarkStart w:id="68" w:name="_Toc24546"/>
      <w:r>
        <w:rPr>
          <w:rFonts w:hint="eastAsia" w:ascii="Times New Roman" w:hAnsi="Times New Roman" w:eastAsia="黑体" w:cs="Times New Roman"/>
          <w:b w:val="0"/>
          <w:bCs w:val="0"/>
          <w:sz w:val="30"/>
          <w:szCs w:val="32"/>
          <w:lang w:val="en-US" w:eastAsia="zh-CN"/>
        </w:rPr>
        <w:t>能碳基础因子管理</w:t>
      </w:r>
      <w:bookmarkEnd w:id="68"/>
    </w:p>
    <w:p w14:paraId="574E3D3C">
      <w:pPr>
        <w:pStyle w:val="5"/>
        <w:numPr>
          <w:ilvl w:val="0"/>
          <w:numId w:val="208"/>
        </w:numPr>
        <w:ind w:left="0" w:leftChars="0" w:firstLine="0" w:firstLineChars="0"/>
        <w:outlineLvl w:val="1"/>
        <w:rPr>
          <w:rFonts w:hint="default" w:cs="Times New Roman"/>
          <w:b w:val="0"/>
          <w:bCs w:val="0"/>
          <w:sz w:val="30"/>
          <w:szCs w:val="24"/>
          <w:lang w:val="en-US" w:eastAsia="zh-CN"/>
        </w:rPr>
      </w:pPr>
      <w:bookmarkStart w:id="69" w:name="_Toc32713"/>
      <w:r>
        <w:rPr>
          <w:rFonts w:hint="eastAsia"/>
          <w:b w:val="0"/>
          <w:bCs w:val="0"/>
          <w:lang w:val="en-US" w:eastAsia="zh-CN"/>
        </w:rPr>
        <w:t>电</w:t>
      </w:r>
      <w:r>
        <w:rPr>
          <w:rFonts w:hint="eastAsia" w:cs="Times New Roman"/>
          <w:b w:val="0"/>
          <w:bCs w:val="0"/>
          <w:sz w:val="30"/>
          <w:szCs w:val="24"/>
          <w:lang w:val="en-US" w:eastAsia="zh-CN"/>
        </w:rPr>
        <w:t>力碳排因子</w:t>
      </w:r>
      <w:bookmarkEnd w:id="69"/>
    </w:p>
    <w:p w14:paraId="6336A148">
      <w:pPr>
        <w:rPr>
          <w:b w:val="0"/>
          <w:bCs w:val="0"/>
        </w:rPr>
      </w:pPr>
      <w:r>
        <w:drawing>
          <wp:inline distT="0" distB="0" distL="114300" distR="114300">
            <wp:extent cx="5900420" cy="2925445"/>
            <wp:effectExtent l="0" t="0" r="5080" b="8255"/>
            <wp:docPr id="8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41"/>
                    <pic:cNvPicPr>
                      <a:picLocks noChangeAspect="1"/>
                    </pic:cNvPicPr>
                  </pic:nvPicPr>
                  <pic:blipFill>
                    <a:blip r:embed="rId99"/>
                    <a:stretch>
                      <a:fillRect/>
                    </a:stretch>
                  </pic:blipFill>
                  <pic:spPr>
                    <a:xfrm>
                      <a:off x="0" y="0"/>
                      <a:ext cx="5900420" cy="2925445"/>
                    </a:xfrm>
                    <a:prstGeom prst="rect">
                      <a:avLst/>
                    </a:prstGeom>
                    <a:noFill/>
                    <a:ln>
                      <a:noFill/>
                    </a:ln>
                  </pic:spPr>
                </pic:pic>
              </a:graphicData>
            </a:graphic>
          </wp:inline>
        </w:drawing>
      </w:r>
    </w:p>
    <w:p w14:paraId="3E467464">
      <w:pPr>
        <w:pStyle w:val="6"/>
        <w:numPr>
          <w:ilvl w:val="0"/>
          <w:numId w:val="209"/>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10D0170">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21FDE49E">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・功能定位</w:t>
            </w:r>
            <w:r>
              <w:rPr>
                <w:rFonts w:ascii="宋体" w:hAnsi="宋体" w:eastAsia="宋体" w:cs="宋体"/>
                <w:sz w:val="24"/>
                <w:szCs w:val="24"/>
              </w:rPr>
              <w:t xml:space="preserve">：作为能碳基础因子管理模块下电力类排放因子的维护单元，按省份、区域电网、电力来源维度管理电力碳排放因子，支持因子版本管控、新增与信息维护，为园区及产品碳足迹核算、能耗碳排放计算提供标准化电力因子基准数据，是碳核算业务开展的前置基础依赖。 </w:t>
            </w:r>
          </w:p>
          <w:p w14:paraId="365CA6CB">
            <w:pPr>
              <w:pStyle w:val="19"/>
              <w:bidi w:val="0"/>
              <w:ind w:left="0" w:leftChars="0" w:firstLine="0" w:firstLineChars="0"/>
              <w:rPr>
                <w:b w:val="0"/>
                <w:bCs w:val="0"/>
              </w:rPr>
            </w:pPr>
            <w:r>
              <w:rPr>
                <w:rFonts w:ascii="宋体" w:hAnsi="宋体" w:eastAsia="宋体" w:cs="宋体"/>
                <w:b/>
                <w:bCs/>
                <w:sz w:val="24"/>
                <w:szCs w:val="24"/>
              </w:rPr>
              <w:t>・承载角色</w:t>
            </w:r>
            <w:r>
              <w:rPr>
                <w:rFonts w:ascii="宋体" w:hAnsi="宋体" w:eastAsia="宋体" w:cs="宋体"/>
                <w:sz w:val="24"/>
                <w:szCs w:val="24"/>
              </w:rPr>
              <w:t>：PM 系统管理员（全量电力碳排因子新增、因子参数维护、版本管理与数据删除）。</w:t>
            </w:r>
          </w:p>
        </w:tc>
      </w:tr>
    </w:tbl>
    <w:p w14:paraId="2E6EF37F">
      <w:pPr>
        <w:rPr>
          <w:b w:val="0"/>
          <w:bCs w:val="0"/>
        </w:rPr>
      </w:pPr>
    </w:p>
    <w:p w14:paraId="3ABDB8D7">
      <w:pPr>
        <w:pStyle w:val="6"/>
        <w:numPr>
          <w:ilvl w:val="0"/>
          <w:numId w:val="209"/>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D4BCA07">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03079E9E">
            <w:pPr>
              <w:pStyle w:val="19"/>
              <w:bidi w:val="0"/>
              <w:ind w:left="0" w:leftChars="0" w:firstLine="0" w:firstLineChars="0"/>
            </w:pPr>
            <w:r>
              <w:rPr>
                <w:b/>
                <w:bCs/>
                <w:lang w:val="en-US" w:eastAsia="zh-CN"/>
              </w:rPr>
              <w:t>业务场景</w:t>
            </w:r>
            <w:r>
              <w:rPr>
                <w:lang w:val="en-US" w:eastAsia="zh-CN"/>
              </w:rPr>
              <w:t>：面向系统管理员进行能碳核算基础参数维护场景，统一管控全国各区域电网电力碳排放因子版本与参数，支撑全集团电力碳排放精准核算。</w:t>
            </w:r>
          </w:p>
          <w:p w14:paraId="243BACC3">
            <w:pPr>
              <w:pStyle w:val="19"/>
              <w:bidi w:val="0"/>
              <w:ind w:left="0" w:leftChars="0" w:firstLine="0" w:firstLineChars="0"/>
            </w:pPr>
            <w:r>
              <w:rPr>
                <w:b/>
                <w:bCs/>
                <w:lang w:val="en-US" w:eastAsia="zh-CN"/>
              </w:rPr>
              <w:t>用户故事</w:t>
            </w:r>
            <w:r>
              <w:rPr>
                <w:lang w:val="en-US" w:eastAsia="zh-CN"/>
              </w:rPr>
              <w:t>：</w:t>
            </w:r>
          </w:p>
          <w:p w14:paraId="6F5B0893">
            <w:pPr>
              <w:pStyle w:val="19"/>
              <w:bidi w:val="0"/>
            </w:pPr>
            <w:r>
              <w:rPr>
                <w:lang w:val="en-US" w:eastAsia="zh-CN"/>
              </w:rPr>
              <w:t>As a 系统管理员 (Persona PM)，</w:t>
            </w:r>
          </w:p>
          <w:p w14:paraId="50635CF3">
            <w:pPr>
              <w:pStyle w:val="19"/>
              <w:bidi w:val="0"/>
            </w:pPr>
            <w:r>
              <w:rPr>
                <w:lang w:val="en-US" w:eastAsia="zh-CN"/>
              </w:rPr>
              <w:t>I want 统一维护各区域电力碳排因子、更新因子版本、校准核算参数，</w:t>
            </w:r>
          </w:p>
          <w:p w14:paraId="33717475">
            <w:pPr>
              <w:pStyle w:val="19"/>
              <w:bidi w:val="0"/>
            </w:pPr>
            <w:r>
              <w:rPr>
                <w:lang w:val="en-US" w:eastAsia="zh-CN"/>
              </w:rPr>
              <w:t>So that 我能为全集团大屏降碳成效、电力碳排放统计、碳足迹核算提供权威基准数据。</w:t>
            </w:r>
          </w:p>
        </w:tc>
      </w:tr>
    </w:tbl>
    <w:p w14:paraId="7BFA50D8">
      <w:pPr>
        <w:rPr>
          <w:b w:val="0"/>
          <w:bCs w:val="0"/>
        </w:rPr>
      </w:pPr>
    </w:p>
    <w:p w14:paraId="7B1D2A4E">
      <w:pPr>
        <w:pStyle w:val="6"/>
        <w:numPr>
          <w:ilvl w:val="0"/>
          <w:numId w:val="209"/>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4A28B03">
        <w:tblPrEx>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4BC1F58F">
            <w:pPr>
              <w:pStyle w:val="19"/>
              <w:numPr>
                <w:ilvl w:val="0"/>
                <w:numId w:val="210"/>
              </w:numPr>
              <w:bidi w:val="0"/>
              <w:rPr>
                <w:rFonts w:hint="default" w:eastAsia="宋体"/>
                <w:b w:val="0"/>
                <w:bCs w:val="0"/>
                <w:lang w:val="en-US" w:eastAsia="zh-CN"/>
              </w:rPr>
            </w:pPr>
            <w:r>
              <w:rPr>
                <w:rFonts w:hint="eastAsia"/>
                <w:b w:val="0"/>
                <w:bCs w:val="0"/>
                <w:lang w:val="en-US" w:eastAsia="zh-CN"/>
              </w:rPr>
              <w:t>点击上方查询条件，下方列表中进行数据筛选；</w:t>
            </w:r>
          </w:p>
          <w:p w14:paraId="438C28B5">
            <w:pPr>
              <w:pStyle w:val="19"/>
              <w:numPr>
                <w:ilvl w:val="0"/>
                <w:numId w:val="210"/>
              </w:numPr>
              <w:bidi w:val="0"/>
              <w:rPr>
                <w:rFonts w:hint="default" w:eastAsia="宋体"/>
                <w:b w:val="0"/>
                <w:bCs w:val="0"/>
                <w:lang w:val="en-US" w:eastAsia="zh-CN"/>
              </w:rPr>
            </w:pPr>
            <w:r>
              <w:rPr>
                <w:rFonts w:hint="eastAsia"/>
                <w:b w:val="0"/>
                <w:bCs w:val="0"/>
                <w:lang w:val="en-US" w:eastAsia="zh-CN"/>
              </w:rPr>
              <w:t>点击【新增因子】打开新增因子弹窗；</w:t>
            </w:r>
          </w:p>
          <w:p w14:paraId="06D3C038">
            <w:pPr>
              <w:pStyle w:val="19"/>
              <w:numPr>
                <w:ilvl w:val="0"/>
                <w:numId w:val="210"/>
              </w:numPr>
              <w:bidi w:val="0"/>
              <w:rPr>
                <w:rFonts w:hint="default" w:eastAsia="宋体"/>
                <w:b w:val="0"/>
                <w:bCs w:val="0"/>
                <w:lang w:val="en-US" w:eastAsia="zh-CN"/>
              </w:rPr>
            </w:pPr>
            <w:r>
              <w:rPr>
                <w:rFonts w:hint="eastAsia"/>
                <w:b w:val="0"/>
                <w:bCs w:val="0"/>
                <w:lang w:val="en-US" w:eastAsia="zh-CN"/>
              </w:rPr>
              <w:t>点击【编辑】打开编辑窗口；</w:t>
            </w:r>
          </w:p>
          <w:p w14:paraId="63B10775">
            <w:pPr>
              <w:pStyle w:val="19"/>
              <w:numPr>
                <w:ilvl w:val="0"/>
                <w:numId w:val="210"/>
              </w:numPr>
              <w:bidi w:val="0"/>
              <w:rPr>
                <w:rFonts w:hint="default" w:eastAsia="宋体"/>
                <w:b w:val="0"/>
                <w:bCs w:val="0"/>
                <w:lang w:val="en-US" w:eastAsia="zh-CN"/>
              </w:rPr>
            </w:pPr>
            <w:r>
              <w:rPr>
                <w:rFonts w:hint="eastAsia"/>
                <w:b w:val="0"/>
                <w:bCs w:val="0"/>
                <w:lang w:val="en-US" w:eastAsia="zh-CN"/>
              </w:rPr>
              <w:t>点击【版本】打开版本记录窗口；</w:t>
            </w:r>
          </w:p>
          <w:p w14:paraId="6230A17F">
            <w:pPr>
              <w:pStyle w:val="19"/>
              <w:numPr>
                <w:ilvl w:val="0"/>
                <w:numId w:val="210"/>
              </w:numPr>
              <w:bidi w:val="0"/>
              <w:rPr>
                <w:rFonts w:hint="default" w:eastAsia="宋体"/>
                <w:b w:val="0"/>
                <w:bCs w:val="0"/>
                <w:lang w:val="en-US" w:eastAsia="zh-CN"/>
              </w:rPr>
            </w:pPr>
            <w:r>
              <w:rPr>
                <w:rFonts w:hint="eastAsia"/>
                <w:b w:val="0"/>
                <w:bCs w:val="0"/>
                <w:lang w:val="en-US" w:eastAsia="zh-CN"/>
              </w:rPr>
              <w:t>点击【删除】打开弹窗，点击取消后关闭弹窗，点击确定后关闭弹窗并删除数据；</w:t>
            </w:r>
          </w:p>
        </w:tc>
      </w:tr>
    </w:tbl>
    <w:p w14:paraId="70DF6CF0">
      <w:pPr>
        <w:rPr>
          <w:b w:val="0"/>
          <w:bCs w:val="0"/>
        </w:rPr>
      </w:pPr>
    </w:p>
    <w:p w14:paraId="1343C9A7">
      <w:pPr>
        <w:pStyle w:val="6"/>
        <w:numPr>
          <w:ilvl w:val="0"/>
          <w:numId w:val="209"/>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657"/>
        <w:gridCol w:w="1468"/>
        <w:gridCol w:w="1291"/>
        <w:gridCol w:w="4479"/>
      </w:tblGrid>
      <w:tr w14:paraId="17D2961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44D65CB">
            <w:pPr>
              <w:pStyle w:val="19"/>
              <w:bidi w:val="0"/>
              <w:spacing w:line="240" w:lineRule="auto"/>
              <w:ind w:left="0" w:leftChars="0" w:right="0" w:rightChars="0" w:firstLine="0" w:firstLineChars="0"/>
              <w:jc w:val="both"/>
              <w:rPr>
                <w:b w:val="0"/>
                <w:bCs w:val="0"/>
              </w:rPr>
            </w:pPr>
            <w:r>
              <w:rPr>
                <w:b w:val="0"/>
                <w:bCs w:val="0"/>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292121">
            <w:pPr>
              <w:pStyle w:val="19"/>
              <w:bidi w:val="0"/>
              <w:spacing w:line="240" w:lineRule="auto"/>
              <w:ind w:left="0" w:leftChars="0" w:right="0" w:rightChars="0" w:firstLine="0" w:firstLineChars="0"/>
              <w:jc w:val="both"/>
              <w:rPr>
                <w:b w:val="0"/>
                <w:bCs w:val="0"/>
              </w:rPr>
            </w:pPr>
            <w:r>
              <w:rPr>
                <w:b w:val="0"/>
                <w:bCs w:val="0"/>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285BF1">
            <w:pPr>
              <w:pStyle w:val="19"/>
              <w:bidi w:val="0"/>
              <w:spacing w:line="240" w:lineRule="auto"/>
              <w:ind w:left="0" w:leftChars="0" w:right="0" w:rightChars="0" w:firstLine="0" w:firstLineChars="0"/>
              <w:jc w:val="both"/>
              <w:rPr>
                <w:b w:val="0"/>
                <w:bCs w:val="0"/>
              </w:rPr>
            </w:pPr>
            <w:r>
              <w:rPr>
                <w:b w:val="0"/>
                <w:bCs w:val="0"/>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9DFB97">
            <w:pPr>
              <w:pStyle w:val="19"/>
              <w:bidi w:val="0"/>
              <w:spacing w:line="240" w:lineRule="auto"/>
              <w:ind w:left="0" w:leftChars="0" w:right="0" w:rightChars="0" w:firstLine="0" w:firstLineChars="0"/>
              <w:jc w:val="both"/>
              <w:rPr>
                <w:b w:val="0"/>
                <w:bCs w:val="0"/>
              </w:rPr>
            </w:pPr>
            <w:r>
              <w:rPr>
                <w:b w:val="0"/>
                <w:bCs w:val="0"/>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00EE4A">
            <w:pPr>
              <w:pStyle w:val="19"/>
              <w:bidi w:val="0"/>
              <w:spacing w:line="240" w:lineRule="auto"/>
              <w:ind w:left="0" w:leftChars="0" w:right="0" w:rightChars="0" w:firstLine="0" w:firstLineChars="0"/>
              <w:jc w:val="both"/>
              <w:rPr>
                <w:b w:val="0"/>
                <w:bCs w:val="0"/>
              </w:rPr>
            </w:pPr>
            <w:r>
              <w:rPr>
                <w:b w:val="0"/>
                <w:bCs w:val="0"/>
              </w:rPr>
              <w:t>校验与约束规则</w:t>
            </w:r>
          </w:p>
        </w:tc>
      </w:tr>
      <w:tr w14:paraId="6386B1F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4CB51E">
            <w:pPr>
              <w:pStyle w:val="19"/>
              <w:bidi w:val="0"/>
              <w:spacing w:line="240" w:lineRule="auto"/>
              <w:ind w:left="0" w:leftChars="0" w:right="0" w:rightChars="0" w:firstLine="0" w:firstLineChars="0"/>
              <w:jc w:val="center"/>
              <w:rPr>
                <w:b w:val="0"/>
                <w:bCs w:val="0"/>
              </w:rPr>
            </w:pPr>
            <w:r>
              <w:rPr>
                <w:rFonts w:hint="eastAsia" w:ascii="宋体" w:hAnsi="宋体" w:eastAsia="宋体" w:cs="宋体"/>
                <w:b w:val="0"/>
                <w:bCs w:val="0"/>
                <w:sz w:val="24"/>
                <w:szCs w:val="24"/>
                <w:lang w:val="en-US" w:eastAsia="zh-CN"/>
              </w:rPr>
              <w:t>1</w:t>
            </w:r>
          </w:p>
        </w:tc>
        <w:tc>
          <w:tcPr>
            <w:tcW w:w="16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DC9599">
            <w:pPr>
              <w:bidi w:val="0"/>
              <w:spacing w:line="240" w:lineRule="auto"/>
              <w:ind w:left="0" w:leftChars="0" w:right="0" w:rightChars="0" w:firstLine="0" w:firstLineChars="0"/>
              <w:jc w:val="both"/>
              <w:rPr>
                <w:b w:val="0"/>
                <w:bCs w:val="0"/>
              </w:rPr>
            </w:pPr>
            <w:r>
              <w:rPr>
                <w:rFonts w:hint="eastAsia" w:ascii="宋体" w:hAnsi="宋体" w:eastAsia="宋体" w:cs="宋体"/>
                <w:sz w:val="24"/>
                <w:szCs w:val="24"/>
              </w:rPr>
              <w:t>省份</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09EC29">
            <w:pPr>
              <w:pStyle w:val="19"/>
              <w:bidi w:val="0"/>
              <w:spacing w:line="240" w:lineRule="auto"/>
              <w:ind w:left="0" w:leftChars="0" w:right="0" w:rightChars="0" w:firstLine="0" w:firstLineChars="0"/>
              <w:jc w:val="both"/>
              <w:rPr>
                <w:b w:val="0"/>
                <w:bCs w:val="0"/>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D2970A">
            <w:pPr>
              <w:pStyle w:val="19"/>
              <w:bidi w:val="0"/>
              <w:spacing w:line="240" w:lineRule="auto"/>
              <w:ind w:left="0" w:leftChars="0" w:right="0" w:rightChars="0" w:firstLine="0" w:firstLineChars="0"/>
              <w:jc w:val="both"/>
              <w:rPr>
                <w:b w:val="0"/>
                <w:bCs w:val="0"/>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C3AC00">
            <w:pPr>
              <w:pStyle w:val="19"/>
              <w:bidi w:val="0"/>
              <w:spacing w:line="240" w:lineRule="auto"/>
              <w:ind w:left="0" w:leftChars="0" w:right="0" w:rightChars="0" w:firstLine="0" w:firstLineChars="0"/>
              <w:jc w:val="both"/>
              <w:rPr>
                <w:b w:val="0"/>
                <w:bCs w:val="0"/>
              </w:rPr>
            </w:pPr>
          </w:p>
        </w:tc>
      </w:tr>
      <w:tr w14:paraId="4963E9BB">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79800B">
            <w:pPr>
              <w:pStyle w:val="19"/>
              <w:bidi w:val="0"/>
              <w:spacing w:line="240" w:lineRule="auto"/>
              <w:ind w:left="0" w:leftChars="0" w:right="0" w:rightChars="0" w:firstLine="0" w:firstLineChars="0"/>
              <w:jc w:val="center"/>
              <w:rPr>
                <w:b w:val="0"/>
                <w:bCs w:val="0"/>
              </w:rPr>
            </w:pPr>
            <w:r>
              <w:rPr>
                <w:rFonts w:hint="eastAsia" w:ascii="宋体" w:hAnsi="宋体" w:eastAsia="宋体" w:cs="宋体"/>
                <w:b w:val="0"/>
                <w:bCs w:val="0"/>
                <w:sz w:val="24"/>
                <w:szCs w:val="24"/>
                <w:lang w:val="en-US" w:eastAsia="zh-CN"/>
              </w:rPr>
              <w:t>2</w:t>
            </w:r>
          </w:p>
        </w:tc>
        <w:tc>
          <w:tcPr>
            <w:tcW w:w="16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EDE9A0">
            <w:pPr>
              <w:bidi w:val="0"/>
              <w:spacing w:line="240" w:lineRule="auto"/>
              <w:ind w:left="0" w:leftChars="0" w:right="0" w:rightChars="0" w:firstLine="0" w:firstLineChars="0"/>
              <w:jc w:val="both"/>
              <w:rPr>
                <w:b w:val="0"/>
                <w:bCs w:val="0"/>
              </w:rPr>
            </w:pPr>
            <w:r>
              <w:rPr>
                <w:rFonts w:hint="eastAsia" w:ascii="宋体" w:hAnsi="宋体" w:eastAsia="宋体" w:cs="宋体"/>
                <w:sz w:val="24"/>
                <w:szCs w:val="24"/>
              </w:rPr>
              <w:t>区域电网</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601673">
            <w:pPr>
              <w:pStyle w:val="19"/>
              <w:bidi w:val="0"/>
              <w:spacing w:line="240" w:lineRule="auto"/>
              <w:ind w:left="0" w:leftChars="0" w:right="0" w:rightChars="0" w:firstLine="0" w:firstLineChars="0"/>
              <w:jc w:val="both"/>
              <w:rPr>
                <w:b w:val="0"/>
                <w:bCs w:val="0"/>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5DF905">
            <w:pPr>
              <w:pStyle w:val="19"/>
              <w:bidi w:val="0"/>
              <w:spacing w:line="240" w:lineRule="auto"/>
              <w:ind w:left="0" w:leftChars="0" w:right="0" w:rightChars="0" w:firstLine="0" w:firstLineChars="0"/>
              <w:jc w:val="both"/>
              <w:rPr>
                <w:b w:val="0"/>
                <w:bCs w:val="0"/>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BCF25F">
            <w:pPr>
              <w:pStyle w:val="19"/>
              <w:bidi w:val="0"/>
              <w:spacing w:line="240" w:lineRule="auto"/>
              <w:ind w:left="0" w:leftChars="0" w:right="0" w:rightChars="0" w:firstLine="0" w:firstLineChars="0"/>
              <w:jc w:val="both"/>
              <w:rPr>
                <w:b w:val="0"/>
                <w:bCs w:val="0"/>
              </w:rPr>
            </w:pPr>
          </w:p>
        </w:tc>
      </w:tr>
      <w:tr w14:paraId="3DE6F6E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FF9996">
            <w:pPr>
              <w:pStyle w:val="19"/>
              <w:bidi w:val="0"/>
              <w:spacing w:line="240" w:lineRule="auto"/>
              <w:ind w:left="0" w:leftChars="0" w:right="0" w:rightChars="0" w:firstLine="0" w:firstLineChars="0"/>
              <w:jc w:val="center"/>
              <w:rPr>
                <w:b w:val="0"/>
                <w:bCs w:val="0"/>
              </w:rPr>
            </w:pPr>
            <w:r>
              <w:rPr>
                <w:rFonts w:hint="eastAsia" w:ascii="宋体" w:hAnsi="宋体" w:eastAsia="宋体" w:cs="宋体"/>
                <w:b w:val="0"/>
                <w:bCs w:val="0"/>
                <w:sz w:val="24"/>
                <w:szCs w:val="24"/>
                <w:lang w:val="en-US" w:eastAsia="zh-CN"/>
              </w:rPr>
              <w:t>3</w:t>
            </w:r>
          </w:p>
        </w:tc>
        <w:tc>
          <w:tcPr>
            <w:tcW w:w="16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B008DA">
            <w:pPr>
              <w:bidi w:val="0"/>
              <w:spacing w:line="240" w:lineRule="auto"/>
              <w:ind w:left="0" w:leftChars="0" w:right="0" w:rightChars="0" w:firstLine="0" w:firstLineChars="0"/>
              <w:jc w:val="both"/>
              <w:rPr>
                <w:b w:val="0"/>
                <w:bCs w:val="0"/>
              </w:rPr>
            </w:pPr>
            <w:r>
              <w:rPr>
                <w:rFonts w:hint="eastAsia" w:ascii="宋体" w:hAnsi="宋体" w:eastAsia="宋体" w:cs="宋体"/>
                <w:sz w:val="24"/>
                <w:szCs w:val="24"/>
              </w:rPr>
              <w:t>电力来源</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13EAC1">
            <w:pPr>
              <w:pStyle w:val="19"/>
              <w:bidi w:val="0"/>
              <w:spacing w:line="240" w:lineRule="auto"/>
              <w:ind w:left="0" w:leftChars="0" w:right="0" w:rightChars="0" w:firstLine="0" w:firstLineChars="0"/>
              <w:jc w:val="both"/>
              <w:rPr>
                <w:b w:val="0"/>
                <w:bCs w:val="0"/>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72786C">
            <w:pPr>
              <w:pStyle w:val="19"/>
              <w:bidi w:val="0"/>
              <w:spacing w:line="240" w:lineRule="auto"/>
              <w:ind w:left="0" w:leftChars="0" w:right="0" w:rightChars="0" w:firstLine="0" w:firstLineChars="0"/>
              <w:jc w:val="both"/>
              <w:rPr>
                <w:b w:val="0"/>
                <w:bCs w:val="0"/>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5CF322">
            <w:pPr>
              <w:pStyle w:val="19"/>
              <w:bidi w:val="0"/>
              <w:spacing w:line="240" w:lineRule="auto"/>
              <w:ind w:left="0" w:leftChars="0" w:right="0" w:rightChars="0" w:firstLine="0" w:firstLineChars="0"/>
              <w:jc w:val="both"/>
              <w:rPr>
                <w:b w:val="0"/>
                <w:bCs w:val="0"/>
              </w:rPr>
            </w:pPr>
          </w:p>
        </w:tc>
      </w:tr>
      <w:tr w14:paraId="1D7264B3">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606E6F">
            <w:pPr>
              <w:pStyle w:val="19"/>
              <w:bidi w:val="0"/>
              <w:spacing w:line="240" w:lineRule="auto"/>
              <w:ind w:left="0" w:leftChars="0" w:right="0" w:rightChars="0" w:firstLine="0" w:firstLineChars="0"/>
              <w:jc w:val="center"/>
              <w:rPr>
                <w:b w:val="0"/>
                <w:bCs w:val="0"/>
              </w:rPr>
            </w:pPr>
            <w:r>
              <w:rPr>
                <w:rFonts w:hint="eastAsia" w:ascii="宋体" w:hAnsi="宋体" w:eastAsia="宋体" w:cs="宋体"/>
                <w:b w:val="0"/>
                <w:bCs w:val="0"/>
                <w:sz w:val="24"/>
                <w:szCs w:val="24"/>
                <w:lang w:val="en-US" w:eastAsia="zh-CN"/>
              </w:rPr>
              <w:t>4</w:t>
            </w:r>
          </w:p>
        </w:tc>
        <w:tc>
          <w:tcPr>
            <w:tcW w:w="16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BB77E3">
            <w:pPr>
              <w:bidi w:val="0"/>
              <w:spacing w:line="240" w:lineRule="auto"/>
              <w:ind w:left="0" w:leftChars="0" w:right="0" w:rightChars="0" w:firstLine="0" w:firstLineChars="0"/>
              <w:jc w:val="both"/>
              <w:rPr>
                <w:b w:val="0"/>
                <w:bCs w:val="0"/>
              </w:rPr>
            </w:pPr>
            <w:r>
              <w:rPr>
                <w:rFonts w:hint="eastAsia" w:ascii="宋体" w:hAnsi="宋体" w:eastAsia="宋体" w:cs="宋体"/>
                <w:sz w:val="24"/>
                <w:szCs w:val="24"/>
              </w:rPr>
              <w:t>因子值</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91F42A">
            <w:pPr>
              <w:pStyle w:val="19"/>
              <w:bidi w:val="0"/>
              <w:spacing w:line="240" w:lineRule="auto"/>
              <w:ind w:left="0" w:leftChars="0" w:right="0" w:rightChars="0" w:firstLine="0" w:firstLineChars="0"/>
              <w:jc w:val="both"/>
              <w:rPr>
                <w:b w:val="0"/>
                <w:bCs w:val="0"/>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5A248C">
            <w:pPr>
              <w:pStyle w:val="19"/>
              <w:bidi w:val="0"/>
              <w:spacing w:line="240" w:lineRule="auto"/>
              <w:ind w:left="0" w:leftChars="0" w:right="0" w:rightChars="0" w:firstLine="0" w:firstLineChars="0"/>
              <w:jc w:val="both"/>
              <w:rPr>
                <w:b w:val="0"/>
                <w:bCs w:val="0"/>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7DE363">
            <w:pPr>
              <w:pStyle w:val="19"/>
              <w:bidi w:val="0"/>
              <w:spacing w:line="240" w:lineRule="auto"/>
              <w:ind w:left="0" w:leftChars="0" w:right="0" w:rightChars="0" w:firstLine="0" w:firstLineChars="0"/>
              <w:jc w:val="both"/>
              <w:rPr>
                <w:b w:val="0"/>
                <w:bCs w:val="0"/>
              </w:rPr>
            </w:pPr>
          </w:p>
        </w:tc>
      </w:tr>
      <w:tr w14:paraId="08FC803B">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394771">
            <w:pPr>
              <w:pStyle w:val="19"/>
              <w:bidi w:val="0"/>
              <w:spacing w:line="240" w:lineRule="auto"/>
              <w:ind w:left="0" w:leftChars="0" w:right="0" w:rightChars="0" w:firstLine="0" w:firstLineChars="0"/>
              <w:jc w:val="center"/>
              <w:rPr>
                <w:b w:val="0"/>
                <w:bCs w:val="0"/>
              </w:rPr>
            </w:pPr>
            <w:r>
              <w:rPr>
                <w:rFonts w:hint="eastAsia" w:ascii="宋体" w:hAnsi="宋体" w:eastAsia="宋体" w:cs="宋体"/>
                <w:b w:val="0"/>
                <w:bCs w:val="0"/>
                <w:sz w:val="24"/>
                <w:szCs w:val="24"/>
                <w:lang w:val="en-US" w:eastAsia="zh-CN"/>
              </w:rPr>
              <w:t>5</w:t>
            </w:r>
          </w:p>
        </w:tc>
        <w:tc>
          <w:tcPr>
            <w:tcW w:w="16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925FBE">
            <w:pPr>
              <w:bidi w:val="0"/>
              <w:spacing w:line="240" w:lineRule="auto"/>
              <w:ind w:left="0" w:leftChars="0" w:right="0" w:rightChars="0" w:firstLine="0" w:firstLineChars="0"/>
              <w:jc w:val="both"/>
              <w:rPr>
                <w:b w:val="0"/>
                <w:bCs w:val="0"/>
              </w:rPr>
            </w:pPr>
            <w:r>
              <w:rPr>
                <w:rFonts w:hint="eastAsia" w:ascii="宋体" w:hAnsi="宋体" w:eastAsia="宋体" w:cs="宋体"/>
                <w:sz w:val="24"/>
                <w:szCs w:val="24"/>
              </w:rPr>
              <w:t>单位</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447DC5">
            <w:pPr>
              <w:pStyle w:val="19"/>
              <w:bidi w:val="0"/>
              <w:spacing w:line="240" w:lineRule="auto"/>
              <w:ind w:left="0" w:leftChars="0" w:right="0" w:rightChars="0" w:firstLine="0" w:firstLineChars="0"/>
              <w:jc w:val="both"/>
              <w:rPr>
                <w:b w:val="0"/>
                <w:bCs w:val="0"/>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1ED42D">
            <w:pPr>
              <w:pStyle w:val="19"/>
              <w:bidi w:val="0"/>
              <w:spacing w:line="240" w:lineRule="auto"/>
              <w:ind w:left="0" w:leftChars="0" w:right="0" w:rightChars="0" w:firstLine="0" w:firstLineChars="0"/>
              <w:jc w:val="both"/>
              <w:rPr>
                <w:b w:val="0"/>
                <w:bCs w:val="0"/>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2F7E3D">
            <w:pPr>
              <w:pStyle w:val="19"/>
              <w:bidi w:val="0"/>
              <w:spacing w:line="240" w:lineRule="auto"/>
              <w:ind w:left="0" w:leftChars="0" w:right="0" w:rightChars="0" w:firstLine="0" w:firstLineChars="0"/>
              <w:jc w:val="both"/>
              <w:rPr>
                <w:b w:val="0"/>
                <w:bCs w:val="0"/>
              </w:rPr>
            </w:pPr>
          </w:p>
        </w:tc>
      </w:tr>
      <w:tr w14:paraId="0BB0819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FBA397">
            <w:pPr>
              <w:pStyle w:val="19"/>
              <w:bidi w:val="0"/>
              <w:spacing w:line="240" w:lineRule="auto"/>
              <w:ind w:left="0" w:leftChars="0" w:right="0" w:rightChars="0" w:firstLine="0" w:firstLineChars="0"/>
              <w:jc w:val="center"/>
              <w:rPr>
                <w:b w:val="0"/>
                <w:bCs w:val="0"/>
              </w:rPr>
            </w:pPr>
            <w:r>
              <w:rPr>
                <w:rFonts w:hint="eastAsia" w:ascii="宋体" w:hAnsi="宋体" w:eastAsia="宋体" w:cs="宋体"/>
                <w:b w:val="0"/>
                <w:bCs w:val="0"/>
                <w:sz w:val="24"/>
                <w:szCs w:val="24"/>
                <w:lang w:val="en-US" w:eastAsia="zh-CN"/>
              </w:rPr>
              <w:t>6</w:t>
            </w:r>
          </w:p>
        </w:tc>
        <w:tc>
          <w:tcPr>
            <w:tcW w:w="16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F1F419">
            <w:pPr>
              <w:bidi w:val="0"/>
              <w:spacing w:line="240" w:lineRule="auto"/>
              <w:ind w:left="0" w:leftChars="0" w:right="0" w:rightChars="0" w:firstLine="0" w:firstLineChars="0"/>
              <w:jc w:val="both"/>
              <w:rPr>
                <w:b w:val="0"/>
                <w:bCs w:val="0"/>
              </w:rPr>
            </w:pPr>
            <w:r>
              <w:rPr>
                <w:rFonts w:hint="eastAsia" w:ascii="宋体" w:hAnsi="宋体" w:eastAsia="宋体" w:cs="宋体"/>
                <w:sz w:val="24"/>
                <w:szCs w:val="24"/>
              </w:rPr>
              <w:t>数据来源</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7A9D9D">
            <w:pPr>
              <w:pStyle w:val="19"/>
              <w:bidi w:val="0"/>
              <w:spacing w:line="240" w:lineRule="auto"/>
              <w:ind w:left="0" w:leftChars="0" w:right="0" w:rightChars="0" w:firstLine="0" w:firstLineChars="0"/>
              <w:jc w:val="both"/>
              <w:rPr>
                <w:b w:val="0"/>
                <w:bCs w:val="0"/>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E9FD06">
            <w:pPr>
              <w:pStyle w:val="19"/>
              <w:bidi w:val="0"/>
              <w:spacing w:line="240" w:lineRule="auto"/>
              <w:ind w:left="0" w:leftChars="0" w:right="0" w:rightChars="0" w:firstLine="0" w:firstLineChars="0"/>
              <w:jc w:val="both"/>
              <w:rPr>
                <w:b w:val="0"/>
                <w:bCs w:val="0"/>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2627ED">
            <w:pPr>
              <w:pStyle w:val="19"/>
              <w:bidi w:val="0"/>
              <w:spacing w:line="240" w:lineRule="auto"/>
              <w:ind w:left="0" w:leftChars="0" w:right="0" w:rightChars="0" w:firstLine="0" w:firstLineChars="0"/>
              <w:jc w:val="both"/>
              <w:rPr>
                <w:b w:val="0"/>
                <w:bCs w:val="0"/>
              </w:rPr>
            </w:pPr>
          </w:p>
        </w:tc>
      </w:tr>
      <w:tr w14:paraId="60FE8523">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9DC1C7">
            <w:pPr>
              <w:pStyle w:val="19"/>
              <w:bidi w:val="0"/>
              <w:spacing w:line="240" w:lineRule="auto"/>
              <w:ind w:left="0" w:leftChars="0" w:right="0" w:rightChars="0" w:firstLine="0" w:firstLineChars="0"/>
              <w:jc w:val="center"/>
              <w:rPr>
                <w:b w:val="0"/>
                <w:bCs w:val="0"/>
              </w:rPr>
            </w:pPr>
            <w:r>
              <w:rPr>
                <w:rFonts w:hint="eastAsia" w:ascii="宋体" w:hAnsi="宋体" w:eastAsia="宋体" w:cs="宋体"/>
                <w:b w:val="0"/>
                <w:bCs w:val="0"/>
                <w:sz w:val="24"/>
                <w:szCs w:val="24"/>
                <w:lang w:val="en-US" w:eastAsia="zh-CN"/>
              </w:rPr>
              <w:t>7</w:t>
            </w:r>
          </w:p>
        </w:tc>
        <w:tc>
          <w:tcPr>
            <w:tcW w:w="16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BB2A44">
            <w:pPr>
              <w:bidi w:val="0"/>
              <w:spacing w:line="240" w:lineRule="auto"/>
              <w:ind w:left="0" w:leftChars="0" w:right="0" w:rightChars="0" w:firstLine="0" w:firstLineChars="0"/>
              <w:jc w:val="both"/>
              <w:rPr>
                <w:b w:val="0"/>
                <w:bCs w:val="0"/>
              </w:rPr>
            </w:pPr>
            <w:r>
              <w:rPr>
                <w:rFonts w:hint="eastAsia" w:ascii="宋体" w:hAnsi="宋体" w:eastAsia="宋体" w:cs="宋体"/>
                <w:sz w:val="24"/>
                <w:szCs w:val="24"/>
              </w:rPr>
              <w:t>版本</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EF7D50">
            <w:pPr>
              <w:pStyle w:val="19"/>
              <w:bidi w:val="0"/>
              <w:spacing w:line="240" w:lineRule="auto"/>
              <w:ind w:left="0" w:leftChars="0" w:right="0" w:rightChars="0" w:firstLine="0" w:firstLineChars="0"/>
              <w:jc w:val="both"/>
              <w:rPr>
                <w:b w:val="0"/>
                <w:bCs w:val="0"/>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477A8B">
            <w:pPr>
              <w:pStyle w:val="19"/>
              <w:bidi w:val="0"/>
              <w:spacing w:line="240" w:lineRule="auto"/>
              <w:ind w:left="0" w:leftChars="0" w:right="0" w:rightChars="0" w:firstLine="0" w:firstLineChars="0"/>
              <w:jc w:val="both"/>
              <w:rPr>
                <w:b w:val="0"/>
                <w:bCs w:val="0"/>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517FBD">
            <w:pPr>
              <w:pStyle w:val="19"/>
              <w:bidi w:val="0"/>
              <w:spacing w:line="240" w:lineRule="auto"/>
              <w:ind w:left="0" w:leftChars="0" w:right="0" w:rightChars="0" w:firstLine="0" w:firstLineChars="0"/>
              <w:jc w:val="both"/>
              <w:rPr>
                <w:b w:val="0"/>
                <w:bCs w:val="0"/>
              </w:rPr>
            </w:pPr>
          </w:p>
        </w:tc>
      </w:tr>
    </w:tbl>
    <w:p w14:paraId="7ECFDB59">
      <w:pPr>
        <w:pStyle w:val="19"/>
        <w:bidi w:val="0"/>
        <w:rPr>
          <w:b w:val="0"/>
          <w:bCs w:val="0"/>
        </w:rPr>
      </w:pPr>
    </w:p>
    <w:p w14:paraId="69B84269">
      <w:pPr>
        <w:pStyle w:val="6"/>
        <w:numPr>
          <w:ilvl w:val="0"/>
          <w:numId w:val="209"/>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1EC7A457">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06036087">
            <w:pPr>
              <w:pStyle w:val="19"/>
              <w:bidi w:val="0"/>
              <w:rPr>
                <w:b w:val="0"/>
                <w:bCs w:val="0"/>
              </w:rPr>
            </w:pPr>
            <w:r>
              <w:rPr>
                <w:rFonts w:hint="eastAsia"/>
                <w:lang w:val="en-US" w:eastAsia="zh-CN"/>
              </w:rPr>
              <w:t>无</w:t>
            </w:r>
          </w:p>
        </w:tc>
      </w:tr>
    </w:tbl>
    <w:p w14:paraId="1DA0DC20">
      <w:pPr>
        <w:pStyle w:val="19"/>
        <w:bidi w:val="0"/>
        <w:rPr>
          <w:b w:val="0"/>
          <w:bCs w:val="0"/>
        </w:rPr>
      </w:pPr>
    </w:p>
    <w:p w14:paraId="6456EB1C">
      <w:pPr>
        <w:pStyle w:val="6"/>
        <w:numPr>
          <w:ilvl w:val="0"/>
          <w:numId w:val="209"/>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CA45538">
        <w:tblPrEx>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6205A653">
            <w:pPr>
              <w:pStyle w:val="19"/>
              <w:bidi w:val="0"/>
              <w:rPr>
                <w:b w:val="0"/>
                <w:bCs w:val="0"/>
              </w:rPr>
            </w:pPr>
          </w:p>
        </w:tc>
      </w:tr>
    </w:tbl>
    <w:p w14:paraId="2486B5BF">
      <w:pPr>
        <w:pStyle w:val="19"/>
        <w:bidi w:val="0"/>
        <w:rPr>
          <w:b w:val="0"/>
          <w:bCs w:val="0"/>
        </w:rPr>
      </w:pPr>
    </w:p>
    <w:p w14:paraId="2E192966">
      <w:pPr>
        <w:pStyle w:val="6"/>
        <w:numPr>
          <w:ilvl w:val="0"/>
          <w:numId w:val="209"/>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483BEB3">
        <w:tblPrEx>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PrEx>
        <w:trPr>
          <w:jc w:val="center"/>
        </w:trPr>
        <w:tc>
          <w:tcPr>
            <w:tcW w:w="9648" w:type="dxa"/>
            <w:tcBorders>
              <w:tl2br w:val="nil"/>
              <w:tr2bl w:val="nil"/>
            </w:tcBorders>
            <w:shd w:val="clear" w:color="auto" w:fill="F5F3FF"/>
            <w:tcMar>
              <w:top w:w="70" w:type="dxa"/>
              <w:left w:w="100" w:type="dxa"/>
              <w:bottom w:w="70" w:type="dxa"/>
              <w:right w:w="100" w:type="dxa"/>
            </w:tcMar>
          </w:tcPr>
          <w:p w14:paraId="73899A59">
            <w:pPr>
              <w:pStyle w:val="19"/>
              <w:bidi w:val="0"/>
              <w:rPr>
                <w:b w:val="0"/>
                <w:bCs w:val="0"/>
              </w:rPr>
            </w:pPr>
          </w:p>
        </w:tc>
      </w:tr>
    </w:tbl>
    <w:p w14:paraId="405BAB4D">
      <w:pPr>
        <w:rPr>
          <w:b w:val="0"/>
          <w:bCs w:val="0"/>
        </w:rPr>
      </w:pPr>
    </w:p>
    <w:p w14:paraId="2B26499B">
      <w:pPr>
        <w:pStyle w:val="6"/>
        <w:numPr>
          <w:ilvl w:val="0"/>
          <w:numId w:val="209"/>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1B1BA3E0">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74DECB1F">
            <w:pPr>
              <w:pStyle w:val="19"/>
              <w:bidi w:val="0"/>
              <w:rPr>
                <w:b w:val="0"/>
                <w:bCs w:val="0"/>
              </w:rPr>
            </w:pPr>
          </w:p>
        </w:tc>
      </w:tr>
    </w:tbl>
    <w:p w14:paraId="3011C367">
      <w:pPr>
        <w:rPr>
          <w:rFonts w:hint="default"/>
          <w:b w:val="0"/>
          <w:bCs w:val="0"/>
          <w:lang w:val="en-US" w:eastAsia="zh-CN"/>
        </w:rPr>
      </w:pPr>
    </w:p>
    <w:p w14:paraId="16DB733B">
      <w:pPr>
        <w:pStyle w:val="5"/>
        <w:numPr>
          <w:ilvl w:val="0"/>
          <w:numId w:val="208"/>
        </w:numPr>
        <w:ind w:left="0" w:leftChars="0" w:firstLine="0" w:firstLineChars="0"/>
        <w:outlineLvl w:val="1"/>
        <w:rPr>
          <w:rFonts w:hint="default" w:cs="Times New Roman"/>
          <w:b w:val="0"/>
          <w:bCs w:val="0"/>
          <w:sz w:val="30"/>
          <w:szCs w:val="24"/>
          <w:lang w:val="en-US" w:eastAsia="zh-CN"/>
        </w:rPr>
      </w:pPr>
      <w:bookmarkStart w:id="70" w:name="_Toc5571"/>
      <w:r>
        <w:rPr>
          <w:rFonts w:hint="eastAsia" w:cs="Times New Roman"/>
          <w:b w:val="0"/>
          <w:bCs w:val="0"/>
          <w:sz w:val="30"/>
          <w:szCs w:val="24"/>
          <w:lang w:val="en-US" w:eastAsia="zh-CN"/>
        </w:rPr>
        <w:t>能源活动碳排因子</w:t>
      </w:r>
      <w:bookmarkEnd w:id="70"/>
    </w:p>
    <w:p w14:paraId="750B87A9">
      <w:pPr>
        <w:rPr>
          <w:b w:val="0"/>
          <w:bCs w:val="0"/>
        </w:rPr>
      </w:pPr>
      <w:r>
        <w:drawing>
          <wp:inline distT="0" distB="0" distL="114300" distR="114300">
            <wp:extent cx="5900420" cy="2925445"/>
            <wp:effectExtent l="0" t="0" r="5080" b="8255"/>
            <wp:docPr id="8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42"/>
                    <pic:cNvPicPr>
                      <a:picLocks noChangeAspect="1"/>
                    </pic:cNvPicPr>
                  </pic:nvPicPr>
                  <pic:blipFill>
                    <a:blip r:embed="rId100"/>
                    <a:stretch>
                      <a:fillRect/>
                    </a:stretch>
                  </pic:blipFill>
                  <pic:spPr>
                    <a:xfrm>
                      <a:off x="0" y="0"/>
                      <a:ext cx="5900420" cy="2925445"/>
                    </a:xfrm>
                    <a:prstGeom prst="rect">
                      <a:avLst/>
                    </a:prstGeom>
                    <a:noFill/>
                    <a:ln>
                      <a:noFill/>
                    </a:ln>
                  </pic:spPr>
                </pic:pic>
              </a:graphicData>
            </a:graphic>
          </wp:inline>
        </w:drawing>
      </w:r>
    </w:p>
    <w:p w14:paraId="661D95A9">
      <w:pPr>
        <w:pStyle w:val="6"/>
        <w:numPr>
          <w:ilvl w:val="0"/>
          <w:numId w:val="211"/>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D502D29">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20F81C5F">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・功能定位</w:t>
            </w:r>
            <w:r>
              <w:rPr>
                <w:rFonts w:ascii="宋体" w:hAnsi="宋体" w:eastAsia="宋体" w:cs="宋体"/>
                <w:sz w:val="24"/>
                <w:szCs w:val="24"/>
              </w:rPr>
              <w:t xml:space="preserve">：作为能碳基础因子管理模块下化石能源、热力、制冷剂等品类排放因子维护单元，管理各类能源与活动的碳排放因子，支持因子版本管控、新增与信息维护，为园区能耗核算、产品碳足迹全品类碳排放量计算提供标准化活动因子基准数据，是碳核算业务开展的前置基础依赖。 </w:t>
            </w:r>
          </w:p>
          <w:p w14:paraId="5F5F1B91">
            <w:pPr>
              <w:pStyle w:val="19"/>
              <w:bidi w:val="0"/>
              <w:ind w:left="0" w:leftChars="0" w:firstLine="0" w:firstLineChars="0"/>
              <w:rPr>
                <w:b w:val="0"/>
                <w:bCs w:val="0"/>
              </w:rPr>
            </w:pPr>
            <w:r>
              <w:rPr>
                <w:rFonts w:ascii="宋体" w:hAnsi="宋体" w:eastAsia="宋体" w:cs="宋体"/>
                <w:b/>
                <w:bCs/>
                <w:sz w:val="24"/>
                <w:szCs w:val="24"/>
              </w:rPr>
              <w:t>・承载角色</w:t>
            </w:r>
            <w:r>
              <w:rPr>
                <w:rFonts w:ascii="宋体" w:hAnsi="宋体" w:eastAsia="宋体" w:cs="宋体"/>
                <w:sz w:val="24"/>
                <w:szCs w:val="24"/>
              </w:rPr>
              <w:t>：PM 系统管理员（全量能源活动碳排因子新增、因子参数维护、版本管理与数据删除）。</w:t>
            </w:r>
          </w:p>
        </w:tc>
      </w:tr>
    </w:tbl>
    <w:p w14:paraId="6027D42F">
      <w:pPr>
        <w:rPr>
          <w:b w:val="0"/>
          <w:bCs w:val="0"/>
        </w:rPr>
      </w:pPr>
    </w:p>
    <w:p w14:paraId="1B442EAF">
      <w:pPr>
        <w:pStyle w:val="6"/>
        <w:numPr>
          <w:ilvl w:val="0"/>
          <w:numId w:val="211"/>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E4DC5E5">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60E1F85B">
            <w:pPr>
              <w:pStyle w:val="19"/>
              <w:bidi w:val="0"/>
              <w:ind w:left="0" w:leftChars="0" w:firstLine="0" w:firstLineChars="0"/>
            </w:pPr>
            <w:r>
              <w:rPr>
                <w:b/>
                <w:bCs/>
                <w:lang w:val="en-US" w:eastAsia="zh-CN"/>
              </w:rPr>
              <w:t>业务场景</w:t>
            </w:r>
            <w:r>
              <w:rPr>
                <w:lang w:val="en-US" w:eastAsia="zh-CN"/>
              </w:rPr>
              <w:t>：面向系统管理员进行全品类能源碳排放参数维护场景，管控化石能源、热力、制冷剂等各类活动排放因子，支撑全场景碳核算。</w:t>
            </w:r>
          </w:p>
          <w:p w14:paraId="032618F7">
            <w:pPr>
              <w:pStyle w:val="19"/>
              <w:bidi w:val="0"/>
              <w:ind w:left="0" w:leftChars="0" w:firstLine="0" w:firstLineChars="0"/>
            </w:pPr>
            <w:r>
              <w:rPr>
                <w:b/>
                <w:bCs/>
                <w:lang w:val="en-US" w:eastAsia="zh-CN"/>
              </w:rPr>
              <w:t>用户故事</w:t>
            </w:r>
            <w:r>
              <w:rPr>
                <w:lang w:val="en-US" w:eastAsia="zh-CN"/>
              </w:rPr>
              <w:t>：</w:t>
            </w:r>
          </w:p>
          <w:p w14:paraId="23D9C832">
            <w:pPr>
              <w:pStyle w:val="19"/>
              <w:bidi w:val="0"/>
            </w:pPr>
            <w:r>
              <w:rPr>
                <w:lang w:val="en-US" w:eastAsia="zh-CN"/>
              </w:rPr>
              <w:t>As a 系统管理员 (Persona PM)，</w:t>
            </w:r>
          </w:p>
          <w:p w14:paraId="699D4D2B">
            <w:pPr>
              <w:pStyle w:val="19"/>
              <w:bidi w:val="0"/>
            </w:pPr>
            <w:r>
              <w:rPr>
                <w:lang w:val="en-US" w:eastAsia="zh-CN"/>
              </w:rPr>
              <w:t>I want 维护全品类能源活动碳排放因子、管理版本迭代、更新核算参数，</w:t>
            </w:r>
          </w:p>
          <w:p w14:paraId="413962A4">
            <w:pPr>
              <w:pStyle w:val="19"/>
              <w:bidi w:val="0"/>
            </w:pPr>
            <w:r>
              <w:rPr>
                <w:lang w:val="en-US" w:eastAsia="zh-CN"/>
              </w:rPr>
              <w:t>So that 我能支撑集团全品类能耗碳排放计算，保障大屏能源大盘、降碳数据精准可信。</w:t>
            </w:r>
          </w:p>
        </w:tc>
      </w:tr>
    </w:tbl>
    <w:p w14:paraId="6C599453">
      <w:pPr>
        <w:rPr>
          <w:b w:val="0"/>
          <w:bCs w:val="0"/>
        </w:rPr>
      </w:pPr>
    </w:p>
    <w:p w14:paraId="59E65396">
      <w:pPr>
        <w:pStyle w:val="6"/>
        <w:numPr>
          <w:ilvl w:val="0"/>
          <w:numId w:val="211"/>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68E1074">
        <w:tblPrEx>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1178231E">
            <w:pPr>
              <w:pStyle w:val="19"/>
              <w:numPr>
                <w:ilvl w:val="0"/>
                <w:numId w:val="212"/>
              </w:numPr>
              <w:bidi w:val="0"/>
              <w:rPr>
                <w:rFonts w:hint="default" w:eastAsia="宋体"/>
                <w:b w:val="0"/>
                <w:bCs w:val="0"/>
                <w:lang w:val="en-US" w:eastAsia="zh-CN"/>
              </w:rPr>
            </w:pPr>
            <w:r>
              <w:rPr>
                <w:rFonts w:hint="eastAsia"/>
                <w:b w:val="0"/>
                <w:bCs w:val="0"/>
                <w:lang w:val="en-US" w:eastAsia="zh-CN"/>
              </w:rPr>
              <w:t>点击【新增因子】按钮，打开新增因子弹窗；</w:t>
            </w:r>
          </w:p>
          <w:p w14:paraId="7CF6FAF4">
            <w:pPr>
              <w:pStyle w:val="19"/>
              <w:numPr>
                <w:ilvl w:val="0"/>
                <w:numId w:val="212"/>
              </w:numPr>
              <w:bidi w:val="0"/>
              <w:rPr>
                <w:rFonts w:hint="default" w:eastAsia="宋体"/>
                <w:b w:val="0"/>
                <w:bCs w:val="0"/>
                <w:lang w:val="en-US" w:eastAsia="zh-CN"/>
              </w:rPr>
            </w:pPr>
            <w:r>
              <w:rPr>
                <w:rFonts w:hint="eastAsia"/>
                <w:b w:val="0"/>
                <w:bCs w:val="0"/>
                <w:lang w:val="en-US" w:eastAsia="zh-CN"/>
              </w:rPr>
              <w:t>点击【编辑】打开编辑窗口；</w:t>
            </w:r>
          </w:p>
          <w:p w14:paraId="113AE64A">
            <w:pPr>
              <w:pStyle w:val="19"/>
              <w:numPr>
                <w:ilvl w:val="0"/>
                <w:numId w:val="212"/>
              </w:numPr>
              <w:bidi w:val="0"/>
              <w:rPr>
                <w:rFonts w:hint="default" w:eastAsia="宋体"/>
                <w:b w:val="0"/>
                <w:bCs w:val="0"/>
                <w:lang w:val="en-US" w:eastAsia="zh-CN"/>
              </w:rPr>
            </w:pPr>
            <w:r>
              <w:rPr>
                <w:rFonts w:hint="eastAsia"/>
                <w:b w:val="0"/>
                <w:bCs w:val="0"/>
                <w:lang w:val="en-US" w:eastAsia="zh-CN"/>
              </w:rPr>
              <w:t>点击【版本】打开版本记录窗口；</w:t>
            </w:r>
          </w:p>
          <w:p w14:paraId="7B44E2FE">
            <w:pPr>
              <w:pStyle w:val="19"/>
              <w:numPr>
                <w:ilvl w:val="0"/>
                <w:numId w:val="212"/>
              </w:numPr>
              <w:bidi w:val="0"/>
              <w:rPr>
                <w:rFonts w:hint="default" w:eastAsia="宋体"/>
                <w:b w:val="0"/>
                <w:bCs w:val="0"/>
                <w:lang w:val="en-US" w:eastAsia="zh-CN"/>
              </w:rPr>
            </w:pPr>
            <w:r>
              <w:rPr>
                <w:rFonts w:hint="eastAsia"/>
                <w:b w:val="0"/>
                <w:bCs w:val="0"/>
                <w:lang w:val="en-US" w:eastAsia="zh-CN"/>
              </w:rPr>
              <w:t>点击【删除】打开弹窗，点击取消后关闭弹窗，点击确定后关闭弹窗并删除数据；</w:t>
            </w:r>
          </w:p>
        </w:tc>
      </w:tr>
    </w:tbl>
    <w:p w14:paraId="7C69EBFF">
      <w:pPr>
        <w:rPr>
          <w:b w:val="0"/>
          <w:bCs w:val="0"/>
        </w:rPr>
      </w:pPr>
    </w:p>
    <w:p w14:paraId="04953D06">
      <w:pPr>
        <w:pStyle w:val="6"/>
        <w:numPr>
          <w:ilvl w:val="0"/>
          <w:numId w:val="211"/>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82"/>
        <w:gridCol w:w="1468"/>
        <w:gridCol w:w="1166"/>
        <w:gridCol w:w="4479"/>
      </w:tblGrid>
      <w:tr w14:paraId="29ED6A0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190CC84">
            <w:pPr>
              <w:pStyle w:val="19"/>
              <w:bidi w:val="0"/>
              <w:spacing w:line="240" w:lineRule="auto"/>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AA4F7D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975F93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E744A1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42CDA0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校验与约束规则</w:t>
            </w:r>
          </w:p>
        </w:tc>
      </w:tr>
      <w:tr w14:paraId="4621EE98">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0209A8">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2621FF">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能源/活动名称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D8FEC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FE270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7C8350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0341DC40">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115B19">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91EE7D">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能源类别</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810CB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52B8C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DBB63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72BC503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C57C10">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0AC00D">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因子值</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B3472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98F89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48FE0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196CFB4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65EF7F">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B062A3">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单位</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738B3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B1884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B4413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06E0EB3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BB8D16">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0F5A28">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数据来源</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A8CF0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9CE4C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93A49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1067C608">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43DAE4">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C8B531">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版本</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DF0B5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D7BE6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183B6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bl>
    <w:p w14:paraId="0FE12BAF">
      <w:pPr>
        <w:pStyle w:val="19"/>
        <w:bidi w:val="0"/>
        <w:rPr>
          <w:b w:val="0"/>
          <w:bCs w:val="0"/>
        </w:rPr>
      </w:pPr>
    </w:p>
    <w:p w14:paraId="0EC1A076">
      <w:pPr>
        <w:pStyle w:val="6"/>
        <w:numPr>
          <w:ilvl w:val="0"/>
          <w:numId w:val="211"/>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237C59AC">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7FFC682E">
            <w:pPr>
              <w:pStyle w:val="19"/>
              <w:bidi w:val="0"/>
              <w:rPr>
                <w:b w:val="0"/>
                <w:bCs w:val="0"/>
              </w:rPr>
            </w:pPr>
            <w:r>
              <w:rPr>
                <w:rFonts w:hint="eastAsia"/>
                <w:lang w:val="en-US" w:eastAsia="zh-CN"/>
              </w:rPr>
              <w:t>无</w:t>
            </w:r>
          </w:p>
        </w:tc>
      </w:tr>
    </w:tbl>
    <w:p w14:paraId="1F0A23DA">
      <w:pPr>
        <w:pStyle w:val="19"/>
        <w:bidi w:val="0"/>
        <w:rPr>
          <w:b w:val="0"/>
          <w:bCs w:val="0"/>
        </w:rPr>
      </w:pPr>
    </w:p>
    <w:p w14:paraId="1D971395">
      <w:pPr>
        <w:pStyle w:val="6"/>
        <w:numPr>
          <w:ilvl w:val="0"/>
          <w:numId w:val="211"/>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58A067E">
        <w:tblPrEx>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00ED7076">
            <w:pPr>
              <w:pStyle w:val="19"/>
              <w:bidi w:val="0"/>
              <w:rPr>
                <w:b w:val="0"/>
                <w:bCs w:val="0"/>
              </w:rPr>
            </w:pPr>
          </w:p>
        </w:tc>
      </w:tr>
    </w:tbl>
    <w:p w14:paraId="4B9EF3FC">
      <w:pPr>
        <w:pStyle w:val="19"/>
        <w:bidi w:val="0"/>
        <w:rPr>
          <w:b w:val="0"/>
          <w:bCs w:val="0"/>
        </w:rPr>
      </w:pPr>
    </w:p>
    <w:p w14:paraId="65DA40D2">
      <w:pPr>
        <w:pStyle w:val="6"/>
        <w:numPr>
          <w:ilvl w:val="0"/>
          <w:numId w:val="211"/>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4B0F911">
        <w:tblPrEx>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5F3FF"/>
            <w:tcMar>
              <w:top w:w="70" w:type="dxa"/>
              <w:left w:w="100" w:type="dxa"/>
              <w:bottom w:w="70" w:type="dxa"/>
              <w:right w:w="100" w:type="dxa"/>
            </w:tcMar>
          </w:tcPr>
          <w:p w14:paraId="5387EF1B">
            <w:pPr>
              <w:pStyle w:val="19"/>
              <w:bidi w:val="0"/>
              <w:rPr>
                <w:b w:val="0"/>
                <w:bCs w:val="0"/>
              </w:rPr>
            </w:pPr>
          </w:p>
        </w:tc>
      </w:tr>
    </w:tbl>
    <w:p w14:paraId="3A54D289">
      <w:pPr>
        <w:rPr>
          <w:b w:val="0"/>
          <w:bCs w:val="0"/>
        </w:rPr>
      </w:pPr>
    </w:p>
    <w:p w14:paraId="69DDD9A9">
      <w:pPr>
        <w:pStyle w:val="6"/>
        <w:numPr>
          <w:ilvl w:val="0"/>
          <w:numId w:val="211"/>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28ED775F">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04F1E718">
            <w:pPr>
              <w:pStyle w:val="19"/>
              <w:bidi w:val="0"/>
              <w:rPr>
                <w:b w:val="0"/>
                <w:bCs w:val="0"/>
              </w:rPr>
            </w:pPr>
          </w:p>
        </w:tc>
      </w:tr>
    </w:tbl>
    <w:p w14:paraId="0E725990">
      <w:pPr>
        <w:rPr>
          <w:rFonts w:hint="default"/>
          <w:b w:val="0"/>
          <w:bCs w:val="0"/>
          <w:lang w:val="en-US" w:eastAsia="zh-CN"/>
        </w:rPr>
      </w:pPr>
    </w:p>
    <w:p w14:paraId="539331E3">
      <w:pPr>
        <w:pStyle w:val="5"/>
        <w:numPr>
          <w:ilvl w:val="0"/>
          <w:numId w:val="208"/>
        </w:numPr>
        <w:ind w:left="0" w:leftChars="0" w:firstLine="0" w:firstLineChars="0"/>
        <w:outlineLvl w:val="1"/>
        <w:rPr>
          <w:rFonts w:hint="default" w:cs="Times New Roman"/>
          <w:b w:val="0"/>
          <w:bCs w:val="0"/>
          <w:sz w:val="30"/>
          <w:szCs w:val="24"/>
          <w:lang w:val="en-US" w:eastAsia="zh-CN"/>
        </w:rPr>
      </w:pPr>
      <w:bookmarkStart w:id="71" w:name="_Toc2938"/>
      <w:r>
        <w:rPr>
          <w:rFonts w:hint="eastAsia" w:cs="Times New Roman"/>
          <w:b w:val="0"/>
          <w:bCs w:val="0"/>
          <w:sz w:val="30"/>
          <w:szCs w:val="24"/>
          <w:lang w:val="en-US" w:eastAsia="zh-CN"/>
        </w:rPr>
        <w:t>折标煤系数库</w:t>
      </w:r>
      <w:bookmarkEnd w:id="71"/>
    </w:p>
    <w:p w14:paraId="20FCE593">
      <w:pPr>
        <w:rPr>
          <w:b w:val="0"/>
          <w:bCs w:val="0"/>
        </w:rPr>
      </w:pPr>
      <w:r>
        <w:drawing>
          <wp:inline distT="0" distB="0" distL="114300" distR="114300">
            <wp:extent cx="5900420" cy="2925445"/>
            <wp:effectExtent l="0" t="0" r="5080" b="8255"/>
            <wp:docPr id="8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43"/>
                    <pic:cNvPicPr>
                      <a:picLocks noChangeAspect="1"/>
                    </pic:cNvPicPr>
                  </pic:nvPicPr>
                  <pic:blipFill>
                    <a:blip r:embed="rId101"/>
                    <a:stretch>
                      <a:fillRect/>
                    </a:stretch>
                  </pic:blipFill>
                  <pic:spPr>
                    <a:xfrm>
                      <a:off x="0" y="0"/>
                      <a:ext cx="5900420" cy="2925445"/>
                    </a:xfrm>
                    <a:prstGeom prst="rect">
                      <a:avLst/>
                    </a:prstGeom>
                    <a:noFill/>
                    <a:ln>
                      <a:noFill/>
                    </a:ln>
                  </pic:spPr>
                </pic:pic>
              </a:graphicData>
            </a:graphic>
          </wp:inline>
        </w:drawing>
      </w:r>
    </w:p>
    <w:p w14:paraId="0F0A7EA4">
      <w:pPr>
        <w:pStyle w:val="6"/>
        <w:numPr>
          <w:ilvl w:val="0"/>
          <w:numId w:val="213"/>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80124E9">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715903CA">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・功能定位</w:t>
            </w:r>
            <w:r>
              <w:rPr>
                <w:rFonts w:ascii="宋体" w:hAnsi="宋体" w:eastAsia="宋体" w:cs="宋体"/>
                <w:sz w:val="24"/>
                <w:szCs w:val="24"/>
              </w:rPr>
              <w:t xml:space="preserve">：作为能碳基础因子管理模块下各类能源折标煤系数的维护单元，统一管理不同能源品种的折标煤系数、低位热值等基础参数，支持系数版本管控、新增与信息维护，为系统能耗折算、能源消费总量统计分析提供标准化当量换算基准数据，是能源量化核算业务开展的前置基础依赖。 </w:t>
            </w:r>
          </w:p>
          <w:p w14:paraId="0E1168F7">
            <w:pPr>
              <w:pStyle w:val="19"/>
              <w:bidi w:val="0"/>
              <w:ind w:left="0" w:leftChars="0" w:firstLine="0" w:firstLineChars="0"/>
              <w:rPr>
                <w:b w:val="0"/>
                <w:bCs w:val="0"/>
              </w:rPr>
            </w:pPr>
            <w:r>
              <w:rPr>
                <w:rFonts w:ascii="宋体" w:hAnsi="宋体" w:eastAsia="宋体" w:cs="宋体"/>
                <w:b/>
                <w:bCs/>
                <w:sz w:val="24"/>
                <w:szCs w:val="24"/>
              </w:rPr>
              <w:t>・承载角色</w:t>
            </w:r>
            <w:r>
              <w:rPr>
                <w:rFonts w:ascii="宋体" w:hAnsi="宋体" w:eastAsia="宋体" w:cs="宋体"/>
                <w:sz w:val="24"/>
                <w:szCs w:val="24"/>
              </w:rPr>
              <w:t>：PM 系统管理员（全量折标煤系数新增、系数参数维护、版本管理与数据删除）。</w:t>
            </w:r>
          </w:p>
        </w:tc>
      </w:tr>
    </w:tbl>
    <w:p w14:paraId="17A381B8">
      <w:pPr>
        <w:rPr>
          <w:b w:val="0"/>
          <w:bCs w:val="0"/>
        </w:rPr>
      </w:pPr>
    </w:p>
    <w:p w14:paraId="2F10F55E">
      <w:pPr>
        <w:pStyle w:val="6"/>
        <w:numPr>
          <w:ilvl w:val="0"/>
          <w:numId w:val="213"/>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ACB3299">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3CA81F9D">
            <w:pPr>
              <w:pStyle w:val="19"/>
              <w:bidi w:val="0"/>
              <w:ind w:left="0" w:leftChars="0" w:firstLine="0" w:firstLineChars="0"/>
            </w:pPr>
            <w:r>
              <w:rPr>
                <w:b/>
                <w:bCs/>
                <w:lang w:val="en-US" w:eastAsia="zh-CN"/>
              </w:rPr>
              <w:t>业务场景</w:t>
            </w:r>
            <w:r>
              <w:rPr>
                <w:lang w:val="en-US" w:eastAsia="zh-CN"/>
              </w:rPr>
              <w:t>：面向系统管理员进行能源标准化折算管控场景，统一维护各类能源折标煤系数，实现多品类能源数据统一口径折算统计。</w:t>
            </w:r>
          </w:p>
          <w:p w14:paraId="12DE362D">
            <w:pPr>
              <w:pStyle w:val="19"/>
              <w:bidi w:val="0"/>
              <w:ind w:left="0" w:leftChars="0" w:firstLine="0" w:firstLineChars="0"/>
            </w:pPr>
            <w:r>
              <w:rPr>
                <w:b/>
                <w:bCs/>
                <w:lang w:val="en-US" w:eastAsia="zh-CN"/>
              </w:rPr>
              <w:t>用户故事</w:t>
            </w:r>
            <w:r>
              <w:rPr>
                <w:lang w:val="en-US" w:eastAsia="zh-CN"/>
              </w:rPr>
              <w:t>：</w:t>
            </w:r>
          </w:p>
          <w:p w14:paraId="39078060">
            <w:pPr>
              <w:pStyle w:val="19"/>
              <w:bidi w:val="0"/>
            </w:pPr>
            <w:r>
              <w:rPr>
                <w:lang w:val="en-US" w:eastAsia="zh-CN"/>
              </w:rPr>
              <w:t>As a 系统管理员 (Persona PM)，</w:t>
            </w:r>
          </w:p>
          <w:p w14:paraId="259A8D20">
            <w:pPr>
              <w:pStyle w:val="19"/>
              <w:bidi w:val="0"/>
            </w:pPr>
            <w:r>
              <w:rPr>
                <w:lang w:val="en-US" w:eastAsia="zh-CN"/>
              </w:rPr>
              <w:t>I want 统一维护各类能源折标煤系数、管控参数版本，标准化能源折算规则，</w:t>
            </w:r>
          </w:p>
          <w:p w14:paraId="0AA189A2">
            <w:pPr>
              <w:pStyle w:val="19"/>
              <w:bidi w:val="0"/>
            </w:pPr>
            <w:r>
              <w:rPr>
                <w:lang w:val="en-US" w:eastAsia="zh-CN"/>
              </w:rPr>
              <w:t>So that 我能支撑集团能耗折标总量统计，保障大屏能源大盘数据口径统一、精准合规。</w:t>
            </w:r>
          </w:p>
        </w:tc>
      </w:tr>
    </w:tbl>
    <w:p w14:paraId="2FEC29BC">
      <w:pPr>
        <w:rPr>
          <w:b w:val="0"/>
          <w:bCs w:val="0"/>
        </w:rPr>
      </w:pPr>
    </w:p>
    <w:p w14:paraId="7D5073CE">
      <w:pPr>
        <w:pStyle w:val="6"/>
        <w:numPr>
          <w:ilvl w:val="0"/>
          <w:numId w:val="213"/>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F8018A8">
        <w:tblPrEx>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43941880">
            <w:pPr>
              <w:pStyle w:val="19"/>
              <w:numPr>
                <w:ilvl w:val="0"/>
                <w:numId w:val="214"/>
              </w:numPr>
              <w:bidi w:val="0"/>
              <w:rPr>
                <w:rFonts w:hint="default" w:eastAsia="宋体"/>
                <w:b w:val="0"/>
                <w:bCs w:val="0"/>
                <w:lang w:val="en-US" w:eastAsia="zh-CN"/>
              </w:rPr>
            </w:pPr>
            <w:r>
              <w:rPr>
                <w:rFonts w:hint="eastAsia"/>
                <w:b w:val="0"/>
                <w:bCs w:val="0"/>
                <w:lang w:val="en-US" w:eastAsia="zh-CN"/>
              </w:rPr>
              <w:t>点击【新增因子】按钮，打开新增因子弹窗；</w:t>
            </w:r>
          </w:p>
          <w:p w14:paraId="0FD9A12D">
            <w:pPr>
              <w:pStyle w:val="19"/>
              <w:numPr>
                <w:ilvl w:val="0"/>
                <w:numId w:val="214"/>
              </w:numPr>
              <w:bidi w:val="0"/>
              <w:rPr>
                <w:rFonts w:hint="default" w:eastAsia="宋体"/>
                <w:b w:val="0"/>
                <w:bCs w:val="0"/>
                <w:lang w:val="en-US" w:eastAsia="zh-CN"/>
              </w:rPr>
            </w:pPr>
            <w:r>
              <w:rPr>
                <w:rFonts w:hint="eastAsia"/>
                <w:b w:val="0"/>
                <w:bCs w:val="0"/>
                <w:lang w:val="en-US" w:eastAsia="zh-CN"/>
              </w:rPr>
              <w:t>点击【编辑】打开编辑窗口；</w:t>
            </w:r>
          </w:p>
          <w:p w14:paraId="05372155">
            <w:pPr>
              <w:pStyle w:val="19"/>
              <w:numPr>
                <w:ilvl w:val="0"/>
                <w:numId w:val="214"/>
              </w:numPr>
              <w:bidi w:val="0"/>
              <w:rPr>
                <w:b w:val="0"/>
                <w:bCs w:val="0"/>
              </w:rPr>
            </w:pPr>
            <w:r>
              <w:rPr>
                <w:rFonts w:hint="eastAsia"/>
                <w:b w:val="0"/>
                <w:bCs w:val="0"/>
                <w:lang w:val="en-US" w:eastAsia="zh-CN"/>
              </w:rPr>
              <w:t>点击【版本】打开版本记录窗口；</w:t>
            </w:r>
          </w:p>
          <w:p w14:paraId="0D5A76F5">
            <w:pPr>
              <w:pStyle w:val="19"/>
              <w:numPr>
                <w:ilvl w:val="0"/>
                <w:numId w:val="214"/>
              </w:numPr>
              <w:bidi w:val="0"/>
              <w:rPr>
                <w:b w:val="0"/>
                <w:bCs w:val="0"/>
              </w:rPr>
            </w:pPr>
            <w:r>
              <w:rPr>
                <w:rFonts w:hint="eastAsia"/>
                <w:b w:val="0"/>
                <w:bCs w:val="0"/>
                <w:lang w:val="en-US" w:eastAsia="zh-CN"/>
              </w:rPr>
              <w:t>点击【删除】打开弹窗，点击取消后关闭弹窗，点击确定后关闭弹窗并删除数据；</w:t>
            </w:r>
          </w:p>
        </w:tc>
      </w:tr>
    </w:tbl>
    <w:p w14:paraId="48DCEE3A">
      <w:pPr>
        <w:rPr>
          <w:b w:val="0"/>
          <w:bCs w:val="0"/>
        </w:rPr>
      </w:pPr>
    </w:p>
    <w:p w14:paraId="5D544F7D">
      <w:pPr>
        <w:pStyle w:val="6"/>
        <w:numPr>
          <w:ilvl w:val="0"/>
          <w:numId w:val="213"/>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4D588DC8">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C151FA7">
            <w:pPr>
              <w:pStyle w:val="19"/>
              <w:bidi w:val="0"/>
              <w:spacing w:line="240" w:lineRule="auto"/>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B013D2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A67171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0ABEFD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F4885D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校验与约束规则</w:t>
            </w:r>
          </w:p>
        </w:tc>
      </w:tr>
      <w:tr w14:paraId="02B7B740">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7C9240">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EBEB8D">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能源品种</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9B0E9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18F33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88D6C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153566E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92956E">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C0F500">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折标煤系数</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0E90D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46B6D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0C83F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6BFBDAB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4AEECD">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59751D">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单位</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0AE83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DBD1C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4CED4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040A741B">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D284C8">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D1BF30">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低位热值</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86D97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3712E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A76E0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41701E8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85582A">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6C665E">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数据来源</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8217E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B741F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D88D3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571149E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60DEDE">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390003">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版本</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C5E7F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89567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3953A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bl>
    <w:p w14:paraId="28B6293B">
      <w:pPr>
        <w:pStyle w:val="19"/>
        <w:bidi w:val="0"/>
        <w:rPr>
          <w:b w:val="0"/>
          <w:bCs w:val="0"/>
        </w:rPr>
      </w:pPr>
    </w:p>
    <w:p w14:paraId="2D9D293D">
      <w:pPr>
        <w:pStyle w:val="6"/>
        <w:numPr>
          <w:ilvl w:val="0"/>
          <w:numId w:val="213"/>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169CE0C9">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344DD3E5">
            <w:pPr>
              <w:pStyle w:val="19"/>
              <w:bidi w:val="0"/>
              <w:rPr>
                <w:b w:val="0"/>
                <w:bCs w:val="0"/>
              </w:rPr>
            </w:pPr>
            <w:r>
              <w:rPr>
                <w:rFonts w:hint="eastAsia"/>
                <w:lang w:val="en-US" w:eastAsia="zh-CN"/>
              </w:rPr>
              <w:t>无</w:t>
            </w:r>
          </w:p>
        </w:tc>
      </w:tr>
    </w:tbl>
    <w:p w14:paraId="10F35BC5">
      <w:pPr>
        <w:pStyle w:val="19"/>
        <w:bidi w:val="0"/>
        <w:rPr>
          <w:b w:val="0"/>
          <w:bCs w:val="0"/>
        </w:rPr>
      </w:pPr>
    </w:p>
    <w:p w14:paraId="48BB920D">
      <w:pPr>
        <w:pStyle w:val="6"/>
        <w:numPr>
          <w:ilvl w:val="0"/>
          <w:numId w:val="213"/>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74E161C0">
        <w:tblPrEx>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7DBC143E">
            <w:pPr>
              <w:pStyle w:val="19"/>
              <w:bidi w:val="0"/>
              <w:rPr>
                <w:b w:val="0"/>
                <w:bCs w:val="0"/>
              </w:rPr>
            </w:pPr>
          </w:p>
        </w:tc>
      </w:tr>
    </w:tbl>
    <w:p w14:paraId="17003E55">
      <w:pPr>
        <w:pStyle w:val="19"/>
        <w:bidi w:val="0"/>
        <w:rPr>
          <w:b w:val="0"/>
          <w:bCs w:val="0"/>
        </w:rPr>
      </w:pPr>
    </w:p>
    <w:p w14:paraId="17039C25">
      <w:pPr>
        <w:pStyle w:val="6"/>
        <w:numPr>
          <w:ilvl w:val="0"/>
          <w:numId w:val="213"/>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214F4178">
        <w:tblPrEx>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5F3FF"/>
            <w:tcMar>
              <w:top w:w="70" w:type="dxa"/>
              <w:left w:w="100" w:type="dxa"/>
              <w:bottom w:w="70" w:type="dxa"/>
              <w:right w:w="100" w:type="dxa"/>
            </w:tcMar>
          </w:tcPr>
          <w:p w14:paraId="508F10ED">
            <w:pPr>
              <w:pStyle w:val="19"/>
              <w:bidi w:val="0"/>
              <w:rPr>
                <w:b w:val="0"/>
                <w:bCs w:val="0"/>
              </w:rPr>
            </w:pPr>
          </w:p>
        </w:tc>
      </w:tr>
    </w:tbl>
    <w:p w14:paraId="059E93E1">
      <w:pPr>
        <w:rPr>
          <w:b w:val="0"/>
          <w:bCs w:val="0"/>
        </w:rPr>
      </w:pPr>
    </w:p>
    <w:p w14:paraId="5F1F62F2">
      <w:pPr>
        <w:pStyle w:val="6"/>
        <w:numPr>
          <w:ilvl w:val="0"/>
          <w:numId w:val="213"/>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50A639A2">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34E15C52">
            <w:pPr>
              <w:pStyle w:val="19"/>
              <w:bidi w:val="0"/>
              <w:rPr>
                <w:b w:val="0"/>
                <w:bCs w:val="0"/>
              </w:rPr>
            </w:pPr>
          </w:p>
        </w:tc>
      </w:tr>
    </w:tbl>
    <w:p w14:paraId="3662C747">
      <w:pPr>
        <w:rPr>
          <w:rFonts w:hint="default"/>
          <w:b w:val="0"/>
          <w:bCs w:val="0"/>
          <w:lang w:val="en-US" w:eastAsia="zh-CN"/>
        </w:rPr>
      </w:pPr>
    </w:p>
    <w:p w14:paraId="61DACAE6">
      <w:pPr>
        <w:pStyle w:val="4"/>
        <w:numPr>
          <w:ilvl w:val="0"/>
          <w:numId w:val="199"/>
        </w:numPr>
        <w:topLinePunct w:val="0"/>
        <w:ind w:left="0" w:leftChars="0" w:firstLine="0" w:firstLineChars="0"/>
        <w:outlineLvl w:val="0"/>
        <w:rPr>
          <w:rFonts w:hint="eastAsia" w:ascii="Times New Roman" w:hAnsi="Times New Roman" w:eastAsia="黑体" w:cs="Times New Roman"/>
          <w:b w:val="0"/>
          <w:bCs w:val="0"/>
          <w:sz w:val="30"/>
          <w:szCs w:val="32"/>
          <w:lang w:val="en-US" w:eastAsia="zh-CN"/>
        </w:rPr>
      </w:pPr>
      <w:bookmarkStart w:id="72" w:name="_Toc31062"/>
      <w:r>
        <w:rPr>
          <w:rFonts w:hint="eastAsia" w:ascii="Times New Roman" w:hAnsi="Times New Roman" w:eastAsia="黑体" w:cs="Times New Roman"/>
          <w:b w:val="0"/>
          <w:bCs w:val="0"/>
          <w:sz w:val="30"/>
          <w:szCs w:val="32"/>
          <w:lang w:val="en-US" w:eastAsia="zh-CN"/>
        </w:rPr>
        <w:t>费价模型</w:t>
      </w:r>
      <w:bookmarkEnd w:id="72"/>
    </w:p>
    <w:p w14:paraId="6E01D7A7">
      <w:pPr>
        <w:rPr>
          <w:b w:val="0"/>
          <w:bCs w:val="0"/>
        </w:rPr>
      </w:pPr>
      <w:r>
        <w:drawing>
          <wp:inline distT="0" distB="0" distL="114300" distR="114300">
            <wp:extent cx="5900420" cy="2925445"/>
            <wp:effectExtent l="0" t="0" r="5080" b="8255"/>
            <wp:docPr id="9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44"/>
                    <pic:cNvPicPr>
                      <a:picLocks noChangeAspect="1"/>
                    </pic:cNvPicPr>
                  </pic:nvPicPr>
                  <pic:blipFill>
                    <a:blip r:embed="rId102"/>
                    <a:stretch>
                      <a:fillRect/>
                    </a:stretch>
                  </pic:blipFill>
                  <pic:spPr>
                    <a:xfrm>
                      <a:off x="0" y="0"/>
                      <a:ext cx="5900420" cy="2925445"/>
                    </a:xfrm>
                    <a:prstGeom prst="rect">
                      <a:avLst/>
                    </a:prstGeom>
                    <a:noFill/>
                    <a:ln>
                      <a:noFill/>
                    </a:ln>
                  </pic:spPr>
                </pic:pic>
              </a:graphicData>
            </a:graphic>
          </wp:inline>
        </w:drawing>
      </w:r>
    </w:p>
    <w:p w14:paraId="4FBF4556">
      <w:pPr>
        <w:pStyle w:val="6"/>
        <w:numPr>
          <w:ilvl w:val="0"/>
          <w:numId w:val="215"/>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37E4491E">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4AF364B5">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・功能定位</w:t>
            </w:r>
            <w:r>
              <w:rPr>
                <w:rFonts w:ascii="宋体" w:hAnsi="宋体" w:eastAsia="宋体" w:cs="宋体"/>
                <w:sz w:val="24"/>
                <w:szCs w:val="24"/>
              </w:rPr>
              <w:t xml:space="preserve">：作为能源成本核算的基础模型配置单元，按工厂维度维护电、天然气、蒸汽等能源的分时费价方案，支持时段电价、基础电费、溢价参数配置与版本管理，可实现费价方案跨企业同步复制，为园区能耗成本测算、分时用电经济分析提供能源价格基准，是能源经济核算业务的前置基础依赖。 </w:t>
            </w:r>
          </w:p>
          <w:p w14:paraId="329D6E02">
            <w:pPr>
              <w:pStyle w:val="19"/>
              <w:bidi w:val="0"/>
              <w:ind w:left="0" w:leftChars="0" w:firstLine="0" w:firstLineChars="0"/>
              <w:rPr>
                <w:b w:val="0"/>
                <w:bCs w:val="0"/>
              </w:rPr>
            </w:pPr>
            <w:r>
              <w:rPr>
                <w:rFonts w:ascii="宋体" w:hAnsi="宋体" w:eastAsia="宋体" w:cs="宋体"/>
                <w:b/>
                <w:bCs/>
                <w:sz w:val="24"/>
                <w:szCs w:val="24"/>
              </w:rPr>
              <w:t>・承载角色</w:t>
            </w:r>
            <w:r>
              <w:rPr>
                <w:rFonts w:ascii="宋体" w:hAnsi="宋体" w:eastAsia="宋体" w:cs="宋体"/>
                <w:sz w:val="24"/>
                <w:szCs w:val="24"/>
              </w:rPr>
              <w:t>：PM 系统管理员（全量费价模型新建、参数维护、版本管理、方案复制与同步下发）。</w:t>
            </w:r>
          </w:p>
        </w:tc>
      </w:tr>
    </w:tbl>
    <w:p w14:paraId="5C8F5A51">
      <w:pPr>
        <w:rPr>
          <w:b w:val="0"/>
          <w:bCs w:val="0"/>
        </w:rPr>
      </w:pPr>
    </w:p>
    <w:p w14:paraId="1CCEDED1">
      <w:pPr>
        <w:pStyle w:val="6"/>
        <w:numPr>
          <w:ilvl w:val="0"/>
          <w:numId w:val="215"/>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6904789">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4AEF9754">
            <w:pPr>
              <w:pStyle w:val="19"/>
              <w:bidi w:val="0"/>
              <w:ind w:left="0" w:leftChars="0" w:firstLine="0" w:firstLineChars="0"/>
            </w:pPr>
            <w:r>
              <w:rPr>
                <w:b/>
                <w:bCs/>
                <w:lang w:val="en-US" w:eastAsia="zh-CN"/>
              </w:rPr>
              <w:t>业务场景</w:t>
            </w:r>
            <w:r>
              <w:rPr>
                <w:lang w:val="en-US" w:eastAsia="zh-CN"/>
              </w:rPr>
              <w:t>：面向系统管理员进行能源成本核算规则配置场景，按园区工厂维度配置分时能源价格模型，支撑集团能耗成本精细化测算。</w:t>
            </w:r>
          </w:p>
          <w:p w14:paraId="681E1793">
            <w:pPr>
              <w:pStyle w:val="19"/>
              <w:bidi w:val="0"/>
              <w:ind w:left="0" w:leftChars="0" w:firstLine="0" w:firstLineChars="0"/>
            </w:pPr>
            <w:r>
              <w:rPr>
                <w:b/>
                <w:bCs/>
                <w:lang w:val="en-US" w:eastAsia="zh-CN"/>
              </w:rPr>
              <w:t>用户故事</w:t>
            </w:r>
            <w:r>
              <w:rPr>
                <w:lang w:val="en-US" w:eastAsia="zh-CN"/>
              </w:rPr>
              <w:t>：</w:t>
            </w:r>
          </w:p>
          <w:p w14:paraId="2AE0B769">
            <w:pPr>
              <w:pStyle w:val="19"/>
              <w:bidi w:val="0"/>
            </w:pPr>
            <w:r>
              <w:rPr>
                <w:lang w:val="en-US" w:eastAsia="zh-CN"/>
              </w:rPr>
              <w:t>As a 系统管理员 (Persona PM)，</w:t>
            </w:r>
          </w:p>
          <w:p w14:paraId="5E0A166A">
            <w:pPr>
              <w:pStyle w:val="19"/>
              <w:bidi w:val="0"/>
            </w:pPr>
            <w:r>
              <w:rPr>
                <w:lang w:val="en-US" w:eastAsia="zh-CN"/>
              </w:rPr>
              <w:t>I want 配置多维度分时费价规则、维护能源价格模型、同步复制价格方案，</w:t>
            </w:r>
          </w:p>
          <w:p w14:paraId="776A366F">
            <w:pPr>
              <w:pStyle w:val="19"/>
              <w:bidi w:val="0"/>
            </w:pPr>
            <w:r>
              <w:rPr>
                <w:lang w:val="en-US" w:eastAsia="zh-CN"/>
              </w:rPr>
              <w:t>So that 我能支撑集团能源成本统计、分时能耗经济分析，完善能碳经营数据底座。</w:t>
            </w:r>
          </w:p>
        </w:tc>
      </w:tr>
    </w:tbl>
    <w:p w14:paraId="36B4210A">
      <w:pPr>
        <w:rPr>
          <w:b w:val="0"/>
          <w:bCs w:val="0"/>
        </w:rPr>
      </w:pPr>
    </w:p>
    <w:p w14:paraId="149431DF">
      <w:pPr>
        <w:pStyle w:val="6"/>
        <w:numPr>
          <w:ilvl w:val="0"/>
          <w:numId w:val="215"/>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E94DCA9">
        <w:tblPrEx>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3391F383">
            <w:pPr>
              <w:pStyle w:val="19"/>
              <w:numPr>
                <w:ilvl w:val="0"/>
                <w:numId w:val="216"/>
              </w:numPr>
              <w:bidi w:val="0"/>
              <w:rPr>
                <w:rFonts w:hint="default" w:eastAsia="宋体"/>
                <w:b w:val="0"/>
                <w:bCs w:val="0"/>
                <w:lang w:val="en-US" w:eastAsia="zh-CN"/>
              </w:rPr>
            </w:pPr>
            <w:r>
              <w:rPr>
                <w:rFonts w:hint="eastAsia"/>
                <w:b w:val="0"/>
                <w:bCs w:val="0"/>
                <w:lang w:val="en-US" w:eastAsia="zh-CN"/>
              </w:rPr>
              <w:t>点击左侧企业结构树，可展开2、3级节点；</w:t>
            </w:r>
          </w:p>
          <w:p w14:paraId="0503E325">
            <w:pPr>
              <w:pStyle w:val="19"/>
              <w:numPr>
                <w:ilvl w:val="0"/>
                <w:numId w:val="216"/>
              </w:numPr>
              <w:bidi w:val="0"/>
              <w:rPr>
                <w:rFonts w:hint="default" w:eastAsia="宋体"/>
                <w:b w:val="0"/>
                <w:bCs w:val="0"/>
                <w:lang w:val="en-US" w:eastAsia="zh-CN"/>
              </w:rPr>
            </w:pPr>
            <w:r>
              <w:rPr>
                <w:rFonts w:hint="eastAsia"/>
                <w:b w:val="0"/>
                <w:bCs w:val="0"/>
                <w:lang w:val="en-US" w:eastAsia="zh-CN"/>
              </w:rPr>
              <w:t>左侧企业结构树中点击工厂节点后，右侧费价模块读取当前工厂费价方案；</w:t>
            </w:r>
          </w:p>
          <w:p w14:paraId="46BD964C">
            <w:pPr>
              <w:pStyle w:val="19"/>
              <w:numPr>
                <w:ilvl w:val="0"/>
                <w:numId w:val="216"/>
              </w:numPr>
              <w:bidi w:val="0"/>
              <w:rPr>
                <w:rFonts w:hint="default" w:eastAsia="宋体"/>
                <w:b w:val="0"/>
                <w:bCs w:val="0"/>
                <w:lang w:val="en-US" w:eastAsia="zh-CN"/>
              </w:rPr>
            </w:pPr>
            <w:r>
              <w:rPr>
                <w:rFonts w:hint="eastAsia"/>
                <w:b w:val="0"/>
                <w:bCs w:val="0"/>
                <w:lang w:val="en-US" w:eastAsia="zh-CN"/>
              </w:rPr>
              <w:t>点击【电费费价】、【天然气费价】、【蒸汽与水费价】后可切换几个模块；</w:t>
            </w:r>
          </w:p>
          <w:p w14:paraId="524E6AC4">
            <w:pPr>
              <w:pStyle w:val="19"/>
              <w:numPr>
                <w:ilvl w:val="0"/>
                <w:numId w:val="216"/>
              </w:numPr>
              <w:bidi w:val="0"/>
              <w:rPr>
                <w:rFonts w:hint="default" w:eastAsia="宋体"/>
                <w:b w:val="0"/>
                <w:bCs w:val="0"/>
                <w:lang w:val="en-US" w:eastAsia="zh-CN"/>
              </w:rPr>
            </w:pPr>
            <w:r>
              <w:rPr>
                <w:rFonts w:hint="eastAsia"/>
                <w:b w:val="0"/>
                <w:bCs w:val="0"/>
                <w:lang w:val="en-US" w:eastAsia="zh-CN"/>
              </w:rPr>
              <w:t>点击切换查看方案，下拉框中显示已保存的费价方案列表；</w:t>
            </w:r>
          </w:p>
          <w:p w14:paraId="14051E01">
            <w:pPr>
              <w:pStyle w:val="19"/>
              <w:numPr>
                <w:ilvl w:val="0"/>
                <w:numId w:val="216"/>
              </w:numPr>
              <w:bidi w:val="0"/>
              <w:rPr>
                <w:rFonts w:hint="default" w:eastAsia="宋体"/>
                <w:b w:val="0"/>
                <w:bCs w:val="0"/>
                <w:lang w:val="en-US" w:eastAsia="zh-CN"/>
              </w:rPr>
            </w:pPr>
            <w:r>
              <w:rPr>
                <w:rFonts w:hint="eastAsia"/>
                <w:b w:val="0"/>
                <w:bCs w:val="0"/>
                <w:lang w:val="en-US" w:eastAsia="zh-CN"/>
              </w:rPr>
              <w:t>点击【同步到其他企业】打开同步费价方案弹窗；</w:t>
            </w:r>
          </w:p>
          <w:p w14:paraId="28F7943D">
            <w:pPr>
              <w:pStyle w:val="19"/>
              <w:numPr>
                <w:ilvl w:val="0"/>
                <w:numId w:val="216"/>
              </w:numPr>
              <w:bidi w:val="0"/>
              <w:rPr>
                <w:rFonts w:hint="default" w:eastAsia="宋体"/>
                <w:b w:val="0"/>
                <w:bCs w:val="0"/>
                <w:lang w:val="en-US" w:eastAsia="zh-CN"/>
              </w:rPr>
            </w:pPr>
            <w:r>
              <w:rPr>
                <w:rFonts w:hint="eastAsia"/>
                <w:b w:val="0"/>
                <w:bCs w:val="0"/>
                <w:lang w:val="en-US" w:eastAsia="zh-CN"/>
              </w:rPr>
              <w:t>点击【复制调价】按钮，生成新的费价方案，费价模块中变为可编辑状态；</w:t>
            </w:r>
          </w:p>
          <w:p w14:paraId="066509CF">
            <w:pPr>
              <w:pStyle w:val="19"/>
              <w:numPr>
                <w:ilvl w:val="0"/>
                <w:numId w:val="216"/>
              </w:numPr>
              <w:bidi w:val="0"/>
              <w:rPr>
                <w:rFonts w:hint="default" w:eastAsia="宋体"/>
                <w:b w:val="0"/>
                <w:bCs w:val="0"/>
                <w:lang w:val="en-US" w:eastAsia="zh-CN"/>
              </w:rPr>
            </w:pPr>
            <w:r>
              <w:rPr>
                <w:rFonts w:hint="eastAsia"/>
                <w:b w:val="0"/>
                <w:bCs w:val="0"/>
                <w:lang w:val="en-US" w:eastAsia="zh-CN"/>
              </w:rPr>
              <w:t>点击【新建草稿】按钮，可生成一套空白的费价模块</w:t>
            </w:r>
          </w:p>
          <w:p w14:paraId="2DD4EDD6">
            <w:pPr>
              <w:pStyle w:val="19"/>
              <w:numPr>
                <w:ilvl w:val="0"/>
                <w:numId w:val="216"/>
              </w:numPr>
              <w:bidi w:val="0"/>
              <w:rPr>
                <w:rFonts w:hint="default" w:eastAsia="宋体"/>
                <w:b w:val="0"/>
                <w:bCs w:val="0"/>
                <w:lang w:val="en-US" w:eastAsia="zh-CN"/>
              </w:rPr>
            </w:pPr>
            <w:r>
              <w:rPr>
                <w:rFonts w:hint="eastAsia"/>
                <w:b w:val="0"/>
                <w:bCs w:val="0"/>
                <w:lang w:val="en-US" w:eastAsia="zh-CN"/>
              </w:rPr>
              <w:t>点击【正式启用方案】按钮，可将当前方案设备正式生效状态；</w:t>
            </w:r>
          </w:p>
          <w:p w14:paraId="6EC03224">
            <w:pPr>
              <w:pStyle w:val="19"/>
              <w:numPr>
                <w:ilvl w:val="0"/>
                <w:numId w:val="216"/>
              </w:numPr>
              <w:bidi w:val="0"/>
              <w:rPr>
                <w:rFonts w:hint="default" w:eastAsia="宋体"/>
                <w:b w:val="0"/>
                <w:bCs w:val="0"/>
                <w:lang w:val="en-US" w:eastAsia="zh-CN"/>
              </w:rPr>
            </w:pPr>
            <w:r>
              <w:rPr>
                <w:rFonts w:hint="eastAsia"/>
                <w:b w:val="0"/>
                <w:bCs w:val="0"/>
                <w:lang w:val="en-US" w:eastAsia="zh-CN"/>
              </w:rPr>
              <w:t>点击【执行季节时段】按钮来切换夏季和冬季峰谷平电力费价方案；</w:t>
            </w:r>
          </w:p>
          <w:p w14:paraId="19E4DA0D">
            <w:pPr>
              <w:pStyle w:val="19"/>
              <w:numPr>
                <w:ilvl w:val="0"/>
                <w:numId w:val="216"/>
              </w:numPr>
              <w:bidi w:val="0"/>
              <w:rPr>
                <w:rFonts w:hint="default" w:eastAsia="宋体"/>
                <w:b w:val="0"/>
                <w:bCs w:val="0"/>
                <w:lang w:val="en-US" w:eastAsia="zh-CN"/>
              </w:rPr>
            </w:pPr>
            <w:r>
              <w:rPr>
                <w:rFonts w:hint="eastAsia"/>
                <w:b w:val="0"/>
                <w:bCs w:val="0"/>
                <w:lang w:val="en-US" w:eastAsia="zh-CN"/>
              </w:rPr>
              <w:t>保存后的费价方案在下方【费价方案版本历史】中进行展示；</w:t>
            </w:r>
          </w:p>
          <w:p w14:paraId="1AEE3D79">
            <w:pPr>
              <w:pStyle w:val="19"/>
              <w:numPr>
                <w:ilvl w:val="0"/>
                <w:numId w:val="216"/>
              </w:numPr>
              <w:bidi w:val="0"/>
              <w:rPr>
                <w:rFonts w:hint="default" w:eastAsia="宋体"/>
                <w:b w:val="0"/>
                <w:bCs w:val="0"/>
                <w:lang w:val="en-US" w:eastAsia="zh-CN"/>
              </w:rPr>
            </w:pPr>
            <w:r>
              <w:rPr>
                <w:rFonts w:hint="eastAsia"/>
                <w:b w:val="0"/>
                <w:bCs w:val="0"/>
                <w:lang w:val="en-US" w:eastAsia="zh-CN"/>
              </w:rPr>
              <w:t>点击【费价方案版本历史】列表中方案可展示该费价方案；</w:t>
            </w:r>
          </w:p>
        </w:tc>
      </w:tr>
    </w:tbl>
    <w:p w14:paraId="56548B3C">
      <w:pPr>
        <w:rPr>
          <w:b w:val="0"/>
          <w:bCs w:val="0"/>
        </w:rPr>
      </w:pPr>
    </w:p>
    <w:p w14:paraId="0C67A3E7">
      <w:pPr>
        <w:pStyle w:val="6"/>
        <w:numPr>
          <w:ilvl w:val="0"/>
          <w:numId w:val="215"/>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2325"/>
        <w:gridCol w:w="1262"/>
        <w:gridCol w:w="1220"/>
        <w:gridCol w:w="4088"/>
      </w:tblGrid>
      <w:tr w14:paraId="24A797A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625896A">
            <w:pPr>
              <w:pStyle w:val="19"/>
              <w:bidi w:val="0"/>
              <w:spacing w:line="240" w:lineRule="auto"/>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23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75451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字段中文名称</w:t>
            </w:r>
          </w:p>
        </w:tc>
        <w:tc>
          <w:tcPr>
            <w:tcW w:w="126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49C13C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数据类型</w:t>
            </w:r>
          </w:p>
        </w:tc>
        <w:tc>
          <w:tcPr>
            <w:tcW w:w="122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E6D3B9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工程单位</w:t>
            </w:r>
          </w:p>
        </w:tc>
        <w:tc>
          <w:tcPr>
            <w:tcW w:w="408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18725B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校验与约束规则</w:t>
            </w:r>
          </w:p>
        </w:tc>
      </w:tr>
      <w:tr w14:paraId="2C81D6D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B5D8BA">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23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6A26B4">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电费费价</w:t>
            </w:r>
          </w:p>
        </w:tc>
        <w:tc>
          <w:tcPr>
            <w:tcW w:w="12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15F73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E2BEC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6B57A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6F6AE27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3B3F94">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289F5A">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天然气费价</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0FFA7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FADF9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E4472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1959BAE9">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4A10FB">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p>
        </w:tc>
        <w:tc>
          <w:tcPr>
            <w:tcW w:w="23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E16FA0">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蒸汽与水费价</w:t>
            </w:r>
          </w:p>
        </w:tc>
        <w:tc>
          <w:tcPr>
            <w:tcW w:w="12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A43D9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B6547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85A64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342981C8">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9B79D9">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B179C7">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深谷</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4A259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690B4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2E069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2B06B05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B67856">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p>
        </w:tc>
        <w:tc>
          <w:tcPr>
            <w:tcW w:w="23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FAEAB9">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 xml:space="preserve">低谷 </w:t>
            </w:r>
          </w:p>
        </w:tc>
        <w:tc>
          <w:tcPr>
            <w:tcW w:w="12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5F7DA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DF7CC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FD57C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3FC9040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80F186">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B9B133">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平时</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89DE7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544B2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45AB0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3C01DDF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DBAE46">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7</w:t>
            </w:r>
          </w:p>
        </w:tc>
        <w:tc>
          <w:tcPr>
            <w:tcW w:w="23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050F76">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高峰</w:t>
            </w:r>
          </w:p>
        </w:tc>
        <w:tc>
          <w:tcPr>
            <w:tcW w:w="12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3992C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5C78F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7997C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1C0AD990">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C93554">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8</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BD2124">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尖峰</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59576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BD43B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BAB00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1ACFFE8B">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AE8790">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9</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D039E8">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阶梯档位名称</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2374A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E8A4B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AFB91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7E8F673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0C7209">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10</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736FAA">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月度用气量区间</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C4705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59FBA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CAB7E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37D8DE2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92042A">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11</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3169CA">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 xml:space="preserve">对应结算单价 </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17240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B68BC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094E5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7F139F3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84EFB5">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12</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83EC5D">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计费说明与适用工序</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0A9C3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BE4CC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FB5E8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4B8DD98E">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0E49FB">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13</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4C334E">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介质名称</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33DFF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1796E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E0E29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50E2438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806FFD">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14</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530A3A">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供能来源与参数标准</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80514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315B2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189A6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79D6B75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C9034F">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15</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CB6225">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属地结算单价 (元)</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51E94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D8366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45D2C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2F63418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C22DD2">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16</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0574A6">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计量单位</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41DEB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7F6C9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C865A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0359456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0DDE59">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17</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1551B8">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结算口径说明</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88291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F9D09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8809A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524C224E">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E11774">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18</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A4781D">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版本号</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0BDD4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6FC46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4BAE0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34A97C2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32E315">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19</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7BE770">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方案名称</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E0A34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C89CD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205ED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186A6AA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466504">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20</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EFAD28">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生效周期</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2FF1F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5198B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CD2D8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66B59BA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294F4C">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21</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5052B5">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状态</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6680A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C565B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14680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0F78E128">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77E224">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22</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1143D7">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维护责任人</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36B65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D9454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9B150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075434B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0ED99B">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23</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A6B06A">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更新时间</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F9A34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08DD6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D98FD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bl>
    <w:p w14:paraId="143D0A32">
      <w:pPr>
        <w:pStyle w:val="19"/>
        <w:bidi w:val="0"/>
        <w:rPr>
          <w:b w:val="0"/>
          <w:bCs w:val="0"/>
        </w:rPr>
      </w:pPr>
    </w:p>
    <w:p w14:paraId="1F9EC239">
      <w:pPr>
        <w:pStyle w:val="6"/>
        <w:numPr>
          <w:ilvl w:val="0"/>
          <w:numId w:val="215"/>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43971733">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6793CD9F">
            <w:pPr>
              <w:pStyle w:val="19"/>
              <w:bidi w:val="0"/>
              <w:rPr>
                <w:b w:val="0"/>
                <w:bCs w:val="0"/>
              </w:rPr>
            </w:pPr>
            <w:r>
              <w:rPr>
                <w:rFonts w:hint="eastAsia"/>
                <w:lang w:val="en-US" w:eastAsia="zh-CN"/>
              </w:rPr>
              <w:t>无</w:t>
            </w:r>
          </w:p>
        </w:tc>
      </w:tr>
    </w:tbl>
    <w:p w14:paraId="5320B45C">
      <w:pPr>
        <w:pStyle w:val="19"/>
        <w:bidi w:val="0"/>
        <w:rPr>
          <w:b w:val="0"/>
          <w:bCs w:val="0"/>
        </w:rPr>
      </w:pPr>
    </w:p>
    <w:p w14:paraId="0060849F">
      <w:pPr>
        <w:pStyle w:val="6"/>
        <w:numPr>
          <w:ilvl w:val="0"/>
          <w:numId w:val="215"/>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2BFD05B7">
        <w:tblPrEx>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15827655">
            <w:pPr>
              <w:pStyle w:val="19"/>
              <w:bidi w:val="0"/>
              <w:rPr>
                <w:b w:val="0"/>
                <w:bCs w:val="0"/>
              </w:rPr>
            </w:pPr>
          </w:p>
        </w:tc>
      </w:tr>
    </w:tbl>
    <w:p w14:paraId="4AFFD8D0">
      <w:pPr>
        <w:pStyle w:val="19"/>
        <w:bidi w:val="0"/>
        <w:rPr>
          <w:b w:val="0"/>
          <w:bCs w:val="0"/>
        </w:rPr>
      </w:pPr>
    </w:p>
    <w:p w14:paraId="165551A1">
      <w:pPr>
        <w:pStyle w:val="6"/>
        <w:numPr>
          <w:ilvl w:val="0"/>
          <w:numId w:val="215"/>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B5E517B">
        <w:tblPrEx>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5F3FF"/>
            <w:tcMar>
              <w:top w:w="70" w:type="dxa"/>
              <w:left w:w="100" w:type="dxa"/>
              <w:bottom w:w="70" w:type="dxa"/>
              <w:right w:w="100" w:type="dxa"/>
            </w:tcMar>
          </w:tcPr>
          <w:p w14:paraId="07D04D35">
            <w:pPr>
              <w:pStyle w:val="19"/>
              <w:bidi w:val="0"/>
              <w:rPr>
                <w:b w:val="0"/>
                <w:bCs w:val="0"/>
              </w:rPr>
            </w:pPr>
          </w:p>
        </w:tc>
      </w:tr>
    </w:tbl>
    <w:p w14:paraId="0EA435A3">
      <w:pPr>
        <w:rPr>
          <w:b w:val="0"/>
          <w:bCs w:val="0"/>
        </w:rPr>
      </w:pPr>
    </w:p>
    <w:p w14:paraId="1C59A583">
      <w:pPr>
        <w:pStyle w:val="6"/>
        <w:numPr>
          <w:ilvl w:val="0"/>
          <w:numId w:val="215"/>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2E168088">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235BCCE4">
            <w:pPr>
              <w:pStyle w:val="19"/>
              <w:bidi w:val="0"/>
              <w:rPr>
                <w:b w:val="0"/>
                <w:bCs w:val="0"/>
              </w:rPr>
            </w:pPr>
          </w:p>
        </w:tc>
      </w:tr>
    </w:tbl>
    <w:p w14:paraId="75F60FA6">
      <w:pPr>
        <w:rPr>
          <w:rFonts w:hint="eastAsia"/>
          <w:b w:val="0"/>
          <w:bCs w:val="0"/>
          <w:lang w:val="en-US" w:eastAsia="zh-CN"/>
        </w:rPr>
      </w:pPr>
    </w:p>
    <w:p w14:paraId="28F74143">
      <w:pPr>
        <w:pStyle w:val="4"/>
        <w:numPr>
          <w:ilvl w:val="0"/>
          <w:numId w:val="199"/>
        </w:numPr>
        <w:topLinePunct w:val="0"/>
        <w:ind w:left="0" w:leftChars="0" w:firstLine="0" w:firstLineChars="0"/>
        <w:outlineLvl w:val="0"/>
        <w:rPr>
          <w:rFonts w:hint="eastAsia" w:ascii="Times New Roman" w:hAnsi="Times New Roman" w:eastAsia="黑体" w:cs="Times New Roman"/>
          <w:b w:val="0"/>
          <w:bCs w:val="0"/>
          <w:sz w:val="30"/>
          <w:szCs w:val="32"/>
          <w:lang w:val="en-US" w:eastAsia="zh-CN"/>
        </w:rPr>
      </w:pPr>
      <w:bookmarkStart w:id="73" w:name="_Toc8429"/>
      <w:r>
        <w:rPr>
          <w:rFonts w:hint="eastAsia" w:ascii="Times New Roman" w:hAnsi="Times New Roman" w:eastAsia="黑体" w:cs="Times New Roman"/>
          <w:b w:val="0"/>
          <w:bCs w:val="0"/>
          <w:sz w:val="30"/>
          <w:szCs w:val="32"/>
          <w:lang w:val="en-US" w:eastAsia="zh-CN"/>
        </w:rPr>
        <w:t>生产设备维护</w:t>
      </w:r>
      <w:bookmarkEnd w:id="73"/>
    </w:p>
    <w:p w14:paraId="37F64CA1">
      <w:pPr>
        <w:pStyle w:val="5"/>
        <w:numPr>
          <w:ilvl w:val="0"/>
          <w:numId w:val="217"/>
        </w:numPr>
        <w:ind w:left="0" w:leftChars="0" w:firstLine="0" w:firstLineChars="0"/>
        <w:outlineLvl w:val="1"/>
        <w:rPr>
          <w:rFonts w:hint="default"/>
          <w:b w:val="0"/>
          <w:bCs w:val="0"/>
          <w:lang w:val="en-US" w:eastAsia="zh-CN"/>
        </w:rPr>
      </w:pPr>
      <w:bookmarkStart w:id="74" w:name="_Toc31767"/>
      <w:r>
        <w:rPr>
          <w:rFonts w:hint="eastAsia"/>
          <w:b w:val="0"/>
          <w:bCs w:val="0"/>
          <w:lang w:val="en-US" w:eastAsia="zh-CN"/>
        </w:rPr>
        <w:t>重点用能设备</w:t>
      </w:r>
      <w:bookmarkEnd w:id="74"/>
    </w:p>
    <w:p w14:paraId="2941A21F">
      <w:pPr>
        <w:rPr>
          <w:b w:val="0"/>
          <w:bCs w:val="0"/>
        </w:rPr>
      </w:pPr>
      <w:r>
        <w:drawing>
          <wp:inline distT="0" distB="0" distL="114300" distR="114300">
            <wp:extent cx="5900420" cy="2925445"/>
            <wp:effectExtent l="0" t="0" r="5080" b="8255"/>
            <wp:docPr id="91"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45"/>
                    <pic:cNvPicPr>
                      <a:picLocks noChangeAspect="1"/>
                    </pic:cNvPicPr>
                  </pic:nvPicPr>
                  <pic:blipFill>
                    <a:blip r:embed="rId103"/>
                    <a:stretch>
                      <a:fillRect/>
                    </a:stretch>
                  </pic:blipFill>
                  <pic:spPr>
                    <a:xfrm>
                      <a:off x="0" y="0"/>
                      <a:ext cx="5900420" cy="2925445"/>
                    </a:xfrm>
                    <a:prstGeom prst="rect">
                      <a:avLst/>
                    </a:prstGeom>
                    <a:noFill/>
                    <a:ln>
                      <a:noFill/>
                    </a:ln>
                  </pic:spPr>
                </pic:pic>
              </a:graphicData>
            </a:graphic>
          </wp:inline>
        </w:drawing>
      </w:r>
    </w:p>
    <w:p w14:paraId="7B514B0A">
      <w:pPr>
        <w:pStyle w:val="6"/>
        <w:numPr>
          <w:ilvl w:val="0"/>
          <w:numId w:val="218"/>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A908E6A">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744DBCF7">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・功能定位</w:t>
            </w:r>
            <w:r>
              <w:rPr>
                <w:rFonts w:ascii="宋体" w:hAnsi="宋体" w:eastAsia="宋体" w:cs="宋体"/>
                <w:sz w:val="24"/>
                <w:szCs w:val="24"/>
              </w:rPr>
              <w:t xml:space="preserve">：作为生产设备维护模块下重点用能设备的基础台账管理单元，按企业、车间维度维护重点用能设备基础信息，记录设备能源消耗类型、额定功率、运行状态等属性，支持设备新增、信息编辑与数据导出，为能耗分项统计、设备能效分析、重点用能管控提供设备基础主数据，是能耗精细化管理的前置基础依赖。 </w:t>
            </w:r>
          </w:p>
          <w:p w14:paraId="740367D1">
            <w:pPr>
              <w:pStyle w:val="19"/>
              <w:bidi w:val="0"/>
              <w:ind w:left="0" w:leftChars="0" w:firstLine="0" w:firstLineChars="0"/>
              <w:rPr>
                <w:b w:val="0"/>
                <w:bCs w:val="0"/>
              </w:rPr>
            </w:pPr>
            <w:r>
              <w:rPr>
                <w:rFonts w:ascii="宋体" w:hAnsi="宋体" w:eastAsia="宋体" w:cs="宋体"/>
                <w:b/>
                <w:bCs/>
                <w:sz w:val="24"/>
                <w:szCs w:val="24"/>
              </w:rPr>
              <w:t>・承载角色</w:t>
            </w:r>
            <w:r>
              <w:rPr>
                <w:rFonts w:ascii="宋体" w:hAnsi="宋体" w:eastAsia="宋体" w:cs="宋体"/>
                <w:sz w:val="24"/>
                <w:szCs w:val="24"/>
              </w:rPr>
              <w:t>：PM 系统管理员（全量重点用能设备台账新增、设备信息维护、状态管理与数据导出）。</w:t>
            </w:r>
          </w:p>
        </w:tc>
      </w:tr>
    </w:tbl>
    <w:p w14:paraId="509E8F67">
      <w:pPr>
        <w:rPr>
          <w:b w:val="0"/>
          <w:bCs w:val="0"/>
        </w:rPr>
      </w:pPr>
    </w:p>
    <w:p w14:paraId="305CB4BE">
      <w:pPr>
        <w:pStyle w:val="6"/>
        <w:numPr>
          <w:ilvl w:val="0"/>
          <w:numId w:val="218"/>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309F1710">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49EB96C5">
            <w:pPr>
              <w:pStyle w:val="19"/>
              <w:bidi w:val="0"/>
              <w:ind w:left="0" w:leftChars="0" w:firstLine="0" w:firstLineChars="0"/>
            </w:pPr>
            <w:r>
              <w:rPr>
                <w:b/>
                <w:bCs/>
                <w:lang w:val="en-US" w:eastAsia="zh-CN"/>
              </w:rPr>
              <w:t>业务场景</w:t>
            </w:r>
            <w:r>
              <w:rPr>
                <w:lang w:val="en-US" w:eastAsia="zh-CN"/>
              </w:rPr>
              <w:t>：面向系统管理员进行高耗能设备台账规范化管理场景，统一录入维护集团各园区、工厂重点用能设备基础档案，支撑设备级能耗分析。</w:t>
            </w:r>
          </w:p>
          <w:p w14:paraId="5EF9FF78">
            <w:pPr>
              <w:pStyle w:val="19"/>
              <w:bidi w:val="0"/>
              <w:ind w:left="0" w:leftChars="0" w:firstLine="0" w:firstLineChars="0"/>
            </w:pPr>
            <w:r>
              <w:rPr>
                <w:b/>
                <w:bCs/>
                <w:lang w:val="en-US" w:eastAsia="zh-CN"/>
              </w:rPr>
              <w:t>用户故事</w:t>
            </w:r>
            <w:r>
              <w:rPr>
                <w:lang w:val="en-US" w:eastAsia="zh-CN"/>
              </w:rPr>
              <w:t>：</w:t>
            </w:r>
          </w:p>
          <w:p w14:paraId="2943AA05">
            <w:pPr>
              <w:pStyle w:val="19"/>
              <w:bidi w:val="0"/>
            </w:pPr>
            <w:r>
              <w:rPr>
                <w:lang w:val="en-US" w:eastAsia="zh-CN"/>
              </w:rPr>
              <w:t>As a 系统管理员 (Persona PM)，</w:t>
            </w:r>
          </w:p>
          <w:p w14:paraId="7A700C80">
            <w:pPr>
              <w:pStyle w:val="19"/>
              <w:bidi w:val="0"/>
            </w:pPr>
            <w:r>
              <w:rPr>
                <w:lang w:val="en-US" w:eastAsia="zh-CN"/>
              </w:rPr>
              <w:t>I want 统一维护全集团重点用能设备台账、设备参数与运行状态，</w:t>
            </w:r>
          </w:p>
          <w:p w14:paraId="03882149">
            <w:pPr>
              <w:pStyle w:val="19"/>
              <w:bidi w:val="0"/>
            </w:pPr>
            <w:r>
              <w:rPr>
                <w:lang w:val="en-US" w:eastAsia="zh-CN"/>
              </w:rPr>
              <w:t>So that 我能为能耗分项统计、设备能效分析、能源大盘溯源提供完整设备基础数据。</w:t>
            </w:r>
          </w:p>
        </w:tc>
      </w:tr>
    </w:tbl>
    <w:p w14:paraId="72DA0DD4">
      <w:pPr>
        <w:rPr>
          <w:b w:val="0"/>
          <w:bCs w:val="0"/>
        </w:rPr>
      </w:pPr>
    </w:p>
    <w:p w14:paraId="4CA351EF">
      <w:pPr>
        <w:pStyle w:val="6"/>
        <w:numPr>
          <w:ilvl w:val="0"/>
          <w:numId w:val="218"/>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7B33F151">
        <w:tblPrEx>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1A84EDB1">
            <w:pPr>
              <w:pStyle w:val="19"/>
              <w:numPr>
                <w:ilvl w:val="0"/>
                <w:numId w:val="219"/>
              </w:numPr>
              <w:bidi w:val="0"/>
              <w:rPr>
                <w:rFonts w:hint="default" w:eastAsia="宋体"/>
                <w:b w:val="0"/>
                <w:bCs w:val="0"/>
                <w:lang w:val="en-US" w:eastAsia="zh-CN"/>
              </w:rPr>
            </w:pPr>
            <w:r>
              <w:rPr>
                <w:rFonts w:hint="eastAsia"/>
                <w:b w:val="0"/>
                <w:bCs w:val="0"/>
                <w:lang w:val="en-US" w:eastAsia="zh-CN"/>
              </w:rPr>
              <w:t>选择查询条件，根据条件筛选列表数据；</w:t>
            </w:r>
          </w:p>
          <w:p w14:paraId="3E529FC2">
            <w:pPr>
              <w:pStyle w:val="19"/>
              <w:numPr>
                <w:ilvl w:val="0"/>
                <w:numId w:val="219"/>
              </w:numPr>
              <w:bidi w:val="0"/>
              <w:rPr>
                <w:rFonts w:hint="default" w:eastAsia="宋体"/>
                <w:b w:val="0"/>
                <w:bCs w:val="0"/>
                <w:lang w:val="en-US" w:eastAsia="zh-CN"/>
              </w:rPr>
            </w:pPr>
            <w:r>
              <w:rPr>
                <w:rFonts w:hint="eastAsia"/>
                <w:b w:val="0"/>
                <w:bCs w:val="0"/>
                <w:lang w:val="en-US" w:eastAsia="zh-CN"/>
              </w:rPr>
              <w:t>点击【新增重点设备】打开新增重点设备弹窗；</w:t>
            </w:r>
          </w:p>
          <w:p w14:paraId="68A030F8">
            <w:pPr>
              <w:pStyle w:val="19"/>
              <w:numPr>
                <w:ilvl w:val="0"/>
                <w:numId w:val="219"/>
              </w:numPr>
              <w:bidi w:val="0"/>
              <w:rPr>
                <w:rFonts w:hint="default" w:eastAsia="宋体"/>
                <w:b w:val="0"/>
                <w:bCs w:val="0"/>
                <w:lang w:val="en-US" w:eastAsia="zh-CN"/>
              </w:rPr>
            </w:pPr>
            <w:r>
              <w:rPr>
                <w:rFonts w:hint="eastAsia"/>
                <w:b w:val="0"/>
                <w:bCs w:val="0"/>
                <w:lang w:val="en-US" w:eastAsia="zh-CN"/>
              </w:rPr>
              <w:t>点击【导出】按钮，可将列表内数据导出到excel；</w:t>
            </w:r>
          </w:p>
          <w:p w14:paraId="4E687B2A">
            <w:pPr>
              <w:pStyle w:val="19"/>
              <w:numPr>
                <w:ilvl w:val="0"/>
                <w:numId w:val="214"/>
              </w:numPr>
              <w:bidi w:val="0"/>
              <w:rPr>
                <w:rFonts w:hint="default" w:eastAsia="宋体"/>
                <w:b w:val="0"/>
                <w:bCs w:val="0"/>
                <w:lang w:val="en-US" w:eastAsia="zh-CN"/>
              </w:rPr>
            </w:pPr>
            <w:r>
              <w:rPr>
                <w:rFonts w:hint="eastAsia"/>
                <w:b w:val="0"/>
                <w:bCs w:val="0"/>
                <w:lang w:val="en-US" w:eastAsia="zh-CN"/>
              </w:rPr>
              <w:t>点击【详情】打开设备详情窗口；</w:t>
            </w:r>
          </w:p>
          <w:p w14:paraId="35C312FB">
            <w:pPr>
              <w:pStyle w:val="19"/>
              <w:numPr>
                <w:ilvl w:val="0"/>
                <w:numId w:val="214"/>
              </w:numPr>
              <w:bidi w:val="0"/>
              <w:rPr>
                <w:b w:val="0"/>
                <w:bCs w:val="0"/>
              </w:rPr>
            </w:pPr>
            <w:r>
              <w:rPr>
                <w:rFonts w:hint="eastAsia"/>
                <w:b w:val="0"/>
                <w:bCs w:val="0"/>
                <w:lang w:val="en-US" w:eastAsia="zh-CN"/>
              </w:rPr>
              <w:t>点击【编辑】打开编辑窗口；</w:t>
            </w:r>
          </w:p>
          <w:p w14:paraId="3E7A0801">
            <w:pPr>
              <w:pStyle w:val="19"/>
              <w:numPr>
                <w:ilvl w:val="0"/>
                <w:numId w:val="219"/>
              </w:numPr>
              <w:bidi w:val="0"/>
              <w:rPr>
                <w:rFonts w:hint="default" w:eastAsia="宋体"/>
                <w:b w:val="0"/>
                <w:bCs w:val="0"/>
                <w:lang w:val="en-US" w:eastAsia="zh-CN"/>
              </w:rPr>
            </w:pPr>
            <w:r>
              <w:rPr>
                <w:rFonts w:hint="eastAsia"/>
                <w:b w:val="0"/>
                <w:bCs w:val="0"/>
                <w:lang w:val="en-US" w:eastAsia="zh-CN"/>
              </w:rPr>
              <w:t>点击【删除】打开弹窗，点击取消后关闭弹窗，点击确定后关闭弹窗并删除数据；</w:t>
            </w:r>
          </w:p>
        </w:tc>
      </w:tr>
    </w:tbl>
    <w:p w14:paraId="3C4B264F">
      <w:pPr>
        <w:rPr>
          <w:b w:val="0"/>
          <w:bCs w:val="0"/>
        </w:rPr>
      </w:pPr>
    </w:p>
    <w:p w14:paraId="1DF48548">
      <w:pPr>
        <w:pStyle w:val="6"/>
        <w:numPr>
          <w:ilvl w:val="0"/>
          <w:numId w:val="218"/>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2144"/>
        <w:gridCol w:w="1335"/>
        <w:gridCol w:w="1302"/>
        <w:gridCol w:w="4114"/>
      </w:tblGrid>
      <w:tr w14:paraId="4ECC685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C86DBC4">
            <w:pPr>
              <w:pStyle w:val="19"/>
              <w:bidi w:val="0"/>
              <w:spacing w:line="240" w:lineRule="auto"/>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214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F935D9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字段中文名称</w:t>
            </w:r>
          </w:p>
        </w:tc>
        <w:tc>
          <w:tcPr>
            <w:tcW w:w="13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D9F4A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数据类型</w:t>
            </w:r>
          </w:p>
        </w:tc>
        <w:tc>
          <w:tcPr>
            <w:tcW w:w="130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CDA45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工程单位</w:t>
            </w:r>
          </w:p>
        </w:tc>
        <w:tc>
          <w:tcPr>
            <w:tcW w:w="411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B4DB0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校验与约束规则</w:t>
            </w:r>
          </w:p>
        </w:tc>
      </w:tr>
      <w:tr w14:paraId="1B0FC5B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A884A5">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1</w:t>
            </w:r>
          </w:p>
        </w:tc>
        <w:tc>
          <w:tcPr>
            <w:tcW w:w="21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7EA16B">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重点用能设备名称</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B2E6F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3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1CE9F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1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5A6DE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6A67040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5CD4DA">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2</w:t>
            </w:r>
          </w:p>
        </w:tc>
        <w:tc>
          <w:tcPr>
            <w:tcW w:w="21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A2CEE3">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关联企业</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CC629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3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A47DB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1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AF282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41868CE8">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54A7D8">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3</w:t>
            </w:r>
          </w:p>
        </w:tc>
        <w:tc>
          <w:tcPr>
            <w:tcW w:w="21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4F7D7B">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安装位置/车间</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3E984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3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3260C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1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64460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35AC600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A46D63">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4</w:t>
            </w:r>
          </w:p>
        </w:tc>
        <w:tc>
          <w:tcPr>
            <w:tcW w:w="21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A782D2">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设备能源消耗类型</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466A4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3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E5477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1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D1809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58652A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993F47">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5</w:t>
            </w:r>
          </w:p>
        </w:tc>
        <w:tc>
          <w:tcPr>
            <w:tcW w:w="21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7E3097">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额定功率</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4AE98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3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EAB23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1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8732E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7058C11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8BEC5">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6</w:t>
            </w:r>
          </w:p>
        </w:tc>
        <w:tc>
          <w:tcPr>
            <w:tcW w:w="21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22FC6A">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状态</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FA719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3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8FE91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1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A22A7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bl>
    <w:p w14:paraId="278E740C">
      <w:pPr>
        <w:pStyle w:val="19"/>
        <w:bidi w:val="0"/>
        <w:rPr>
          <w:b w:val="0"/>
          <w:bCs w:val="0"/>
        </w:rPr>
      </w:pPr>
    </w:p>
    <w:p w14:paraId="3AFDF9A4">
      <w:pPr>
        <w:pStyle w:val="6"/>
        <w:numPr>
          <w:ilvl w:val="0"/>
          <w:numId w:val="218"/>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0C39816D">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1952B4FB">
            <w:pPr>
              <w:pStyle w:val="19"/>
              <w:bidi w:val="0"/>
              <w:rPr>
                <w:b w:val="0"/>
                <w:bCs w:val="0"/>
              </w:rPr>
            </w:pPr>
            <w:r>
              <w:rPr>
                <w:rFonts w:hint="eastAsia"/>
                <w:lang w:val="en-US" w:eastAsia="zh-CN"/>
              </w:rPr>
              <w:t>无</w:t>
            </w:r>
          </w:p>
        </w:tc>
      </w:tr>
    </w:tbl>
    <w:p w14:paraId="7A58C020">
      <w:pPr>
        <w:pStyle w:val="19"/>
        <w:bidi w:val="0"/>
        <w:rPr>
          <w:b w:val="0"/>
          <w:bCs w:val="0"/>
        </w:rPr>
      </w:pPr>
    </w:p>
    <w:p w14:paraId="0B0D608D">
      <w:pPr>
        <w:pStyle w:val="6"/>
        <w:numPr>
          <w:ilvl w:val="0"/>
          <w:numId w:val="218"/>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345F46FB">
        <w:tblPrEx>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490E3A00">
            <w:pPr>
              <w:pStyle w:val="19"/>
              <w:bidi w:val="0"/>
              <w:rPr>
                <w:b w:val="0"/>
                <w:bCs w:val="0"/>
              </w:rPr>
            </w:pPr>
          </w:p>
        </w:tc>
      </w:tr>
    </w:tbl>
    <w:p w14:paraId="59ECD673">
      <w:pPr>
        <w:pStyle w:val="19"/>
        <w:bidi w:val="0"/>
        <w:rPr>
          <w:b w:val="0"/>
          <w:bCs w:val="0"/>
        </w:rPr>
      </w:pPr>
    </w:p>
    <w:p w14:paraId="687B866B">
      <w:pPr>
        <w:pStyle w:val="6"/>
        <w:numPr>
          <w:ilvl w:val="0"/>
          <w:numId w:val="218"/>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2E299C44">
        <w:tblPrEx>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5F3FF"/>
            <w:tcMar>
              <w:top w:w="70" w:type="dxa"/>
              <w:left w:w="100" w:type="dxa"/>
              <w:bottom w:w="70" w:type="dxa"/>
              <w:right w:w="100" w:type="dxa"/>
            </w:tcMar>
          </w:tcPr>
          <w:p w14:paraId="65481535">
            <w:pPr>
              <w:pStyle w:val="19"/>
              <w:bidi w:val="0"/>
              <w:rPr>
                <w:b w:val="0"/>
                <w:bCs w:val="0"/>
              </w:rPr>
            </w:pPr>
          </w:p>
        </w:tc>
      </w:tr>
    </w:tbl>
    <w:p w14:paraId="455A95B5">
      <w:pPr>
        <w:rPr>
          <w:b w:val="0"/>
          <w:bCs w:val="0"/>
        </w:rPr>
      </w:pPr>
    </w:p>
    <w:p w14:paraId="7265F1BB">
      <w:pPr>
        <w:pStyle w:val="6"/>
        <w:numPr>
          <w:ilvl w:val="0"/>
          <w:numId w:val="218"/>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52E22369">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50387EAA">
            <w:pPr>
              <w:pStyle w:val="19"/>
              <w:bidi w:val="0"/>
              <w:rPr>
                <w:b w:val="0"/>
                <w:bCs w:val="0"/>
              </w:rPr>
            </w:pPr>
          </w:p>
        </w:tc>
      </w:tr>
    </w:tbl>
    <w:p w14:paraId="0BA95C61">
      <w:pPr>
        <w:rPr>
          <w:rFonts w:hint="default"/>
          <w:b w:val="0"/>
          <w:bCs w:val="0"/>
          <w:lang w:val="en-US" w:eastAsia="zh-CN"/>
        </w:rPr>
      </w:pPr>
    </w:p>
    <w:p w14:paraId="457C3889">
      <w:pPr>
        <w:pStyle w:val="5"/>
        <w:numPr>
          <w:ilvl w:val="0"/>
          <w:numId w:val="217"/>
        </w:numPr>
        <w:ind w:left="0" w:leftChars="0" w:firstLine="0" w:firstLineChars="0"/>
        <w:outlineLvl w:val="1"/>
        <w:rPr>
          <w:rFonts w:hint="default"/>
          <w:b w:val="0"/>
          <w:bCs w:val="0"/>
          <w:lang w:val="en-US" w:eastAsia="zh-CN"/>
        </w:rPr>
      </w:pPr>
      <w:bookmarkStart w:id="75" w:name="_Toc17529"/>
      <w:r>
        <w:rPr>
          <w:rFonts w:hint="eastAsia"/>
          <w:b w:val="0"/>
          <w:bCs w:val="0"/>
          <w:lang w:val="en-US" w:eastAsia="zh-CN"/>
        </w:rPr>
        <w:t>光伏设备管理</w:t>
      </w:r>
      <w:bookmarkEnd w:id="75"/>
    </w:p>
    <w:p w14:paraId="4807655D">
      <w:pPr>
        <w:rPr>
          <w:b w:val="0"/>
          <w:bCs w:val="0"/>
        </w:rPr>
      </w:pPr>
      <w:r>
        <w:drawing>
          <wp:inline distT="0" distB="0" distL="114300" distR="114300">
            <wp:extent cx="5900420" cy="2925445"/>
            <wp:effectExtent l="0" t="0" r="5080" b="8255"/>
            <wp:docPr id="9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46"/>
                    <pic:cNvPicPr>
                      <a:picLocks noChangeAspect="1"/>
                    </pic:cNvPicPr>
                  </pic:nvPicPr>
                  <pic:blipFill>
                    <a:blip r:embed="rId104"/>
                    <a:stretch>
                      <a:fillRect/>
                    </a:stretch>
                  </pic:blipFill>
                  <pic:spPr>
                    <a:xfrm>
                      <a:off x="0" y="0"/>
                      <a:ext cx="5900420" cy="2925445"/>
                    </a:xfrm>
                    <a:prstGeom prst="rect">
                      <a:avLst/>
                    </a:prstGeom>
                    <a:noFill/>
                    <a:ln>
                      <a:noFill/>
                    </a:ln>
                  </pic:spPr>
                </pic:pic>
              </a:graphicData>
            </a:graphic>
          </wp:inline>
        </w:drawing>
      </w:r>
    </w:p>
    <w:p w14:paraId="7E3BD639">
      <w:pPr>
        <w:pStyle w:val="6"/>
        <w:numPr>
          <w:ilvl w:val="0"/>
          <w:numId w:val="220"/>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72A78445">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5399A45D">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・功能定位</w:t>
            </w:r>
            <w:r>
              <w:rPr>
                <w:rFonts w:ascii="宋体" w:hAnsi="宋体" w:eastAsia="宋体" w:cs="宋体"/>
                <w:sz w:val="24"/>
                <w:szCs w:val="24"/>
              </w:rPr>
              <w:t xml:space="preserve">：作为生产设备维护模块下光伏资产台账管理单元，按园区、工厂维度维护分布式光伏电站基础信息，记录装机容量、安装位置、运行状态等资产属性，支持光伏设备新增、信息编辑与数据导出，为绿电发电量统计、可再生能源核算、园区碳减排分析提供光伏资产主数据，是新能源资产精细化管理的前置基础依赖。 </w:t>
            </w:r>
          </w:p>
          <w:p w14:paraId="2CFFCABC">
            <w:pPr>
              <w:pStyle w:val="19"/>
              <w:bidi w:val="0"/>
              <w:ind w:left="0" w:leftChars="0" w:firstLine="0" w:firstLineChars="0"/>
              <w:rPr>
                <w:b w:val="0"/>
                <w:bCs w:val="0"/>
              </w:rPr>
            </w:pPr>
            <w:r>
              <w:rPr>
                <w:rFonts w:ascii="宋体" w:hAnsi="宋体" w:eastAsia="宋体" w:cs="宋体"/>
                <w:b/>
                <w:bCs/>
                <w:sz w:val="24"/>
                <w:szCs w:val="24"/>
              </w:rPr>
              <w:t>・承载角色</w:t>
            </w:r>
            <w:r>
              <w:rPr>
                <w:rFonts w:ascii="宋体" w:hAnsi="宋体" w:eastAsia="宋体" w:cs="宋体"/>
                <w:sz w:val="24"/>
                <w:szCs w:val="24"/>
              </w:rPr>
              <w:t>：PM 系统管理员（全量光伏设备台账新增、设备信息维护、状态管理与数据导出）。</w:t>
            </w:r>
          </w:p>
        </w:tc>
      </w:tr>
    </w:tbl>
    <w:p w14:paraId="25B15F54">
      <w:pPr>
        <w:rPr>
          <w:b w:val="0"/>
          <w:bCs w:val="0"/>
        </w:rPr>
      </w:pPr>
    </w:p>
    <w:p w14:paraId="7790BF9E">
      <w:pPr>
        <w:pStyle w:val="6"/>
        <w:numPr>
          <w:ilvl w:val="0"/>
          <w:numId w:val="220"/>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8D10B6">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457CA1BB">
            <w:pPr>
              <w:pStyle w:val="19"/>
              <w:bidi w:val="0"/>
              <w:ind w:left="0" w:leftChars="0" w:firstLine="0" w:firstLineChars="0"/>
            </w:pPr>
            <w:r>
              <w:rPr>
                <w:b/>
                <w:bCs/>
                <w:lang w:val="en-US" w:eastAsia="zh-CN"/>
              </w:rPr>
              <w:t>业务场景</w:t>
            </w:r>
            <w:r>
              <w:rPr>
                <w:lang w:val="en-US" w:eastAsia="zh-CN"/>
              </w:rPr>
              <w:t>：面向系统管理员进行新能源资产台账管控场景，维护集团分布式光伏电站设备信息，支撑微电网、绿电出力数据统计。</w:t>
            </w:r>
          </w:p>
          <w:p w14:paraId="5F4B8600">
            <w:pPr>
              <w:pStyle w:val="19"/>
              <w:bidi w:val="0"/>
              <w:ind w:left="0" w:leftChars="0" w:firstLine="0" w:firstLineChars="0"/>
            </w:pPr>
            <w:r>
              <w:rPr>
                <w:b/>
                <w:bCs/>
                <w:lang w:val="en-US" w:eastAsia="zh-CN"/>
              </w:rPr>
              <w:t>用户故事</w:t>
            </w:r>
            <w:r>
              <w:rPr>
                <w:lang w:val="en-US" w:eastAsia="zh-CN"/>
              </w:rPr>
              <w:t>：</w:t>
            </w:r>
          </w:p>
          <w:p w14:paraId="1CB26420">
            <w:pPr>
              <w:pStyle w:val="19"/>
              <w:bidi w:val="0"/>
            </w:pPr>
            <w:r>
              <w:rPr>
                <w:lang w:val="en-US" w:eastAsia="zh-CN"/>
              </w:rPr>
              <w:t>As a 系统管理员 (Persona PM)，</w:t>
            </w:r>
          </w:p>
          <w:p w14:paraId="5C33F2BF">
            <w:pPr>
              <w:pStyle w:val="19"/>
              <w:bidi w:val="0"/>
            </w:pPr>
            <w:r>
              <w:rPr>
                <w:lang w:val="en-US" w:eastAsia="zh-CN"/>
              </w:rPr>
              <w:t>I want 统一维护全集团光伏设备资产、装机参数与归属信息，</w:t>
            </w:r>
          </w:p>
          <w:p w14:paraId="789C9AAA">
            <w:pPr>
              <w:pStyle w:val="19"/>
              <w:bidi w:val="0"/>
            </w:pPr>
            <w:r>
              <w:rPr>
                <w:lang w:val="en-US" w:eastAsia="zh-CN"/>
              </w:rPr>
              <w:t>So that 我能支撑大屏微电网光储充实时出力、绿电减排成效、新能源资产统计展示。</w:t>
            </w:r>
          </w:p>
        </w:tc>
      </w:tr>
    </w:tbl>
    <w:p w14:paraId="34133966">
      <w:pPr>
        <w:rPr>
          <w:b w:val="0"/>
          <w:bCs w:val="0"/>
        </w:rPr>
      </w:pPr>
    </w:p>
    <w:p w14:paraId="49C9C9D0">
      <w:pPr>
        <w:pStyle w:val="6"/>
        <w:numPr>
          <w:ilvl w:val="0"/>
          <w:numId w:val="220"/>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788A90DB">
        <w:tblPrEx>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32CD2696">
            <w:pPr>
              <w:pStyle w:val="19"/>
              <w:numPr>
                <w:ilvl w:val="0"/>
                <w:numId w:val="221"/>
              </w:numPr>
              <w:bidi w:val="0"/>
              <w:rPr>
                <w:rFonts w:hint="default" w:eastAsia="宋体"/>
                <w:b w:val="0"/>
                <w:bCs w:val="0"/>
                <w:lang w:val="en-US" w:eastAsia="zh-CN"/>
              </w:rPr>
            </w:pPr>
            <w:r>
              <w:rPr>
                <w:rFonts w:hint="eastAsia"/>
                <w:b w:val="0"/>
                <w:bCs w:val="0"/>
                <w:lang w:val="en-US" w:eastAsia="zh-CN"/>
              </w:rPr>
              <w:t>选择查询条件，根据条件筛选列表数据；</w:t>
            </w:r>
          </w:p>
          <w:p w14:paraId="118C53BE">
            <w:pPr>
              <w:pStyle w:val="19"/>
              <w:numPr>
                <w:ilvl w:val="0"/>
                <w:numId w:val="221"/>
              </w:numPr>
              <w:bidi w:val="0"/>
              <w:rPr>
                <w:rFonts w:hint="default" w:eastAsia="宋体"/>
                <w:b w:val="0"/>
                <w:bCs w:val="0"/>
                <w:lang w:val="en-US" w:eastAsia="zh-CN"/>
              </w:rPr>
            </w:pPr>
            <w:r>
              <w:rPr>
                <w:rFonts w:hint="eastAsia"/>
                <w:b w:val="0"/>
                <w:bCs w:val="0"/>
                <w:lang w:val="en-US" w:eastAsia="zh-CN"/>
              </w:rPr>
              <w:t>点击【新增重点设备】打开新增重点设备弹窗；</w:t>
            </w:r>
          </w:p>
          <w:p w14:paraId="341F7375">
            <w:pPr>
              <w:pStyle w:val="19"/>
              <w:numPr>
                <w:ilvl w:val="0"/>
                <w:numId w:val="221"/>
              </w:numPr>
              <w:bidi w:val="0"/>
              <w:rPr>
                <w:rFonts w:hint="default" w:eastAsia="宋体"/>
                <w:b w:val="0"/>
                <w:bCs w:val="0"/>
                <w:lang w:val="en-US" w:eastAsia="zh-CN"/>
              </w:rPr>
            </w:pPr>
            <w:r>
              <w:rPr>
                <w:rFonts w:hint="eastAsia"/>
                <w:b w:val="0"/>
                <w:bCs w:val="0"/>
                <w:lang w:val="en-US" w:eastAsia="zh-CN"/>
              </w:rPr>
              <w:t>点击【导出】按钮，可将列表内数据导出到excel；</w:t>
            </w:r>
          </w:p>
          <w:p w14:paraId="6CD6F8BF">
            <w:pPr>
              <w:pStyle w:val="19"/>
              <w:numPr>
                <w:ilvl w:val="0"/>
                <w:numId w:val="221"/>
              </w:numPr>
              <w:bidi w:val="0"/>
              <w:rPr>
                <w:b w:val="0"/>
                <w:bCs w:val="0"/>
              </w:rPr>
            </w:pPr>
            <w:r>
              <w:rPr>
                <w:rFonts w:hint="eastAsia"/>
                <w:b w:val="0"/>
                <w:bCs w:val="0"/>
                <w:lang w:val="en-US" w:eastAsia="zh-CN"/>
              </w:rPr>
              <w:t>点击【详情】打开设备详情窗口；</w:t>
            </w:r>
          </w:p>
          <w:p w14:paraId="3EABEECA">
            <w:pPr>
              <w:pStyle w:val="19"/>
              <w:numPr>
                <w:ilvl w:val="0"/>
                <w:numId w:val="221"/>
              </w:numPr>
              <w:bidi w:val="0"/>
              <w:rPr>
                <w:b w:val="0"/>
                <w:bCs w:val="0"/>
              </w:rPr>
            </w:pPr>
            <w:r>
              <w:rPr>
                <w:rFonts w:hint="eastAsia"/>
                <w:b w:val="0"/>
                <w:bCs w:val="0"/>
                <w:lang w:val="en-US" w:eastAsia="zh-CN"/>
              </w:rPr>
              <w:t>点击【编辑】打开编辑窗口；</w:t>
            </w:r>
          </w:p>
          <w:p w14:paraId="4A206B97">
            <w:pPr>
              <w:pStyle w:val="19"/>
              <w:numPr>
                <w:ilvl w:val="0"/>
                <w:numId w:val="221"/>
              </w:numPr>
              <w:bidi w:val="0"/>
              <w:rPr>
                <w:b w:val="0"/>
                <w:bCs w:val="0"/>
              </w:rPr>
            </w:pPr>
            <w:r>
              <w:rPr>
                <w:rFonts w:hint="eastAsia"/>
                <w:b w:val="0"/>
                <w:bCs w:val="0"/>
                <w:lang w:val="en-US" w:eastAsia="zh-CN"/>
              </w:rPr>
              <w:t>点击【删除】打开弹窗，点击取消后关闭弹窗，点击确定后关闭弹窗并删除数据；</w:t>
            </w:r>
          </w:p>
        </w:tc>
      </w:tr>
    </w:tbl>
    <w:p w14:paraId="04034742">
      <w:pPr>
        <w:rPr>
          <w:b w:val="0"/>
          <w:bCs w:val="0"/>
        </w:rPr>
      </w:pPr>
    </w:p>
    <w:p w14:paraId="3EED2B32">
      <w:pPr>
        <w:pStyle w:val="6"/>
        <w:numPr>
          <w:ilvl w:val="0"/>
          <w:numId w:val="220"/>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2210"/>
        <w:gridCol w:w="1269"/>
        <w:gridCol w:w="1203"/>
        <w:gridCol w:w="4213"/>
      </w:tblGrid>
      <w:tr w14:paraId="0AFB86A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83974E">
            <w:pPr>
              <w:pStyle w:val="19"/>
              <w:bidi w:val="0"/>
              <w:spacing w:line="240" w:lineRule="auto"/>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221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DAC80D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字段中文名称</w:t>
            </w:r>
          </w:p>
        </w:tc>
        <w:tc>
          <w:tcPr>
            <w:tcW w:w="12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DA57C3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数据类型</w:t>
            </w:r>
          </w:p>
        </w:tc>
        <w:tc>
          <w:tcPr>
            <w:tcW w:w="120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3499B3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工程单位</w:t>
            </w:r>
          </w:p>
        </w:tc>
        <w:tc>
          <w:tcPr>
            <w:tcW w:w="421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2BCAE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校验与约束规则</w:t>
            </w:r>
          </w:p>
        </w:tc>
      </w:tr>
      <w:tr w14:paraId="666CCDB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38711E">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22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D10797">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光伏设备名称</w:t>
            </w:r>
          </w:p>
        </w:tc>
        <w:tc>
          <w:tcPr>
            <w:tcW w:w="12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7628E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66816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21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3D2EB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7CD6110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9B8859">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p>
        </w:tc>
        <w:tc>
          <w:tcPr>
            <w:tcW w:w="22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A73170">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归属园区</w:t>
            </w:r>
          </w:p>
        </w:tc>
        <w:tc>
          <w:tcPr>
            <w:tcW w:w="12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A6DAC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34B1B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21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4D459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7947583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968EC6">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p>
        </w:tc>
        <w:tc>
          <w:tcPr>
            <w:tcW w:w="22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96437E">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关联工厂</w:t>
            </w:r>
          </w:p>
        </w:tc>
        <w:tc>
          <w:tcPr>
            <w:tcW w:w="12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5A2B1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EF848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21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B1439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009882E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BAA237">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p>
        </w:tc>
        <w:tc>
          <w:tcPr>
            <w:tcW w:w="22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E9F33">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安装物理位置/屋面</w:t>
            </w:r>
          </w:p>
        </w:tc>
        <w:tc>
          <w:tcPr>
            <w:tcW w:w="12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9AD69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77D7A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21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1C6A2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65560CF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98BBFC">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p>
        </w:tc>
        <w:tc>
          <w:tcPr>
            <w:tcW w:w="22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92E6BC">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装机容量</w:t>
            </w:r>
          </w:p>
        </w:tc>
        <w:tc>
          <w:tcPr>
            <w:tcW w:w="12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17008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42068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21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C79A1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bl>
    <w:p w14:paraId="1D6C8486">
      <w:pPr>
        <w:pStyle w:val="19"/>
        <w:bidi w:val="0"/>
        <w:rPr>
          <w:b w:val="0"/>
          <w:bCs w:val="0"/>
        </w:rPr>
      </w:pPr>
    </w:p>
    <w:p w14:paraId="18C6DDD5">
      <w:pPr>
        <w:pStyle w:val="6"/>
        <w:numPr>
          <w:ilvl w:val="0"/>
          <w:numId w:val="220"/>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3CEC0108">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7AEC5545">
            <w:pPr>
              <w:pStyle w:val="19"/>
              <w:bidi w:val="0"/>
              <w:rPr>
                <w:b w:val="0"/>
                <w:bCs w:val="0"/>
              </w:rPr>
            </w:pPr>
            <w:r>
              <w:rPr>
                <w:rFonts w:hint="eastAsia"/>
                <w:lang w:val="en-US" w:eastAsia="zh-CN"/>
              </w:rPr>
              <w:t>无</w:t>
            </w:r>
          </w:p>
        </w:tc>
      </w:tr>
    </w:tbl>
    <w:p w14:paraId="5C41D554">
      <w:pPr>
        <w:pStyle w:val="19"/>
        <w:bidi w:val="0"/>
        <w:rPr>
          <w:b w:val="0"/>
          <w:bCs w:val="0"/>
        </w:rPr>
      </w:pPr>
    </w:p>
    <w:p w14:paraId="7DB887FB">
      <w:pPr>
        <w:pStyle w:val="6"/>
        <w:numPr>
          <w:ilvl w:val="0"/>
          <w:numId w:val="220"/>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59FF076">
        <w:tblPrEx>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567E54B7">
            <w:pPr>
              <w:pStyle w:val="19"/>
              <w:bidi w:val="0"/>
              <w:rPr>
                <w:b w:val="0"/>
                <w:bCs w:val="0"/>
              </w:rPr>
            </w:pPr>
          </w:p>
        </w:tc>
      </w:tr>
    </w:tbl>
    <w:p w14:paraId="1764F6FE">
      <w:pPr>
        <w:pStyle w:val="19"/>
        <w:bidi w:val="0"/>
        <w:rPr>
          <w:b w:val="0"/>
          <w:bCs w:val="0"/>
        </w:rPr>
      </w:pPr>
    </w:p>
    <w:p w14:paraId="7E98DCA3">
      <w:pPr>
        <w:pStyle w:val="6"/>
        <w:numPr>
          <w:ilvl w:val="0"/>
          <w:numId w:val="220"/>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72FF056">
        <w:tblPrEx>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5F3FF"/>
            <w:tcMar>
              <w:top w:w="70" w:type="dxa"/>
              <w:left w:w="100" w:type="dxa"/>
              <w:bottom w:w="70" w:type="dxa"/>
              <w:right w:w="100" w:type="dxa"/>
            </w:tcMar>
          </w:tcPr>
          <w:p w14:paraId="39E3E85B">
            <w:pPr>
              <w:pStyle w:val="19"/>
              <w:bidi w:val="0"/>
              <w:rPr>
                <w:b w:val="0"/>
                <w:bCs w:val="0"/>
              </w:rPr>
            </w:pPr>
          </w:p>
        </w:tc>
      </w:tr>
    </w:tbl>
    <w:p w14:paraId="0718F972">
      <w:pPr>
        <w:rPr>
          <w:b w:val="0"/>
          <w:bCs w:val="0"/>
        </w:rPr>
      </w:pPr>
    </w:p>
    <w:p w14:paraId="36EE7A7C">
      <w:pPr>
        <w:pStyle w:val="6"/>
        <w:numPr>
          <w:ilvl w:val="0"/>
          <w:numId w:val="220"/>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0A0631D2">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7EB1BC3E">
            <w:pPr>
              <w:pStyle w:val="19"/>
              <w:bidi w:val="0"/>
              <w:rPr>
                <w:b w:val="0"/>
                <w:bCs w:val="0"/>
              </w:rPr>
            </w:pPr>
          </w:p>
        </w:tc>
      </w:tr>
    </w:tbl>
    <w:p w14:paraId="436D6884">
      <w:pPr>
        <w:rPr>
          <w:rFonts w:hint="default"/>
          <w:b w:val="0"/>
          <w:bCs w:val="0"/>
          <w:lang w:val="en-US" w:eastAsia="zh-CN"/>
        </w:rPr>
      </w:pPr>
    </w:p>
    <w:p w14:paraId="2185843E">
      <w:pPr>
        <w:pStyle w:val="4"/>
        <w:numPr>
          <w:ilvl w:val="0"/>
          <w:numId w:val="199"/>
        </w:numPr>
        <w:topLinePunct w:val="0"/>
        <w:ind w:left="0" w:leftChars="0" w:firstLine="0" w:firstLineChars="0"/>
        <w:outlineLvl w:val="0"/>
        <w:rPr>
          <w:rFonts w:hint="default" w:ascii="Times New Roman" w:hAnsi="Times New Roman" w:eastAsia="黑体" w:cs="Times New Roman"/>
          <w:b w:val="0"/>
          <w:bCs w:val="0"/>
          <w:sz w:val="30"/>
          <w:szCs w:val="32"/>
          <w:lang w:val="en-US" w:eastAsia="zh-CN"/>
        </w:rPr>
      </w:pPr>
      <w:bookmarkStart w:id="76" w:name="_Toc11939"/>
      <w:r>
        <w:rPr>
          <w:rFonts w:hint="eastAsia" w:ascii="Times New Roman" w:hAnsi="Times New Roman" w:eastAsia="黑体" w:cs="Times New Roman"/>
          <w:b w:val="0"/>
          <w:bCs w:val="0"/>
          <w:sz w:val="30"/>
          <w:szCs w:val="32"/>
          <w:lang w:val="en-US" w:eastAsia="zh-CN"/>
        </w:rPr>
        <w:t>生产数据维护</w:t>
      </w:r>
      <w:bookmarkEnd w:id="76"/>
    </w:p>
    <w:p w14:paraId="3483D6D0">
      <w:pPr>
        <w:pStyle w:val="5"/>
        <w:numPr>
          <w:ilvl w:val="0"/>
          <w:numId w:val="222"/>
        </w:numPr>
        <w:ind w:left="0" w:leftChars="0" w:firstLine="0" w:firstLineChars="0"/>
        <w:outlineLvl w:val="1"/>
        <w:rPr>
          <w:rFonts w:hint="eastAsia"/>
          <w:b w:val="0"/>
          <w:bCs w:val="0"/>
          <w:lang w:val="en-US" w:eastAsia="zh-CN"/>
        </w:rPr>
      </w:pPr>
      <w:bookmarkStart w:id="77" w:name="_Toc29538"/>
      <w:r>
        <w:rPr>
          <w:rFonts w:hint="eastAsia"/>
          <w:b w:val="0"/>
          <w:bCs w:val="0"/>
          <w:lang w:val="en-US" w:eastAsia="zh-CN"/>
        </w:rPr>
        <w:t>产品类型管理</w:t>
      </w:r>
      <w:bookmarkEnd w:id="77"/>
    </w:p>
    <w:p w14:paraId="029BDFB0">
      <w:pPr>
        <w:rPr>
          <w:b w:val="0"/>
          <w:bCs w:val="0"/>
        </w:rPr>
      </w:pPr>
      <w:r>
        <w:drawing>
          <wp:inline distT="0" distB="0" distL="114300" distR="114300">
            <wp:extent cx="5900420" cy="2925445"/>
            <wp:effectExtent l="0" t="0" r="5080" b="8255"/>
            <wp:docPr id="93"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47"/>
                    <pic:cNvPicPr>
                      <a:picLocks noChangeAspect="1"/>
                    </pic:cNvPicPr>
                  </pic:nvPicPr>
                  <pic:blipFill>
                    <a:blip r:embed="rId105"/>
                    <a:stretch>
                      <a:fillRect/>
                    </a:stretch>
                  </pic:blipFill>
                  <pic:spPr>
                    <a:xfrm>
                      <a:off x="0" y="0"/>
                      <a:ext cx="5900420" cy="2925445"/>
                    </a:xfrm>
                    <a:prstGeom prst="rect">
                      <a:avLst/>
                    </a:prstGeom>
                    <a:noFill/>
                    <a:ln>
                      <a:noFill/>
                    </a:ln>
                  </pic:spPr>
                </pic:pic>
              </a:graphicData>
            </a:graphic>
          </wp:inline>
        </w:drawing>
      </w:r>
    </w:p>
    <w:p w14:paraId="398B8FF4">
      <w:pPr>
        <w:pStyle w:val="6"/>
        <w:numPr>
          <w:ilvl w:val="0"/>
          <w:numId w:val="223"/>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74004011">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702F746A">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・功能定位</w:t>
            </w:r>
            <w:r>
              <w:rPr>
                <w:rFonts w:ascii="宋体" w:hAnsi="宋体" w:eastAsia="宋体" w:cs="宋体"/>
                <w:sz w:val="24"/>
                <w:szCs w:val="24"/>
              </w:rPr>
              <w:t xml:space="preserve">：作为生产数据维护模块下产品分类主数据管理单元，采用一级大类、二级中类两级层级体系维护产品类型编码、名称、所属产业及计量单位，支持产品类型新增、信息编辑与数据导出，为产品产量统计、单位产品能耗核算、产品碳足迹核算提供标准化产品分类主数据，是生产与碳数据精细化统计的前置基础依赖。 </w:t>
            </w:r>
          </w:p>
          <w:p w14:paraId="58CE64A4">
            <w:pPr>
              <w:pStyle w:val="19"/>
              <w:bidi w:val="0"/>
              <w:ind w:left="0" w:leftChars="0" w:firstLine="0" w:firstLineChars="0"/>
              <w:rPr>
                <w:b w:val="0"/>
                <w:bCs w:val="0"/>
              </w:rPr>
            </w:pPr>
            <w:r>
              <w:rPr>
                <w:rFonts w:ascii="宋体" w:hAnsi="宋体" w:eastAsia="宋体" w:cs="宋体"/>
                <w:b/>
                <w:bCs/>
                <w:sz w:val="24"/>
                <w:szCs w:val="24"/>
              </w:rPr>
              <w:t>・承载角色</w:t>
            </w:r>
            <w:r>
              <w:rPr>
                <w:rFonts w:ascii="宋体" w:hAnsi="宋体" w:eastAsia="宋体" w:cs="宋体"/>
                <w:sz w:val="24"/>
                <w:szCs w:val="24"/>
              </w:rPr>
              <w:t>：PM 系统管理员（全量产品类型新增、分类信息维护、层级管理与数据导出）。</w:t>
            </w:r>
          </w:p>
        </w:tc>
      </w:tr>
    </w:tbl>
    <w:p w14:paraId="3AE20387">
      <w:pPr>
        <w:rPr>
          <w:b w:val="0"/>
          <w:bCs w:val="0"/>
        </w:rPr>
      </w:pPr>
    </w:p>
    <w:p w14:paraId="1FF2145A">
      <w:pPr>
        <w:pStyle w:val="6"/>
        <w:numPr>
          <w:ilvl w:val="0"/>
          <w:numId w:val="223"/>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B098700">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7C55A1D5">
            <w:pPr>
              <w:pStyle w:val="19"/>
              <w:bidi w:val="0"/>
              <w:ind w:left="0" w:leftChars="0" w:firstLine="0" w:firstLineChars="0"/>
            </w:pPr>
            <w:r>
              <w:rPr>
                <w:b/>
                <w:bCs/>
                <w:lang w:val="en-US" w:eastAsia="zh-CN"/>
              </w:rPr>
              <w:t>业务场景</w:t>
            </w:r>
            <w:r>
              <w:rPr>
                <w:lang w:val="en-US" w:eastAsia="zh-CN"/>
              </w:rPr>
              <w:t>：面向系统管理员进行产品分类主数据标准化管控场景，搭建集团统一产品分类体系，支撑产值能耗与产品碳核算统计。</w:t>
            </w:r>
          </w:p>
          <w:p w14:paraId="52C3A24E">
            <w:pPr>
              <w:pStyle w:val="19"/>
              <w:bidi w:val="0"/>
              <w:ind w:left="0" w:leftChars="0" w:firstLine="0" w:firstLineChars="0"/>
            </w:pPr>
            <w:r>
              <w:rPr>
                <w:b/>
                <w:bCs/>
                <w:lang w:val="en-US" w:eastAsia="zh-CN"/>
              </w:rPr>
              <w:t>用户故事</w:t>
            </w:r>
            <w:r>
              <w:rPr>
                <w:lang w:val="en-US" w:eastAsia="zh-CN"/>
              </w:rPr>
              <w:t>：</w:t>
            </w:r>
          </w:p>
          <w:p w14:paraId="16536194">
            <w:pPr>
              <w:pStyle w:val="19"/>
              <w:bidi w:val="0"/>
            </w:pPr>
            <w:r>
              <w:rPr>
                <w:lang w:val="en-US" w:eastAsia="zh-CN"/>
              </w:rPr>
              <w:t>As a 系统管理员 (Persona PM)，</w:t>
            </w:r>
          </w:p>
          <w:p w14:paraId="44DE0DBE">
            <w:pPr>
              <w:pStyle w:val="19"/>
              <w:bidi w:val="0"/>
            </w:pPr>
            <w:r>
              <w:rPr>
                <w:lang w:val="en-US" w:eastAsia="zh-CN"/>
              </w:rPr>
              <w:t>I want 搭建并维护集团标准化产品类型层级与分类信息，</w:t>
            </w:r>
          </w:p>
          <w:p w14:paraId="431957DD">
            <w:pPr>
              <w:pStyle w:val="19"/>
              <w:bidi w:val="0"/>
            </w:pPr>
            <w:r>
              <w:rPr>
                <w:lang w:val="en-US" w:eastAsia="zh-CN"/>
              </w:rPr>
              <w:t>So that 我能支撑集团万元产值能耗核算、产品碳足迹统计，保障大屏能耗效益指标精准。</w:t>
            </w:r>
          </w:p>
        </w:tc>
      </w:tr>
    </w:tbl>
    <w:p w14:paraId="4BE4AD1E">
      <w:pPr>
        <w:rPr>
          <w:b w:val="0"/>
          <w:bCs w:val="0"/>
        </w:rPr>
      </w:pPr>
    </w:p>
    <w:p w14:paraId="48C3C772">
      <w:pPr>
        <w:pStyle w:val="6"/>
        <w:numPr>
          <w:ilvl w:val="0"/>
          <w:numId w:val="223"/>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3275E4C">
        <w:tblPrEx>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1FCD128D">
            <w:pPr>
              <w:pStyle w:val="19"/>
              <w:numPr>
                <w:ilvl w:val="0"/>
                <w:numId w:val="224"/>
              </w:numPr>
              <w:bidi w:val="0"/>
              <w:rPr>
                <w:rFonts w:hint="default" w:eastAsia="宋体"/>
                <w:b w:val="0"/>
                <w:bCs w:val="0"/>
                <w:lang w:val="en-US" w:eastAsia="zh-CN"/>
              </w:rPr>
            </w:pPr>
            <w:r>
              <w:rPr>
                <w:rFonts w:hint="eastAsia"/>
                <w:b w:val="0"/>
                <w:bCs w:val="0"/>
                <w:lang w:val="en-US" w:eastAsia="zh-CN"/>
              </w:rPr>
              <w:t>选择查询条件，根据条件筛选列表数据；</w:t>
            </w:r>
          </w:p>
          <w:p w14:paraId="4FF0414D">
            <w:pPr>
              <w:pStyle w:val="19"/>
              <w:numPr>
                <w:ilvl w:val="0"/>
                <w:numId w:val="224"/>
              </w:numPr>
              <w:bidi w:val="0"/>
              <w:rPr>
                <w:rFonts w:hint="default" w:eastAsia="宋体"/>
                <w:b w:val="0"/>
                <w:bCs w:val="0"/>
                <w:lang w:val="en-US" w:eastAsia="zh-CN"/>
              </w:rPr>
            </w:pPr>
            <w:r>
              <w:rPr>
                <w:rFonts w:hint="eastAsia"/>
                <w:b w:val="0"/>
                <w:bCs w:val="0"/>
                <w:lang w:val="en-US" w:eastAsia="zh-CN"/>
              </w:rPr>
              <w:t>点击【新增产品类型】打开新增产品类型弹窗；</w:t>
            </w:r>
          </w:p>
          <w:p w14:paraId="76C489EE">
            <w:pPr>
              <w:pStyle w:val="19"/>
              <w:numPr>
                <w:ilvl w:val="0"/>
                <w:numId w:val="224"/>
              </w:numPr>
              <w:bidi w:val="0"/>
              <w:rPr>
                <w:b w:val="0"/>
                <w:bCs w:val="0"/>
              </w:rPr>
            </w:pPr>
            <w:r>
              <w:rPr>
                <w:rFonts w:hint="eastAsia"/>
                <w:b w:val="0"/>
                <w:bCs w:val="0"/>
                <w:lang w:val="en-US" w:eastAsia="zh-CN"/>
              </w:rPr>
              <w:t>点击【导出】按钮，可将列表内数据导出到excel；</w:t>
            </w:r>
          </w:p>
          <w:p w14:paraId="2277EA1D">
            <w:pPr>
              <w:pStyle w:val="19"/>
              <w:numPr>
                <w:ilvl w:val="0"/>
                <w:numId w:val="224"/>
              </w:numPr>
              <w:bidi w:val="0"/>
              <w:rPr>
                <w:b w:val="0"/>
                <w:bCs w:val="0"/>
              </w:rPr>
            </w:pPr>
            <w:r>
              <w:rPr>
                <w:rFonts w:hint="eastAsia"/>
                <w:b w:val="0"/>
                <w:bCs w:val="0"/>
                <w:lang w:val="en-US" w:eastAsia="zh-CN"/>
              </w:rPr>
              <w:t>点击【编辑】打开编辑窗口；</w:t>
            </w:r>
          </w:p>
          <w:p w14:paraId="6BF915EB">
            <w:pPr>
              <w:pStyle w:val="19"/>
              <w:numPr>
                <w:ilvl w:val="0"/>
                <w:numId w:val="224"/>
              </w:numPr>
              <w:bidi w:val="0"/>
              <w:rPr>
                <w:b w:val="0"/>
                <w:bCs w:val="0"/>
              </w:rPr>
            </w:pPr>
            <w:r>
              <w:rPr>
                <w:rFonts w:hint="eastAsia"/>
                <w:b w:val="0"/>
                <w:bCs w:val="0"/>
                <w:lang w:val="en-US" w:eastAsia="zh-CN"/>
              </w:rPr>
              <w:t>点击【删除】打开弹窗，点击取消后关闭弹窗，点击确定后关闭弹窗并删除数据；</w:t>
            </w:r>
          </w:p>
        </w:tc>
      </w:tr>
    </w:tbl>
    <w:p w14:paraId="3B6C62F6">
      <w:pPr>
        <w:rPr>
          <w:b w:val="0"/>
          <w:bCs w:val="0"/>
        </w:rPr>
      </w:pPr>
    </w:p>
    <w:p w14:paraId="3D938F63">
      <w:pPr>
        <w:pStyle w:val="6"/>
        <w:numPr>
          <w:ilvl w:val="0"/>
          <w:numId w:val="223"/>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5FC6585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5FC8756">
            <w:pPr>
              <w:pStyle w:val="19"/>
              <w:bidi w:val="0"/>
              <w:spacing w:line="240" w:lineRule="auto"/>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39CFB8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A010E8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E847D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E8D350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校验与约束规则</w:t>
            </w:r>
          </w:p>
        </w:tc>
      </w:tr>
      <w:tr w14:paraId="50502BD8">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7CFED2">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A46B48">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类型层级</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B8CE6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62876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CE3DA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6715442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02EB8D">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ADFC6C">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类型编码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454D8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451F5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A3405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6ACC628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60FF98">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77AE4DF">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类型名称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97DDD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AE121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AF175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0BE0870E">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F159BC">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CAF01E">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所属1级大类</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F83A6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66400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7F54D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418E6E5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940653">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EB8E66">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所属产业</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6624A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CFC8D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6F3DE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72A705D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9CB02E">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0114C7">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计量单位</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85BE8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975BE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ABCB9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bl>
    <w:p w14:paraId="2FDF7869">
      <w:pPr>
        <w:pStyle w:val="19"/>
        <w:bidi w:val="0"/>
        <w:rPr>
          <w:b w:val="0"/>
          <w:bCs w:val="0"/>
        </w:rPr>
      </w:pPr>
    </w:p>
    <w:p w14:paraId="157A1430">
      <w:pPr>
        <w:pStyle w:val="6"/>
        <w:numPr>
          <w:ilvl w:val="0"/>
          <w:numId w:val="223"/>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15BE2074">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734F6DD1">
            <w:pPr>
              <w:pStyle w:val="19"/>
              <w:bidi w:val="0"/>
              <w:rPr>
                <w:b w:val="0"/>
                <w:bCs w:val="0"/>
              </w:rPr>
            </w:pPr>
            <w:r>
              <w:rPr>
                <w:rFonts w:hint="eastAsia"/>
                <w:lang w:val="en-US" w:eastAsia="zh-CN"/>
              </w:rPr>
              <w:t>无</w:t>
            </w:r>
          </w:p>
        </w:tc>
      </w:tr>
    </w:tbl>
    <w:p w14:paraId="33C1BA37">
      <w:pPr>
        <w:pStyle w:val="19"/>
        <w:bidi w:val="0"/>
        <w:rPr>
          <w:b w:val="0"/>
          <w:bCs w:val="0"/>
        </w:rPr>
      </w:pPr>
    </w:p>
    <w:p w14:paraId="5C2BC307">
      <w:pPr>
        <w:pStyle w:val="6"/>
        <w:numPr>
          <w:ilvl w:val="0"/>
          <w:numId w:val="223"/>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CEE43E7">
        <w:tblPrEx>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04052F2C">
            <w:pPr>
              <w:pStyle w:val="19"/>
              <w:bidi w:val="0"/>
              <w:rPr>
                <w:b w:val="0"/>
                <w:bCs w:val="0"/>
              </w:rPr>
            </w:pPr>
          </w:p>
        </w:tc>
      </w:tr>
    </w:tbl>
    <w:p w14:paraId="08506A6E">
      <w:pPr>
        <w:pStyle w:val="19"/>
        <w:bidi w:val="0"/>
        <w:rPr>
          <w:b w:val="0"/>
          <w:bCs w:val="0"/>
        </w:rPr>
      </w:pPr>
    </w:p>
    <w:p w14:paraId="10FDEE31">
      <w:pPr>
        <w:pStyle w:val="6"/>
        <w:numPr>
          <w:ilvl w:val="0"/>
          <w:numId w:val="223"/>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1E9B6D4">
        <w:tblPrEx>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5F3FF"/>
            <w:tcMar>
              <w:top w:w="70" w:type="dxa"/>
              <w:left w:w="100" w:type="dxa"/>
              <w:bottom w:w="70" w:type="dxa"/>
              <w:right w:w="100" w:type="dxa"/>
            </w:tcMar>
          </w:tcPr>
          <w:p w14:paraId="1A77D480">
            <w:pPr>
              <w:pStyle w:val="19"/>
              <w:bidi w:val="0"/>
              <w:rPr>
                <w:b w:val="0"/>
                <w:bCs w:val="0"/>
              </w:rPr>
            </w:pPr>
          </w:p>
        </w:tc>
      </w:tr>
    </w:tbl>
    <w:p w14:paraId="744D0718">
      <w:pPr>
        <w:rPr>
          <w:b w:val="0"/>
          <w:bCs w:val="0"/>
        </w:rPr>
      </w:pPr>
    </w:p>
    <w:p w14:paraId="57115D91">
      <w:pPr>
        <w:pStyle w:val="6"/>
        <w:numPr>
          <w:ilvl w:val="0"/>
          <w:numId w:val="223"/>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10755348">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0220B668">
            <w:pPr>
              <w:pStyle w:val="19"/>
              <w:bidi w:val="0"/>
              <w:rPr>
                <w:b w:val="0"/>
                <w:bCs w:val="0"/>
              </w:rPr>
            </w:pPr>
          </w:p>
        </w:tc>
      </w:tr>
    </w:tbl>
    <w:p w14:paraId="0BFA5967">
      <w:pPr>
        <w:rPr>
          <w:rFonts w:hint="eastAsia"/>
          <w:b w:val="0"/>
          <w:bCs w:val="0"/>
          <w:lang w:val="en-US" w:eastAsia="zh-CN"/>
        </w:rPr>
      </w:pPr>
    </w:p>
    <w:p w14:paraId="62F469B9">
      <w:pPr>
        <w:pStyle w:val="5"/>
        <w:numPr>
          <w:ilvl w:val="0"/>
          <w:numId w:val="222"/>
        </w:numPr>
        <w:ind w:left="0" w:leftChars="0" w:firstLine="0" w:firstLineChars="0"/>
        <w:outlineLvl w:val="1"/>
        <w:rPr>
          <w:rFonts w:hint="eastAsia"/>
          <w:b w:val="0"/>
          <w:bCs w:val="0"/>
          <w:lang w:val="en-US" w:eastAsia="zh-CN"/>
        </w:rPr>
      </w:pPr>
      <w:bookmarkStart w:id="78" w:name="_Toc29667"/>
      <w:r>
        <w:rPr>
          <w:rFonts w:hint="eastAsia"/>
          <w:b w:val="0"/>
          <w:bCs w:val="0"/>
          <w:lang w:val="en-US" w:eastAsia="zh-CN"/>
        </w:rPr>
        <w:t>产品型号管理</w:t>
      </w:r>
      <w:bookmarkEnd w:id="78"/>
    </w:p>
    <w:p w14:paraId="20668D95">
      <w:pPr>
        <w:rPr>
          <w:b w:val="0"/>
          <w:bCs w:val="0"/>
        </w:rPr>
      </w:pPr>
      <w:r>
        <w:drawing>
          <wp:inline distT="0" distB="0" distL="114300" distR="114300">
            <wp:extent cx="5900420" cy="2925445"/>
            <wp:effectExtent l="0" t="0" r="5080" b="8255"/>
            <wp:docPr id="9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48"/>
                    <pic:cNvPicPr>
                      <a:picLocks noChangeAspect="1"/>
                    </pic:cNvPicPr>
                  </pic:nvPicPr>
                  <pic:blipFill>
                    <a:blip r:embed="rId106"/>
                    <a:stretch>
                      <a:fillRect/>
                    </a:stretch>
                  </pic:blipFill>
                  <pic:spPr>
                    <a:xfrm>
                      <a:off x="0" y="0"/>
                      <a:ext cx="5900420" cy="2925445"/>
                    </a:xfrm>
                    <a:prstGeom prst="rect">
                      <a:avLst/>
                    </a:prstGeom>
                    <a:noFill/>
                    <a:ln>
                      <a:noFill/>
                    </a:ln>
                  </pic:spPr>
                </pic:pic>
              </a:graphicData>
            </a:graphic>
          </wp:inline>
        </w:drawing>
      </w:r>
    </w:p>
    <w:p w14:paraId="20D95F24">
      <w:pPr>
        <w:pStyle w:val="6"/>
        <w:numPr>
          <w:ilvl w:val="0"/>
          <w:numId w:val="225"/>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E363BF6">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3C26A032">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・功能定位</w:t>
            </w:r>
            <w:r>
              <w:rPr>
                <w:rFonts w:ascii="宋体" w:hAnsi="宋体" w:eastAsia="宋体" w:cs="宋体"/>
                <w:sz w:val="24"/>
                <w:szCs w:val="24"/>
              </w:rPr>
              <w:t xml:space="preserve">：作为生产数据维护模块下产品型号主数据管理单元，维护经营单位、制造工厂与产品大类、中类、型号的关联关系，绑定对应生产工序，支持型号新增、批量导入、信息编辑与数据导出，为产品 BOM、工序能耗分摊、单品碳足迹核算提供产品型号基础主数据，是精细化生产与碳核算的前置基础依赖。 </w:t>
            </w:r>
          </w:p>
          <w:p w14:paraId="3DCF2796">
            <w:pPr>
              <w:pStyle w:val="19"/>
              <w:bidi w:val="0"/>
              <w:ind w:left="0" w:leftChars="0" w:firstLine="0" w:firstLineChars="0"/>
              <w:rPr>
                <w:b w:val="0"/>
                <w:bCs w:val="0"/>
              </w:rPr>
            </w:pPr>
            <w:r>
              <w:rPr>
                <w:rFonts w:ascii="宋体" w:hAnsi="宋体" w:eastAsia="宋体" w:cs="宋体"/>
                <w:b/>
                <w:bCs/>
                <w:sz w:val="24"/>
                <w:szCs w:val="24"/>
              </w:rPr>
              <w:t>・承载角色</w:t>
            </w:r>
            <w:r>
              <w:rPr>
                <w:rFonts w:ascii="宋体" w:hAnsi="宋体" w:eastAsia="宋体" w:cs="宋体"/>
                <w:sz w:val="24"/>
                <w:szCs w:val="24"/>
              </w:rPr>
              <w:t>：PM 系统管理员（全量产品型号新增、型号关联信息维护、批量导入导出与数据删除）。</w:t>
            </w:r>
          </w:p>
        </w:tc>
      </w:tr>
    </w:tbl>
    <w:p w14:paraId="7B93C38C">
      <w:pPr>
        <w:rPr>
          <w:b w:val="0"/>
          <w:bCs w:val="0"/>
        </w:rPr>
      </w:pPr>
    </w:p>
    <w:p w14:paraId="376C4DEF">
      <w:pPr>
        <w:pStyle w:val="6"/>
        <w:numPr>
          <w:ilvl w:val="0"/>
          <w:numId w:val="225"/>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CAD10F8">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78F0E74C">
            <w:pPr>
              <w:pStyle w:val="19"/>
              <w:bidi w:val="0"/>
              <w:ind w:left="0" w:leftChars="0" w:firstLine="0" w:firstLineChars="0"/>
            </w:pPr>
            <w:r>
              <w:rPr>
                <w:b/>
                <w:bCs/>
                <w:lang w:val="en-US" w:eastAsia="zh-CN"/>
              </w:rPr>
              <w:t>业务场景</w:t>
            </w:r>
            <w:r>
              <w:rPr>
                <w:lang w:val="en-US" w:eastAsia="zh-CN"/>
              </w:rPr>
              <w:t>：面向系统管理员进行精细化产品主数据管控场景，维护产品型号与工厂、工序的关联关系，支撑单品能耗与碳数据分摊核算。</w:t>
            </w:r>
          </w:p>
          <w:p w14:paraId="1CF52A8B">
            <w:pPr>
              <w:pStyle w:val="19"/>
              <w:bidi w:val="0"/>
              <w:ind w:left="0" w:leftChars="0" w:firstLine="0" w:firstLineChars="0"/>
            </w:pPr>
            <w:r>
              <w:rPr>
                <w:b/>
                <w:bCs/>
                <w:lang w:val="en-US" w:eastAsia="zh-CN"/>
              </w:rPr>
              <w:t>用户故事</w:t>
            </w:r>
            <w:r>
              <w:rPr>
                <w:lang w:val="en-US" w:eastAsia="zh-CN"/>
              </w:rPr>
              <w:t>：</w:t>
            </w:r>
          </w:p>
          <w:p w14:paraId="075D6A7D">
            <w:pPr>
              <w:pStyle w:val="19"/>
              <w:bidi w:val="0"/>
            </w:pPr>
            <w:r>
              <w:rPr>
                <w:lang w:val="en-US" w:eastAsia="zh-CN"/>
              </w:rPr>
              <w:t>As a 系统管理员 (Persona PM)，</w:t>
            </w:r>
          </w:p>
          <w:p w14:paraId="64A2CFAB">
            <w:pPr>
              <w:pStyle w:val="19"/>
              <w:bidi w:val="0"/>
            </w:pPr>
            <w:r>
              <w:rPr>
                <w:lang w:val="en-US" w:eastAsia="zh-CN"/>
              </w:rPr>
              <w:t>I want 维护产品型号关联生产资源与工序信息、批量规范化管理数据，</w:t>
            </w:r>
          </w:p>
          <w:p w14:paraId="23053DA0">
            <w:pPr>
              <w:pStyle w:val="19"/>
              <w:bidi w:val="0"/>
            </w:pPr>
            <w:r>
              <w:rPr>
                <w:lang w:val="en-US" w:eastAsia="zh-CN"/>
              </w:rPr>
              <w:t>So that 我能支撑工序能耗分摊、单品碳核算，夯实集团精细化能碳统计底座。</w:t>
            </w:r>
          </w:p>
        </w:tc>
      </w:tr>
    </w:tbl>
    <w:p w14:paraId="2F8EAFE0">
      <w:pPr>
        <w:rPr>
          <w:b w:val="0"/>
          <w:bCs w:val="0"/>
        </w:rPr>
      </w:pPr>
    </w:p>
    <w:p w14:paraId="1B6C9DA9">
      <w:pPr>
        <w:pStyle w:val="6"/>
        <w:numPr>
          <w:ilvl w:val="0"/>
          <w:numId w:val="225"/>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DC80E85">
        <w:tblPrEx>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3231EC3F">
            <w:pPr>
              <w:pStyle w:val="19"/>
              <w:numPr>
                <w:ilvl w:val="0"/>
                <w:numId w:val="226"/>
              </w:numPr>
              <w:bidi w:val="0"/>
              <w:rPr>
                <w:rFonts w:hint="default" w:eastAsia="宋体"/>
                <w:b w:val="0"/>
                <w:bCs w:val="0"/>
                <w:lang w:val="en-US" w:eastAsia="zh-CN"/>
              </w:rPr>
            </w:pPr>
            <w:r>
              <w:rPr>
                <w:rFonts w:hint="eastAsia"/>
                <w:b w:val="0"/>
                <w:bCs w:val="0"/>
                <w:lang w:val="en-US" w:eastAsia="zh-CN"/>
              </w:rPr>
              <w:t>选择查询条件，根据条件筛选列表数据；</w:t>
            </w:r>
          </w:p>
          <w:p w14:paraId="0A1F9270">
            <w:pPr>
              <w:pStyle w:val="19"/>
              <w:numPr>
                <w:ilvl w:val="0"/>
                <w:numId w:val="226"/>
              </w:numPr>
              <w:bidi w:val="0"/>
              <w:rPr>
                <w:rFonts w:hint="default" w:eastAsia="宋体"/>
                <w:b w:val="0"/>
                <w:bCs w:val="0"/>
                <w:lang w:val="en-US" w:eastAsia="zh-CN"/>
              </w:rPr>
            </w:pPr>
            <w:r>
              <w:rPr>
                <w:rFonts w:hint="eastAsia"/>
                <w:b w:val="0"/>
                <w:bCs w:val="0"/>
                <w:lang w:val="en-US" w:eastAsia="zh-CN"/>
              </w:rPr>
              <w:t>点击【新增型号】打开新增产品型号弹窗；</w:t>
            </w:r>
          </w:p>
          <w:p w14:paraId="0DD925E9">
            <w:pPr>
              <w:pStyle w:val="19"/>
              <w:numPr>
                <w:ilvl w:val="0"/>
                <w:numId w:val="226"/>
              </w:numPr>
              <w:bidi w:val="0"/>
              <w:rPr>
                <w:rFonts w:hint="default" w:eastAsia="宋体"/>
                <w:b w:val="0"/>
                <w:bCs w:val="0"/>
                <w:lang w:val="en-US" w:eastAsia="zh-CN"/>
              </w:rPr>
            </w:pPr>
            <w:r>
              <w:rPr>
                <w:rFonts w:hint="eastAsia"/>
                <w:b w:val="0"/>
                <w:bCs w:val="0"/>
                <w:lang w:val="en-US" w:eastAsia="zh-CN"/>
              </w:rPr>
              <w:t>点击【导入】按钮时打开批量导入产品型号窗口；</w:t>
            </w:r>
          </w:p>
          <w:p w14:paraId="2AC8703F">
            <w:pPr>
              <w:pStyle w:val="19"/>
              <w:numPr>
                <w:ilvl w:val="0"/>
                <w:numId w:val="226"/>
              </w:numPr>
              <w:bidi w:val="0"/>
              <w:rPr>
                <w:b w:val="0"/>
                <w:bCs w:val="0"/>
              </w:rPr>
            </w:pPr>
            <w:r>
              <w:rPr>
                <w:rFonts w:hint="eastAsia"/>
                <w:b w:val="0"/>
                <w:bCs w:val="0"/>
                <w:lang w:val="en-US" w:eastAsia="zh-CN"/>
              </w:rPr>
              <w:t>点击【导出】按钮，可将列表内数据导出到excel；</w:t>
            </w:r>
          </w:p>
          <w:p w14:paraId="4D92C2AF">
            <w:pPr>
              <w:pStyle w:val="19"/>
              <w:numPr>
                <w:ilvl w:val="0"/>
                <w:numId w:val="226"/>
              </w:numPr>
              <w:bidi w:val="0"/>
              <w:rPr>
                <w:b w:val="0"/>
                <w:bCs w:val="0"/>
              </w:rPr>
            </w:pPr>
            <w:r>
              <w:rPr>
                <w:rFonts w:hint="eastAsia"/>
                <w:b w:val="0"/>
                <w:bCs w:val="0"/>
                <w:lang w:val="en-US" w:eastAsia="zh-CN"/>
              </w:rPr>
              <w:t>点击【编辑】打开编辑窗口；</w:t>
            </w:r>
          </w:p>
          <w:p w14:paraId="666E79F8">
            <w:pPr>
              <w:pStyle w:val="19"/>
              <w:numPr>
                <w:ilvl w:val="0"/>
                <w:numId w:val="226"/>
              </w:numPr>
              <w:bidi w:val="0"/>
              <w:rPr>
                <w:b w:val="0"/>
                <w:bCs w:val="0"/>
              </w:rPr>
            </w:pPr>
            <w:r>
              <w:rPr>
                <w:rFonts w:hint="eastAsia"/>
                <w:b w:val="0"/>
                <w:bCs w:val="0"/>
                <w:lang w:val="en-US" w:eastAsia="zh-CN"/>
              </w:rPr>
              <w:t>点击【删除】打开弹窗，点击取消后关闭弹窗，点击确定后关闭弹窗并删除数据；</w:t>
            </w:r>
          </w:p>
        </w:tc>
      </w:tr>
    </w:tbl>
    <w:p w14:paraId="1E30D3AA">
      <w:pPr>
        <w:rPr>
          <w:b w:val="0"/>
          <w:bCs w:val="0"/>
        </w:rPr>
      </w:pPr>
    </w:p>
    <w:p w14:paraId="01D86D6E">
      <w:pPr>
        <w:pStyle w:val="6"/>
        <w:numPr>
          <w:ilvl w:val="0"/>
          <w:numId w:val="225"/>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2A1F53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F28165">
            <w:pPr>
              <w:pStyle w:val="19"/>
              <w:bidi w:val="0"/>
              <w:spacing w:line="240" w:lineRule="auto"/>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45F5A1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540AF8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F3862F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397EE0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校验与约束规则</w:t>
            </w:r>
          </w:p>
        </w:tc>
      </w:tr>
      <w:tr w14:paraId="10DD4008">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C5F065">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B5A3FB">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经营单位</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45CFA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20F39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C1CEA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5426849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311008">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CB415F">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制造工厂</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8333E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C788D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36DEF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7FC91B23">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F73451">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515EBC">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产品大类</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5FA89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0DD52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42DAD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0032F799">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0A2BD1">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BCAD6B">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大类编码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6BA2A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21264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B2335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112BFC3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FFAB97">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85222B">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产品中类</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26632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2BA95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BC68A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7D53EBA0">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5A58F1">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EF1B3E">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中类编码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EE695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53AB9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D6833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bl>
    <w:p w14:paraId="6332877C">
      <w:pPr>
        <w:pStyle w:val="19"/>
        <w:bidi w:val="0"/>
        <w:rPr>
          <w:b w:val="0"/>
          <w:bCs w:val="0"/>
        </w:rPr>
      </w:pPr>
    </w:p>
    <w:p w14:paraId="5DE4B270">
      <w:pPr>
        <w:pStyle w:val="6"/>
        <w:numPr>
          <w:ilvl w:val="0"/>
          <w:numId w:val="225"/>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680F204C">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1934D1AD">
            <w:pPr>
              <w:pStyle w:val="19"/>
              <w:bidi w:val="0"/>
              <w:rPr>
                <w:b w:val="0"/>
                <w:bCs w:val="0"/>
              </w:rPr>
            </w:pPr>
            <w:r>
              <w:rPr>
                <w:rFonts w:hint="eastAsia"/>
                <w:lang w:val="en-US" w:eastAsia="zh-CN"/>
              </w:rPr>
              <w:t>无</w:t>
            </w:r>
          </w:p>
        </w:tc>
      </w:tr>
    </w:tbl>
    <w:p w14:paraId="5B91B827">
      <w:pPr>
        <w:pStyle w:val="19"/>
        <w:bidi w:val="0"/>
        <w:rPr>
          <w:b w:val="0"/>
          <w:bCs w:val="0"/>
        </w:rPr>
      </w:pPr>
    </w:p>
    <w:p w14:paraId="5FD56E10">
      <w:pPr>
        <w:pStyle w:val="6"/>
        <w:numPr>
          <w:ilvl w:val="0"/>
          <w:numId w:val="225"/>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068F67C">
        <w:tblPrEx>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41C66DA3">
            <w:pPr>
              <w:pStyle w:val="19"/>
              <w:bidi w:val="0"/>
              <w:rPr>
                <w:b w:val="0"/>
                <w:bCs w:val="0"/>
              </w:rPr>
            </w:pPr>
          </w:p>
        </w:tc>
      </w:tr>
    </w:tbl>
    <w:p w14:paraId="1B85C771">
      <w:pPr>
        <w:pStyle w:val="19"/>
        <w:bidi w:val="0"/>
        <w:rPr>
          <w:b w:val="0"/>
          <w:bCs w:val="0"/>
        </w:rPr>
      </w:pPr>
    </w:p>
    <w:p w14:paraId="6AF6EA47">
      <w:pPr>
        <w:pStyle w:val="6"/>
        <w:numPr>
          <w:ilvl w:val="0"/>
          <w:numId w:val="225"/>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9CA9B45">
        <w:tblPrEx>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5F3FF"/>
            <w:tcMar>
              <w:top w:w="70" w:type="dxa"/>
              <w:left w:w="100" w:type="dxa"/>
              <w:bottom w:w="70" w:type="dxa"/>
              <w:right w:w="100" w:type="dxa"/>
            </w:tcMar>
          </w:tcPr>
          <w:p w14:paraId="5ABA7AD5">
            <w:pPr>
              <w:pStyle w:val="19"/>
              <w:bidi w:val="0"/>
              <w:rPr>
                <w:b w:val="0"/>
                <w:bCs w:val="0"/>
              </w:rPr>
            </w:pPr>
          </w:p>
        </w:tc>
      </w:tr>
    </w:tbl>
    <w:p w14:paraId="1B5AB74B">
      <w:pPr>
        <w:rPr>
          <w:b w:val="0"/>
          <w:bCs w:val="0"/>
        </w:rPr>
      </w:pPr>
    </w:p>
    <w:p w14:paraId="4493F238">
      <w:pPr>
        <w:pStyle w:val="6"/>
        <w:numPr>
          <w:ilvl w:val="0"/>
          <w:numId w:val="225"/>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3962A241">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501C36E3">
            <w:pPr>
              <w:pStyle w:val="19"/>
              <w:bidi w:val="0"/>
              <w:rPr>
                <w:b w:val="0"/>
                <w:bCs w:val="0"/>
              </w:rPr>
            </w:pPr>
          </w:p>
        </w:tc>
      </w:tr>
    </w:tbl>
    <w:p w14:paraId="63544A91">
      <w:pPr>
        <w:rPr>
          <w:rFonts w:hint="eastAsia"/>
          <w:b w:val="0"/>
          <w:bCs w:val="0"/>
          <w:lang w:val="en-US" w:eastAsia="zh-CN"/>
        </w:rPr>
      </w:pPr>
    </w:p>
    <w:p w14:paraId="709F5715">
      <w:pPr>
        <w:pStyle w:val="5"/>
        <w:numPr>
          <w:ilvl w:val="0"/>
          <w:numId w:val="222"/>
        </w:numPr>
        <w:ind w:left="0" w:leftChars="0" w:firstLine="0" w:firstLineChars="0"/>
        <w:outlineLvl w:val="1"/>
        <w:rPr>
          <w:rFonts w:hint="eastAsia"/>
          <w:b w:val="0"/>
          <w:bCs w:val="0"/>
          <w:lang w:val="en-US" w:eastAsia="zh-CN"/>
        </w:rPr>
      </w:pPr>
      <w:bookmarkStart w:id="79" w:name="_Toc15573"/>
      <w:r>
        <w:rPr>
          <w:rFonts w:hint="eastAsia"/>
          <w:b w:val="0"/>
          <w:bCs w:val="0"/>
          <w:lang w:val="en-US" w:eastAsia="zh-CN"/>
        </w:rPr>
        <w:t>基础数据管理</w:t>
      </w:r>
      <w:bookmarkEnd w:id="79"/>
    </w:p>
    <w:p w14:paraId="7A736ADE">
      <w:pPr>
        <w:rPr>
          <w:b w:val="0"/>
          <w:bCs w:val="0"/>
        </w:rPr>
      </w:pPr>
      <w:r>
        <w:drawing>
          <wp:inline distT="0" distB="0" distL="114300" distR="114300">
            <wp:extent cx="5900420" cy="2925445"/>
            <wp:effectExtent l="0" t="0" r="5080" b="8255"/>
            <wp:docPr id="95"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49"/>
                    <pic:cNvPicPr>
                      <a:picLocks noChangeAspect="1"/>
                    </pic:cNvPicPr>
                  </pic:nvPicPr>
                  <pic:blipFill>
                    <a:blip r:embed="rId107"/>
                    <a:stretch>
                      <a:fillRect/>
                    </a:stretch>
                  </pic:blipFill>
                  <pic:spPr>
                    <a:xfrm>
                      <a:off x="0" y="0"/>
                      <a:ext cx="5900420" cy="2925445"/>
                    </a:xfrm>
                    <a:prstGeom prst="rect">
                      <a:avLst/>
                    </a:prstGeom>
                    <a:noFill/>
                    <a:ln>
                      <a:noFill/>
                    </a:ln>
                  </pic:spPr>
                </pic:pic>
              </a:graphicData>
            </a:graphic>
          </wp:inline>
        </w:drawing>
      </w:r>
    </w:p>
    <w:p w14:paraId="11ECF234">
      <w:pPr>
        <w:pStyle w:val="6"/>
        <w:numPr>
          <w:ilvl w:val="0"/>
          <w:numId w:val="227"/>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296A13F0">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PrEx>
        <w:trPr>
          <w:jc w:val="center"/>
        </w:trPr>
        <w:tc>
          <w:tcPr>
            <w:tcW w:w="9648" w:type="dxa"/>
            <w:tcBorders>
              <w:tl2br w:val="nil"/>
              <w:tr2bl w:val="nil"/>
            </w:tcBorders>
            <w:shd w:val="clear" w:color="auto" w:fill="F0FDF4"/>
            <w:tcMar>
              <w:top w:w="70" w:type="dxa"/>
              <w:left w:w="100" w:type="dxa"/>
              <w:bottom w:w="70" w:type="dxa"/>
              <w:right w:w="100" w:type="dxa"/>
            </w:tcMar>
          </w:tcPr>
          <w:p w14:paraId="1FCABD59">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・功能定位</w:t>
            </w:r>
            <w:r>
              <w:rPr>
                <w:rFonts w:ascii="宋体" w:hAnsi="宋体" w:eastAsia="宋体" w:cs="宋体"/>
                <w:sz w:val="24"/>
                <w:szCs w:val="24"/>
              </w:rPr>
              <w:t xml:space="preserve">：作为生产数据维护模块下指标主数据管理单元，统一维护各类能源、统计指标的代码、名称、业务分类、计量单位、数据来源、集成方式与采集频率，支持基础数据项新增、参数编辑与数据导出，为平台数据采集、指标计算、报表统计提供标准化指标字典，是平台数据接入与统一口径管理的核心基础依赖。 </w:t>
            </w:r>
          </w:p>
          <w:p w14:paraId="37D045C1">
            <w:pPr>
              <w:pStyle w:val="19"/>
              <w:bidi w:val="0"/>
              <w:ind w:left="0" w:leftChars="0" w:firstLine="0" w:firstLineChars="0"/>
              <w:rPr>
                <w:b w:val="0"/>
                <w:bCs w:val="0"/>
              </w:rPr>
            </w:pPr>
            <w:r>
              <w:rPr>
                <w:rFonts w:ascii="宋体" w:hAnsi="宋体" w:eastAsia="宋体" w:cs="宋体"/>
                <w:b/>
                <w:bCs/>
                <w:sz w:val="24"/>
                <w:szCs w:val="24"/>
              </w:rPr>
              <w:t>・承载角色</w:t>
            </w:r>
            <w:r>
              <w:rPr>
                <w:rFonts w:ascii="宋体" w:hAnsi="宋体" w:eastAsia="宋体" w:cs="宋体"/>
                <w:sz w:val="24"/>
                <w:szCs w:val="24"/>
              </w:rPr>
              <w:t>：PM 系统管理员（全量基础数据项新增、指标属性维护、字典管理与数据导出）。</w:t>
            </w:r>
          </w:p>
        </w:tc>
      </w:tr>
    </w:tbl>
    <w:p w14:paraId="71F3C4E2">
      <w:pPr>
        <w:rPr>
          <w:b w:val="0"/>
          <w:bCs w:val="0"/>
        </w:rPr>
      </w:pPr>
    </w:p>
    <w:p w14:paraId="5B902985">
      <w:pPr>
        <w:pStyle w:val="6"/>
        <w:numPr>
          <w:ilvl w:val="0"/>
          <w:numId w:val="227"/>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3E053C56">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60E86A8F">
            <w:pPr>
              <w:pStyle w:val="19"/>
              <w:bidi w:val="0"/>
              <w:ind w:left="0" w:leftChars="0" w:firstLine="0" w:firstLineChars="0"/>
            </w:pPr>
            <w:r>
              <w:rPr>
                <w:b/>
                <w:bCs/>
                <w:lang w:val="en-US" w:eastAsia="zh-CN"/>
              </w:rPr>
              <w:t>业务场景</w:t>
            </w:r>
            <w:r>
              <w:rPr>
                <w:lang w:val="en-US" w:eastAsia="zh-CN"/>
              </w:rPr>
              <w:t>：面向系统管理员进行平台指标字典统一管控场景，标准化所有能碳统计指标、采集规则与数据口径，实现全平台数据统一治理。</w:t>
            </w:r>
          </w:p>
          <w:p w14:paraId="698CACA4">
            <w:pPr>
              <w:pStyle w:val="19"/>
              <w:bidi w:val="0"/>
              <w:ind w:left="0" w:leftChars="0" w:firstLine="0" w:firstLineChars="0"/>
            </w:pPr>
            <w:r>
              <w:rPr>
                <w:b/>
                <w:bCs/>
                <w:lang w:val="en-US" w:eastAsia="zh-CN"/>
              </w:rPr>
              <w:t>用户故事</w:t>
            </w:r>
            <w:r>
              <w:rPr>
                <w:lang w:val="en-US" w:eastAsia="zh-CN"/>
              </w:rPr>
              <w:t>：</w:t>
            </w:r>
          </w:p>
          <w:p w14:paraId="5BBBA5F7">
            <w:pPr>
              <w:pStyle w:val="19"/>
              <w:bidi w:val="0"/>
            </w:pPr>
            <w:r>
              <w:rPr>
                <w:lang w:val="en-US" w:eastAsia="zh-CN"/>
              </w:rPr>
              <w:t>As a 系统管理员 (Persona PM)，</w:t>
            </w:r>
          </w:p>
          <w:p w14:paraId="7FBD50FD">
            <w:pPr>
              <w:pStyle w:val="19"/>
              <w:bidi w:val="0"/>
            </w:pPr>
            <w:r>
              <w:rPr>
                <w:lang w:val="en-US" w:eastAsia="zh-CN"/>
              </w:rPr>
              <w:t>I want 统一维护平台指标编码、口径、采集规则与元数据信息，</w:t>
            </w:r>
          </w:p>
          <w:p w14:paraId="3CED4418">
            <w:pPr>
              <w:pStyle w:val="19"/>
              <w:bidi w:val="0"/>
            </w:pPr>
            <w:r>
              <w:rPr>
                <w:lang w:val="en-US" w:eastAsia="zh-CN"/>
              </w:rPr>
              <w:t>So that 我能实现全平台能碳数据标准化接入，保障大屏实时指标、统计数据口径一致。</w:t>
            </w:r>
          </w:p>
        </w:tc>
      </w:tr>
    </w:tbl>
    <w:p w14:paraId="407199FD">
      <w:pPr>
        <w:rPr>
          <w:b w:val="0"/>
          <w:bCs w:val="0"/>
        </w:rPr>
      </w:pPr>
    </w:p>
    <w:p w14:paraId="5F9A88C9">
      <w:pPr>
        <w:pStyle w:val="6"/>
        <w:numPr>
          <w:ilvl w:val="0"/>
          <w:numId w:val="227"/>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263A6AE4">
        <w:tblPrEx>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2EE791E7">
            <w:pPr>
              <w:pStyle w:val="19"/>
              <w:numPr>
                <w:ilvl w:val="0"/>
                <w:numId w:val="228"/>
              </w:numPr>
              <w:bidi w:val="0"/>
              <w:rPr>
                <w:rFonts w:hint="default" w:eastAsia="宋体"/>
                <w:b w:val="0"/>
                <w:bCs w:val="0"/>
                <w:lang w:val="en-US" w:eastAsia="zh-CN"/>
              </w:rPr>
            </w:pPr>
            <w:r>
              <w:rPr>
                <w:rFonts w:hint="eastAsia"/>
                <w:b w:val="0"/>
                <w:bCs w:val="0"/>
                <w:lang w:val="en-US" w:eastAsia="zh-CN"/>
              </w:rPr>
              <w:t>选择查询条件，根据条件筛选列表数据；</w:t>
            </w:r>
          </w:p>
          <w:p w14:paraId="75943651">
            <w:pPr>
              <w:pStyle w:val="19"/>
              <w:numPr>
                <w:ilvl w:val="0"/>
                <w:numId w:val="228"/>
              </w:numPr>
              <w:bidi w:val="0"/>
              <w:rPr>
                <w:rFonts w:hint="default" w:eastAsia="宋体"/>
                <w:b w:val="0"/>
                <w:bCs w:val="0"/>
                <w:lang w:val="en-US" w:eastAsia="zh-CN"/>
              </w:rPr>
            </w:pPr>
            <w:r>
              <w:rPr>
                <w:rFonts w:hint="eastAsia"/>
                <w:b w:val="0"/>
                <w:bCs w:val="0"/>
                <w:lang w:val="en-US" w:eastAsia="zh-CN"/>
              </w:rPr>
              <w:t>点击【新增基础数据项】打开新增基础数据项弹窗；</w:t>
            </w:r>
          </w:p>
          <w:p w14:paraId="5D06FD0B">
            <w:pPr>
              <w:pStyle w:val="19"/>
              <w:numPr>
                <w:ilvl w:val="0"/>
                <w:numId w:val="228"/>
              </w:numPr>
              <w:bidi w:val="0"/>
              <w:rPr>
                <w:b w:val="0"/>
                <w:bCs w:val="0"/>
              </w:rPr>
            </w:pPr>
            <w:r>
              <w:rPr>
                <w:rFonts w:hint="eastAsia"/>
                <w:b w:val="0"/>
                <w:bCs w:val="0"/>
                <w:lang w:val="en-US" w:eastAsia="zh-CN"/>
              </w:rPr>
              <w:t>点击【导出】按钮，可将列表内数据导出到excel；</w:t>
            </w:r>
          </w:p>
          <w:p w14:paraId="5705DB29">
            <w:pPr>
              <w:pStyle w:val="19"/>
              <w:numPr>
                <w:ilvl w:val="0"/>
                <w:numId w:val="228"/>
              </w:numPr>
              <w:bidi w:val="0"/>
              <w:rPr>
                <w:b w:val="0"/>
                <w:bCs w:val="0"/>
              </w:rPr>
            </w:pPr>
            <w:r>
              <w:rPr>
                <w:rFonts w:hint="eastAsia"/>
                <w:b w:val="0"/>
                <w:bCs w:val="0"/>
                <w:lang w:val="en-US" w:eastAsia="zh-CN"/>
              </w:rPr>
              <w:t>点击【编辑】打开编辑窗口；</w:t>
            </w:r>
          </w:p>
          <w:p w14:paraId="27261BB0">
            <w:pPr>
              <w:pStyle w:val="19"/>
              <w:numPr>
                <w:ilvl w:val="0"/>
                <w:numId w:val="228"/>
              </w:numPr>
              <w:bidi w:val="0"/>
              <w:rPr>
                <w:b w:val="0"/>
                <w:bCs w:val="0"/>
              </w:rPr>
            </w:pPr>
            <w:r>
              <w:rPr>
                <w:rFonts w:hint="eastAsia"/>
                <w:b w:val="0"/>
                <w:bCs w:val="0"/>
                <w:lang w:val="en-US" w:eastAsia="zh-CN"/>
              </w:rPr>
              <w:t>点击【删除】打开弹窗，点击取消后关闭弹窗，点击确定后关闭弹窗并删除数据；</w:t>
            </w:r>
          </w:p>
        </w:tc>
      </w:tr>
    </w:tbl>
    <w:p w14:paraId="2B9C0BBE">
      <w:pPr>
        <w:rPr>
          <w:b w:val="0"/>
          <w:bCs w:val="0"/>
        </w:rPr>
      </w:pPr>
    </w:p>
    <w:p w14:paraId="6F7B9756">
      <w:pPr>
        <w:pStyle w:val="6"/>
        <w:numPr>
          <w:ilvl w:val="0"/>
          <w:numId w:val="227"/>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51061D52">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6D8C32D">
            <w:pPr>
              <w:pStyle w:val="19"/>
              <w:bidi w:val="0"/>
              <w:spacing w:line="240" w:lineRule="auto"/>
              <w:ind w:left="0" w:leftChars="0" w:right="0" w:rightChars="0" w:firstLine="0" w:firstLineChars="0"/>
              <w:jc w:val="center"/>
              <w:rPr>
                <w:b w:val="0"/>
                <w:bCs w:val="0"/>
                <w:sz w:val="24"/>
                <w:szCs w:val="24"/>
              </w:rPr>
            </w:pPr>
            <w:r>
              <w:rPr>
                <w:b w:val="0"/>
                <w:bCs w:val="0"/>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2D2042">
            <w:pPr>
              <w:pStyle w:val="19"/>
              <w:bidi w:val="0"/>
              <w:spacing w:line="240" w:lineRule="auto"/>
              <w:ind w:left="0" w:leftChars="0" w:right="0" w:rightChars="0" w:firstLine="0" w:firstLineChars="0"/>
              <w:jc w:val="both"/>
              <w:rPr>
                <w:b w:val="0"/>
                <w:bCs w:val="0"/>
                <w:sz w:val="24"/>
                <w:szCs w:val="24"/>
              </w:rPr>
            </w:pPr>
            <w:r>
              <w:rPr>
                <w:b w:val="0"/>
                <w:bCs w:val="0"/>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8C7CC0">
            <w:pPr>
              <w:pStyle w:val="19"/>
              <w:bidi w:val="0"/>
              <w:spacing w:line="240" w:lineRule="auto"/>
              <w:ind w:left="0" w:leftChars="0" w:right="0" w:rightChars="0" w:firstLine="0" w:firstLineChars="0"/>
              <w:jc w:val="both"/>
              <w:rPr>
                <w:b w:val="0"/>
                <w:bCs w:val="0"/>
                <w:sz w:val="24"/>
                <w:szCs w:val="24"/>
              </w:rPr>
            </w:pPr>
            <w:r>
              <w:rPr>
                <w:b w:val="0"/>
                <w:bCs w:val="0"/>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A2A43C9">
            <w:pPr>
              <w:pStyle w:val="19"/>
              <w:bidi w:val="0"/>
              <w:spacing w:line="240" w:lineRule="auto"/>
              <w:ind w:left="0" w:leftChars="0" w:right="0" w:rightChars="0" w:firstLine="0" w:firstLineChars="0"/>
              <w:jc w:val="both"/>
              <w:rPr>
                <w:b w:val="0"/>
                <w:bCs w:val="0"/>
                <w:sz w:val="24"/>
                <w:szCs w:val="24"/>
              </w:rPr>
            </w:pPr>
            <w:r>
              <w:rPr>
                <w:b w:val="0"/>
                <w:bCs w:val="0"/>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94D9CF3">
            <w:pPr>
              <w:pStyle w:val="19"/>
              <w:bidi w:val="0"/>
              <w:spacing w:line="240" w:lineRule="auto"/>
              <w:ind w:left="0" w:leftChars="0" w:right="0" w:rightChars="0" w:firstLine="0" w:firstLineChars="0"/>
              <w:jc w:val="both"/>
              <w:rPr>
                <w:b w:val="0"/>
                <w:bCs w:val="0"/>
                <w:sz w:val="24"/>
                <w:szCs w:val="24"/>
              </w:rPr>
            </w:pPr>
            <w:r>
              <w:rPr>
                <w:b w:val="0"/>
                <w:bCs w:val="0"/>
                <w:sz w:val="24"/>
                <w:szCs w:val="24"/>
              </w:rPr>
              <w:t>校验与约束规则</w:t>
            </w:r>
          </w:p>
        </w:tc>
      </w:tr>
      <w:tr w14:paraId="00271C1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F9EEA1">
            <w:pPr>
              <w:pStyle w:val="19"/>
              <w:bidi w:val="0"/>
              <w:spacing w:line="240" w:lineRule="auto"/>
              <w:ind w:left="0" w:leftChars="0" w:right="0" w:rightChars="0" w:firstLine="0" w:firstLineChars="0"/>
              <w:jc w:val="center"/>
              <w:rPr>
                <w:rFonts w:hint="eastAsia" w:eastAsia="宋体"/>
                <w:b w:val="0"/>
                <w:bCs w:val="0"/>
                <w:sz w:val="24"/>
                <w:szCs w:val="24"/>
                <w:lang w:val="en-US" w:eastAsia="zh-CN"/>
              </w:rPr>
            </w:pPr>
            <w:r>
              <w:rPr>
                <w:rFonts w:hint="eastAsia"/>
                <w:b w:val="0"/>
                <w:bCs w:val="0"/>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AF5EB3">
            <w:pPr>
              <w:bidi w:val="0"/>
              <w:spacing w:line="240" w:lineRule="auto"/>
              <w:ind w:left="0" w:leftChars="0" w:right="0" w:rightChars="0" w:firstLine="0" w:firstLineChars="0"/>
              <w:jc w:val="both"/>
              <w:rPr>
                <w:b w:val="0"/>
                <w:bCs w:val="0"/>
                <w:sz w:val="24"/>
                <w:szCs w:val="24"/>
              </w:rPr>
            </w:pPr>
            <w:r>
              <w:rPr>
                <w:rFonts w:hint="eastAsia"/>
                <w:sz w:val="24"/>
                <w:szCs w:val="24"/>
              </w:rPr>
              <w:t>数据项名称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00C574">
            <w:pPr>
              <w:pStyle w:val="19"/>
              <w:bidi w:val="0"/>
              <w:spacing w:line="240" w:lineRule="auto"/>
              <w:ind w:left="0" w:leftChars="0" w:right="0" w:rightChars="0" w:firstLine="0" w:firstLineChars="0"/>
              <w:jc w:val="both"/>
              <w:rPr>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F1655A">
            <w:pPr>
              <w:pStyle w:val="19"/>
              <w:bidi w:val="0"/>
              <w:spacing w:line="240" w:lineRule="auto"/>
              <w:ind w:left="0" w:leftChars="0" w:right="0" w:rightChars="0" w:firstLine="0" w:firstLineChars="0"/>
              <w:jc w:val="both"/>
              <w:rPr>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360E3C">
            <w:pPr>
              <w:pStyle w:val="19"/>
              <w:bidi w:val="0"/>
              <w:spacing w:line="240" w:lineRule="auto"/>
              <w:ind w:left="0" w:leftChars="0" w:right="0" w:rightChars="0" w:firstLine="0" w:firstLineChars="0"/>
              <w:jc w:val="both"/>
              <w:rPr>
                <w:b w:val="0"/>
                <w:bCs w:val="0"/>
                <w:sz w:val="24"/>
                <w:szCs w:val="24"/>
              </w:rPr>
            </w:pPr>
          </w:p>
        </w:tc>
      </w:tr>
      <w:tr w14:paraId="6D154B2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F802F2">
            <w:pPr>
              <w:pStyle w:val="19"/>
              <w:bidi w:val="0"/>
              <w:spacing w:line="240" w:lineRule="auto"/>
              <w:ind w:left="0" w:leftChars="0" w:right="0" w:rightChars="0" w:firstLine="0" w:firstLineChars="0"/>
              <w:jc w:val="center"/>
              <w:rPr>
                <w:rFonts w:hint="eastAsia" w:eastAsia="宋体"/>
                <w:b w:val="0"/>
                <w:bCs w:val="0"/>
                <w:sz w:val="24"/>
                <w:szCs w:val="24"/>
                <w:lang w:val="en-US" w:eastAsia="zh-CN"/>
              </w:rPr>
            </w:pPr>
            <w:r>
              <w:rPr>
                <w:rFonts w:hint="eastAsia"/>
                <w:b w:val="0"/>
                <w:bCs w:val="0"/>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0DEA36">
            <w:pPr>
              <w:bidi w:val="0"/>
              <w:spacing w:line="240" w:lineRule="auto"/>
              <w:ind w:left="0" w:leftChars="0" w:right="0" w:rightChars="0" w:firstLine="0" w:firstLineChars="0"/>
              <w:jc w:val="both"/>
              <w:rPr>
                <w:b w:val="0"/>
                <w:bCs w:val="0"/>
                <w:sz w:val="24"/>
                <w:szCs w:val="24"/>
              </w:rPr>
            </w:pPr>
            <w:r>
              <w:rPr>
                <w:rFonts w:hint="eastAsia"/>
                <w:sz w:val="24"/>
                <w:szCs w:val="24"/>
              </w:rPr>
              <w:t>业务分类</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D4DF91">
            <w:pPr>
              <w:pStyle w:val="19"/>
              <w:bidi w:val="0"/>
              <w:spacing w:line="240" w:lineRule="auto"/>
              <w:ind w:left="0" w:leftChars="0" w:right="0" w:rightChars="0" w:firstLine="0" w:firstLineChars="0"/>
              <w:jc w:val="both"/>
              <w:rPr>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F09BFE">
            <w:pPr>
              <w:pStyle w:val="19"/>
              <w:bidi w:val="0"/>
              <w:spacing w:line="240" w:lineRule="auto"/>
              <w:ind w:left="0" w:leftChars="0" w:right="0" w:rightChars="0" w:firstLine="0" w:firstLineChars="0"/>
              <w:jc w:val="both"/>
              <w:rPr>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B5E237">
            <w:pPr>
              <w:pStyle w:val="19"/>
              <w:bidi w:val="0"/>
              <w:spacing w:line="240" w:lineRule="auto"/>
              <w:ind w:left="0" w:leftChars="0" w:right="0" w:rightChars="0" w:firstLine="0" w:firstLineChars="0"/>
              <w:jc w:val="both"/>
              <w:rPr>
                <w:b w:val="0"/>
                <w:bCs w:val="0"/>
                <w:sz w:val="24"/>
                <w:szCs w:val="24"/>
              </w:rPr>
            </w:pPr>
          </w:p>
        </w:tc>
      </w:tr>
      <w:tr w14:paraId="037AAA6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56B6F3">
            <w:pPr>
              <w:pStyle w:val="19"/>
              <w:bidi w:val="0"/>
              <w:spacing w:line="240" w:lineRule="auto"/>
              <w:ind w:left="0" w:leftChars="0" w:right="0" w:rightChars="0" w:firstLine="0" w:firstLineChars="0"/>
              <w:jc w:val="center"/>
              <w:rPr>
                <w:rFonts w:hint="eastAsia" w:eastAsia="宋体"/>
                <w:b w:val="0"/>
                <w:bCs w:val="0"/>
                <w:sz w:val="24"/>
                <w:szCs w:val="24"/>
                <w:lang w:val="en-US" w:eastAsia="zh-CN"/>
              </w:rPr>
            </w:pPr>
            <w:r>
              <w:rPr>
                <w:rFonts w:hint="eastAsia"/>
                <w:b w:val="0"/>
                <w:bCs w:val="0"/>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D70246">
            <w:pPr>
              <w:bidi w:val="0"/>
              <w:spacing w:line="240" w:lineRule="auto"/>
              <w:ind w:left="0" w:leftChars="0" w:right="0" w:rightChars="0" w:firstLine="0" w:firstLineChars="0"/>
              <w:jc w:val="both"/>
              <w:rPr>
                <w:b w:val="0"/>
                <w:bCs w:val="0"/>
                <w:sz w:val="24"/>
                <w:szCs w:val="24"/>
              </w:rPr>
            </w:pPr>
            <w:r>
              <w:rPr>
                <w:rFonts w:hint="eastAsia"/>
                <w:sz w:val="24"/>
                <w:szCs w:val="24"/>
              </w:rPr>
              <w:t>计量单位</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903F4E">
            <w:pPr>
              <w:pStyle w:val="19"/>
              <w:bidi w:val="0"/>
              <w:spacing w:line="240" w:lineRule="auto"/>
              <w:ind w:left="0" w:leftChars="0" w:right="0" w:rightChars="0" w:firstLine="0" w:firstLineChars="0"/>
              <w:jc w:val="both"/>
              <w:rPr>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32452A">
            <w:pPr>
              <w:pStyle w:val="19"/>
              <w:bidi w:val="0"/>
              <w:spacing w:line="240" w:lineRule="auto"/>
              <w:ind w:left="0" w:leftChars="0" w:right="0" w:rightChars="0" w:firstLine="0" w:firstLineChars="0"/>
              <w:jc w:val="both"/>
              <w:rPr>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108C98">
            <w:pPr>
              <w:pStyle w:val="19"/>
              <w:bidi w:val="0"/>
              <w:spacing w:line="240" w:lineRule="auto"/>
              <w:ind w:left="0" w:leftChars="0" w:right="0" w:rightChars="0" w:firstLine="0" w:firstLineChars="0"/>
              <w:jc w:val="both"/>
              <w:rPr>
                <w:b w:val="0"/>
                <w:bCs w:val="0"/>
                <w:sz w:val="24"/>
                <w:szCs w:val="24"/>
              </w:rPr>
            </w:pPr>
          </w:p>
        </w:tc>
      </w:tr>
      <w:tr w14:paraId="1E1A10E0">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5D681A">
            <w:pPr>
              <w:pStyle w:val="19"/>
              <w:bidi w:val="0"/>
              <w:spacing w:line="240" w:lineRule="auto"/>
              <w:ind w:left="0" w:leftChars="0" w:right="0" w:rightChars="0" w:firstLine="0" w:firstLineChars="0"/>
              <w:jc w:val="center"/>
              <w:rPr>
                <w:rFonts w:hint="eastAsia" w:eastAsia="宋体"/>
                <w:b w:val="0"/>
                <w:bCs w:val="0"/>
                <w:sz w:val="24"/>
                <w:szCs w:val="24"/>
                <w:lang w:val="en-US" w:eastAsia="zh-CN"/>
              </w:rPr>
            </w:pPr>
            <w:r>
              <w:rPr>
                <w:rFonts w:hint="eastAsia"/>
                <w:b w:val="0"/>
                <w:bCs w:val="0"/>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6D217E">
            <w:pPr>
              <w:bidi w:val="0"/>
              <w:spacing w:line="240" w:lineRule="auto"/>
              <w:ind w:left="0" w:leftChars="0" w:right="0" w:rightChars="0" w:firstLine="0" w:firstLineChars="0"/>
              <w:jc w:val="both"/>
              <w:rPr>
                <w:b w:val="0"/>
                <w:bCs w:val="0"/>
                <w:sz w:val="24"/>
                <w:szCs w:val="24"/>
              </w:rPr>
            </w:pPr>
            <w:r>
              <w:rPr>
                <w:rFonts w:hint="eastAsia"/>
                <w:sz w:val="24"/>
                <w:szCs w:val="24"/>
              </w:rPr>
              <w:t>默认值</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3861AF">
            <w:pPr>
              <w:pStyle w:val="19"/>
              <w:bidi w:val="0"/>
              <w:spacing w:line="240" w:lineRule="auto"/>
              <w:ind w:left="0" w:leftChars="0" w:right="0" w:rightChars="0" w:firstLine="0" w:firstLineChars="0"/>
              <w:jc w:val="both"/>
              <w:rPr>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DFE05B">
            <w:pPr>
              <w:pStyle w:val="19"/>
              <w:bidi w:val="0"/>
              <w:spacing w:line="240" w:lineRule="auto"/>
              <w:ind w:left="0" w:leftChars="0" w:right="0" w:rightChars="0" w:firstLine="0" w:firstLineChars="0"/>
              <w:jc w:val="both"/>
              <w:rPr>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922911">
            <w:pPr>
              <w:pStyle w:val="19"/>
              <w:bidi w:val="0"/>
              <w:spacing w:line="240" w:lineRule="auto"/>
              <w:ind w:left="0" w:leftChars="0" w:right="0" w:rightChars="0" w:firstLine="0" w:firstLineChars="0"/>
              <w:jc w:val="both"/>
              <w:rPr>
                <w:b w:val="0"/>
                <w:bCs w:val="0"/>
                <w:sz w:val="24"/>
                <w:szCs w:val="24"/>
              </w:rPr>
            </w:pPr>
          </w:p>
        </w:tc>
      </w:tr>
      <w:tr w14:paraId="6D73111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FBBBA7">
            <w:pPr>
              <w:pStyle w:val="19"/>
              <w:bidi w:val="0"/>
              <w:spacing w:line="240" w:lineRule="auto"/>
              <w:ind w:left="0" w:leftChars="0" w:right="0" w:rightChars="0" w:firstLine="0" w:firstLineChars="0"/>
              <w:jc w:val="center"/>
              <w:rPr>
                <w:rFonts w:hint="eastAsia" w:eastAsia="宋体"/>
                <w:b w:val="0"/>
                <w:bCs w:val="0"/>
                <w:sz w:val="24"/>
                <w:szCs w:val="24"/>
                <w:lang w:val="en-US" w:eastAsia="zh-CN"/>
              </w:rPr>
            </w:pPr>
            <w:r>
              <w:rPr>
                <w:rFonts w:hint="eastAsia"/>
                <w:b w:val="0"/>
                <w:bCs w:val="0"/>
                <w:sz w:val="24"/>
                <w:szCs w:val="24"/>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B9AA28">
            <w:pPr>
              <w:bidi w:val="0"/>
              <w:spacing w:line="240" w:lineRule="auto"/>
              <w:ind w:left="0" w:leftChars="0" w:right="0" w:rightChars="0" w:firstLine="0" w:firstLineChars="0"/>
              <w:jc w:val="both"/>
              <w:rPr>
                <w:b w:val="0"/>
                <w:bCs w:val="0"/>
                <w:sz w:val="24"/>
                <w:szCs w:val="24"/>
              </w:rPr>
            </w:pPr>
            <w:r>
              <w:rPr>
                <w:rFonts w:hint="eastAsia"/>
                <w:sz w:val="24"/>
                <w:szCs w:val="24"/>
              </w:rPr>
              <w:t>数据来源</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4AD08E">
            <w:pPr>
              <w:pStyle w:val="19"/>
              <w:bidi w:val="0"/>
              <w:spacing w:line="240" w:lineRule="auto"/>
              <w:ind w:left="0" w:leftChars="0" w:right="0" w:rightChars="0" w:firstLine="0" w:firstLineChars="0"/>
              <w:jc w:val="both"/>
              <w:rPr>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C6B52C">
            <w:pPr>
              <w:pStyle w:val="19"/>
              <w:bidi w:val="0"/>
              <w:spacing w:line="240" w:lineRule="auto"/>
              <w:ind w:left="0" w:leftChars="0" w:right="0" w:rightChars="0" w:firstLine="0" w:firstLineChars="0"/>
              <w:jc w:val="both"/>
              <w:rPr>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27D136">
            <w:pPr>
              <w:pStyle w:val="19"/>
              <w:bidi w:val="0"/>
              <w:spacing w:line="240" w:lineRule="auto"/>
              <w:ind w:left="0" w:leftChars="0" w:right="0" w:rightChars="0" w:firstLine="0" w:firstLineChars="0"/>
              <w:jc w:val="both"/>
              <w:rPr>
                <w:b w:val="0"/>
                <w:bCs w:val="0"/>
                <w:sz w:val="24"/>
                <w:szCs w:val="24"/>
              </w:rPr>
            </w:pPr>
          </w:p>
        </w:tc>
      </w:tr>
      <w:tr w14:paraId="4500C08E">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6B70D5">
            <w:pPr>
              <w:pStyle w:val="19"/>
              <w:bidi w:val="0"/>
              <w:spacing w:line="240" w:lineRule="auto"/>
              <w:ind w:left="0" w:leftChars="0" w:right="0" w:rightChars="0" w:firstLine="0" w:firstLineChars="0"/>
              <w:jc w:val="center"/>
              <w:rPr>
                <w:rFonts w:hint="eastAsia" w:eastAsia="宋体"/>
                <w:b w:val="0"/>
                <w:bCs w:val="0"/>
                <w:sz w:val="24"/>
                <w:szCs w:val="24"/>
                <w:lang w:val="en-US" w:eastAsia="zh-CN"/>
              </w:rPr>
            </w:pPr>
            <w:r>
              <w:rPr>
                <w:rFonts w:hint="eastAsia"/>
                <w:b w:val="0"/>
                <w:bCs w:val="0"/>
                <w:sz w:val="24"/>
                <w:szCs w:val="24"/>
                <w:lang w:val="en-US" w:eastAsia="zh-CN"/>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75F4FF">
            <w:pPr>
              <w:bidi w:val="0"/>
              <w:spacing w:line="240" w:lineRule="auto"/>
              <w:ind w:left="0" w:leftChars="0" w:right="0" w:rightChars="0" w:firstLine="0" w:firstLineChars="0"/>
              <w:jc w:val="both"/>
              <w:rPr>
                <w:b w:val="0"/>
                <w:bCs w:val="0"/>
                <w:sz w:val="24"/>
                <w:szCs w:val="24"/>
              </w:rPr>
            </w:pPr>
            <w:r>
              <w:rPr>
                <w:rFonts w:hint="eastAsia"/>
                <w:sz w:val="24"/>
                <w:szCs w:val="24"/>
              </w:rPr>
              <w:t>集成方式</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551330">
            <w:pPr>
              <w:pStyle w:val="19"/>
              <w:bidi w:val="0"/>
              <w:spacing w:line="240" w:lineRule="auto"/>
              <w:ind w:left="0" w:leftChars="0" w:right="0" w:rightChars="0" w:firstLine="0" w:firstLineChars="0"/>
              <w:jc w:val="both"/>
              <w:rPr>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F7A7CB">
            <w:pPr>
              <w:pStyle w:val="19"/>
              <w:bidi w:val="0"/>
              <w:spacing w:line="240" w:lineRule="auto"/>
              <w:ind w:left="0" w:leftChars="0" w:right="0" w:rightChars="0" w:firstLine="0" w:firstLineChars="0"/>
              <w:jc w:val="both"/>
              <w:rPr>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5C721F">
            <w:pPr>
              <w:pStyle w:val="19"/>
              <w:bidi w:val="0"/>
              <w:spacing w:line="240" w:lineRule="auto"/>
              <w:ind w:left="0" w:leftChars="0" w:right="0" w:rightChars="0" w:firstLine="0" w:firstLineChars="0"/>
              <w:jc w:val="both"/>
              <w:rPr>
                <w:b w:val="0"/>
                <w:bCs w:val="0"/>
                <w:sz w:val="24"/>
                <w:szCs w:val="24"/>
              </w:rPr>
            </w:pPr>
          </w:p>
        </w:tc>
      </w:tr>
      <w:tr w14:paraId="26FB17A8">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7813E1">
            <w:pPr>
              <w:pStyle w:val="19"/>
              <w:bidi w:val="0"/>
              <w:spacing w:line="240" w:lineRule="auto"/>
              <w:ind w:left="0" w:leftChars="0" w:right="0" w:rightChars="0" w:firstLine="0" w:firstLineChars="0"/>
              <w:jc w:val="center"/>
              <w:rPr>
                <w:rFonts w:hint="eastAsia" w:eastAsia="宋体"/>
                <w:b w:val="0"/>
                <w:bCs w:val="0"/>
                <w:sz w:val="24"/>
                <w:szCs w:val="24"/>
                <w:lang w:val="en-US" w:eastAsia="zh-CN"/>
              </w:rPr>
            </w:pPr>
            <w:r>
              <w:rPr>
                <w:rFonts w:hint="eastAsia"/>
                <w:b w:val="0"/>
                <w:bCs w:val="0"/>
                <w:sz w:val="24"/>
                <w:szCs w:val="24"/>
                <w:lang w:val="en-US" w:eastAsia="zh-CN"/>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B422F0">
            <w:pPr>
              <w:bidi w:val="0"/>
              <w:spacing w:line="240" w:lineRule="auto"/>
              <w:ind w:left="0" w:leftChars="0" w:right="0" w:rightChars="0" w:firstLine="0" w:firstLineChars="0"/>
              <w:jc w:val="both"/>
              <w:rPr>
                <w:b w:val="0"/>
                <w:bCs w:val="0"/>
                <w:sz w:val="24"/>
                <w:szCs w:val="24"/>
              </w:rPr>
            </w:pPr>
            <w:r>
              <w:rPr>
                <w:rFonts w:hint="eastAsia"/>
                <w:sz w:val="24"/>
                <w:szCs w:val="24"/>
              </w:rPr>
              <w:t>采集频率</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E827D3">
            <w:pPr>
              <w:pStyle w:val="19"/>
              <w:bidi w:val="0"/>
              <w:spacing w:line="240" w:lineRule="auto"/>
              <w:ind w:left="0" w:leftChars="0" w:right="0" w:rightChars="0" w:firstLine="0" w:firstLineChars="0"/>
              <w:jc w:val="both"/>
              <w:rPr>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A900D8">
            <w:pPr>
              <w:pStyle w:val="19"/>
              <w:bidi w:val="0"/>
              <w:spacing w:line="240" w:lineRule="auto"/>
              <w:ind w:left="0" w:leftChars="0" w:right="0" w:rightChars="0" w:firstLine="0" w:firstLineChars="0"/>
              <w:jc w:val="both"/>
              <w:rPr>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CEA713">
            <w:pPr>
              <w:pStyle w:val="19"/>
              <w:bidi w:val="0"/>
              <w:spacing w:line="240" w:lineRule="auto"/>
              <w:ind w:left="0" w:leftChars="0" w:right="0" w:rightChars="0" w:firstLine="0" w:firstLineChars="0"/>
              <w:jc w:val="both"/>
              <w:rPr>
                <w:b w:val="0"/>
                <w:bCs w:val="0"/>
                <w:sz w:val="24"/>
                <w:szCs w:val="24"/>
              </w:rPr>
            </w:pPr>
          </w:p>
        </w:tc>
      </w:tr>
    </w:tbl>
    <w:p w14:paraId="00CE0EE8">
      <w:pPr>
        <w:pStyle w:val="19"/>
        <w:bidi w:val="0"/>
        <w:rPr>
          <w:b w:val="0"/>
          <w:bCs w:val="0"/>
        </w:rPr>
      </w:pPr>
    </w:p>
    <w:p w14:paraId="3E96AA88">
      <w:pPr>
        <w:pStyle w:val="6"/>
        <w:numPr>
          <w:ilvl w:val="0"/>
          <w:numId w:val="227"/>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6CB65C27">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0C3353DA">
            <w:pPr>
              <w:pStyle w:val="19"/>
              <w:bidi w:val="0"/>
              <w:rPr>
                <w:b w:val="0"/>
                <w:bCs w:val="0"/>
              </w:rPr>
            </w:pPr>
            <w:r>
              <w:rPr>
                <w:rFonts w:hint="eastAsia"/>
                <w:lang w:val="en-US" w:eastAsia="zh-CN"/>
              </w:rPr>
              <w:t>无</w:t>
            </w:r>
          </w:p>
        </w:tc>
      </w:tr>
    </w:tbl>
    <w:p w14:paraId="1C695D48">
      <w:pPr>
        <w:pStyle w:val="19"/>
        <w:bidi w:val="0"/>
        <w:rPr>
          <w:b w:val="0"/>
          <w:bCs w:val="0"/>
        </w:rPr>
      </w:pPr>
    </w:p>
    <w:p w14:paraId="61BB6BFB">
      <w:pPr>
        <w:pStyle w:val="6"/>
        <w:numPr>
          <w:ilvl w:val="0"/>
          <w:numId w:val="227"/>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0DB2746">
        <w:tblPrEx>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27538B06">
            <w:pPr>
              <w:pStyle w:val="19"/>
              <w:bidi w:val="0"/>
              <w:rPr>
                <w:b w:val="0"/>
                <w:bCs w:val="0"/>
              </w:rPr>
            </w:pPr>
          </w:p>
        </w:tc>
      </w:tr>
    </w:tbl>
    <w:p w14:paraId="1ADD193E">
      <w:pPr>
        <w:pStyle w:val="19"/>
        <w:bidi w:val="0"/>
        <w:rPr>
          <w:b w:val="0"/>
          <w:bCs w:val="0"/>
        </w:rPr>
      </w:pPr>
    </w:p>
    <w:p w14:paraId="1AD4FBCA">
      <w:pPr>
        <w:pStyle w:val="6"/>
        <w:numPr>
          <w:ilvl w:val="0"/>
          <w:numId w:val="227"/>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AE94469">
        <w:tblPrEx>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5F3FF"/>
            <w:tcMar>
              <w:top w:w="70" w:type="dxa"/>
              <w:left w:w="100" w:type="dxa"/>
              <w:bottom w:w="70" w:type="dxa"/>
              <w:right w:w="100" w:type="dxa"/>
            </w:tcMar>
          </w:tcPr>
          <w:p w14:paraId="53D16E4E">
            <w:pPr>
              <w:pStyle w:val="19"/>
              <w:bidi w:val="0"/>
              <w:rPr>
                <w:b w:val="0"/>
                <w:bCs w:val="0"/>
              </w:rPr>
            </w:pPr>
          </w:p>
        </w:tc>
      </w:tr>
    </w:tbl>
    <w:p w14:paraId="1986411F">
      <w:pPr>
        <w:rPr>
          <w:b w:val="0"/>
          <w:bCs w:val="0"/>
        </w:rPr>
      </w:pPr>
    </w:p>
    <w:p w14:paraId="3A70AF2B">
      <w:pPr>
        <w:pStyle w:val="6"/>
        <w:numPr>
          <w:ilvl w:val="0"/>
          <w:numId w:val="227"/>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4E6E6782">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2730BFEC">
            <w:pPr>
              <w:pStyle w:val="19"/>
              <w:bidi w:val="0"/>
              <w:rPr>
                <w:b w:val="0"/>
                <w:bCs w:val="0"/>
              </w:rPr>
            </w:pPr>
          </w:p>
        </w:tc>
      </w:tr>
    </w:tbl>
    <w:p w14:paraId="3FC4D14D">
      <w:pPr>
        <w:rPr>
          <w:rFonts w:hint="eastAsia"/>
          <w:b w:val="0"/>
          <w:bCs w:val="0"/>
          <w:lang w:val="en-US" w:eastAsia="zh-CN"/>
        </w:rPr>
      </w:pPr>
    </w:p>
    <w:p w14:paraId="23C7984C">
      <w:pPr>
        <w:pStyle w:val="5"/>
        <w:numPr>
          <w:ilvl w:val="0"/>
          <w:numId w:val="222"/>
        </w:numPr>
        <w:ind w:left="0" w:leftChars="0" w:firstLine="0" w:firstLineChars="0"/>
        <w:outlineLvl w:val="1"/>
        <w:rPr>
          <w:rFonts w:hint="default"/>
          <w:b w:val="0"/>
          <w:bCs w:val="0"/>
          <w:lang w:val="en-US" w:eastAsia="zh-CN"/>
        </w:rPr>
      </w:pPr>
      <w:bookmarkStart w:id="80" w:name="_Toc7820"/>
      <w:r>
        <w:rPr>
          <w:rFonts w:hint="eastAsia"/>
          <w:b w:val="0"/>
          <w:bCs w:val="0"/>
          <w:lang w:val="en-US" w:eastAsia="zh-CN"/>
        </w:rPr>
        <w:t>生产工序管理</w:t>
      </w:r>
      <w:bookmarkEnd w:id="80"/>
    </w:p>
    <w:p w14:paraId="08E8A828">
      <w:pPr>
        <w:rPr>
          <w:b w:val="0"/>
          <w:bCs w:val="0"/>
        </w:rPr>
      </w:pPr>
      <w:r>
        <w:drawing>
          <wp:inline distT="0" distB="0" distL="114300" distR="114300">
            <wp:extent cx="5900420" cy="2925445"/>
            <wp:effectExtent l="0" t="0" r="5080" b="8255"/>
            <wp:docPr id="9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50"/>
                    <pic:cNvPicPr>
                      <a:picLocks noChangeAspect="1"/>
                    </pic:cNvPicPr>
                  </pic:nvPicPr>
                  <pic:blipFill>
                    <a:blip r:embed="rId108"/>
                    <a:stretch>
                      <a:fillRect/>
                    </a:stretch>
                  </pic:blipFill>
                  <pic:spPr>
                    <a:xfrm>
                      <a:off x="0" y="0"/>
                      <a:ext cx="5900420" cy="2925445"/>
                    </a:xfrm>
                    <a:prstGeom prst="rect">
                      <a:avLst/>
                    </a:prstGeom>
                    <a:noFill/>
                    <a:ln>
                      <a:noFill/>
                    </a:ln>
                  </pic:spPr>
                </pic:pic>
              </a:graphicData>
            </a:graphic>
          </wp:inline>
        </w:drawing>
      </w:r>
    </w:p>
    <w:p w14:paraId="2D9A5340">
      <w:pPr>
        <w:pStyle w:val="6"/>
        <w:numPr>
          <w:ilvl w:val="0"/>
          <w:numId w:val="229"/>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33C3E9D">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5C9A7628">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・功能定位</w:t>
            </w:r>
            <w:r>
              <w:rPr>
                <w:rFonts w:ascii="宋体" w:hAnsi="宋体" w:eastAsia="宋体" w:cs="宋体"/>
                <w:sz w:val="24"/>
                <w:szCs w:val="24"/>
              </w:rPr>
              <w:t xml:space="preserve">：作为生产数据维护模块下生产工序主数据管理单元，维护工序名称、能源消耗类型、关联工厂与关联产品中类信息，支持生产工序新增、信息编辑与数据导出，为工序级能耗分摊、工序碳核算、产品碳足迹拆解提供工序基础主数据，实现生产过程能耗与碳排放的精细化溯源，是产品碳核算模型的前置基础依赖。 </w:t>
            </w:r>
          </w:p>
          <w:p w14:paraId="7C621BB6">
            <w:pPr>
              <w:pStyle w:val="19"/>
              <w:bidi w:val="0"/>
              <w:ind w:left="0" w:leftChars="0" w:firstLine="0" w:firstLineChars="0"/>
              <w:rPr>
                <w:b w:val="0"/>
                <w:bCs w:val="0"/>
              </w:rPr>
            </w:pPr>
            <w:r>
              <w:rPr>
                <w:rFonts w:ascii="宋体" w:hAnsi="宋体" w:eastAsia="宋体" w:cs="宋体"/>
                <w:b/>
                <w:bCs/>
                <w:sz w:val="24"/>
                <w:szCs w:val="24"/>
              </w:rPr>
              <w:t>・承载角色</w:t>
            </w:r>
            <w:r>
              <w:rPr>
                <w:rFonts w:ascii="宋体" w:hAnsi="宋体" w:eastAsia="宋体" w:cs="宋体"/>
                <w:sz w:val="24"/>
                <w:szCs w:val="24"/>
              </w:rPr>
              <w:t>：PM 系统管理员（全量生产工序新增、工序关联信息维护、分类管理与数据导出）。</w:t>
            </w:r>
          </w:p>
        </w:tc>
      </w:tr>
    </w:tbl>
    <w:p w14:paraId="04C9AA33">
      <w:pPr>
        <w:rPr>
          <w:b w:val="0"/>
          <w:bCs w:val="0"/>
        </w:rPr>
      </w:pPr>
    </w:p>
    <w:p w14:paraId="55A875D6">
      <w:pPr>
        <w:pStyle w:val="6"/>
        <w:numPr>
          <w:ilvl w:val="0"/>
          <w:numId w:val="229"/>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A97AB9A">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2ACBCDB8">
            <w:pPr>
              <w:pStyle w:val="19"/>
              <w:bidi w:val="0"/>
              <w:ind w:left="0" w:leftChars="0" w:firstLine="0" w:firstLineChars="0"/>
            </w:pPr>
            <w:r>
              <w:rPr>
                <w:b/>
                <w:bCs/>
                <w:lang w:val="en-US" w:eastAsia="zh-CN"/>
              </w:rPr>
              <w:t>业务场景</w:t>
            </w:r>
            <w:r>
              <w:rPr>
                <w:lang w:val="en-US" w:eastAsia="zh-CN"/>
              </w:rPr>
              <w:t>：面向系统管理员进行生产工序主数据管控场景，维护工厂生产工序与能耗、产品的关联关系，支撑工序级精细化能碳溯源。</w:t>
            </w:r>
          </w:p>
          <w:p w14:paraId="3357D561">
            <w:pPr>
              <w:pStyle w:val="19"/>
              <w:bidi w:val="0"/>
              <w:ind w:left="0" w:leftChars="0" w:firstLine="0" w:firstLineChars="0"/>
            </w:pPr>
            <w:r>
              <w:rPr>
                <w:b/>
                <w:bCs/>
                <w:lang w:val="en-US" w:eastAsia="zh-CN"/>
              </w:rPr>
              <w:t>用户故事</w:t>
            </w:r>
            <w:r>
              <w:rPr>
                <w:lang w:val="en-US" w:eastAsia="zh-CN"/>
              </w:rPr>
              <w:t>：</w:t>
            </w:r>
          </w:p>
          <w:p w14:paraId="5CF78569">
            <w:pPr>
              <w:pStyle w:val="19"/>
              <w:bidi w:val="0"/>
            </w:pPr>
            <w:r>
              <w:rPr>
                <w:lang w:val="en-US" w:eastAsia="zh-CN"/>
              </w:rPr>
              <w:t>As a 系统管理员 (Persona PM)，</w:t>
            </w:r>
          </w:p>
          <w:p w14:paraId="2B2450A2">
            <w:pPr>
              <w:pStyle w:val="19"/>
              <w:bidi w:val="0"/>
            </w:pPr>
            <w:r>
              <w:rPr>
                <w:lang w:val="en-US" w:eastAsia="zh-CN"/>
              </w:rPr>
              <w:t>I want 维护全集团生产工序基础信息与关联能耗、产品数据，</w:t>
            </w:r>
          </w:p>
          <w:p w14:paraId="610C6B56">
            <w:pPr>
              <w:pStyle w:val="19"/>
              <w:bidi w:val="0"/>
            </w:pPr>
            <w:r>
              <w:rPr>
                <w:lang w:val="en-US" w:eastAsia="zh-CN"/>
              </w:rPr>
              <w:t>So that 我能支撑工序能耗、工序碳排放拆解溯源，支撑集团精细化能碳成效分析展示。</w:t>
            </w:r>
          </w:p>
        </w:tc>
      </w:tr>
    </w:tbl>
    <w:p w14:paraId="539F48FF">
      <w:pPr>
        <w:rPr>
          <w:b w:val="0"/>
          <w:bCs w:val="0"/>
        </w:rPr>
      </w:pPr>
    </w:p>
    <w:p w14:paraId="45FE5950">
      <w:pPr>
        <w:pStyle w:val="6"/>
        <w:numPr>
          <w:ilvl w:val="0"/>
          <w:numId w:val="229"/>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78A556E">
        <w:tblPrEx>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32AE13B7">
            <w:pPr>
              <w:pStyle w:val="19"/>
              <w:numPr>
                <w:ilvl w:val="0"/>
                <w:numId w:val="230"/>
              </w:numPr>
              <w:bidi w:val="0"/>
              <w:rPr>
                <w:rFonts w:hint="default" w:eastAsia="宋体"/>
                <w:b w:val="0"/>
                <w:bCs w:val="0"/>
                <w:lang w:val="en-US" w:eastAsia="zh-CN"/>
              </w:rPr>
            </w:pPr>
            <w:r>
              <w:rPr>
                <w:rFonts w:hint="eastAsia"/>
                <w:b w:val="0"/>
                <w:bCs w:val="0"/>
                <w:lang w:val="en-US" w:eastAsia="zh-CN"/>
              </w:rPr>
              <w:t>选择查询条件，根据条件筛选列表数据；</w:t>
            </w:r>
          </w:p>
          <w:p w14:paraId="3BBFF49C">
            <w:pPr>
              <w:pStyle w:val="19"/>
              <w:numPr>
                <w:ilvl w:val="0"/>
                <w:numId w:val="230"/>
              </w:numPr>
              <w:bidi w:val="0"/>
              <w:rPr>
                <w:rFonts w:hint="default" w:eastAsia="宋体"/>
                <w:b w:val="0"/>
                <w:bCs w:val="0"/>
                <w:lang w:val="en-US" w:eastAsia="zh-CN"/>
              </w:rPr>
            </w:pPr>
            <w:r>
              <w:rPr>
                <w:rFonts w:hint="eastAsia"/>
                <w:b w:val="0"/>
                <w:bCs w:val="0"/>
                <w:lang w:val="en-US" w:eastAsia="zh-CN"/>
              </w:rPr>
              <w:t>点击【新增生产工序】打开新增生产工序弹窗；</w:t>
            </w:r>
          </w:p>
          <w:p w14:paraId="601B30BA">
            <w:pPr>
              <w:pStyle w:val="19"/>
              <w:numPr>
                <w:ilvl w:val="0"/>
                <w:numId w:val="230"/>
              </w:numPr>
              <w:bidi w:val="0"/>
              <w:rPr>
                <w:b w:val="0"/>
                <w:bCs w:val="0"/>
              </w:rPr>
            </w:pPr>
            <w:r>
              <w:rPr>
                <w:rFonts w:hint="eastAsia"/>
                <w:b w:val="0"/>
                <w:bCs w:val="0"/>
                <w:lang w:val="en-US" w:eastAsia="zh-CN"/>
              </w:rPr>
              <w:t>点击【导出】按钮，可将列表内数据导出到excel；</w:t>
            </w:r>
          </w:p>
          <w:p w14:paraId="0F36CFFB">
            <w:pPr>
              <w:pStyle w:val="19"/>
              <w:numPr>
                <w:ilvl w:val="0"/>
                <w:numId w:val="230"/>
              </w:numPr>
              <w:bidi w:val="0"/>
              <w:rPr>
                <w:b w:val="0"/>
                <w:bCs w:val="0"/>
              </w:rPr>
            </w:pPr>
            <w:r>
              <w:rPr>
                <w:rFonts w:hint="eastAsia"/>
                <w:b w:val="0"/>
                <w:bCs w:val="0"/>
                <w:lang w:val="en-US" w:eastAsia="zh-CN"/>
              </w:rPr>
              <w:t>点击【编辑】打开编辑窗口；</w:t>
            </w:r>
          </w:p>
          <w:p w14:paraId="3411AED4">
            <w:pPr>
              <w:pStyle w:val="19"/>
              <w:numPr>
                <w:ilvl w:val="0"/>
                <w:numId w:val="230"/>
              </w:numPr>
              <w:bidi w:val="0"/>
              <w:rPr>
                <w:b w:val="0"/>
                <w:bCs w:val="0"/>
              </w:rPr>
            </w:pPr>
            <w:r>
              <w:rPr>
                <w:rFonts w:hint="eastAsia"/>
                <w:b w:val="0"/>
                <w:bCs w:val="0"/>
                <w:lang w:val="en-US" w:eastAsia="zh-CN"/>
              </w:rPr>
              <w:t>点击【删除】打开弹窗，点击取消后关闭弹窗，点击确定后关闭弹窗并删除数据；</w:t>
            </w:r>
          </w:p>
        </w:tc>
      </w:tr>
    </w:tbl>
    <w:p w14:paraId="711A41ED">
      <w:pPr>
        <w:rPr>
          <w:b w:val="0"/>
          <w:bCs w:val="0"/>
        </w:rPr>
      </w:pPr>
    </w:p>
    <w:p w14:paraId="7C15F643">
      <w:pPr>
        <w:pStyle w:val="6"/>
        <w:numPr>
          <w:ilvl w:val="0"/>
          <w:numId w:val="229"/>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12E15BE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D972CC9">
            <w:pPr>
              <w:pStyle w:val="19"/>
              <w:bidi w:val="0"/>
              <w:spacing w:line="240" w:lineRule="auto"/>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B563DC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DAE21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6147B9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B111E0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校验与约束规则</w:t>
            </w:r>
          </w:p>
        </w:tc>
      </w:tr>
      <w:tr w14:paraId="7A5BB53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DEA887">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8B8CF6">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生产工序名称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E0718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83B77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8D427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5CA8D1C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1460BC">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4F73A7">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使用能源类型</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31935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21BFA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C84FD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5F68B6E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D348BA">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5B56B2">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关联工厂</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6B7B7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C0F50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55BED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1748302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C2D787">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526A5F">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关联产品中类</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E203F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B1FE1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13CB2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6F9498A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CE5839">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868E9D">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计星单位</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71706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2D698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16588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bl>
    <w:p w14:paraId="41088D11">
      <w:pPr>
        <w:pStyle w:val="19"/>
        <w:bidi w:val="0"/>
        <w:rPr>
          <w:b w:val="0"/>
          <w:bCs w:val="0"/>
        </w:rPr>
      </w:pPr>
    </w:p>
    <w:p w14:paraId="73A66949">
      <w:pPr>
        <w:pStyle w:val="6"/>
        <w:numPr>
          <w:ilvl w:val="0"/>
          <w:numId w:val="229"/>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557E7AC1">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607992F7">
            <w:pPr>
              <w:pStyle w:val="19"/>
              <w:bidi w:val="0"/>
              <w:rPr>
                <w:b w:val="0"/>
                <w:bCs w:val="0"/>
              </w:rPr>
            </w:pPr>
            <w:r>
              <w:rPr>
                <w:rFonts w:hint="eastAsia"/>
                <w:lang w:val="en-US" w:eastAsia="zh-CN"/>
              </w:rPr>
              <w:t>无</w:t>
            </w:r>
          </w:p>
        </w:tc>
      </w:tr>
    </w:tbl>
    <w:p w14:paraId="7014D660">
      <w:pPr>
        <w:pStyle w:val="19"/>
        <w:bidi w:val="0"/>
        <w:rPr>
          <w:b w:val="0"/>
          <w:bCs w:val="0"/>
        </w:rPr>
      </w:pPr>
    </w:p>
    <w:p w14:paraId="2DEECA4A">
      <w:pPr>
        <w:pStyle w:val="6"/>
        <w:numPr>
          <w:ilvl w:val="0"/>
          <w:numId w:val="229"/>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F3675BB">
        <w:tblPrEx>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7BCDCD48">
            <w:pPr>
              <w:pStyle w:val="19"/>
              <w:bidi w:val="0"/>
              <w:rPr>
                <w:b w:val="0"/>
                <w:bCs w:val="0"/>
              </w:rPr>
            </w:pPr>
          </w:p>
        </w:tc>
      </w:tr>
    </w:tbl>
    <w:p w14:paraId="7F9DF156">
      <w:pPr>
        <w:pStyle w:val="19"/>
        <w:bidi w:val="0"/>
        <w:rPr>
          <w:b w:val="0"/>
          <w:bCs w:val="0"/>
        </w:rPr>
      </w:pPr>
    </w:p>
    <w:p w14:paraId="580722C5">
      <w:pPr>
        <w:pStyle w:val="6"/>
        <w:numPr>
          <w:ilvl w:val="0"/>
          <w:numId w:val="229"/>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5B8B7F5">
        <w:tblPrEx>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5F3FF"/>
            <w:tcMar>
              <w:top w:w="70" w:type="dxa"/>
              <w:left w:w="100" w:type="dxa"/>
              <w:bottom w:w="70" w:type="dxa"/>
              <w:right w:w="100" w:type="dxa"/>
            </w:tcMar>
          </w:tcPr>
          <w:p w14:paraId="22F6D202">
            <w:pPr>
              <w:pStyle w:val="19"/>
              <w:bidi w:val="0"/>
              <w:rPr>
                <w:b w:val="0"/>
                <w:bCs w:val="0"/>
              </w:rPr>
            </w:pPr>
          </w:p>
        </w:tc>
      </w:tr>
    </w:tbl>
    <w:p w14:paraId="33999C91">
      <w:pPr>
        <w:rPr>
          <w:b w:val="0"/>
          <w:bCs w:val="0"/>
        </w:rPr>
      </w:pPr>
    </w:p>
    <w:p w14:paraId="5EAD2A7F">
      <w:pPr>
        <w:pStyle w:val="6"/>
        <w:numPr>
          <w:ilvl w:val="0"/>
          <w:numId w:val="229"/>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79D39E56">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59413B86">
            <w:pPr>
              <w:pStyle w:val="19"/>
              <w:bidi w:val="0"/>
              <w:rPr>
                <w:b w:val="0"/>
                <w:bCs w:val="0"/>
              </w:rPr>
            </w:pPr>
          </w:p>
        </w:tc>
      </w:tr>
    </w:tbl>
    <w:p w14:paraId="36607F95">
      <w:pPr>
        <w:rPr>
          <w:rFonts w:hint="default"/>
          <w:b w:val="0"/>
          <w:bCs w:val="0"/>
          <w:lang w:val="en-US" w:eastAsia="zh-CN"/>
        </w:rPr>
      </w:pPr>
    </w:p>
    <w:p w14:paraId="04FA5D12">
      <w:pPr>
        <w:pStyle w:val="4"/>
        <w:numPr>
          <w:ilvl w:val="0"/>
          <w:numId w:val="199"/>
        </w:numPr>
        <w:topLinePunct w:val="0"/>
        <w:ind w:left="0" w:leftChars="0" w:firstLine="0" w:firstLineChars="0"/>
        <w:outlineLvl w:val="0"/>
        <w:rPr>
          <w:rFonts w:hint="default" w:ascii="Times New Roman" w:hAnsi="Times New Roman" w:eastAsia="黑体" w:cs="Times New Roman"/>
          <w:b w:val="0"/>
          <w:bCs w:val="0"/>
          <w:sz w:val="30"/>
          <w:szCs w:val="32"/>
          <w:lang w:val="en-US" w:eastAsia="zh-CN"/>
        </w:rPr>
      </w:pPr>
      <w:bookmarkStart w:id="81" w:name="_Toc12273"/>
      <w:r>
        <w:rPr>
          <w:rFonts w:hint="eastAsia" w:ascii="Times New Roman" w:hAnsi="Times New Roman" w:eastAsia="黑体" w:cs="Times New Roman"/>
          <w:b w:val="0"/>
          <w:bCs w:val="0"/>
          <w:sz w:val="30"/>
          <w:szCs w:val="32"/>
          <w:lang w:val="en-US" w:eastAsia="zh-CN"/>
        </w:rPr>
        <w:t>日志管理</w:t>
      </w:r>
      <w:bookmarkEnd w:id="81"/>
    </w:p>
    <w:p w14:paraId="5CB61582">
      <w:pPr>
        <w:rPr>
          <w:b w:val="0"/>
          <w:bCs w:val="0"/>
        </w:rPr>
      </w:pPr>
      <w:r>
        <w:drawing>
          <wp:inline distT="0" distB="0" distL="114300" distR="114300">
            <wp:extent cx="5900420" cy="2925445"/>
            <wp:effectExtent l="0" t="0" r="5080" b="8255"/>
            <wp:docPr id="9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51"/>
                    <pic:cNvPicPr>
                      <a:picLocks noChangeAspect="1"/>
                    </pic:cNvPicPr>
                  </pic:nvPicPr>
                  <pic:blipFill>
                    <a:blip r:embed="rId109"/>
                    <a:stretch>
                      <a:fillRect/>
                    </a:stretch>
                  </pic:blipFill>
                  <pic:spPr>
                    <a:xfrm>
                      <a:off x="0" y="0"/>
                      <a:ext cx="5900420" cy="2925445"/>
                    </a:xfrm>
                    <a:prstGeom prst="rect">
                      <a:avLst/>
                    </a:prstGeom>
                    <a:noFill/>
                    <a:ln>
                      <a:noFill/>
                    </a:ln>
                  </pic:spPr>
                </pic:pic>
              </a:graphicData>
            </a:graphic>
          </wp:inline>
        </w:drawing>
      </w:r>
    </w:p>
    <w:p w14:paraId="24A781EE">
      <w:pPr>
        <w:pStyle w:val="6"/>
        <w:numPr>
          <w:ilvl w:val="0"/>
          <w:numId w:val="231"/>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4027709">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17AD6948">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・功能定位</w:t>
            </w:r>
            <w:r>
              <w:rPr>
                <w:rFonts w:ascii="宋体" w:hAnsi="宋体" w:eastAsia="宋体" w:cs="宋体"/>
                <w:sz w:val="24"/>
                <w:szCs w:val="24"/>
              </w:rPr>
              <w:t xml:space="preserve">：作为系统管理模块下操作审计单元，统一记录账号登录、数据提交、因子变更、权限调整、报表导出等全量关键操作，留存操作时间、操作人、操作类型、操作对象、IP 地址与执行结果；日志存储周期不少于 3 年且不可删除，支持按关键字、日志类型、操作结果检索与日志导出，用于系统安全审计、问题追溯、合规留痕，满足能碳平台数据可追溯管理要求。 </w:t>
            </w:r>
          </w:p>
          <w:p w14:paraId="4FA7BAEB">
            <w:pPr>
              <w:pStyle w:val="19"/>
              <w:bidi w:val="0"/>
              <w:ind w:left="0" w:leftChars="0" w:firstLine="0" w:firstLineChars="0"/>
              <w:rPr>
                <w:b w:val="0"/>
                <w:bCs w:val="0"/>
              </w:rPr>
            </w:pPr>
            <w:r>
              <w:rPr>
                <w:rFonts w:ascii="宋体" w:hAnsi="宋体" w:eastAsia="宋体" w:cs="宋体"/>
                <w:b/>
                <w:bCs/>
                <w:sz w:val="24"/>
                <w:szCs w:val="24"/>
              </w:rPr>
              <w:t>・承载角色</w:t>
            </w:r>
            <w:r>
              <w:rPr>
                <w:rFonts w:ascii="宋体" w:hAnsi="宋体" w:eastAsia="宋体" w:cs="宋体"/>
                <w:sz w:val="24"/>
                <w:szCs w:val="24"/>
              </w:rPr>
              <w:t>：PM 系统管理员（仅支持查询、检索、导出日志，不支持日志新增、修改与删除）。</w:t>
            </w:r>
          </w:p>
        </w:tc>
      </w:tr>
    </w:tbl>
    <w:p w14:paraId="6C0E03D4">
      <w:pPr>
        <w:rPr>
          <w:b w:val="0"/>
          <w:bCs w:val="0"/>
        </w:rPr>
      </w:pPr>
    </w:p>
    <w:p w14:paraId="09AF25C6">
      <w:pPr>
        <w:pStyle w:val="6"/>
        <w:numPr>
          <w:ilvl w:val="0"/>
          <w:numId w:val="231"/>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DE3D946">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6A1F8DA3">
            <w:pPr>
              <w:pStyle w:val="19"/>
              <w:bidi w:val="0"/>
              <w:ind w:left="0" w:leftChars="0" w:firstLine="0" w:firstLineChars="0"/>
            </w:pPr>
            <w:r>
              <w:rPr>
                <w:b/>
                <w:bCs/>
                <w:lang w:val="en-US" w:eastAsia="zh-CN"/>
              </w:rPr>
              <w:t>业务场景</w:t>
            </w:r>
            <w:r>
              <w:rPr>
                <w:lang w:val="en-US" w:eastAsia="zh-CN"/>
              </w:rPr>
              <w:t>：面向系统管理员进行平台操作审计与合规管控场景，全量留存平台后台配置、数据修改、权限变更等操作记录，实现全程可追溯。</w:t>
            </w:r>
          </w:p>
          <w:p w14:paraId="57A72F57">
            <w:pPr>
              <w:pStyle w:val="19"/>
              <w:bidi w:val="0"/>
              <w:ind w:left="0" w:leftChars="0" w:firstLine="0" w:firstLineChars="0"/>
            </w:pPr>
            <w:r>
              <w:rPr>
                <w:b/>
                <w:bCs/>
                <w:lang w:val="en-US" w:eastAsia="zh-CN"/>
              </w:rPr>
              <w:t>用户故事</w:t>
            </w:r>
            <w:r>
              <w:rPr>
                <w:lang w:val="en-US" w:eastAsia="zh-CN"/>
              </w:rPr>
              <w:t>：</w:t>
            </w:r>
          </w:p>
          <w:p w14:paraId="30938380">
            <w:pPr>
              <w:pStyle w:val="19"/>
              <w:bidi w:val="0"/>
            </w:pPr>
            <w:r>
              <w:rPr>
                <w:lang w:val="en-US" w:eastAsia="zh-CN"/>
              </w:rPr>
              <w:t>As a 系统管理员 (Persona PM)，</w:t>
            </w:r>
          </w:p>
          <w:p w14:paraId="4DD208EE">
            <w:pPr>
              <w:pStyle w:val="19"/>
              <w:bidi w:val="0"/>
            </w:pPr>
            <w:r>
              <w:rPr>
                <w:lang w:val="en-US" w:eastAsia="zh-CN"/>
              </w:rPr>
              <w:t>I want 全程留存、查询、导出平台所有关键操作日志，数据不可篡改，</w:t>
            </w:r>
          </w:p>
          <w:p w14:paraId="0913C793">
            <w:pPr>
              <w:pStyle w:val="19"/>
              <w:bidi w:val="0"/>
            </w:pPr>
            <w:r>
              <w:rPr>
                <w:lang w:val="en-US" w:eastAsia="zh-CN"/>
              </w:rPr>
              <w:t>So that 我能实现平台操作合规审计、问题溯源，保障大屏底层配置数据安全可信、全程留痕。</w:t>
            </w:r>
          </w:p>
          <w:p w14:paraId="60BB35C9">
            <w:pPr>
              <w:pStyle w:val="19"/>
              <w:bidi w:val="0"/>
            </w:pPr>
          </w:p>
        </w:tc>
      </w:tr>
    </w:tbl>
    <w:p w14:paraId="36E071B5">
      <w:pPr>
        <w:rPr>
          <w:b w:val="0"/>
          <w:bCs w:val="0"/>
        </w:rPr>
      </w:pPr>
    </w:p>
    <w:p w14:paraId="783AFE7F">
      <w:pPr>
        <w:pStyle w:val="6"/>
        <w:numPr>
          <w:ilvl w:val="0"/>
          <w:numId w:val="231"/>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BDEB040">
        <w:tblPrEx>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1CFECAFC">
            <w:pPr>
              <w:pStyle w:val="19"/>
              <w:numPr>
                <w:ilvl w:val="0"/>
                <w:numId w:val="232"/>
              </w:numPr>
              <w:bidi w:val="0"/>
              <w:rPr>
                <w:b w:val="0"/>
                <w:bCs w:val="0"/>
              </w:rPr>
            </w:pPr>
            <w:r>
              <w:rPr>
                <w:rFonts w:hint="eastAsia"/>
                <w:b w:val="0"/>
                <w:bCs w:val="0"/>
                <w:lang w:val="en-US" w:eastAsia="zh-CN"/>
              </w:rPr>
              <w:t>选择查询条件，根据条件筛选列表数据；</w:t>
            </w:r>
          </w:p>
          <w:p w14:paraId="276CC54A">
            <w:pPr>
              <w:pStyle w:val="19"/>
              <w:numPr>
                <w:ilvl w:val="0"/>
                <w:numId w:val="232"/>
              </w:numPr>
              <w:bidi w:val="0"/>
              <w:rPr>
                <w:b w:val="0"/>
                <w:bCs w:val="0"/>
              </w:rPr>
            </w:pPr>
            <w:r>
              <w:rPr>
                <w:rFonts w:hint="eastAsia"/>
                <w:b w:val="0"/>
                <w:bCs w:val="0"/>
                <w:lang w:val="en-US" w:eastAsia="zh-CN"/>
              </w:rPr>
              <w:t>点击【导出】按钮，可将列表内数据导出到excel；</w:t>
            </w:r>
          </w:p>
          <w:p w14:paraId="58CBBC2A">
            <w:pPr>
              <w:pStyle w:val="19"/>
              <w:numPr>
                <w:ilvl w:val="0"/>
                <w:numId w:val="232"/>
              </w:numPr>
              <w:bidi w:val="0"/>
              <w:rPr>
                <w:b w:val="0"/>
                <w:bCs w:val="0"/>
              </w:rPr>
            </w:pPr>
            <w:r>
              <w:rPr>
                <w:rFonts w:hint="eastAsia"/>
                <w:b w:val="0"/>
                <w:bCs w:val="0"/>
                <w:lang w:val="en-US" w:eastAsia="zh-CN"/>
              </w:rPr>
              <w:t>点击【重置】按钮，重置查询条件；</w:t>
            </w:r>
          </w:p>
        </w:tc>
      </w:tr>
    </w:tbl>
    <w:p w14:paraId="58C14010">
      <w:pPr>
        <w:rPr>
          <w:b w:val="0"/>
          <w:bCs w:val="0"/>
        </w:rPr>
      </w:pPr>
    </w:p>
    <w:p w14:paraId="1E5D0390">
      <w:pPr>
        <w:pStyle w:val="6"/>
        <w:numPr>
          <w:ilvl w:val="0"/>
          <w:numId w:val="231"/>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657"/>
        <w:gridCol w:w="1468"/>
        <w:gridCol w:w="1291"/>
        <w:gridCol w:w="4479"/>
      </w:tblGrid>
      <w:tr w14:paraId="1C21197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D1C1A1">
            <w:pPr>
              <w:pStyle w:val="19"/>
              <w:bidi w:val="0"/>
              <w:spacing w:line="240" w:lineRule="auto"/>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E708E7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318E67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B0CCC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32690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校验与约束规则</w:t>
            </w:r>
          </w:p>
        </w:tc>
      </w:tr>
      <w:tr w14:paraId="4DC0861E">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115DAE">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44C785">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时间</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D2CD9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CA188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26D21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2509E9DE">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595D6B">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23BB7F">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操作人</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97267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BAD54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2EC36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68857CE0">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543B94">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7543D03">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操作对象</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74C08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4696A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32CA6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16633B6E">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714E3F">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6B64C1">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IP地址</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C31B8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32340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96390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62B26780">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1F8339">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p>
        </w:tc>
        <w:tc>
          <w:tcPr>
            <w:tcW w:w="16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69F273">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结果</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BFC98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B6D92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2C7C0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bl>
    <w:p w14:paraId="507B3EEF">
      <w:pPr>
        <w:pStyle w:val="19"/>
        <w:bidi w:val="0"/>
        <w:rPr>
          <w:b w:val="0"/>
          <w:bCs w:val="0"/>
        </w:rPr>
      </w:pPr>
    </w:p>
    <w:p w14:paraId="204210FD">
      <w:pPr>
        <w:pStyle w:val="6"/>
        <w:numPr>
          <w:ilvl w:val="0"/>
          <w:numId w:val="231"/>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5B41516F">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7F318770">
            <w:pPr>
              <w:pStyle w:val="19"/>
              <w:bidi w:val="0"/>
              <w:rPr>
                <w:b w:val="0"/>
                <w:bCs w:val="0"/>
              </w:rPr>
            </w:pPr>
            <w:r>
              <w:rPr>
                <w:rFonts w:hint="eastAsia"/>
                <w:lang w:val="en-US" w:eastAsia="zh-CN"/>
              </w:rPr>
              <w:t>无</w:t>
            </w:r>
          </w:p>
        </w:tc>
      </w:tr>
    </w:tbl>
    <w:p w14:paraId="770DED9E">
      <w:pPr>
        <w:pStyle w:val="19"/>
        <w:bidi w:val="0"/>
        <w:rPr>
          <w:b w:val="0"/>
          <w:bCs w:val="0"/>
        </w:rPr>
      </w:pPr>
    </w:p>
    <w:p w14:paraId="700752D1">
      <w:pPr>
        <w:pStyle w:val="6"/>
        <w:numPr>
          <w:ilvl w:val="0"/>
          <w:numId w:val="231"/>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D0F051A">
        <w:tblPrEx>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173B6E80">
            <w:pPr>
              <w:pStyle w:val="19"/>
              <w:bidi w:val="0"/>
              <w:rPr>
                <w:b w:val="0"/>
                <w:bCs w:val="0"/>
              </w:rPr>
            </w:pPr>
          </w:p>
        </w:tc>
      </w:tr>
    </w:tbl>
    <w:p w14:paraId="3B5B5958">
      <w:pPr>
        <w:pStyle w:val="19"/>
        <w:bidi w:val="0"/>
        <w:rPr>
          <w:b w:val="0"/>
          <w:bCs w:val="0"/>
        </w:rPr>
      </w:pPr>
    </w:p>
    <w:p w14:paraId="1B39B10A">
      <w:pPr>
        <w:pStyle w:val="6"/>
        <w:numPr>
          <w:ilvl w:val="0"/>
          <w:numId w:val="231"/>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272437CC">
        <w:tblPrEx>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5F3FF"/>
            <w:tcMar>
              <w:top w:w="70" w:type="dxa"/>
              <w:left w:w="100" w:type="dxa"/>
              <w:bottom w:w="70" w:type="dxa"/>
              <w:right w:w="100" w:type="dxa"/>
            </w:tcMar>
          </w:tcPr>
          <w:p w14:paraId="7647EB61">
            <w:pPr>
              <w:pStyle w:val="19"/>
              <w:bidi w:val="0"/>
              <w:rPr>
                <w:b w:val="0"/>
                <w:bCs w:val="0"/>
              </w:rPr>
            </w:pPr>
          </w:p>
        </w:tc>
      </w:tr>
    </w:tbl>
    <w:p w14:paraId="069F4EA4">
      <w:pPr>
        <w:rPr>
          <w:b w:val="0"/>
          <w:bCs w:val="0"/>
        </w:rPr>
      </w:pPr>
    </w:p>
    <w:p w14:paraId="32CEF986">
      <w:pPr>
        <w:pStyle w:val="6"/>
        <w:numPr>
          <w:ilvl w:val="0"/>
          <w:numId w:val="231"/>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6AF08D57">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696E9672">
            <w:pPr>
              <w:pStyle w:val="19"/>
              <w:bidi w:val="0"/>
              <w:rPr>
                <w:b w:val="0"/>
                <w:bCs w:val="0"/>
              </w:rPr>
            </w:pPr>
          </w:p>
        </w:tc>
      </w:tr>
    </w:tbl>
    <w:p w14:paraId="2908CD5F">
      <w:pPr>
        <w:rPr>
          <w:rFonts w:hint="default"/>
          <w:lang w:val="en-US" w:eastAsia="zh-CN"/>
        </w:rPr>
      </w:pPr>
    </w:p>
    <w:p w14:paraId="348B46DC">
      <w:pPr>
        <w:pStyle w:val="3"/>
        <w:numPr>
          <w:ilvl w:val="0"/>
          <w:numId w:val="7"/>
        </w:numPr>
        <w:ind w:left="0" w:leftChars="0" w:firstLine="0" w:firstLineChars="0"/>
        <w:rPr>
          <w:rFonts w:eastAsia="黑体"/>
          <w:b w:val="0"/>
          <w:bCs w:val="0"/>
          <w:sz w:val="32"/>
          <w:szCs w:val="44"/>
        </w:rPr>
      </w:pPr>
      <w:bookmarkStart w:id="82" w:name="_Toc21402"/>
      <w:r>
        <w:rPr>
          <w:rFonts w:ascii="Times New Roman" w:hAnsi="Times New Roman" w:eastAsia="黑体" w:cs="Times New Roman"/>
          <w:b w:val="0"/>
          <w:bCs w:val="0"/>
          <w:sz w:val="32"/>
          <w:szCs w:val="44"/>
        </w:rPr>
        <w:t>系统底座、接口契约与 QA 质量验收</w:t>
      </w:r>
      <w:bookmarkEnd w:id="82"/>
    </w:p>
    <w:p w14:paraId="2D6B1291">
      <w:pPr>
        <w:pStyle w:val="4"/>
        <w:numPr>
          <w:ilvl w:val="0"/>
          <w:numId w:val="233"/>
        </w:numPr>
        <w:topLinePunct w:val="0"/>
        <w:ind w:left="0" w:leftChars="0" w:firstLine="0" w:firstLineChars="0"/>
        <w:outlineLvl w:val="0"/>
        <w:rPr>
          <w:rFonts w:hint="eastAsia" w:eastAsia="黑体"/>
          <w:b w:val="0"/>
          <w:bCs w:val="0"/>
          <w:sz w:val="30"/>
          <w:szCs w:val="32"/>
        </w:rPr>
      </w:pPr>
      <w:bookmarkStart w:id="83" w:name="_Toc11975"/>
      <w:r>
        <w:rPr>
          <w:rFonts w:ascii="Times New Roman" w:hAnsi="Times New Roman" w:eastAsia="黑体" w:cs="Times New Roman"/>
          <w:b w:val="0"/>
          <w:bCs w:val="0"/>
          <w:sz w:val="30"/>
          <w:szCs w:val="32"/>
        </w:rPr>
        <w:t>六级组织架构与穿透鉴权体系</w:t>
      </w:r>
      <w:bookmarkEnd w:id="83"/>
    </w:p>
    <w:p w14:paraId="1AC6C60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架构规范</w:t>
      </w:r>
      <w:r>
        <w:rPr>
          <w:rFonts w:ascii="Times New Roman" w:hAnsi="Times New Roman" w:eastAsia="宋体" w:cs="Times New Roman"/>
          <w:i w:val="0"/>
          <w:color w:val="1F2937"/>
          <w:sz w:val="24"/>
          <w:szCs w:val="24"/>
        </w:rPr>
        <w:t>：系统严格执行【特变电工集团 ➔ 产业集团 ➔ 二级公司 ➔ 生产园区 ➔ 制造车间 ➔ 用能设备】六级穿透鉴权与数据物理隔离。上级节点通过物化视图自动聚合下级指标，下级节点严格隔离，越权请求触发拦截并审计。</w:t>
      </w:r>
    </w:p>
    <w:tbl>
      <w:tblPr>
        <w:tblStyle w:val="38"/>
        <w:tblW w:w="9784" w:type="dxa"/>
        <w:jc w:val="center"/>
        <w:tblLayout w:type="autofit"/>
        <w:tblCellMar>
          <w:top w:w="0" w:type="dxa"/>
          <w:left w:w="108" w:type="dxa"/>
          <w:bottom w:w="0" w:type="dxa"/>
          <w:right w:w="108" w:type="dxa"/>
        </w:tblCellMar>
      </w:tblPr>
      <w:tblGrid>
        <w:gridCol w:w="1231"/>
        <w:gridCol w:w="1831"/>
        <w:gridCol w:w="3078"/>
        <w:gridCol w:w="1839"/>
        <w:gridCol w:w="1805"/>
      </w:tblGrid>
      <w:tr w14:paraId="16DFF668">
        <w:tblPrEx>
          <w:tblCellMar>
            <w:top w:w="0" w:type="dxa"/>
            <w:left w:w="108" w:type="dxa"/>
            <w:bottom w:w="0" w:type="dxa"/>
            <w:right w:w="108" w:type="dxa"/>
          </w:tblCellMar>
        </w:tblPrEx>
        <w:trPr>
          <w:tblHeade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2054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层级</w:t>
            </w:r>
          </w:p>
        </w:tc>
        <w:tc>
          <w:tcPr>
            <w:tcW w:w="183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0726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节点名称</w:t>
            </w:r>
          </w:p>
        </w:tc>
        <w:tc>
          <w:tcPr>
            <w:tcW w:w="307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38C2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典型实体</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8B1A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数据可见范围</w:t>
            </w:r>
          </w:p>
        </w:tc>
        <w:tc>
          <w:tcPr>
            <w:tcW w:w="180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CCF30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聚合方式</w:t>
            </w:r>
          </w:p>
        </w:tc>
      </w:tr>
      <w:tr w14:paraId="4F83D1C3">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8D92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1</w:t>
            </w:r>
          </w:p>
        </w:tc>
        <w:tc>
          <w:tcPr>
            <w:tcW w:w="18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1285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特变电工集团</w:t>
            </w:r>
          </w:p>
        </w:tc>
        <w:tc>
          <w:tcPr>
            <w:tcW w:w="30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5700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集团总部</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44DF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34CA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60918A2C">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F989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2</w:t>
            </w:r>
          </w:p>
        </w:tc>
        <w:tc>
          <w:tcPr>
            <w:tcW w:w="18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9EA6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产业集团</w:t>
            </w:r>
          </w:p>
        </w:tc>
        <w:tc>
          <w:tcPr>
            <w:tcW w:w="30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2E44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电装集团</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A014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所辖产业全量数据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3A7D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5BBF8103">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D969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3</w:t>
            </w:r>
          </w:p>
        </w:tc>
        <w:tc>
          <w:tcPr>
            <w:tcW w:w="18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004E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二级公司</w:t>
            </w:r>
          </w:p>
        </w:tc>
        <w:tc>
          <w:tcPr>
            <w:tcW w:w="30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785C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沈变、衡变、新变、鲁缆、新缆、德缆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20EC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本公司全量数据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9CF8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0FFB9F3C">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429B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4</w:t>
            </w:r>
          </w:p>
        </w:tc>
        <w:tc>
          <w:tcPr>
            <w:tcW w:w="18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6661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生产园区</w:t>
            </w:r>
          </w:p>
        </w:tc>
        <w:tc>
          <w:tcPr>
            <w:tcW w:w="30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D457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各生产基地园区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090A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本园区全量数据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93D4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7CB62B6D">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FEDF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5</w:t>
            </w:r>
          </w:p>
        </w:tc>
        <w:tc>
          <w:tcPr>
            <w:tcW w:w="18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9B1B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制造车间</w:t>
            </w:r>
          </w:p>
        </w:tc>
        <w:tc>
          <w:tcPr>
            <w:tcW w:w="30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67A0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各生产车间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662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本车间数据</w:t>
            </w:r>
          </w:p>
        </w:tc>
        <w:tc>
          <w:tcPr>
            <w:tcW w:w="1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7D6A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70D954AB">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16C6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6</w:t>
            </w:r>
          </w:p>
        </w:tc>
        <w:tc>
          <w:tcPr>
            <w:tcW w:w="18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CC9E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用能设备</w:t>
            </w:r>
          </w:p>
        </w:tc>
        <w:tc>
          <w:tcPr>
            <w:tcW w:w="30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1402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采集表计与工艺设备</w:t>
            </w:r>
          </w:p>
        </w:tc>
        <w:tc>
          <w:tcPr>
            <w:tcW w:w="18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9015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本设备遥测与台账</w:t>
            </w:r>
          </w:p>
        </w:tc>
        <w:tc>
          <w:tcPr>
            <w:tcW w:w="1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5903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原始采集数据</w:t>
            </w:r>
          </w:p>
        </w:tc>
      </w:tr>
    </w:tbl>
    <w:p w14:paraId="42D33F33">
      <w:pPr>
        <w:spacing w:after="60"/>
        <w:rPr>
          <w:rFonts w:hint="eastAsia" w:ascii="宋体" w:hAnsi="宋体" w:eastAsia="宋体" w:cs="宋体"/>
          <w:i w:val="0"/>
          <w:iCs w:val="0"/>
          <w:sz w:val="24"/>
          <w:szCs w:val="24"/>
        </w:rPr>
      </w:pPr>
    </w:p>
    <w:p w14:paraId="0558987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数据范围隔离规则：</w:t>
      </w:r>
    </w:p>
    <w:p w14:paraId="0C854EED">
      <w:pPr>
        <w:pStyle w:val="19"/>
        <w:widowControl/>
        <w:numPr>
          <w:ilvl w:val="0"/>
          <w:numId w:val="2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行级多租户隔离（RLS）</w:t>
      </w:r>
      <w:r>
        <w:rPr>
          <w:rFonts w:ascii="Times New Roman" w:hAnsi="Times New Roman" w:eastAsia="宋体" w:cs="Times New Roman"/>
          <w:i w:val="0"/>
          <w:color w:val="1F2937"/>
          <w:sz w:val="24"/>
          <w:szCs w:val="24"/>
        </w:rPr>
        <w:t>：数据库层面按组织节点编码实施行级安全策略，越权查询返回空集并记录审计日志。</w:t>
      </w:r>
    </w:p>
    <w:p w14:paraId="3D43BD58">
      <w:pPr>
        <w:pStyle w:val="19"/>
        <w:widowControl/>
        <w:numPr>
          <w:ilvl w:val="0"/>
          <w:numId w:val="2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财务月度统一切账锁账隔离</w:t>
      </w:r>
      <w:r>
        <w:rPr>
          <w:rFonts w:ascii="Times New Roman" w:hAnsi="Times New Roman" w:eastAsia="宋体" w:cs="Times New Roman"/>
          <w:i w:val="0"/>
          <w:color w:val="1F2937"/>
          <w:sz w:val="24"/>
          <w:szCs w:val="24"/>
        </w:rPr>
        <w:t>：月度关账后，该月度的产量、能耗与成本数据整体冻结，任何修改须走特批反冲流程。</w:t>
      </w:r>
    </w:p>
    <w:p w14:paraId="7D5C541A">
      <w:pPr>
        <w:pStyle w:val="19"/>
        <w:widowControl/>
        <w:numPr>
          <w:ilvl w:val="0"/>
          <w:numId w:val="2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外部审计沙箱隔离</w:t>
      </w:r>
      <w:r>
        <w:rPr>
          <w:rFonts w:ascii="Times New Roman" w:hAnsi="Times New Roman" w:eastAsia="宋体" w:cs="Times New Roman"/>
          <w:i w:val="0"/>
          <w:color w:val="1F2937"/>
          <w:sz w:val="24"/>
          <w:szCs w:val="24"/>
        </w:rPr>
        <w:t>：P6 外部独立审计机构仅可访问与其认证报告关联的指定数据，且禁止全量导出。</w:t>
      </w:r>
    </w:p>
    <w:p w14:paraId="58AEE90B">
      <w:pPr>
        <w:pStyle w:val="4"/>
        <w:numPr>
          <w:ilvl w:val="0"/>
          <w:numId w:val="233"/>
        </w:numPr>
        <w:topLinePunct w:val="0"/>
        <w:ind w:left="0" w:leftChars="0" w:firstLine="0" w:firstLineChars="0"/>
        <w:outlineLvl w:val="0"/>
        <w:rPr>
          <w:rFonts w:hint="eastAsia" w:eastAsia="黑体"/>
          <w:b w:val="0"/>
          <w:bCs w:val="0"/>
          <w:sz w:val="30"/>
          <w:szCs w:val="32"/>
        </w:rPr>
      </w:pPr>
      <w:bookmarkStart w:id="84" w:name="_Toc8628"/>
      <w:r>
        <w:rPr>
          <w:rFonts w:ascii="Times New Roman" w:hAnsi="Times New Roman" w:eastAsia="黑体" w:cs="Times New Roman"/>
          <w:b w:val="0"/>
          <w:bCs w:val="0"/>
          <w:sz w:val="30"/>
          <w:szCs w:val="32"/>
        </w:rPr>
        <w:t>外部系统集成与 API 契约</w:t>
      </w:r>
      <w:bookmarkEnd w:id="84"/>
    </w:p>
    <w:p w14:paraId="4A417F4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接口协议：</w:t>
      </w:r>
    </w:p>
    <w:p w14:paraId="7497147D">
      <w:pPr>
        <w:pStyle w:val="19"/>
        <w:widowControl/>
        <w:numPr>
          <w:ilvl w:val="0"/>
          <w:numId w:val="23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IoT 物联采集网关：通过 Modbus-TCP / MQTT 协议实现全厂数千台数字电表、变送器秒级遥测高频采集，在边缘侧完成 1s~5s 本地闭环告警后，按 15 分钟等间隔汇聚写入分布式时序数据库（TDengine 3.x，边缘侧 SQLite 本地缓存）。</w:t>
      </w:r>
    </w:p>
    <w:p w14:paraId="77536442">
      <w:pPr>
        <w:pStyle w:val="19"/>
        <w:widowControl/>
        <w:numPr>
          <w:ilvl w:val="0"/>
          <w:numId w:val="2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企业 ERP/MES 集成</w:t>
      </w:r>
      <w:r>
        <w:rPr>
          <w:rFonts w:ascii="Times New Roman" w:hAnsi="Times New Roman" w:eastAsia="宋体" w:cs="Times New Roman"/>
          <w:i w:val="0"/>
          <w:color w:val="1F2937"/>
          <w:sz w:val="24"/>
          <w:szCs w:val="24"/>
        </w:rPr>
        <w:t>：基于 OpenAPI 3.0 契约，自动定时同步产品批次 BOM 清单、实际报工产量工时及财务电费账单。</w:t>
      </w:r>
    </w:p>
    <w:p w14:paraId="36EEDBD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八大核心业务接口端点概览：</w:t>
      </w:r>
    </w:p>
    <w:tbl>
      <w:tblPr>
        <w:tblStyle w:val="38"/>
        <w:tblW w:w="9784" w:type="dxa"/>
        <w:jc w:val="center"/>
        <w:tblLayout w:type="autofit"/>
        <w:tblCellMar>
          <w:top w:w="0" w:type="dxa"/>
          <w:left w:w="108" w:type="dxa"/>
          <w:bottom w:w="0" w:type="dxa"/>
          <w:right w:w="108" w:type="dxa"/>
        </w:tblCellMar>
      </w:tblPr>
      <w:tblGrid>
        <w:gridCol w:w="791"/>
        <w:gridCol w:w="2275"/>
        <w:gridCol w:w="3720"/>
        <w:gridCol w:w="813"/>
        <w:gridCol w:w="2185"/>
      </w:tblGrid>
      <w:tr w14:paraId="02AF17F4">
        <w:tblPrEx>
          <w:tblCellMar>
            <w:top w:w="0" w:type="dxa"/>
            <w:left w:w="108" w:type="dxa"/>
            <w:bottom w:w="0" w:type="dxa"/>
            <w:right w:w="108" w:type="dxa"/>
          </w:tblCellMar>
        </w:tblPrEx>
        <w:trPr>
          <w:tblHeade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290BE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A63A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端点名称</w:t>
            </w:r>
          </w:p>
        </w:tc>
        <w:tc>
          <w:tcPr>
            <w:tcW w:w="332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2E03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路径</w:t>
            </w:r>
          </w:p>
        </w:tc>
        <w:tc>
          <w:tcPr>
            <w:tcW w:w="8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57E0B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方法</w:t>
            </w:r>
          </w:p>
        </w:tc>
        <w:tc>
          <w:tcPr>
            <w:tcW w:w="23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BFC0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关键约束</w:t>
            </w:r>
          </w:p>
        </w:tc>
      </w:tr>
      <w:tr w14:paraId="03B2ABFB">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279B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B08B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全景态势与监控大屏核心遥测</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0CAD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/monitor/v1/telemetry/overview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8789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GET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D4D1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只读，缓存 TTL 30s</w:t>
            </w:r>
          </w:p>
        </w:tc>
      </w:tr>
      <w:tr w14:paraId="3B400D42">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046C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590E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单位产品能耗隔离核算</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A5C0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/monitor/v1/kpi/unit-consumption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A698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GET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2646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强制传入产业分类，量纲隔离</w:t>
            </w:r>
          </w:p>
        </w:tc>
      </w:tr>
      <w:tr w14:paraId="261CEADF">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697E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606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基层能耗数据填报录入</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37F0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/monitor/v1/entry/energy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AE48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097F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幂等 Token，非负校验</w:t>
            </w:r>
          </w:p>
        </w:tc>
      </w:tr>
      <w:tr w14:paraId="72EEA803">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4A9E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7C8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 LCA 五阶段滚算核算</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3611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/cf/v1/lca/compute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AE09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F33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五阶段加总容差 ≤0.01</w:t>
            </w:r>
          </w:p>
        </w:tc>
      </w:tr>
      <w:tr w14:paraId="29D6F361">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A334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BB9B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 CBAM 关税模拟与申报</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8E5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/cf/v1/cbam/declaration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7C99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F70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XSD 校验，双签门禁</w:t>
            </w:r>
          </w:p>
        </w:tc>
      </w:tr>
      <w:tr w14:paraId="12D25EF3">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6488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3144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因子库多维分页检索</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8004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/cf/v1/factors/search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02A8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GET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C05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过期因子默认过滤</w:t>
            </w:r>
          </w:p>
        </w:tc>
      </w:tr>
      <w:tr w14:paraId="7B95451E">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7D3D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52DD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节能技改项目 M&amp;V 评估</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BE65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/monitor/v1/project/mv-evaluate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104F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A0C3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基准期 ≥12 个月</w:t>
            </w:r>
          </w:p>
        </w:tc>
      </w:tr>
      <w:tr w14:paraId="7530A61B">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FD9E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4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5C5E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双中心用户会话与 RBAC 鉴权刷新</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9BC6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/auth/v1/session/refresh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A687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D7CB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JWT 有效期滚动</w:t>
            </w:r>
          </w:p>
        </w:tc>
      </w:tr>
    </w:tbl>
    <w:p w14:paraId="376DFC71">
      <w:pPr>
        <w:spacing w:after="60"/>
        <w:rPr>
          <w:rFonts w:hint="eastAsia" w:ascii="宋体" w:hAnsi="宋体" w:eastAsia="宋体" w:cs="宋体"/>
          <w:i w:val="0"/>
          <w:iCs w:val="0"/>
          <w:sz w:val="24"/>
          <w:szCs w:val="24"/>
        </w:rPr>
      </w:pPr>
    </w:p>
    <w:p w14:paraId="0CD4658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通用请求头规范：</w:t>
      </w:r>
    </w:p>
    <w:tbl>
      <w:tblPr>
        <w:tblStyle w:val="38"/>
        <w:tblW w:w="9784" w:type="dxa"/>
        <w:jc w:val="center"/>
        <w:tblLayout w:type="autofit"/>
        <w:tblCellMar>
          <w:top w:w="0" w:type="dxa"/>
          <w:left w:w="108" w:type="dxa"/>
          <w:bottom w:w="0" w:type="dxa"/>
          <w:right w:w="108" w:type="dxa"/>
        </w:tblCellMar>
      </w:tblPr>
      <w:tblGrid>
        <w:gridCol w:w="2840"/>
        <w:gridCol w:w="5209"/>
        <w:gridCol w:w="1735"/>
      </w:tblGrid>
      <w:tr w14:paraId="538C909A">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666549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Header</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D298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c>
          <w:tcPr>
            <w:tcW w:w="17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B3EB6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是否必填</w:t>
            </w:r>
          </w:p>
        </w:tc>
      </w:tr>
      <w:tr w14:paraId="14215FA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5F6E8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Authorization</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8472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Bearer JWT 访问令牌</w:t>
            </w:r>
          </w:p>
        </w:tc>
        <w:tc>
          <w:tcPr>
            <w:tcW w:w="17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F951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r w14:paraId="6770AAC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B925A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X-Tenant-Org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C40E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请求发起组织节点编码（用于 RLS）</w:t>
            </w:r>
          </w:p>
        </w:tc>
        <w:tc>
          <w:tcPr>
            <w:tcW w:w="17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9219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r w14:paraId="0BD3E35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C3E9D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X-Request-Id</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92F4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全链路追踪 ID，用于日志关联</w:t>
            </w:r>
          </w:p>
        </w:tc>
        <w:tc>
          <w:tcPr>
            <w:tcW w:w="17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4476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r w14:paraId="21A6FCF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2A56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X-Idempotency-Key</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22D9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幂等键，写操作必填</w:t>
            </w:r>
          </w:p>
        </w:tc>
        <w:tc>
          <w:tcPr>
            <w:tcW w:w="17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3001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写操作必填</w:t>
            </w:r>
          </w:p>
        </w:tc>
      </w:tr>
      <w:tr w14:paraId="2C3242D9">
        <w:tblPrEx>
          <w:tblCellMar>
            <w:top w:w="0" w:type="dxa"/>
            <w:left w:w="108" w:type="dxa"/>
            <w:bottom w:w="0" w:type="dxa"/>
            <w:right w:w="108" w:type="dxa"/>
          </w:tblCellMar>
        </w:tblPrEx>
        <w:trPr>
          <w:jc w:val="center"/>
        </w:trPr>
        <w:tc>
          <w:tcPr>
            <w:tcW w:w="28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FBD3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X-Signature</w:t>
            </w:r>
          </w:p>
        </w:tc>
        <w:tc>
          <w:tcPr>
            <w:tcW w:w="52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15DD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HMAC-SHA256 报文签名</w:t>
            </w:r>
          </w:p>
        </w:tc>
        <w:tc>
          <w:tcPr>
            <w:tcW w:w="17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0CF0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bl>
    <w:p w14:paraId="20393932">
      <w:pPr>
        <w:spacing w:after="60"/>
        <w:rPr>
          <w:rFonts w:hint="eastAsia" w:ascii="宋体" w:hAnsi="宋体" w:eastAsia="宋体" w:cs="宋体"/>
          <w:i w:val="0"/>
          <w:iCs w:val="0"/>
          <w:sz w:val="24"/>
          <w:szCs w:val="24"/>
        </w:rPr>
      </w:pPr>
    </w:p>
    <w:p w14:paraId="426904FA">
      <w:pPr>
        <w:pStyle w:val="4"/>
        <w:numPr>
          <w:ilvl w:val="0"/>
          <w:numId w:val="233"/>
        </w:numPr>
        <w:topLinePunct w:val="0"/>
        <w:ind w:left="0" w:leftChars="0" w:firstLine="0" w:firstLineChars="0"/>
        <w:outlineLvl w:val="0"/>
        <w:rPr>
          <w:rFonts w:hint="eastAsia" w:eastAsia="黑体"/>
          <w:b w:val="0"/>
          <w:bCs w:val="0"/>
          <w:sz w:val="30"/>
          <w:szCs w:val="32"/>
        </w:rPr>
      </w:pPr>
      <w:bookmarkStart w:id="85" w:name="_Toc30400"/>
      <w:r>
        <w:rPr>
          <w:rFonts w:ascii="Times New Roman" w:hAnsi="Times New Roman" w:eastAsia="黑体" w:cs="Times New Roman"/>
          <w:b w:val="0"/>
          <w:bCs w:val="0"/>
          <w:sz w:val="30"/>
          <w:szCs w:val="32"/>
        </w:rPr>
        <w:t>质量保障体系与全量验收测试用例矩阵</w:t>
      </w:r>
      <w:bookmarkEnd w:id="85"/>
    </w:p>
    <w:tbl>
      <w:tblPr>
        <w:tblStyle w:val="38"/>
        <w:tblW w:w="9530" w:type="dxa"/>
        <w:jc w:val="center"/>
        <w:tblLayout w:type="autofit"/>
        <w:tblCellMar>
          <w:top w:w="0" w:type="dxa"/>
          <w:left w:w="108" w:type="dxa"/>
          <w:bottom w:w="0" w:type="dxa"/>
          <w:right w:w="108" w:type="dxa"/>
        </w:tblCellMar>
      </w:tblPr>
      <w:tblGrid>
        <w:gridCol w:w="1320"/>
        <w:gridCol w:w="1421"/>
        <w:gridCol w:w="2167"/>
        <w:gridCol w:w="3492"/>
        <w:gridCol w:w="1130"/>
      </w:tblGrid>
      <w:tr w14:paraId="0632645B">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C8ABE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用例编号</w:t>
            </w:r>
          </w:p>
        </w:tc>
        <w:tc>
          <w:tcPr>
            <w:tcW w:w="14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C103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验证要点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88F4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测试输入与方法</w:t>
            </w:r>
          </w:p>
        </w:tc>
        <w:tc>
          <w:tcPr>
            <w:tcW w:w="349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D3FC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期望输出与验收指标</w:t>
            </w:r>
          </w:p>
        </w:tc>
        <w:tc>
          <w:tcPr>
            <w:tcW w:w="112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B17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阻断级别</w:t>
            </w:r>
          </w:p>
        </w:tc>
      </w:tr>
      <w:tr w14:paraId="006A3B9E">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F63F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TC-01</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9326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lang w:val="en-US" w:eastAsia="zh-CN"/>
              </w:rPr>
              <w:t>固定</w:t>
            </w:r>
            <w:r>
              <w:rPr>
                <w:rFonts w:hint="eastAsia" w:ascii="宋体" w:hAnsi="宋体" w:eastAsia="宋体" w:cs="宋体"/>
                <w:i w:val="0"/>
                <w:iCs w:val="0"/>
                <w:color w:val="1F2937"/>
                <w:sz w:val="24"/>
                <w:szCs w:val="24"/>
              </w:rPr>
              <w:t>表格行高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E077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CSS 样式扫描 + 像素检查</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E639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全站所有表格行固定行高，垂直居中无抖动</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D803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2EABAD6A">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BB22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TC-02</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9A3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lang w:val="en-US" w:eastAsia="zh-CN"/>
              </w:rPr>
              <w:t>一致性</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A888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自动化对标</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38A4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浅色端功能、图表与样式 100% 一致</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525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69B62855">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9FF0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TC-03</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1D5D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工序白名单判空</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9B95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选择沈变/鲁缆智慧能源等无工序单位</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9519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工序区域整行仅输出单行"暂无相关工序！"，无大段说教</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1A2E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02A557F9">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6509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TC-04</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7CFC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客观中立性纯洁度</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498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全系统文字定性词正则扫描</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F89B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零主观定性词汇（"表现优异/运行欠佳/落后单位"等）</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A237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082BA07D">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79AB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TC-05</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C5C2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极限除零边界防御</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84B8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BVA 极限输入月度产量 M = 0</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323F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自动拦截除以零异常，单耗显示"--"，严禁 NaN 或白屏</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7347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165AEF61">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FDD5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TC-06</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95D7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数据录入并发防刷</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C0E6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100ms 内快速连续点击提交 3 次</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10BB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Token 幂等拦截，仅首笔入库，提示防刷，防止重复记账</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B62A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3CC20A60">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4CFF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TC-07</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7678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非负防错校验</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4089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录入工作台输入产量为 -500 kVA</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B6AB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前端即时拦截并红框高亮，禁止发送请求</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A7EC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11F8A713">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BE3E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TC-08</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4B87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网络故障降级容灾</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C75F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断网混沌工程故障注入</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CEA3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优雅提示网络连接异常，恢复后支持一键重试刷新</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ED2C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高优先级</w:t>
            </w:r>
          </w:p>
        </w:tc>
      </w:tr>
      <w:tr w14:paraId="005313C8">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A1DC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TC-09</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AC4F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模块八段式完整性</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3F73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全量模块结构扫描</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1093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每个功能模块均含八段结构：定位/场景故事/交互契约/字段字典/数学模型/判定口径/边界异常/Gherkin 验收</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6207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43FC29AE">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B8A0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TC-10</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BC14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产业分母隔离铁律</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28D7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数据层与导出层字段扫描</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9C8D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变压器与线缆单耗不存在同列或跨产业排名</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E2D1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43178254">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1C16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TC-11</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A44F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因子版本时效拦截</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9266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选用超出 effective_to 的因子</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3985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选用动作被拦截并返回 E_VAL_FACTOR_EXPIRED</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5195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高优先级</w:t>
            </w:r>
          </w:p>
        </w:tc>
      </w:tr>
      <w:tr w14:paraId="533F33B6">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9F3D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TC-12</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B810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审计哈希链完整性</w:t>
            </w:r>
          </w:p>
        </w:tc>
        <w:tc>
          <w:tcPr>
            <w:tcW w:w="216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286C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篡改 LCA 报告内容后校验哈希</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6366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校验失败并锁定当事单据，返回 E_AUDIT_HASH_BROKEN</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1DED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bl>
    <w:p w14:paraId="63215597">
      <w:pPr>
        <w:spacing w:after="60"/>
        <w:rPr>
          <w:rFonts w:hint="eastAsia" w:ascii="宋体" w:hAnsi="宋体" w:eastAsia="宋体" w:cs="宋体"/>
          <w:i w:val="0"/>
          <w:iCs w:val="0"/>
          <w:sz w:val="24"/>
          <w:szCs w:val="24"/>
        </w:rPr>
      </w:pPr>
    </w:p>
    <w:p w14:paraId="0F536DA2">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58E55B1C">
      <w:pPr>
        <w:pStyle w:val="3"/>
        <w:numPr>
          <w:ilvl w:val="0"/>
          <w:numId w:val="7"/>
        </w:numPr>
        <w:ind w:left="0" w:leftChars="0" w:firstLine="0" w:firstLineChars="0"/>
        <w:rPr>
          <w:rFonts w:eastAsia="黑体"/>
          <w:b w:val="0"/>
          <w:bCs w:val="0"/>
          <w:sz w:val="32"/>
          <w:szCs w:val="44"/>
        </w:rPr>
      </w:pPr>
      <w:bookmarkStart w:id="86" w:name="_Toc31896"/>
      <w:r>
        <w:rPr>
          <w:rFonts w:ascii="Times New Roman" w:hAnsi="Times New Roman" w:eastAsia="黑体" w:cs="Times New Roman"/>
          <w:b w:val="0"/>
          <w:bCs w:val="0"/>
          <w:sz w:val="32"/>
          <w:szCs w:val="44"/>
        </w:rPr>
        <w:t>工程治理、状态机与合规保障体系</w:t>
      </w:r>
      <w:bookmarkEnd w:id="86"/>
    </w:p>
    <w:p w14:paraId="33439157">
      <w:pPr>
        <w:pStyle w:val="4"/>
        <w:numPr>
          <w:ilvl w:val="0"/>
          <w:numId w:val="236"/>
        </w:numPr>
        <w:topLinePunct w:val="0"/>
        <w:ind w:left="0" w:leftChars="0" w:firstLine="0" w:firstLineChars="0"/>
        <w:outlineLvl w:val="0"/>
        <w:rPr>
          <w:rFonts w:hint="eastAsia" w:eastAsia="黑体"/>
          <w:b w:val="0"/>
          <w:bCs w:val="0"/>
          <w:sz w:val="30"/>
          <w:szCs w:val="32"/>
        </w:rPr>
      </w:pPr>
      <w:bookmarkStart w:id="87" w:name="_Toc28871"/>
      <w:r>
        <w:rPr>
          <w:rFonts w:ascii="Times New Roman" w:hAnsi="Times New Roman" w:eastAsia="黑体" w:cs="Times New Roman"/>
          <w:b w:val="0"/>
          <w:bCs w:val="0"/>
          <w:sz w:val="30"/>
          <w:szCs w:val="32"/>
        </w:rPr>
        <w:t>数据治理与商密合规</w:t>
      </w:r>
      <w:bookmarkEnd w:id="87"/>
    </w:p>
    <w:p w14:paraId="58FBCA29">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依据大型央国企商密规范与海外出海安全条例，建立严格的 L0~L4 数据分级、脱敏与审计留痕机制。</w:t>
      </w:r>
    </w:p>
    <w:tbl>
      <w:tblPr>
        <w:tblStyle w:val="38"/>
        <w:tblW w:w="10369" w:type="dxa"/>
        <w:jc w:val="center"/>
        <w:tblLayout w:type="autofit"/>
        <w:tblCellMar>
          <w:top w:w="0" w:type="dxa"/>
          <w:left w:w="108" w:type="dxa"/>
          <w:bottom w:w="0" w:type="dxa"/>
          <w:right w:w="108" w:type="dxa"/>
        </w:tblCellMar>
      </w:tblPr>
      <w:tblGrid>
        <w:gridCol w:w="1299"/>
        <w:gridCol w:w="817"/>
        <w:gridCol w:w="2858"/>
        <w:gridCol w:w="2758"/>
        <w:gridCol w:w="2637"/>
      </w:tblGrid>
      <w:tr w14:paraId="6CB3797D">
        <w:tblPrEx>
          <w:tblCellMar>
            <w:top w:w="0" w:type="dxa"/>
            <w:left w:w="108" w:type="dxa"/>
            <w:bottom w:w="0" w:type="dxa"/>
            <w:right w:w="108" w:type="dxa"/>
          </w:tblCellMar>
        </w:tblPrEx>
        <w:trPr>
          <w:tblHeade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AA02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级别标签</w:t>
            </w:r>
          </w:p>
        </w:tc>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B7AC7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D396C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典型业务字段</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BF233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展示脱敏规则</w:t>
            </w:r>
          </w:p>
        </w:tc>
        <w:tc>
          <w:tcPr>
            <w:tcW w:w="26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80E33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导出与存储处理要求</w:t>
            </w:r>
          </w:p>
        </w:tc>
      </w:tr>
      <w:tr w14:paraId="0AB74A01">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6AA5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L0</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8EE0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00B4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国家行业能耗先进值、国家准入值、折标煤系数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B957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明文正常展示</w:t>
            </w:r>
          </w:p>
        </w:tc>
        <w:tc>
          <w:tcPr>
            <w:tcW w:w="2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E0BC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允许对外发布与公开引用</w:t>
            </w:r>
          </w:p>
        </w:tc>
      </w:tr>
      <w:tr w14:paraId="3163CDDB">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7714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L1</w:t>
            </w:r>
          </w:p>
        </w:tc>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8961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内部</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4241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各基地万元产值能耗、单位产品单耗、绿电消纳率</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17A5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全集团统一内网展示</w:t>
            </w:r>
          </w:p>
        </w:tc>
        <w:tc>
          <w:tcPr>
            <w:tcW w:w="2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FEF7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仅限特变电工内部网络访问与流转</w:t>
            </w:r>
          </w:p>
        </w:tc>
      </w:tr>
      <w:tr w14:paraId="7E19C834">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9147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L2</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20EA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敏感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49F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重点设备编码、车间统计员手机号、采集表计 UUID</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8F1B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手机号保留前 3 后 4，UUID 保留尾 4 位</w:t>
            </w:r>
          </w:p>
        </w:tc>
        <w:tc>
          <w:tcPr>
            <w:tcW w:w="2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E8BC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访问审计留痕，导出带工号动态水印</w:t>
            </w:r>
          </w:p>
        </w:tc>
      </w:tr>
      <w:tr w14:paraId="0E5DC058">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6CA2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L3</w:t>
            </w:r>
          </w:p>
        </w:tc>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42F5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46C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变压器工艺配方、月度电费金额、CBAM 申报底表</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702C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电费四舍五入到万元，CBAM 底表仅 P5/PM 可见</w:t>
            </w:r>
          </w:p>
        </w:tc>
        <w:tc>
          <w:tcPr>
            <w:tcW w:w="2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ABB9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落盘 AES-256 加密存储，操作链式 Hash 留痕</w:t>
            </w:r>
          </w:p>
        </w:tc>
      </w:tr>
      <w:tr w14:paraId="0ACC3D18">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7A25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L4</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8994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绝密</w:t>
            </w:r>
          </w:p>
        </w:tc>
        <w:tc>
          <w:tcPr>
            <w:tcW w:w="28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6E02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集团双碳战略投资路线图、上市公司核心能耗决算</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48C4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高管双重鉴权展示，强制显式全屏防截屏水印</w:t>
            </w:r>
          </w:p>
        </w:tc>
        <w:tc>
          <w:tcPr>
            <w:tcW w:w="2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2692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 P1 集团决策层授权访问，双人签批导出</w:t>
            </w:r>
          </w:p>
        </w:tc>
      </w:tr>
    </w:tbl>
    <w:p w14:paraId="0957058A">
      <w:pPr>
        <w:spacing w:after="60"/>
        <w:rPr>
          <w:rFonts w:hint="eastAsia" w:ascii="宋体" w:hAnsi="宋体" w:eastAsia="宋体" w:cs="宋体"/>
          <w:i w:val="0"/>
          <w:iCs w:val="0"/>
          <w:sz w:val="24"/>
          <w:szCs w:val="24"/>
        </w:rPr>
      </w:pPr>
    </w:p>
    <w:p w14:paraId="1588B8BE">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数据法定保留与销毁期限：</w:t>
      </w:r>
    </w:p>
    <w:p w14:paraId="575ED141">
      <w:pPr>
        <w:pStyle w:val="19"/>
        <w:widowControl/>
        <w:numPr>
          <w:ilvl w:val="0"/>
          <w:numId w:val="237"/>
        </w:numPr>
        <w:ind w:left="0" w:leftChars="0" w:firstLine="0" w:firstLineChars="0"/>
        <w:rPr>
          <w:rFonts w:eastAsia="宋体"/>
          <w:b/>
          <w:i w:val="0"/>
          <w:color w:val="1E3A8A"/>
          <w:sz w:val="24"/>
          <w:szCs w:val="24"/>
        </w:rPr>
      </w:pPr>
      <w:r>
        <w:rPr>
          <w:rFonts w:ascii="Times New Roman" w:hAnsi="Times New Roman" w:eastAsia="宋体" w:cs="Times New Roman"/>
          <w:i w:val="0"/>
          <w:color w:val="1F2937"/>
          <w:sz w:val="24"/>
          <w:szCs w:val="24"/>
        </w:rPr>
        <w:t>工业时序遥测数据：在线存储 ≥ 3 年，冷归档存储 ≥ 10 年。</w:t>
      </w:r>
    </w:p>
    <w:p w14:paraId="7AE6BCD7">
      <w:pPr>
        <w:pStyle w:val="19"/>
        <w:widowControl/>
        <w:numPr>
          <w:ilvl w:val="0"/>
          <w:numId w:val="237"/>
        </w:numPr>
        <w:ind w:left="0" w:leftChars="0" w:firstLine="0" w:firstLineChars="0"/>
        <w:rPr>
          <w:rFonts w:eastAsia="宋体"/>
          <w:b/>
          <w:i w:val="0"/>
          <w:color w:val="1E3A8A"/>
          <w:sz w:val="24"/>
          <w:szCs w:val="24"/>
        </w:rPr>
      </w:pPr>
      <w:r>
        <w:rPr>
          <w:rFonts w:ascii="Times New Roman" w:hAnsi="Times New Roman" w:eastAsia="宋体" w:cs="Times New Roman"/>
          <w:i w:val="0"/>
          <w:color w:val="1F2937"/>
          <w:sz w:val="24"/>
          <w:szCs w:val="24"/>
        </w:rPr>
        <w:t>财务电费与用能台账：法定保留 ≥ 10 年，到期按国家档案法规销毁。</w:t>
      </w:r>
    </w:p>
    <w:p w14:paraId="5A11257A">
      <w:pPr>
        <w:pStyle w:val="19"/>
        <w:widowControl/>
        <w:numPr>
          <w:ilvl w:val="0"/>
          <w:numId w:val="237"/>
        </w:numPr>
        <w:ind w:left="0" w:leftChars="0" w:firstLine="0" w:firstLineChars="0"/>
        <w:rPr>
          <w:rFonts w:eastAsia="宋体"/>
          <w:b/>
          <w:i w:val="0"/>
          <w:color w:val="1E3A8A"/>
          <w:sz w:val="24"/>
          <w:szCs w:val="24"/>
        </w:rPr>
      </w:pPr>
      <w:r>
        <w:rPr>
          <w:rFonts w:ascii="Times New Roman" w:hAnsi="Times New Roman" w:eastAsia="宋体" w:cs="Times New Roman"/>
          <w:i w:val="0"/>
          <w:color w:val="1F2937"/>
          <w:sz w:val="24"/>
          <w:szCs w:val="24"/>
        </w:rPr>
        <w:t>欧盟 CBAM 申报底表：法定保留 ≥ 10 年（欧盟海关追溯要求）。</w:t>
      </w:r>
    </w:p>
    <w:p w14:paraId="3F2F626A">
      <w:pPr>
        <w:pStyle w:val="19"/>
        <w:widowControl/>
        <w:numPr>
          <w:ilvl w:val="0"/>
          <w:numId w:val="237"/>
        </w:numPr>
        <w:ind w:left="0" w:leftChars="0" w:firstLine="0" w:firstLineChars="0"/>
        <w:rPr>
          <w:rFonts w:eastAsia="宋体"/>
          <w:b/>
          <w:i w:val="0"/>
          <w:color w:val="1E3A8A"/>
          <w:sz w:val="24"/>
          <w:szCs w:val="24"/>
        </w:rPr>
      </w:pPr>
      <w:r>
        <w:rPr>
          <w:rFonts w:ascii="Times New Roman" w:hAnsi="Times New Roman" w:eastAsia="宋体" w:cs="Times New Roman"/>
          <w:i w:val="0"/>
          <w:color w:val="1F2937"/>
          <w:sz w:val="24"/>
          <w:szCs w:val="24"/>
        </w:rPr>
        <w:t>LCA 碳足迹报告与认证声明：永久留底，严禁销毁。</w:t>
      </w:r>
    </w:p>
    <w:p w14:paraId="3E0292CC">
      <w:pPr>
        <w:pStyle w:val="4"/>
        <w:numPr>
          <w:ilvl w:val="0"/>
          <w:numId w:val="236"/>
        </w:numPr>
        <w:topLinePunct w:val="0"/>
        <w:ind w:left="0" w:leftChars="0" w:firstLine="0" w:firstLineChars="0"/>
        <w:outlineLvl w:val="0"/>
        <w:rPr>
          <w:rFonts w:hint="eastAsia" w:eastAsia="黑体"/>
          <w:b w:val="0"/>
          <w:bCs w:val="0"/>
          <w:sz w:val="30"/>
          <w:szCs w:val="32"/>
        </w:rPr>
      </w:pPr>
      <w:bookmarkStart w:id="88" w:name="_Toc1283"/>
      <w:r>
        <w:rPr>
          <w:rFonts w:ascii="Times New Roman" w:hAnsi="Times New Roman" w:eastAsia="黑体" w:cs="Times New Roman"/>
          <w:b w:val="0"/>
          <w:bCs w:val="0"/>
          <w:sz w:val="30"/>
          <w:szCs w:val="32"/>
        </w:rPr>
        <w:t>数据冲突仲裁与降级补传治理机制（Reconciliation）</w:t>
      </w:r>
      <w:bookmarkEnd w:id="88"/>
    </w:p>
    <w:p w14:paraId="17DFB00F">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平台允许边缘网关在物理断网期间本地缓存补传（ E_IO_GATEWAY_OFFLINE ），亦允许 ERP 接口超时期间由人工上传 Excel BOM（ INV-FALLBACK 模式）。两类降级通道与主线数据源恢复后必然产生时序冲突与版本冲突，本节定义强制冲突消解规则，杜绝静默覆盖与指标口径漂移。</w:t>
      </w:r>
    </w:p>
    <w:p w14:paraId="2800B42A">
      <w:pPr>
        <w:pStyle w:val="5"/>
        <w:numPr>
          <w:ilvl w:val="0"/>
          <w:numId w:val="238"/>
        </w:numPr>
        <w:ind w:left="0" w:leftChars="0" w:firstLine="0" w:firstLineChars="0"/>
        <w:outlineLvl w:val="1"/>
        <w:rPr>
          <w:rFonts w:ascii="Times New Roman" w:hAnsi="Times New Roman" w:eastAsia="黑体" w:cs="Times New Roman"/>
          <w:b w:val="0"/>
          <w:bCs w:val="0"/>
          <w:sz w:val="30"/>
          <w:szCs w:val="24"/>
        </w:rPr>
      </w:pPr>
      <w:bookmarkStart w:id="89" w:name="_Toc12326"/>
      <w:r>
        <w:rPr>
          <w:rFonts w:ascii="Times New Roman" w:hAnsi="Times New Roman" w:eastAsia="黑体" w:cs="Times New Roman"/>
          <w:b w:val="0"/>
          <w:bCs w:val="0"/>
          <w:sz w:val="30"/>
          <w:szCs w:val="24"/>
        </w:rPr>
        <w:t>时序补传冲突消解（断网恢复场景）</w:t>
      </w:r>
      <w:bookmarkEnd w:id="89"/>
    </w:p>
    <w:p w14:paraId="7DA9F511">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判定基准：以边缘网关本地 SQLite 中携带原始硬件时间戳的补传数据为准，云端接收时间仅作参考，不作为业务发生时间。</w:t>
      </w:r>
    </w:p>
    <w:p w14:paraId="1D7DABB8">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时序重写：补传数据落库后触发时序重写，按原始硬件时间戳重新排序并覆盖同点位同时刻的云端记录，重写前后的值写入差异流水。</w:t>
      </w:r>
    </w:p>
    <w:p w14:paraId="2C444A90">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指标重算：时序重写完成后自动重新触发当日指标物化视图重算，重算范围限于受影响组织节点与介质，不做全量重算。</w:t>
      </w:r>
    </w:p>
    <w:p w14:paraId="19E1548B">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操作留痕：每一次补传更新均写入「补传更新」操作流水（网关编号、断网起止时间、补传点数、受影响指标清单、重算结果）。</w:t>
      </w:r>
    </w:p>
    <w:p w14:paraId="0D8A4C33">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越界保护：补传数据时间戳早于已锁账月份期末时，不得直接改写历史锁账数据，须走特批反冲流程并生成对账待办。</w:t>
      </w:r>
    </w:p>
    <w:tbl>
      <w:tblPr>
        <w:tblStyle w:val="38"/>
        <w:tblW w:w="10379" w:type="dxa"/>
        <w:jc w:val="center"/>
        <w:tblLayout w:type="autofit"/>
        <w:tblCellMar>
          <w:top w:w="0" w:type="dxa"/>
          <w:left w:w="108" w:type="dxa"/>
          <w:bottom w:w="0" w:type="dxa"/>
          <w:right w:w="108" w:type="dxa"/>
        </w:tblCellMar>
      </w:tblPr>
      <w:tblGrid>
        <w:gridCol w:w="1418"/>
        <w:gridCol w:w="2745"/>
        <w:gridCol w:w="2976"/>
        <w:gridCol w:w="3240"/>
      </w:tblGrid>
      <w:tr w14:paraId="4A1D096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6BCF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冲突场景</w:t>
            </w:r>
          </w:p>
        </w:tc>
        <w:tc>
          <w:tcPr>
            <w:tcW w:w="27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A900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触发条件</w:t>
            </w:r>
          </w:p>
        </w:tc>
        <w:tc>
          <w:tcPr>
            <w:tcW w:w="29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7FE4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仲裁规则</w:t>
            </w:r>
          </w:p>
        </w:tc>
        <w:tc>
          <w:tcPr>
            <w:tcW w:w="27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51FDB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系统动作与留痕</w:t>
            </w:r>
          </w:p>
        </w:tc>
      </w:tr>
      <w:tr w14:paraId="641826D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22CA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主备通道同时刻冲突</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19CF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网关补传与云端采集存在同点位同时刻记录</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4215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以网关本地 SQLite 原始硬件时间戳记录为准</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FDFF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覆盖云端记录，写入时序重写差异流水</w:t>
            </w:r>
          </w:p>
        </w:tc>
      </w:tr>
      <w:tr w14:paraId="745683C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84DB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补传时间戳倒序</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7B45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补传数据时间戳早于云端最新记录</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CE41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按原始硬件时间戳重排，允许乱序补传</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D1FA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触发当日指标物化视图重算</w:t>
            </w:r>
          </w:p>
        </w:tc>
      </w:tr>
      <w:tr w14:paraId="6DF38CB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02A5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补传落入已锁账月份</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1896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补传数据时间戳早于已锁账月份期末</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4F25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不得直接改写锁账数据，须走特批反冲</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EBA5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生成对账待办并触发 E_SYS_ENTRY_ALREADY_LOCKED</w:t>
            </w:r>
          </w:p>
        </w:tc>
      </w:tr>
      <w:tr w14:paraId="7A007D8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2E74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双网关重复上报</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3D79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同一测点被两台网关同时上报</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D39E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按网关优先级 + 时间戳精度仲裁，低优先级记录丢弃</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6881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记录重复上报计数并纳入链路健康度</w:t>
            </w:r>
          </w:p>
        </w:tc>
      </w:tr>
      <w:tr w14:paraId="3E33EBA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3989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补传数据超期</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AFCD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断网时长超过本地缓存容量导致数据缺口</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B3FC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缺口区间标记「数据缺失」不插值补造</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A4DB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输出数据缺失标签并纳入数据质量报告</w:t>
            </w:r>
          </w:p>
        </w:tc>
      </w:tr>
    </w:tbl>
    <w:p w14:paraId="0AE971B6">
      <w:pPr>
        <w:pStyle w:val="5"/>
        <w:numPr>
          <w:ilvl w:val="0"/>
          <w:numId w:val="238"/>
        </w:numPr>
        <w:ind w:left="0" w:leftChars="0" w:firstLine="0" w:firstLineChars="0"/>
        <w:outlineLvl w:val="1"/>
        <w:rPr>
          <w:rFonts w:ascii="Times New Roman" w:hAnsi="Times New Roman" w:eastAsia="黑体" w:cs="Times New Roman"/>
          <w:b w:val="0"/>
          <w:bCs w:val="0"/>
          <w:sz w:val="30"/>
          <w:szCs w:val="24"/>
        </w:rPr>
      </w:pPr>
      <w:bookmarkStart w:id="90" w:name="_Toc2219"/>
      <w:r>
        <w:rPr>
          <w:rFonts w:ascii="Times New Roman" w:hAnsi="Times New Roman" w:eastAsia="黑体" w:cs="Times New Roman"/>
          <w:b w:val="0"/>
          <w:bCs w:val="0"/>
          <w:sz w:val="30"/>
          <w:szCs w:val="24"/>
        </w:rPr>
        <w:t>BOM 差异对账仲裁（ERP 恢复场景）</w:t>
      </w:r>
      <w:bookmarkEnd w:id="90"/>
    </w:p>
    <w:p w14:paraId="7C75C4FB">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禁止静默覆盖：ERP 接口恢复后，系统不得静默覆盖人工上传的临时 BOM，一律进入差异对账流程。</w:t>
      </w:r>
    </w:p>
    <w:p w14:paraId="2A6861AB">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差异对账待办：系统自动比对本期人工上传 BOM 与 ERP 最新版本 BOM，生成「差异对账待办」并推送至 P4 碳核算工程师待办中心。</w:t>
      </w:r>
    </w:p>
    <w:p w14:paraId="47CDA66C">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高亮比对：对账界面高亮差异字段（物料编码、物料名称、单耗用量、物料单价、供应商），并统计差异条目数与差异金额占比。</w:t>
      </w:r>
    </w:p>
    <w:p w14:paraId="06E5ED4E">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人工裁决：由 P4 碳核算工程师逐项确认采用「ERP 最新版本」或「保留当前核准版本」；选择保留时须填写保留理由与依据。</w:t>
      </w:r>
    </w:p>
    <w:p w14:paraId="07E5544A">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裁决留痕与重算：裁决结果写入 BOM 版本裁决流水；若裁决改变已出具 LCA 报告的物料口径，自动标记受影响报告为「待重算」并阻断报告发布。</w:t>
      </w:r>
    </w:p>
    <w:tbl>
      <w:tblPr>
        <w:tblStyle w:val="38"/>
        <w:tblW w:w="10379" w:type="dxa"/>
        <w:jc w:val="center"/>
        <w:tblLayout w:type="autofit"/>
        <w:tblCellMar>
          <w:top w:w="0" w:type="dxa"/>
          <w:left w:w="108" w:type="dxa"/>
          <w:bottom w:w="0" w:type="dxa"/>
          <w:right w:w="108" w:type="dxa"/>
        </w:tblCellMar>
      </w:tblPr>
      <w:tblGrid>
        <w:gridCol w:w="1900"/>
        <w:gridCol w:w="2745"/>
        <w:gridCol w:w="2976"/>
        <w:gridCol w:w="2758"/>
      </w:tblGrid>
      <w:tr w14:paraId="09CF5B6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C21AF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冲突场景</w:t>
            </w:r>
          </w:p>
        </w:tc>
        <w:tc>
          <w:tcPr>
            <w:tcW w:w="27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1087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触发条件</w:t>
            </w:r>
          </w:p>
        </w:tc>
        <w:tc>
          <w:tcPr>
            <w:tcW w:w="29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CB63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仲裁规则</w:t>
            </w:r>
          </w:p>
        </w:tc>
        <w:tc>
          <w:tcPr>
            <w:tcW w:w="27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4A51A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系统动作与留痕</w:t>
            </w:r>
          </w:p>
        </w:tc>
      </w:tr>
      <w:tr w14:paraId="5E8E2AC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CCF8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 BOM 与 ERP BOM 不一致</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E2D9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接口恢复且本期已存在人工上传 BOM</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3410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禁止静默覆盖，强制进入差异对账</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3088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生成差异对账待办并推送至 P4 待办中心</w:t>
            </w:r>
          </w:p>
        </w:tc>
      </w:tr>
      <w:tr w14:paraId="51395A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45AC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差异涉及已出具报告</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B4D5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裁决改变物料口径且该批次已出具 LCA 报告</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02B2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受影响报告整体标记「待重算」</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2587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阻断报告发布并生成重算任务</w:t>
            </w:r>
          </w:p>
        </w:tc>
      </w:tr>
      <w:tr w14:paraId="2D412B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1FB0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差异金额占比超阈值</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B1D1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差异金额占比 &gt; 5.00%</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948E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升级至 PM 与财务复核</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685C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对账待办升级，未复核不得关账</w:t>
            </w:r>
          </w:p>
        </w:tc>
      </w:tr>
      <w:tr w14:paraId="72631E7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1550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对账超期未裁决</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0434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对账待办超过 3 个工作日未裁决</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2EDA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按「当前核准版本」暂用并在数据上标注</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6AE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记录暂用标记，纳入月度数据质量报告</w:t>
            </w:r>
          </w:p>
        </w:tc>
      </w:tr>
      <w:tr w14:paraId="4119572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111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 BOM 缺失版本信息</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BB79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人工上传 BOM 未填写版本号与上传依据</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540E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拒绝入库并要求补充版本信息</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9734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返回校验拦截并保留原文件供追溯</w:t>
            </w:r>
          </w:p>
        </w:tc>
      </w:tr>
    </w:tbl>
    <w:p w14:paraId="07D43C93">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静默覆盖红线：任何降级通道恢复后的数据合并，严禁静默覆盖人工核准版本；违反即判定为 P0 级数据事故并追溯责任人。</w:t>
      </w:r>
    </w:p>
    <w:p w14:paraId="5706C547">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锁账红线：已锁账月份的数据不得被补传或对账流程直接改写，必须走特批反冲流程。</w:t>
      </w:r>
    </w:p>
    <w:p w14:paraId="63B6AD33">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留痕红线：补传更新与 BOM 裁决必须全量留痕，审计日志零丢失。</w:t>
      </w:r>
    </w:p>
    <w:p w14:paraId="240EAC91">
      <w:pPr>
        <w:pStyle w:val="4"/>
        <w:numPr>
          <w:ilvl w:val="0"/>
          <w:numId w:val="236"/>
        </w:numPr>
        <w:topLinePunct w:val="0"/>
        <w:ind w:left="0" w:leftChars="0" w:firstLine="0" w:firstLineChars="0"/>
        <w:outlineLvl w:val="0"/>
        <w:rPr>
          <w:rFonts w:hint="eastAsia" w:eastAsia="黑体"/>
          <w:b w:val="0"/>
          <w:bCs w:val="0"/>
          <w:sz w:val="30"/>
          <w:szCs w:val="32"/>
        </w:rPr>
      </w:pPr>
      <w:bookmarkStart w:id="91" w:name="_Toc31999"/>
      <w:r>
        <w:rPr>
          <w:rFonts w:ascii="Times New Roman" w:hAnsi="Times New Roman" w:eastAsia="黑体" w:cs="Times New Roman"/>
          <w:b w:val="0"/>
          <w:bCs w:val="0"/>
          <w:sz w:val="30"/>
          <w:szCs w:val="32"/>
        </w:rPr>
        <w:t>关键业务长流程状态机图谱</w:t>
      </w:r>
      <w:bookmarkEnd w:id="91"/>
    </w:p>
    <w:p w14:paraId="5FBCD127">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为全系统长流程、跨角色、涉及审批与回退的业务节点定义标准化状态流转机制。</w:t>
      </w:r>
    </w:p>
    <w:tbl>
      <w:tblPr>
        <w:tblStyle w:val="38"/>
        <w:tblW w:w="9515" w:type="dxa"/>
        <w:jc w:val="center"/>
        <w:tblLayout w:type="autofit"/>
        <w:tblCellMar>
          <w:top w:w="0" w:type="dxa"/>
          <w:left w:w="108" w:type="dxa"/>
          <w:bottom w:w="0" w:type="dxa"/>
          <w:right w:w="108" w:type="dxa"/>
        </w:tblCellMar>
      </w:tblPr>
      <w:tblGrid>
        <w:gridCol w:w="1036"/>
        <w:gridCol w:w="2489"/>
        <w:gridCol w:w="3232"/>
        <w:gridCol w:w="2758"/>
      </w:tblGrid>
      <w:tr w14:paraId="3D73F72B">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922A5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业务流程名称</w:t>
            </w:r>
          </w:p>
        </w:tc>
        <w:tc>
          <w:tcPr>
            <w:tcW w:w="24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41978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全生命周期状态流转链</w:t>
            </w:r>
          </w:p>
        </w:tc>
        <w:tc>
          <w:tcPr>
            <w:tcW w:w="323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EF9E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可触发动作与角色边界</w:t>
            </w:r>
          </w:p>
        </w:tc>
        <w:tc>
          <w:tcPr>
            <w:tcW w:w="27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8C4B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异常回退策略</w:t>
            </w:r>
          </w:p>
        </w:tc>
      </w:tr>
      <w:tr w14:paraId="6F02CF61">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07C1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碳足迹核算</w:t>
            </w:r>
          </w:p>
        </w:tc>
        <w:tc>
          <w:tcPr>
            <w:tcW w:w="24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CEB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送审 → 认证中 → 已认证 → 已发布 → 已归档</w:t>
            </w:r>
          </w:p>
        </w:tc>
        <w:tc>
          <w:tcPr>
            <w:tcW w:w="32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01F4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草稿仅 P4 自身编辑；送审后锁定；认证中第三方介入；发布需 P4+PM 联合签字</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2051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机构退回时状态回退至"草稿"，释放编辑锁并记录退回意见</w:t>
            </w:r>
          </w:p>
        </w:tc>
      </w:tr>
      <w:tr w14:paraId="71A304CA">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22DA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关税申报</w:t>
            </w:r>
          </w:p>
        </w:tc>
        <w:tc>
          <w:tcPr>
            <w:tcW w:w="24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B03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模拟测算 → 待审 → 已提交 → 海关反馈 → 已归档</w:t>
            </w:r>
          </w:p>
        </w:tc>
        <w:tc>
          <w:tcPr>
            <w:tcW w:w="32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30F5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模拟仅 P5 可触发；提交必须经 P5 报关专家与 P1 集团决策层双重电子签章</w:t>
            </w:r>
          </w:p>
        </w:tc>
        <w:tc>
          <w:tcPr>
            <w:tcW w:w="27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C7E2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海关质询时转入"海关反馈"，补正后重新提交并生成新修订流水号</w:t>
            </w:r>
          </w:p>
        </w:tc>
      </w:tr>
      <w:tr w14:paraId="4DF62876">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158A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节能效益评估</w:t>
            </w:r>
          </w:p>
        </w:tc>
        <w:tc>
          <w:tcPr>
            <w:tcW w:w="24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5CC4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项目立项 → 建设施工 → 并网试运行 → 稳定运行 → 已完结</w:t>
            </w:r>
          </w:p>
        </w:tc>
        <w:tc>
          <w:tcPr>
            <w:tcW w:w="32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36B8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并网试运行需满足 90 天 M&amp;V 连续采数，验收通过方可流转至"稳定运行"</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AF27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年度复评未达标时转入"整改"，整改完毕复核转回</w:t>
            </w:r>
          </w:p>
        </w:tc>
      </w:tr>
      <w:tr w14:paraId="5E2ABC3C">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40B8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基层数据填报</w:t>
            </w:r>
          </w:p>
        </w:tc>
        <w:tc>
          <w:tcPr>
            <w:tcW w:w="24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00C7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空白 → 录入中 → 已暂存 → 已提交 → 已入账 → 锁账</w:t>
            </w:r>
          </w:p>
        </w:tc>
        <w:tc>
          <w:tcPr>
            <w:tcW w:w="32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B1C7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车间统计员（P3）录入暂存；动力处长审核提交；月度终了财务关账后状态变为"锁账"</w:t>
            </w:r>
          </w:p>
        </w:tc>
        <w:tc>
          <w:tcPr>
            <w:tcW w:w="27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C1C3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审核驳回时退回至"已暂存"，入账后如需纠错须走特批反冲审批流程</w:t>
            </w:r>
          </w:p>
        </w:tc>
      </w:tr>
    </w:tbl>
    <w:p w14:paraId="1F74987E">
      <w:pPr>
        <w:spacing w:after="60"/>
        <w:rPr>
          <w:rFonts w:hint="eastAsia" w:ascii="宋体" w:hAnsi="宋体" w:eastAsia="宋体" w:cs="宋体"/>
          <w:i w:val="0"/>
          <w:iCs w:val="0"/>
          <w:sz w:val="24"/>
          <w:szCs w:val="24"/>
        </w:rPr>
      </w:pPr>
    </w:p>
    <w:p w14:paraId="40B4F145">
      <w:pPr>
        <w:spacing w:after="60"/>
        <w:rPr>
          <w:rFonts w:hint="eastAsia" w:ascii="宋体" w:hAnsi="宋体" w:eastAsia="宋体" w:cs="宋体"/>
          <w:i w:val="0"/>
          <w:iCs w:val="0"/>
          <w:sz w:val="24"/>
          <w:szCs w:val="24"/>
        </w:rPr>
      </w:pPr>
    </w:p>
    <w:p w14:paraId="722CF166">
      <w:pPr>
        <w:spacing w:after="60"/>
        <w:rPr>
          <w:rFonts w:hint="eastAsia" w:ascii="宋体" w:hAnsi="宋体" w:eastAsia="宋体" w:cs="宋体"/>
          <w:i w:val="0"/>
          <w:iCs w:val="0"/>
          <w:sz w:val="24"/>
          <w:szCs w:val="24"/>
        </w:rPr>
      </w:pPr>
    </w:p>
    <w:p w14:paraId="6E0702B6">
      <w:pPr>
        <w:spacing w:after="60"/>
        <w:rPr>
          <w:rFonts w:hint="eastAsia" w:ascii="宋体" w:hAnsi="宋体" w:eastAsia="宋体" w:cs="宋体"/>
          <w:i w:val="0"/>
          <w:iCs w:val="0"/>
          <w:sz w:val="24"/>
          <w:szCs w:val="24"/>
        </w:rPr>
      </w:pPr>
    </w:p>
    <w:p w14:paraId="21A62CEE">
      <w:pPr>
        <w:pStyle w:val="4"/>
        <w:numPr>
          <w:ilvl w:val="0"/>
          <w:numId w:val="236"/>
        </w:numPr>
        <w:topLinePunct w:val="0"/>
        <w:ind w:left="0" w:leftChars="0" w:firstLine="0" w:firstLineChars="0"/>
        <w:outlineLvl w:val="0"/>
        <w:rPr>
          <w:rFonts w:hint="eastAsia" w:eastAsia="黑体"/>
          <w:b w:val="0"/>
          <w:bCs w:val="0"/>
          <w:sz w:val="30"/>
          <w:szCs w:val="32"/>
        </w:rPr>
      </w:pPr>
      <w:bookmarkStart w:id="92" w:name="_Toc17227"/>
      <w:r>
        <w:rPr>
          <w:rFonts w:ascii="Times New Roman" w:hAnsi="Times New Roman" w:eastAsia="黑体" w:cs="Times New Roman"/>
          <w:b w:val="0"/>
          <w:bCs w:val="0"/>
          <w:sz w:val="30"/>
          <w:szCs w:val="32"/>
        </w:rPr>
        <w:t>术语表与缩略语大全</w:t>
      </w:r>
      <w:bookmarkEnd w:id="92"/>
    </w:p>
    <w:tbl>
      <w:tblPr>
        <w:tblStyle w:val="38"/>
        <w:tblW w:w="9784" w:type="dxa"/>
        <w:jc w:val="center"/>
        <w:tblLayout w:type="autofit"/>
        <w:tblCellMar>
          <w:top w:w="0" w:type="dxa"/>
          <w:left w:w="108" w:type="dxa"/>
          <w:bottom w:w="0" w:type="dxa"/>
          <w:right w:w="108" w:type="dxa"/>
        </w:tblCellMar>
      </w:tblPr>
      <w:tblGrid>
        <w:gridCol w:w="1385"/>
        <w:gridCol w:w="2985"/>
        <w:gridCol w:w="3389"/>
        <w:gridCol w:w="2025"/>
      </w:tblGrid>
      <w:tr w14:paraId="7ACA92A1">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6552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术语/缩写</w:t>
            </w:r>
          </w:p>
        </w:tc>
        <w:tc>
          <w:tcPr>
            <w:tcW w:w="29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9E890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英文全称</w:t>
            </w:r>
          </w:p>
        </w:tc>
        <w:tc>
          <w:tcPr>
            <w:tcW w:w="33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59891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工业/业务释义</w:t>
            </w:r>
          </w:p>
        </w:tc>
        <w:tc>
          <w:tcPr>
            <w:tcW w:w="20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3AC1B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PRD关联章节</w:t>
            </w:r>
          </w:p>
        </w:tc>
      </w:tr>
      <w:tr w14:paraId="37A1C1A7">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E93A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PRD</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ACC9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Product Requirements Document</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F195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产品需求规格说明书，最高研发与交付契约</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F599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全文</w:t>
            </w:r>
          </w:p>
        </w:tc>
      </w:tr>
      <w:tr w14:paraId="39925369">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DBB8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5DA6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Carbon Border Adjustment Mechanism</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F18C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欧盟碳边境调节机制（碳关税），2026 年正式开征</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46F2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第三章（四、CBAM 管理）</w:t>
            </w:r>
          </w:p>
        </w:tc>
      </w:tr>
      <w:tr w14:paraId="032409D3">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868F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9B13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Emissions Trading System</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E1DA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欧盟碳排放交易体系，碳配额实时拍卖价格</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0D62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第三章（四、CBAM 管理）</w:t>
            </w:r>
          </w:p>
        </w:tc>
      </w:tr>
      <w:tr w14:paraId="7448AB99">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54F4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D7B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Life Cycle Assessment</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5E39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生命周期评价（涵盖原材料、制造、运输、使用、废弃）</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0F13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第三章（三、实景数据库与碳足迹核算）</w:t>
            </w:r>
          </w:p>
        </w:tc>
      </w:tr>
      <w:tr w14:paraId="048853A9">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2B5E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A90E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Bill of Materials</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E07B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产品物料清单，碳足迹核算层级分解的基础输入</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DE55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w:t>
            </w:r>
          </w:p>
        </w:tc>
      </w:tr>
      <w:tr w14:paraId="0CF7E791">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6FF0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SCADA</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F814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Supervisory Control and Data Acquisition</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949E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数据采集与监视控制系统，变配电秒级遥测来源</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E793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第二章（二、集中监管）</w:t>
            </w:r>
          </w:p>
        </w:tc>
      </w:tr>
      <w:tr w14:paraId="6B239E1D">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EB9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MQTT</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B5B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Message Queuing Telemetry Transport</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5BE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轻量级物联网消息发布订阅协议，传感器上报标准</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981F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第四章（二、外部系统集成）</w:t>
            </w:r>
          </w:p>
        </w:tc>
      </w:tr>
      <w:tr w14:paraId="7B56291A">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DF4B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M&amp;V</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872C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Measurement and Verification</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CE2B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节能量测量与验证（遵循国际通用 IPMVP 规程）</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18EF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第二章（四、零碳项目评估）</w:t>
            </w:r>
          </w:p>
        </w:tc>
      </w:tr>
      <w:tr w14:paraId="49813E38">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AF8C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kgce/tce</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2544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kilogram / ton of coal equivalent</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85A5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千克标准煤 / 吨标准煤，我国通用综合能源计量单位</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8AA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第二章（二/三/五）</w:t>
            </w:r>
          </w:p>
        </w:tc>
      </w:tr>
      <w:tr w14:paraId="42E9BDE4">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4944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1B7F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Time of Use</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66DC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分时电价制度，尖峰平谷四时段计价</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61C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第二章（二、用能在线监测）</w:t>
            </w:r>
          </w:p>
        </w:tc>
      </w:tr>
      <w:tr w14:paraId="1F6B1906">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E083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8B5A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Direct GHG Emissions</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2BC3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范围一：企业拥有或控制的排放源燃烧化石燃料的直接排放</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2EAE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第二章（二、集中监管）</w:t>
            </w:r>
          </w:p>
        </w:tc>
      </w:tr>
      <w:tr w14:paraId="66DC5FBC">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B0A0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2</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378D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Electricity Indirect GHG Emissions</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19B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范围二：外购电力、热力或蒸汽消费导致的间接温室气体排放</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0125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第二章（二、集中监管）</w:t>
            </w:r>
          </w:p>
        </w:tc>
      </w:tr>
      <w:tr w14:paraId="20BBEDF2">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DD5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BEC9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Other Indirect GHG Emissions</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E3C2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范围三：企业价值链上下游所有其他间接排放（采购、外协等）</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3BB3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w:t>
            </w:r>
          </w:p>
        </w:tc>
      </w:tr>
      <w:tr w14:paraId="50B2D618">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7CD9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IPMVP</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476C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International Performance Measurement and Verification Protocol</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28F3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国际节能量测量与验证规程</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CEB7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第二章（四、项目运行评估）</w:t>
            </w:r>
          </w:p>
        </w:tc>
      </w:tr>
      <w:tr w14:paraId="3C0187B4">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2E69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EQP / BVA</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7327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Equivalence Partitioning / Boundary Value Analysis</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D581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等价类划分与边界值分析，QA 极限测试方法论</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D828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第四章（三、质量保障体系）</w:t>
            </w:r>
          </w:p>
        </w:tc>
      </w:tr>
      <w:tr w14:paraId="639F4D44">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0068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RACI</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43DE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Responsible / Accountable / Consulted / Informed</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DB85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责任分配矩阵，明确各项决策的唯一最终责任人</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6569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第五章（五、决策治理 RACI）</w:t>
            </w:r>
          </w:p>
        </w:tc>
      </w:tr>
    </w:tbl>
    <w:p w14:paraId="5B113B4C">
      <w:pPr>
        <w:spacing w:after="60"/>
        <w:rPr>
          <w:rFonts w:hint="eastAsia" w:ascii="宋体" w:hAnsi="宋体" w:eastAsia="宋体" w:cs="宋体"/>
          <w:i w:val="0"/>
          <w:iCs w:val="0"/>
          <w:sz w:val="24"/>
          <w:szCs w:val="24"/>
        </w:rPr>
      </w:pPr>
    </w:p>
    <w:p w14:paraId="0242C7C0">
      <w:pPr>
        <w:pStyle w:val="4"/>
        <w:numPr>
          <w:ilvl w:val="0"/>
          <w:numId w:val="236"/>
        </w:numPr>
        <w:topLinePunct w:val="0"/>
        <w:ind w:left="0" w:leftChars="0" w:firstLine="0" w:firstLineChars="0"/>
        <w:outlineLvl w:val="0"/>
        <w:rPr>
          <w:rFonts w:hint="eastAsia" w:eastAsia="黑体"/>
          <w:b w:val="0"/>
          <w:bCs w:val="0"/>
          <w:sz w:val="30"/>
          <w:szCs w:val="32"/>
        </w:rPr>
      </w:pPr>
      <w:bookmarkStart w:id="93" w:name="_Toc28606"/>
      <w:r>
        <w:rPr>
          <w:rFonts w:ascii="Times New Roman" w:hAnsi="Times New Roman" w:eastAsia="黑体" w:cs="Times New Roman"/>
          <w:b w:val="0"/>
          <w:bCs w:val="0"/>
          <w:sz w:val="30"/>
          <w:szCs w:val="32"/>
        </w:rPr>
        <w:t>标准化错误码字典与异常分级</w:t>
      </w:r>
      <w:bookmarkEnd w:id="93"/>
    </w:p>
    <w:p w14:paraId="2C739634">
      <w:pPr>
        <w:pStyle w:val="19"/>
        <w:widowControl/>
        <w:ind w:left="0" w:leftChars="0" w:firstLine="439" w:firstLineChars="183"/>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全平台执行统一规范格式：</w:t>
      </w:r>
      <w:r>
        <w:rPr>
          <w:rFonts w:ascii="Times New Roman" w:hAnsi="Times New Roman" w:eastAsia="宋体" w:cs="Times New Roman"/>
          <w:b w:val="0"/>
          <w:bCs w:val="0"/>
          <w:i w:val="0"/>
          <w:color w:val="0284C7"/>
          <w:sz w:val="24"/>
          <w:szCs w:val="24"/>
        </w:rPr>
        <w:t xml:space="preserve"> E_&lt;DOMAIN&gt;_&lt;MODULE&gt;_&lt;REASON&gt;[_&lt;SUFFIX&gt;] </w:t>
      </w:r>
      <w:r>
        <w:rPr>
          <w:rFonts w:ascii="Times New Roman" w:hAnsi="Times New Roman" w:eastAsia="宋体" w:cs="Times New Roman"/>
          <w:b w:val="0"/>
          <w:bCs w:val="0"/>
          <w:i w:val="0"/>
          <w:color w:val="1F2937"/>
          <w:sz w:val="24"/>
          <w:szCs w:val="24"/>
        </w:rPr>
        <w:t>，分划 P0 系统级、P1 业务级、P2 提示级、P3 信息级四大级别。</w:t>
      </w:r>
    </w:p>
    <w:tbl>
      <w:tblPr>
        <w:tblStyle w:val="38"/>
        <w:tblW w:w="9790" w:type="dxa"/>
        <w:jc w:val="center"/>
        <w:tblLayout w:type="autofit"/>
        <w:tblCellMar>
          <w:top w:w="0" w:type="dxa"/>
          <w:left w:w="108" w:type="dxa"/>
          <w:bottom w:w="0" w:type="dxa"/>
          <w:right w:w="108" w:type="dxa"/>
        </w:tblCellMar>
      </w:tblPr>
      <w:tblGrid>
        <w:gridCol w:w="3360"/>
        <w:gridCol w:w="1335"/>
        <w:gridCol w:w="2205"/>
        <w:gridCol w:w="2890"/>
      </w:tblGrid>
      <w:tr w14:paraId="5BA81EFC">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51E9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标准错误码</w:t>
            </w:r>
          </w:p>
        </w:tc>
        <w:tc>
          <w:tcPr>
            <w:tcW w:w="13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61C0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HTTP状态</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11C24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触发业务场景</w:t>
            </w:r>
          </w:p>
        </w:tc>
        <w:tc>
          <w:tcPr>
            <w:tcW w:w="28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F2732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前端交互与后端处理建议</w:t>
            </w:r>
          </w:p>
        </w:tc>
      </w:tr>
      <w:tr w14:paraId="17104DA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6042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E_VAL_ENERGY_NEGATIVE</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250E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7824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填报工作台录入电/水/气/蒸汽实物消耗负数</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A910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输入框红框高亮，提示"能源消耗量必须为非负数值"，阻断提交</w:t>
            </w:r>
          </w:p>
        </w:tc>
      </w:tr>
      <w:tr w14:paraId="3C11EACE">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6474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E_VAL_PROD_QTY_NEGATIVE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5BCF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BDF5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录入变压器容量或线缆长度负数</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EE95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输入框红框高亮，提示"合格产品产量必须为非负数值"，阻断提交</w:t>
            </w:r>
          </w:p>
        </w:tc>
      </w:tr>
      <w:tr w14:paraId="7740B272">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8038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E_VAL_MON_KVA_ZERO</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2C52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7716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变压器单耗核算时输入产量分母为 0</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AEF8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提示"当月产量为 0 无法直接计算单耗"，要求核对报工单据</w:t>
            </w:r>
          </w:p>
        </w:tc>
      </w:tr>
      <w:tr w14:paraId="7EA9E2D9">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189E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E_VAL_FACTOR_EXPIRED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7F71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ABA8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选用已过有效期的碳排放因子版本</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7ED0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因子标签标红，禁用"选用"按钮，提示"该因子已过期，请升级最新库"</w:t>
            </w:r>
          </w:p>
        </w:tc>
      </w:tr>
      <w:tr w14:paraId="43671F33">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46E5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E_VAL_LCA_TOTAL_NEGATIVE</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5C0C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8E6E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滚算加总结果出现负数</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2A43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阻断保存，提示"产品生命周期碳足迹不可小于零"</w:t>
            </w:r>
          </w:p>
        </w:tc>
      </w:tr>
      <w:tr w14:paraId="524202A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520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E_CALC_UNIT_DIV_ZERO_SOFT</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00DE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E792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单耗或万元产值分母为 0（停产检修）</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BED8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核心安全兜底：前端安全显示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，无报错，悬停友好说明</w:t>
            </w:r>
          </w:p>
        </w:tc>
      </w:tr>
      <w:tr w14:paraId="1EDDBD9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D798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E_CALC_LCA_TDIV_ZERO</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1E10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4B7A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LCA 试验阶段录入工时 </w:t>
            </w:r>
            <w:r>
              <w:rPr>
                <w:rFonts w:hint="eastAsia" w:ascii="宋体" w:hAnsi="宋体" w:eastAsia="宋体" w:cs="宋体"/>
                <w:i w:val="0"/>
                <w:iCs w:val="0"/>
                <w:color w:val="15803D"/>
                <w:sz w:val="24"/>
                <w:szCs w:val="24"/>
              </w:rPr>
              <w:t>T_m = 0</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F4AA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提示"试验工时不可为 0"，阻断阶段算式生成</w:t>
            </w:r>
          </w:p>
        </w:tc>
      </w:tr>
      <w:tr w14:paraId="3674B533">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608E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E_CALC_LCA_SUM_MISMATCH</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402D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A6D6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阶段碳排加总与总碳排容差超出 0.01</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6F5D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后台阻断证书签发与对外发布，触发算法引擎重新核算</w:t>
            </w:r>
          </w:p>
        </w:tc>
      </w:tr>
      <w:tr w14:paraId="0A0CE687">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3F4E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E_IO_MQTT_TIMEOUT</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1F41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504</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171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物联网 SCADA 网关 5 秒无遥测心跳</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2DFE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自动降级读取时序库最近缓存快照，图表提示离线状态</w:t>
            </w:r>
          </w:p>
        </w:tc>
      </w:tr>
      <w:tr w14:paraId="47447ECD">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F541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E_IO_GATEWAY_OFFLINE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03E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C77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变电站边缘一体机物理断网</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AA29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启动边缘一体机本地断点续传机制，恢复联网后自动同步</w:t>
            </w:r>
          </w:p>
        </w:tc>
      </w:tr>
      <w:tr w14:paraId="0A1F9B8A">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ED2D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E_AUTH_RBAC_FORBIDDEN</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4182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8CEB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车间填报员越权访问 CBAM 申报底表</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EBB8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API 网关切面拦截，跳转专属 403 无权限页面，记录安全审计日志</w:t>
            </w:r>
          </w:p>
        </w:tc>
      </w:tr>
      <w:tr w14:paraId="1E1FB32F">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725D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E_AUTH_TOKEN_EXPIRED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88A0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401</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3A5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JWT 鉴权凭据超出有效期限</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A7F4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提示"会话已过期"，保留用户当前填报草稿后平滑跳转登录页</w:t>
            </w:r>
          </w:p>
        </w:tc>
      </w:tr>
      <w:tr w14:paraId="4BC13B6C">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BAD3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E_AUTH_SIGN_INVALID</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549A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5DBD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客户端上送报文 HMAC-SHA256 签名错误</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2B91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拒绝处理请求，记录潜在重放攻击与中间人篡改安全告警</w:t>
            </w:r>
          </w:p>
        </w:tc>
      </w:tr>
      <w:tr w14:paraId="08F4052D">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AC7F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E_EXT_ETS_PRICE_STALE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0A75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FF7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欧洲能源交易所 ETS 价格超 24h 未同步</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3F46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界面标黄标注价格时间戳，允许用户基于最近有效历史均价测算</w:t>
            </w:r>
          </w:p>
        </w:tc>
      </w:tr>
      <w:tr w14:paraId="7059FF71">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9D3A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E_EXT_ERP_BOM_TIMEOUT</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24A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504</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9D58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SAP/用友 ERP 系统 BOM 查询接口超时</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1F9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重试 3 次后自动降级使用系统本地缓存的 BOM 历史快照版本</w:t>
            </w:r>
          </w:p>
        </w:tc>
      </w:tr>
      <w:tr w14:paraId="47982E9E">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2B52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E_EXT_ECOINVENT_LICENSE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031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8CB8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因子库商业授权到期</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19B8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自动降级使用中国本土生命周期数据库（CLCD）因子兜底</w:t>
            </w:r>
          </w:p>
        </w:tc>
      </w:tr>
      <w:tr w14:paraId="2E1BBFD9">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3648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E_SYS_DB_CONN_LOST</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EAE0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AA87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主数据库集群连接池断开</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C99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 秒内高可用集群备库无缝接管，系统自动切换至只读模式</w:t>
            </w:r>
          </w:p>
        </w:tc>
      </w:tr>
      <w:tr w14:paraId="0F8A620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2420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E_SYS_REDIS_CRASH</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3544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27C2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Redis 缓存集群节点宕机</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F1A6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自动降级直查主库，业务流程不中断</w:t>
            </w:r>
          </w:p>
        </w:tc>
      </w:tr>
      <w:tr w14:paraId="0DDD31ED">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C898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E_SYS_CONCURRENCY_LOCK</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99F7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CE5E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100ms 内快速连续双击"提交"按钮</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9FB2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分布式锁拦截并发重复请求，仅允许首笔交易成功入库</w:t>
            </w:r>
          </w:p>
        </w:tc>
      </w:tr>
      <w:tr w14:paraId="54E02C7B">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C9DE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E_QM_WHITE_LIST_MISS</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D74B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46C2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组织树选中的单位不属于工序白名单</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A411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单行纯文本干练输出：</w:t>
            </w:r>
            <w:r>
              <w:rPr>
                <w:rFonts w:hint="eastAsia" w:ascii="宋体" w:hAnsi="宋体" w:eastAsia="宋体" w:cs="宋体"/>
                <w:b w:val="0"/>
                <w:i w:val="0"/>
                <w:iCs w:val="0"/>
                <w:color w:val="0284C7"/>
                <w:sz w:val="24"/>
                <w:szCs w:val="24"/>
              </w:rPr>
              <w:t xml:space="preserve"> 暂无相关工序！ </w:t>
            </w:r>
            <w:r>
              <w:rPr>
                <w:rFonts w:hint="eastAsia" w:ascii="宋体" w:hAnsi="宋体" w:eastAsia="宋体" w:cs="宋体"/>
                <w:i w:val="0"/>
                <w:iCs w:val="0"/>
                <w:color w:val="1F2937"/>
                <w:sz w:val="24"/>
                <w:szCs w:val="24"/>
              </w:rPr>
              <w:t>，严禁大段解释</w:t>
            </w:r>
          </w:p>
        </w:tc>
      </w:tr>
      <w:tr w14:paraId="700AA38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82D5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E_AUDIT_HASH_BROKEN</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9679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BED3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报告或 CBAM 报关包哈希比对失败</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BD36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导出引擎强制阻断，标记"数据已被非法篡改"，锁定当事单据</w:t>
            </w:r>
          </w:p>
        </w:tc>
      </w:tr>
      <w:tr w14:paraId="41AE3D0E">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78DE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E_VAL_CBAM_SCHEMA_INVALID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3F0C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A6E3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 XML 不符合欧盟 XSD 规范</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58A9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提示具体节点 Schema 违规信息，阻断申报包导出出境</w:t>
            </w:r>
          </w:p>
        </w:tc>
      </w:tr>
      <w:tr w14:paraId="4056B3DC">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3C53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E_SYS_ENTRY_ALREADY_LOCKED</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B418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854A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试图修改已锁账月度的产量或能耗数据</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597D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提示"当月财务账期已关账锁定，如需修正需由 P1 集团高管特批"</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DC6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E_VAL_PRJ_MV_BASELINE_EMPTY</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631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E1E7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节能技改效益评估缺少基准期能耗记录</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DB5C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阻断评估，提示"必须录入技改前至少 12 个月的基准期负荷数据"</w:t>
            </w:r>
          </w:p>
        </w:tc>
      </w:tr>
    </w:tbl>
    <w:p w14:paraId="3C7A0E29">
      <w:pPr>
        <w:spacing w:after="60"/>
        <w:rPr>
          <w:rFonts w:hint="eastAsia" w:ascii="宋体" w:hAnsi="宋体" w:eastAsia="宋体" w:cs="宋体"/>
          <w:i w:val="0"/>
          <w:iCs w:val="0"/>
          <w:sz w:val="24"/>
          <w:szCs w:val="24"/>
        </w:rPr>
      </w:pPr>
    </w:p>
    <w:p w14:paraId="6F6E68CD">
      <w:pPr>
        <w:pStyle w:val="4"/>
        <w:numPr>
          <w:ilvl w:val="0"/>
          <w:numId w:val="236"/>
        </w:numPr>
        <w:topLinePunct w:val="0"/>
        <w:ind w:left="0" w:leftChars="0" w:firstLine="0" w:firstLineChars="0"/>
        <w:outlineLvl w:val="0"/>
        <w:rPr>
          <w:rFonts w:hint="eastAsia" w:eastAsia="黑体"/>
          <w:b w:val="0"/>
          <w:bCs w:val="0"/>
          <w:sz w:val="30"/>
          <w:szCs w:val="32"/>
        </w:rPr>
      </w:pPr>
      <w:bookmarkStart w:id="94" w:name="_Toc28882"/>
      <w:r>
        <w:rPr>
          <w:rFonts w:ascii="Times New Roman" w:hAnsi="Times New Roman" w:eastAsia="黑体" w:cs="Times New Roman"/>
          <w:b w:val="0"/>
          <w:bCs w:val="0"/>
          <w:sz w:val="30"/>
          <w:szCs w:val="32"/>
        </w:rPr>
        <w:t>决策治理责任矩阵</w:t>
      </w:r>
      <w:bookmarkEnd w:id="94"/>
    </w:p>
    <w:p w14:paraId="48C1917A">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明确关键决策点单一 A（唯一最终责任人），杜绝职责推诿。R = 执行，A = 唯一最终责任人，C = 被咨询，I = 被告知。</w:t>
      </w:r>
    </w:p>
    <w:tbl>
      <w:tblPr>
        <w:tblStyle w:val="38"/>
        <w:tblW w:w="9780" w:type="dxa"/>
        <w:jc w:val="center"/>
        <w:tblLayout w:type="autofit"/>
        <w:tblCellMar>
          <w:top w:w="0" w:type="dxa"/>
          <w:left w:w="108" w:type="dxa"/>
          <w:bottom w:w="0" w:type="dxa"/>
          <w:right w:w="108" w:type="dxa"/>
        </w:tblCellMar>
      </w:tblPr>
      <w:tblGrid>
        <w:gridCol w:w="3896"/>
        <w:gridCol w:w="1141"/>
        <w:gridCol w:w="1419"/>
        <w:gridCol w:w="1141"/>
        <w:gridCol w:w="440"/>
        <w:gridCol w:w="581"/>
        <w:gridCol w:w="441"/>
        <w:gridCol w:w="721"/>
      </w:tblGrid>
      <w:tr w14:paraId="5E5D2976">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FDDE80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核心决策事项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CC702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P1 集团</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1E16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P4 碳专员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EFAF3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P5 报关</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B616F4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PM</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7D1EF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Dev</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772EB7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QA</w:t>
            </w:r>
          </w:p>
        </w:tc>
        <w:tc>
          <w:tcPr>
            <w:tcW w:w="7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087A9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法务</w:t>
            </w:r>
          </w:p>
        </w:tc>
      </w:tr>
      <w:tr w14:paraId="2FAE18F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EA72B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北极星指标与业务范围定义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0A772D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B56A85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127519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0C5779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9FA67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0FB50C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9FBA2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4627567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D5BA5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LCA碳足迹报告正式对外签发</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0A5CE7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4D183D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BCF03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1E8E2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2168A0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0E151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652598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r>
      <w:tr w14:paraId="7715604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20CE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欧盟CBAM申报数据包终审报送</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D2687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5306D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9F71F6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FCCD1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AD861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9BE367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F2D63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r>
      <w:tr w14:paraId="26767E3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85203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月度基层数据关账与反冲审批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5ED4A7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DC865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E1CF2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57564D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591F62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73062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2BE04C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2F2F2AB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713EC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统一错误码与API契约变更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069334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51F31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A96537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C0175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84FFB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22D861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4BE415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06B23B3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5BFA2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铁律修订</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77132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5BD0D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DFC68A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58E056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5969F26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35BE4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6144C4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014DF23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A31E2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权威工序白名单判定扩展</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37EEB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F13FA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4D06F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719A9F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483FB5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DB23B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E89146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265306E9">
        <w:tblPrEx>
          <w:tblCellMar>
            <w:top w:w="0" w:type="dxa"/>
            <w:left w:w="108" w:type="dxa"/>
            <w:bottom w:w="0" w:type="dxa"/>
            <w:right w:w="108" w:type="dxa"/>
          </w:tblCellMar>
        </w:tblPrEx>
        <w:trPr>
          <w:jc w:val="center"/>
        </w:trPr>
        <w:tc>
          <w:tcPr>
            <w:tcW w:w="3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DA2B9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模块八段式结构完整性评审</w:t>
            </w:r>
          </w:p>
        </w:tc>
        <w:tc>
          <w:tcPr>
            <w:tcW w:w="11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458D5B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14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EC17A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11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4DD1F9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4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483C34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5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591AF1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4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8E1126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12CA2B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bl>
    <w:p w14:paraId="4100EACE">
      <w:pPr>
        <w:spacing w:after="60"/>
        <w:rPr>
          <w:rFonts w:hint="eastAsia" w:ascii="宋体" w:hAnsi="宋体" w:eastAsia="宋体" w:cs="宋体"/>
          <w:i w:val="0"/>
          <w:iCs w:val="0"/>
          <w:sz w:val="24"/>
          <w:szCs w:val="24"/>
        </w:rPr>
      </w:pPr>
    </w:p>
    <w:p w14:paraId="3A8CC811">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29F67193">
      <w:pPr>
        <w:pStyle w:val="3"/>
        <w:numPr>
          <w:ilvl w:val="0"/>
          <w:numId w:val="7"/>
        </w:numPr>
        <w:ind w:left="0" w:leftChars="0" w:firstLine="0" w:firstLineChars="0"/>
        <w:rPr>
          <w:rFonts w:eastAsia="黑体"/>
          <w:b w:val="0"/>
          <w:bCs w:val="0"/>
          <w:sz w:val="32"/>
          <w:szCs w:val="44"/>
        </w:rPr>
      </w:pPr>
      <w:bookmarkStart w:id="95" w:name="_Toc3327"/>
      <w:r>
        <w:rPr>
          <w:rFonts w:ascii="Times New Roman" w:hAnsi="Times New Roman" w:eastAsia="黑体" w:cs="Times New Roman"/>
          <w:b w:val="0"/>
          <w:bCs w:val="0"/>
          <w:sz w:val="32"/>
          <w:szCs w:val="44"/>
        </w:rPr>
        <w:t>非功能需求与性能指标</w:t>
      </w:r>
      <w:bookmarkEnd w:id="95"/>
    </w:p>
    <w:p w14:paraId="5C2D59ED">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本章定义平台级非功能需求基线。已回捞 PRD-07 分卷（产品碳足迹集采中心·LCA 模块）中已验证的指标作为基准；集控中心、大屏、报表等其余模块指标已于本次架构评审定稿，全部指标均具备可测量位置与测量方法。</w:t>
      </w:r>
    </w:p>
    <w:p w14:paraId="49E99F43">
      <w:pPr>
        <w:pStyle w:val="4"/>
        <w:numPr>
          <w:ilvl w:val="0"/>
          <w:numId w:val="239"/>
        </w:numPr>
        <w:topLinePunct w:val="0"/>
        <w:ind w:left="0" w:leftChars="0" w:firstLine="0" w:firstLineChars="0"/>
        <w:outlineLvl w:val="0"/>
        <w:rPr>
          <w:rFonts w:hint="eastAsia" w:eastAsia="黑体"/>
          <w:b w:val="0"/>
          <w:bCs w:val="0"/>
          <w:sz w:val="30"/>
          <w:szCs w:val="32"/>
        </w:rPr>
      </w:pPr>
      <w:bookmarkStart w:id="96" w:name="_Toc555"/>
      <w:r>
        <w:rPr>
          <w:rFonts w:ascii="Times New Roman" w:hAnsi="Times New Roman" w:eastAsia="黑体" w:cs="Times New Roman"/>
          <w:b w:val="0"/>
          <w:bCs w:val="0"/>
          <w:sz w:val="30"/>
          <w:szCs w:val="32"/>
        </w:rPr>
        <w:t>性能指标基线</w:t>
      </w:r>
      <w:bookmarkEnd w:id="96"/>
    </w:p>
    <w:tbl>
      <w:tblPr>
        <w:tblStyle w:val="38"/>
        <w:tblW w:w="9784" w:type="dxa"/>
        <w:jc w:val="center"/>
        <w:tblLayout w:type="autofit"/>
        <w:tblCellMar>
          <w:top w:w="0" w:type="dxa"/>
          <w:left w:w="108" w:type="dxa"/>
          <w:bottom w:w="0" w:type="dxa"/>
          <w:right w:w="108" w:type="dxa"/>
        </w:tblCellMar>
      </w:tblPr>
      <w:tblGrid>
        <w:gridCol w:w="3915"/>
        <w:gridCol w:w="2152"/>
        <w:gridCol w:w="3717"/>
      </w:tblGrid>
      <w:tr w14:paraId="7917B019">
        <w:tblPrEx>
          <w:tblCellMar>
            <w:top w:w="0" w:type="dxa"/>
            <w:left w:w="108" w:type="dxa"/>
            <w:bottom w:w="0" w:type="dxa"/>
            <w:right w:w="108" w:type="dxa"/>
          </w:tblCellMar>
        </w:tblPrEx>
        <w:trPr>
          <w:tblHeade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A10284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w:t>
            </w:r>
          </w:p>
        </w:tc>
        <w:tc>
          <w:tcPr>
            <w:tcW w:w="215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175FE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阈值</w:t>
            </w:r>
          </w:p>
        </w:tc>
        <w:tc>
          <w:tcPr>
            <w:tcW w:w="37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A1409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测量位置</w:t>
            </w:r>
          </w:p>
        </w:tc>
      </w:tr>
      <w:tr w14:paraId="7F54AF6C">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585E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LCP（最大内容绘制）</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BCBF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1.8s</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73D4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路由进入</w:t>
            </w:r>
          </w:p>
        </w:tc>
      </w:tr>
      <w:tr w14:paraId="1A4BEED6">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929E97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INP（交互响应延迟）</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B58E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100ms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66C1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模块切换、因子点击</w:t>
            </w:r>
          </w:p>
        </w:tc>
      </w:tr>
      <w:tr w14:paraId="5C0851D6">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0B4D6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CLS（累计布局偏移）</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F4DF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0.05</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A615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列表 / 表格加载</w:t>
            </w:r>
          </w:p>
        </w:tc>
      </w:tr>
      <w:tr w14:paraId="599B6C23">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A2F8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单 SKU 计算</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5378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5s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5845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阶段滚算</w:t>
            </w:r>
          </w:p>
        </w:tc>
      </w:tr>
      <w:tr w14:paraId="33B4DEF7">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9B94C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中英双语报告生成</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AB5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15s</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8571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PDF 导出</w:t>
            </w:r>
          </w:p>
        </w:tc>
      </w:tr>
      <w:tr w14:paraId="2A49B147">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B6D8D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实时测算</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F0D3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3s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6746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价格刷新</w:t>
            </w:r>
          </w:p>
        </w:tc>
      </w:tr>
      <w:tr w14:paraId="1F27407F">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28887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大屏首屏加载</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1F73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3.0s</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08A5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46:9 环幕进入（含 3D 浮雕地图与航标粒子渲染完成）</w:t>
            </w:r>
          </w:p>
        </w:tc>
      </w:tr>
      <w:tr w14:paraId="2FC542D2">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68BE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图表查询 P95 响应</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9784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800ms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98ED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跨月单指标趋势查询</w:t>
            </w:r>
          </w:p>
        </w:tc>
      </w:tr>
      <w:tr w14:paraId="7613FD72">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65CA5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全集团月度用能报表生成</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A0D7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2.0s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B754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 21 家工厂月度用能报表</w:t>
            </w:r>
          </w:p>
        </w:tc>
      </w:tr>
      <w:tr w14:paraId="29B1BADB">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81F0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三维场景运行帧率（FPS）</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FD54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45 FPS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423C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46:9 环幕与三维场景持续运行</w:t>
            </w:r>
          </w:p>
        </w:tc>
      </w:tr>
      <w:tr w14:paraId="412740C7">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D536D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 万行级多维明细台账异步导出</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F696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30s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0260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后台下载中心推流下载</w:t>
            </w:r>
          </w:p>
        </w:tc>
      </w:tr>
    </w:tbl>
    <w:p w14:paraId="12C6BF21">
      <w:pPr>
        <w:pStyle w:val="4"/>
        <w:numPr>
          <w:ilvl w:val="0"/>
          <w:numId w:val="239"/>
        </w:numPr>
        <w:topLinePunct w:val="0"/>
        <w:ind w:left="0" w:leftChars="0" w:firstLine="0" w:firstLineChars="0"/>
        <w:outlineLvl w:val="0"/>
        <w:rPr>
          <w:rFonts w:hint="eastAsia" w:eastAsia="黑体"/>
          <w:b w:val="0"/>
          <w:bCs w:val="0"/>
          <w:sz w:val="30"/>
          <w:szCs w:val="32"/>
        </w:rPr>
      </w:pPr>
      <w:bookmarkStart w:id="97" w:name="_Toc3514"/>
      <w:r>
        <w:rPr>
          <w:rFonts w:ascii="Times New Roman" w:hAnsi="Times New Roman" w:eastAsia="黑体" w:cs="Times New Roman"/>
          <w:b w:val="0"/>
          <w:bCs w:val="0"/>
          <w:sz w:val="30"/>
          <w:szCs w:val="32"/>
        </w:rPr>
        <w:t>可靠性与可观测性基线</w:t>
      </w:r>
      <w:bookmarkEnd w:id="97"/>
    </w:p>
    <w:tbl>
      <w:tblPr>
        <w:tblStyle w:val="38"/>
        <w:tblW w:w="9784" w:type="dxa"/>
        <w:jc w:val="center"/>
        <w:tblLayout w:type="autofit"/>
        <w:tblCellMar>
          <w:top w:w="0" w:type="dxa"/>
          <w:left w:w="108" w:type="dxa"/>
          <w:bottom w:w="0" w:type="dxa"/>
          <w:right w:w="108" w:type="dxa"/>
        </w:tblCellMar>
      </w:tblPr>
      <w:tblGrid>
        <w:gridCol w:w="2045"/>
        <w:gridCol w:w="7739"/>
      </w:tblGrid>
      <w:tr w14:paraId="7CB8D4CE">
        <w:tblPrEx>
          <w:tblCellMar>
            <w:top w:w="0" w:type="dxa"/>
            <w:left w:w="108" w:type="dxa"/>
            <w:bottom w:w="0" w:type="dxa"/>
            <w:right w:w="108" w:type="dxa"/>
          </w:tblCellMar>
        </w:tblPrEx>
        <w:trPr>
          <w:tblHeade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4AB14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项</w:t>
            </w:r>
          </w:p>
        </w:tc>
        <w:tc>
          <w:tcPr>
            <w:tcW w:w="77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1D69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阈值</w:t>
            </w:r>
          </w:p>
        </w:tc>
      </w:tr>
      <w:tr w14:paraId="74B65E9C">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DC14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模块可用性 SLO</w:t>
            </w:r>
          </w:p>
        </w:tc>
        <w:tc>
          <w:tcPr>
            <w:tcW w:w="77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B83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99.9%（年宕机 ≤ 8.76h）</w:t>
            </w:r>
          </w:p>
        </w:tc>
      </w:tr>
      <w:tr w14:paraId="45CF3F57">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3E88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P99 计算响应</w:t>
            </w:r>
          </w:p>
        </w:tc>
        <w:tc>
          <w:tcPr>
            <w:tcW w:w="77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29B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5s</w:t>
            </w:r>
          </w:p>
        </w:tc>
      </w:tr>
      <w:tr w14:paraId="1A166427">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316B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外部接口失败熔断</w:t>
            </w:r>
          </w:p>
        </w:tc>
        <w:tc>
          <w:tcPr>
            <w:tcW w:w="77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78039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次 / 分钟</w:t>
            </w:r>
          </w:p>
        </w:tc>
      </w:tr>
      <w:tr w14:paraId="2284914F">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EF3C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因子库命中率</w:t>
            </w:r>
          </w:p>
        </w:tc>
        <w:tc>
          <w:tcPr>
            <w:tcW w:w="77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7F75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95%</w:t>
            </w:r>
          </w:p>
        </w:tc>
      </w:tr>
      <w:tr w14:paraId="0AC4D112">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98EE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审计日志零丢失</w:t>
            </w:r>
          </w:p>
        </w:tc>
        <w:tc>
          <w:tcPr>
            <w:tcW w:w="77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098A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w:t>
            </w:r>
          </w:p>
        </w:tc>
      </w:tr>
      <w:tr w14:paraId="63154687">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1ACA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可观测性埋点</w:t>
            </w:r>
          </w:p>
        </w:tc>
        <w:tc>
          <w:tcPr>
            <w:tcW w:w="77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A8CB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OpenTelemetry Span：lca.compute.total / lca.compute.stage.* / lca.audit.hash / lca.cbam.compute</w:t>
            </w:r>
          </w:p>
        </w:tc>
      </w:tr>
      <w:tr w14:paraId="1B1CBA25">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65F4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大屏连续运行稳定性</w:t>
            </w:r>
          </w:p>
        </w:tc>
        <w:tc>
          <w:tcPr>
            <w:tcW w:w="77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59D7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7×24 小时连续运行，30 天内首屏加载时长与帧率无衰减</w:t>
            </w:r>
          </w:p>
        </w:tc>
      </w:tr>
    </w:tbl>
    <w:p w14:paraId="542D136C">
      <w:pPr>
        <w:spacing w:after="60"/>
        <w:rPr>
          <w:rFonts w:hint="eastAsia" w:ascii="宋体" w:hAnsi="宋体" w:eastAsia="宋体" w:cs="宋体"/>
          <w:i w:val="0"/>
          <w:iCs w:val="0"/>
          <w:sz w:val="24"/>
          <w:szCs w:val="24"/>
        </w:rPr>
      </w:pPr>
    </w:p>
    <w:p w14:paraId="574BA7D6">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7F9EA9C2">
      <w:pPr>
        <w:pStyle w:val="3"/>
        <w:numPr>
          <w:ilvl w:val="0"/>
          <w:numId w:val="7"/>
        </w:numPr>
        <w:ind w:left="0" w:leftChars="0" w:firstLine="0" w:firstLineChars="0"/>
        <w:rPr>
          <w:rFonts w:eastAsia="黑体"/>
          <w:b w:val="0"/>
          <w:bCs w:val="0"/>
          <w:sz w:val="32"/>
          <w:szCs w:val="44"/>
        </w:rPr>
      </w:pPr>
      <w:bookmarkStart w:id="98" w:name="_Toc4420"/>
      <w:r>
        <w:rPr>
          <w:rFonts w:ascii="Times New Roman" w:hAnsi="Times New Roman" w:eastAsia="黑体" w:cs="Times New Roman"/>
          <w:b w:val="0"/>
          <w:bCs w:val="0"/>
          <w:sz w:val="32"/>
          <w:szCs w:val="44"/>
        </w:rPr>
        <w:t>技术架构与系统选型</w:t>
      </w:r>
      <w:bookmarkEnd w:id="98"/>
    </w:p>
    <w:p w14:paraId="67085398">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平台正式生产架构已通过架构评审裁决（见本节 ADR 与「技术决策裁决记录与残留待确认项」表）。下表为原型实现基线（《系统开发技术文档》TECHNICAL_DOCUMENTATION.md v1.01）与关键架构决策（ADR）。</w:t>
      </w:r>
    </w:p>
    <w:p w14:paraId="5DEC781D">
      <w:pPr>
        <w:pStyle w:val="4"/>
        <w:numPr>
          <w:ilvl w:val="0"/>
          <w:numId w:val="240"/>
        </w:numPr>
        <w:topLinePunct w:val="0"/>
        <w:ind w:left="0" w:leftChars="0" w:firstLine="0" w:firstLineChars="0"/>
        <w:outlineLvl w:val="0"/>
        <w:rPr>
          <w:rFonts w:hint="eastAsia" w:eastAsia="黑体"/>
          <w:b w:val="0"/>
          <w:bCs w:val="0"/>
          <w:sz w:val="30"/>
          <w:szCs w:val="32"/>
        </w:rPr>
      </w:pPr>
      <w:bookmarkStart w:id="99" w:name="_Toc7602"/>
      <w:r>
        <w:rPr>
          <w:rFonts w:ascii="Times New Roman" w:hAnsi="Times New Roman" w:eastAsia="黑体" w:cs="Times New Roman"/>
          <w:b w:val="0"/>
          <w:bCs w:val="0"/>
          <w:sz w:val="30"/>
          <w:szCs w:val="32"/>
        </w:rPr>
        <w:t>原型实现技术栈</w:t>
      </w:r>
      <w:bookmarkEnd w:id="99"/>
    </w:p>
    <w:tbl>
      <w:tblPr>
        <w:tblStyle w:val="38"/>
        <w:tblW w:w="9784" w:type="dxa"/>
        <w:jc w:val="center"/>
        <w:tblLayout w:type="autofit"/>
        <w:tblCellMar>
          <w:top w:w="0" w:type="dxa"/>
          <w:left w:w="108" w:type="dxa"/>
          <w:bottom w:w="0" w:type="dxa"/>
          <w:right w:w="108" w:type="dxa"/>
        </w:tblCellMar>
      </w:tblPr>
      <w:tblGrid>
        <w:gridCol w:w="2311"/>
        <w:gridCol w:w="4804"/>
        <w:gridCol w:w="2669"/>
      </w:tblGrid>
      <w:tr w14:paraId="75D9DD51">
        <w:tblPrEx>
          <w:tblCellMar>
            <w:top w:w="0" w:type="dxa"/>
            <w:left w:w="108" w:type="dxa"/>
            <w:bottom w:w="0" w:type="dxa"/>
            <w:right w:w="108" w:type="dxa"/>
          </w:tblCellMar>
        </w:tblPrEx>
        <w:trPr>
          <w:tblHeade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E14F0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分层维度</w:t>
            </w:r>
          </w:p>
        </w:tc>
        <w:tc>
          <w:tcPr>
            <w:tcW w:w="480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00853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技术选型</w:t>
            </w:r>
          </w:p>
        </w:tc>
        <w:tc>
          <w:tcPr>
            <w:tcW w:w="26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A5FA4A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版本</w:t>
            </w:r>
          </w:p>
        </w:tc>
      </w:tr>
      <w:tr w14:paraId="48F3D9EE">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46B01E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基础框架</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F6B9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Next.js（App Router）</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21E5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16.3.0</w:t>
            </w:r>
          </w:p>
        </w:tc>
      </w:tr>
      <w:tr w14:paraId="0D444878">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F422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视图引擎</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6008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React</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593F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19.0.0</w:t>
            </w:r>
          </w:p>
        </w:tc>
      </w:tr>
      <w:tr w14:paraId="656F4ADD">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1984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开发语言</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E6D1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TypeScript（strict）</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AB5E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5.x</w:t>
            </w:r>
          </w:p>
        </w:tc>
      </w:tr>
      <w:tr w14:paraId="6FBDA88F">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0CB37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样式体系</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D711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Tailwind CSS + PostCSS</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842B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r>
      <w:tr w14:paraId="2C3CF117">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B92D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图标库</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154F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Lucide React</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C373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1.16.0</w:t>
            </w:r>
          </w:p>
        </w:tc>
      </w:tr>
      <w:tr w14:paraId="67A77374">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41108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数据可视化</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246C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ECharts / Recharts</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F8DF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6.1.0 / 3.10.1</w:t>
            </w:r>
          </w:p>
        </w:tc>
      </w:tr>
      <w:tr w14:paraId="7DF32087">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BC3E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空间地理渲染</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5D13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React Simple Maps + D3 Geo</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D06D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3.0.0 / 3.1.1</w:t>
            </w:r>
          </w:p>
        </w:tc>
      </w:tr>
      <w:tr w14:paraId="6736DC50">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1E55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3D 数字孪生</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0BE3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Three.js</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7146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180（r180）</w:t>
            </w:r>
          </w:p>
        </w:tc>
      </w:tr>
      <w:tr w14:paraId="7F81B747">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559A5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时序数据库</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26F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TDengine（边缘侧 SQLite 本地缓存）</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3880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3.x</w:t>
            </w:r>
          </w:p>
        </w:tc>
      </w:tr>
    </w:tbl>
    <w:p w14:paraId="2AFAAF6E">
      <w:pPr>
        <w:spacing w:after="60"/>
        <w:rPr>
          <w:rFonts w:hint="eastAsia" w:ascii="宋体" w:hAnsi="宋体" w:eastAsia="宋体" w:cs="宋体"/>
          <w:i w:val="0"/>
          <w:iCs w:val="0"/>
          <w:sz w:val="24"/>
          <w:szCs w:val="24"/>
        </w:rPr>
      </w:pPr>
    </w:p>
    <w:p w14:paraId="086F35C0">
      <w:pPr>
        <w:pStyle w:val="4"/>
        <w:numPr>
          <w:ilvl w:val="0"/>
          <w:numId w:val="240"/>
        </w:numPr>
        <w:topLinePunct w:val="0"/>
        <w:ind w:left="0" w:leftChars="0" w:firstLine="0" w:firstLineChars="0"/>
        <w:outlineLvl w:val="0"/>
        <w:rPr>
          <w:rFonts w:hint="eastAsia" w:eastAsia="黑体"/>
          <w:b w:val="0"/>
          <w:bCs w:val="0"/>
          <w:sz w:val="30"/>
          <w:szCs w:val="32"/>
        </w:rPr>
      </w:pPr>
      <w:bookmarkStart w:id="100" w:name="_Toc22068"/>
      <w:r>
        <w:rPr>
          <w:rFonts w:ascii="Times New Roman" w:hAnsi="Times New Roman" w:eastAsia="黑体" w:cs="Times New Roman"/>
          <w:b w:val="0"/>
          <w:bCs w:val="0"/>
          <w:sz w:val="30"/>
          <w:szCs w:val="32"/>
        </w:rPr>
        <w:t>关键架构决策（ADR）</w:t>
      </w:r>
      <w:bookmarkEnd w:id="100"/>
    </w:p>
    <w:tbl>
      <w:tblPr>
        <w:tblStyle w:val="38"/>
        <w:tblW w:w="9784" w:type="dxa"/>
        <w:jc w:val="center"/>
        <w:tblLayout w:type="autofit"/>
        <w:tblCellMar>
          <w:top w:w="0" w:type="dxa"/>
          <w:left w:w="108" w:type="dxa"/>
          <w:bottom w:w="0" w:type="dxa"/>
          <w:right w:w="108" w:type="dxa"/>
        </w:tblCellMar>
      </w:tblPr>
      <w:tblGrid>
        <w:gridCol w:w="1165"/>
        <w:gridCol w:w="4774"/>
        <w:gridCol w:w="3845"/>
      </w:tblGrid>
      <w:tr w14:paraId="71BAB817">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2AB8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ADR</w:t>
            </w:r>
          </w:p>
        </w:tc>
        <w:tc>
          <w:tcPr>
            <w:tcW w:w="47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62A26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决策</w:t>
            </w:r>
          </w:p>
        </w:tc>
        <w:tc>
          <w:tcPr>
            <w:tcW w:w="38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36A9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理由</w:t>
            </w:r>
          </w:p>
        </w:tc>
      </w:tr>
      <w:tr w14:paraId="2BDF90E2">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FF8E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ADR-CF-001</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C9FD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 TDengine 3.x（边缘侧 SQLite 本地缓存）、关系数据 PostgreSQL 物理隔离</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650F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IoT 秒级高频遥测与台账数据异构；时序库选型已由 ADR-SYS-001 最终收敛，本条时序库部分以 ADR-SYS-001 为准</w:t>
            </w:r>
          </w:p>
        </w:tc>
      </w:tr>
      <w:tr w14:paraId="2C9C1EED">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061C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ADR-CF-002</w:t>
            </w:r>
          </w:p>
        </w:tc>
        <w:tc>
          <w:tcPr>
            <w:tcW w:w="47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B10F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因子库版本化（effective_from / effective_to / version_id）</w:t>
            </w:r>
          </w:p>
        </w:tc>
        <w:tc>
          <w:tcPr>
            <w:tcW w:w="3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D127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跨年因子版本对齐与可追溯</w:t>
            </w:r>
          </w:p>
        </w:tc>
      </w:tr>
      <w:tr w14:paraId="65797DFB">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100F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ADR-CF-003</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8593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审计哈希链逐节点存证，尾节点校验 prev 引用</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EAC8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计算过程防篡改与可审计</w:t>
            </w:r>
          </w:p>
        </w:tc>
      </w:tr>
      <w:tr w14:paraId="0C68B3DD">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1696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ADR-CF-005</w:t>
            </w:r>
          </w:p>
        </w:tc>
        <w:tc>
          <w:tcPr>
            <w:tcW w:w="47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EF5C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报告导出强制水印 + 操作员工号 + 时间戳嵌入</w:t>
            </w:r>
          </w:p>
        </w:tc>
        <w:tc>
          <w:tcPr>
            <w:tcW w:w="3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A10E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对外交付文件的防伪与追责</w:t>
            </w:r>
          </w:p>
        </w:tc>
      </w:tr>
      <w:tr w14:paraId="324D0B03">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8FC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ADR-MON-001</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C5C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指标聚合在数据库物化视图层完成，应用层不再二次聚合</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3A9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保证聚合口径统一、避免应用层口径漂移</w:t>
            </w:r>
          </w:p>
        </w:tc>
      </w:tr>
      <w:tr w14:paraId="7387B38B">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ED51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ADR-SYS-001</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8570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时序数据库最终裁决为 TDengine 3.x（边缘侧 SQLite 本地缓存）</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992A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单节点高压缩比（实测 ≥ 10:1）、原生 SQL 语法、超级表天然适配工业测点物联网场景，规避多节点运维成本</w:t>
            </w:r>
          </w:p>
        </w:tc>
      </w:tr>
      <w:tr w14:paraId="7EBDF582">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E6A9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ADR-SYS-002</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3DA4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暗黑 / 浅色双端同构采用 Tailwind CSS class 模式 + CSS 自定义属性（CSS Custom Properties）主题动态注入</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77FA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一套 DOM 结构承载两套主题变量，保障 TC-02 要求的 76 个路由样式 100% 同构对标</w:t>
            </w:r>
          </w:p>
        </w:tc>
      </w:tr>
      <w:tr w14:paraId="259522E9">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045C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ADR-SYS-003</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7693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采集频率分层：边端 1s~5s 本地闭环告警，云端 15 分钟等间隔汇聚，仅 32 台特种设备动态高频透传</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B497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规避全量秒级上报造成的带宽瓶颈与数仓膨胀</w:t>
            </w:r>
          </w:p>
        </w:tc>
      </w:tr>
      <w:tr w14:paraId="46C9F7C6">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7576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ADR-SYS-004</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8947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申报包出境前置信安合规网关 + 严格字段白名单</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0072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满足数据出境安全评估与商业秘密 L3~L4 剥离要求</w:t>
            </w:r>
          </w:p>
        </w:tc>
      </w:tr>
    </w:tbl>
    <w:p w14:paraId="501B4D4A">
      <w:pPr>
        <w:spacing w:after="60"/>
        <w:rPr>
          <w:rFonts w:hint="eastAsia" w:ascii="宋体" w:hAnsi="宋体" w:eastAsia="宋体" w:cs="宋体"/>
          <w:i w:val="0"/>
          <w:iCs w:val="0"/>
          <w:sz w:val="24"/>
          <w:szCs w:val="24"/>
        </w:rPr>
      </w:pPr>
    </w:p>
    <w:p w14:paraId="3A45378E">
      <w:pPr>
        <w:pStyle w:val="4"/>
        <w:numPr>
          <w:ilvl w:val="0"/>
          <w:numId w:val="240"/>
        </w:numPr>
        <w:topLinePunct w:val="0"/>
        <w:ind w:left="0" w:leftChars="0" w:firstLine="0" w:firstLineChars="0"/>
        <w:outlineLvl w:val="0"/>
        <w:rPr>
          <w:rFonts w:hint="eastAsia" w:eastAsia="黑体"/>
          <w:b w:val="0"/>
          <w:bCs w:val="0"/>
          <w:sz w:val="30"/>
          <w:szCs w:val="32"/>
        </w:rPr>
      </w:pPr>
      <w:bookmarkStart w:id="101" w:name="_Toc27258"/>
      <w:r>
        <w:rPr>
          <w:rFonts w:ascii="Times New Roman" w:hAnsi="Times New Roman" w:eastAsia="黑体" w:cs="Times New Roman"/>
          <w:b w:val="0"/>
          <w:bCs w:val="0"/>
          <w:sz w:val="30"/>
          <w:szCs w:val="32"/>
        </w:rPr>
        <w:t>技术决策裁决记录与残留待确认项</w:t>
      </w:r>
      <w:bookmarkEnd w:id="101"/>
    </w:p>
    <w:tbl>
      <w:tblPr>
        <w:tblStyle w:val="38"/>
        <w:tblW w:w="9784" w:type="dxa"/>
        <w:jc w:val="center"/>
        <w:tblLayout w:type="autofit"/>
        <w:tblCellMar>
          <w:top w:w="0" w:type="dxa"/>
          <w:left w:w="108" w:type="dxa"/>
          <w:bottom w:w="0" w:type="dxa"/>
          <w:right w:w="108" w:type="dxa"/>
        </w:tblCellMar>
      </w:tblPr>
      <w:tblGrid>
        <w:gridCol w:w="3730"/>
        <w:gridCol w:w="4061"/>
        <w:gridCol w:w="1993"/>
      </w:tblGrid>
      <w:tr w14:paraId="7CD5A58F">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D6811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决策项</w:t>
            </w:r>
          </w:p>
        </w:tc>
        <w:tc>
          <w:tcPr>
            <w:tcW w:w="40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F03FE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c>
          <w:tcPr>
            <w:tcW w:w="19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FE86C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状态</w:t>
            </w:r>
          </w:p>
        </w:tc>
      </w:tr>
      <w:tr w14:paraId="619D6BAD">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CA8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时序数据库最终选型</w:t>
            </w:r>
          </w:p>
        </w:tc>
        <w:tc>
          <w:tcPr>
            <w:tcW w:w="40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D662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已裁决为 TDengine 3.x（边缘侧 SQLite 本地缓存），见 ADR-SYS-001</w:t>
            </w:r>
          </w:p>
        </w:tc>
        <w:tc>
          <w:tcPr>
            <w:tcW w:w="19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96E0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已裁决（2026-09-16）</w:t>
            </w:r>
          </w:p>
        </w:tc>
      </w:tr>
      <w:tr w14:paraId="5E9DD5A4">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0638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边缘一体机操作系统与容器运行时</w:t>
            </w:r>
          </w:p>
        </w:tc>
        <w:tc>
          <w:tcPr>
            <w:tcW w:w="40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3033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断点续传与本地闭环控制承载环境</w:t>
            </w:r>
          </w:p>
        </w:tc>
        <w:tc>
          <w:tcPr>
            <w:tcW w:w="19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BD50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待硬件方案确认</w:t>
            </w:r>
          </w:p>
        </w:tc>
      </w:tr>
      <w:tr w14:paraId="7D23B032">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A7DA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碳价与 Ecoinvent 接口代理部署位置</w:t>
            </w:r>
          </w:p>
        </w:tc>
        <w:tc>
          <w:tcPr>
            <w:tcW w:w="40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B618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部署于境内 DMZ 代理节点，全部出境流量经数据出境合规网关，见第十章第二节</w:t>
            </w:r>
          </w:p>
        </w:tc>
        <w:tc>
          <w:tcPr>
            <w:tcW w:w="19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427E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已裁决（2026-09-16）</w:t>
            </w:r>
          </w:p>
        </w:tc>
      </w:tr>
      <w:tr w14:paraId="1AA6E871">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4B7A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双端（暗黑 / 浅色）同构实现方式</w:t>
            </w:r>
          </w:p>
        </w:tc>
        <w:tc>
          <w:tcPr>
            <w:tcW w:w="40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2E11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Tailwind CSS class 模式 + CSS 自定义属性主题动态注入，见 ADR-SYS-002</w:t>
            </w:r>
          </w:p>
        </w:tc>
        <w:tc>
          <w:tcPr>
            <w:tcW w:w="19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BFE4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已裁决（2026-09-16）</w:t>
            </w:r>
          </w:p>
        </w:tc>
      </w:tr>
      <w:tr w14:paraId="74573854">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091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云端采集频率分层策略</w:t>
            </w:r>
          </w:p>
        </w:tc>
        <w:tc>
          <w:tcPr>
            <w:tcW w:w="40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D81A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边端 1s~5s / 云端 15 min / 32 台特种设备试验期动态高频透传，见 ADR-SYS-003</w:t>
            </w:r>
          </w:p>
        </w:tc>
        <w:tc>
          <w:tcPr>
            <w:tcW w:w="19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3EF3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已裁决（2026-09-16）</w:t>
            </w:r>
          </w:p>
        </w:tc>
      </w:tr>
    </w:tbl>
    <w:p w14:paraId="03AC9A52">
      <w:pPr>
        <w:spacing w:after="60"/>
        <w:rPr>
          <w:rFonts w:hint="eastAsia" w:ascii="宋体" w:hAnsi="宋体" w:eastAsia="宋体" w:cs="宋体"/>
          <w:i w:val="0"/>
          <w:iCs w:val="0"/>
          <w:sz w:val="24"/>
          <w:szCs w:val="24"/>
        </w:rPr>
      </w:pPr>
    </w:p>
    <w:p w14:paraId="2B202E37">
      <w:pPr>
        <w:pStyle w:val="3"/>
        <w:numPr>
          <w:ilvl w:val="0"/>
          <w:numId w:val="7"/>
        </w:numPr>
        <w:ind w:left="0" w:leftChars="0" w:firstLine="0" w:firstLineChars="0"/>
        <w:rPr>
          <w:rFonts w:eastAsia="黑体"/>
          <w:b w:val="0"/>
          <w:bCs w:val="0"/>
          <w:sz w:val="32"/>
          <w:szCs w:val="44"/>
        </w:rPr>
      </w:pPr>
      <w:bookmarkStart w:id="102" w:name="_Toc11956"/>
      <w:r>
        <w:rPr>
          <w:rFonts w:ascii="Times New Roman" w:hAnsi="Times New Roman" w:eastAsia="黑体" w:cs="Times New Roman"/>
          <w:b w:val="0"/>
          <w:bCs w:val="0"/>
          <w:sz w:val="32"/>
          <w:szCs w:val="44"/>
        </w:rPr>
        <w:t>系统级公共模块需求</w:t>
      </w:r>
      <w:bookmarkEnd w:id="102"/>
    </w:p>
    <w:p w14:paraId="740231A3">
      <w:pPr>
        <w:pStyle w:val="4"/>
        <w:numPr>
          <w:ilvl w:val="0"/>
          <w:numId w:val="241"/>
        </w:numPr>
        <w:topLinePunct w:val="0"/>
        <w:ind w:left="0" w:leftChars="0" w:firstLine="0" w:firstLineChars="0"/>
        <w:outlineLvl w:val="0"/>
        <w:rPr>
          <w:rFonts w:hint="eastAsia" w:eastAsia="黑体"/>
          <w:b w:val="0"/>
          <w:bCs w:val="0"/>
          <w:sz w:val="30"/>
          <w:szCs w:val="32"/>
        </w:rPr>
      </w:pPr>
      <w:bookmarkStart w:id="103" w:name="_Toc28561"/>
      <w:r>
        <w:rPr>
          <w:rFonts w:ascii="Times New Roman" w:hAnsi="Times New Roman" w:eastAsia="黑体" w:cs="Times New Roman"/>
          <w:b w:val="0"/>
          <w:bCs w:val="0"/>
          <w:sz w:val="30"/>
          <w:szCs w:val="32"/>
        </w:rPr>
        <w:t>公共模块清单</w:t>
      </w:r>
      <w:bookmarkEnd w:id="103"/>
    </w:p>
    <w:tbl>
      <w:tblPr>
        <w:tblStyle w:val="38"/>
        <w:tblW w:w="9784" w:type="dxa"/>
        <w:jc w:val="center"/>
        <w:tblLayout w:type="autofit"/>
        <w:tblCellMar>
          <w:top w:w="0" w:type="dxa"/>
          <w:left w:w="108" w:type="dxa"/>
          <w:bottom w:w="0" w:type="dxa"/>
          <w:right w:w="108" w:type="dxa"/>
        </w:tblCellMar>
      </w:tblPr>
      <w:tblGrid>
        <w:gridCol w:w="2189"/>
        <w:gridCol w:w="5523"/>
        <w:gridCol w:w="2072"/>
      </w:tblGrid>
      <w:tr w14:paraId="47E526AF">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79DE5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模块名称</w:t>
            </w:r>
          </w:p>
        </w:tc>
        <w:tc>
          <w:tcPr>
            <w:tcW w:w="55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8423F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功能概述</w:t>
            </w:r>
          </w:p>
        </w:tc>
        <w:tc>
          <w:tcPr>
            <w:tcW w:w="20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DFB0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服务对象</w:t>
            </w:r>
          </w:p>
        </w:tc>
      </w:tr>
      <w:tr w14:paraId="308FEF8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6255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组织架构与 RBAC 权限配置</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01B3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六级组织节点维护、角色与权限矩阵配置、数据范围隔离策略</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5860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32843BE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CB9B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统一工作流引擎</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0BF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审批流配置与实例流转（参数变更审批、评估复核、申报双签）</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DB9F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第二/三/五章各审批环节</w:t>
            </w:r>
          </w:p>
        </w:tc>
      </w:tr>
      <w:tr w14:paraId="5042CA6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714E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告警中枢</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949D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越限告警、通讯异常、证书到期、因子过期等事件的统一汇聚、分级与派单</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5D1E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3B04490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1463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消息与待办中心</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DDBE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站内消息、待办工单、批示流转</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508A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P1~P6 全角色</w:t>
            </w:r>
          </w:p>
        </w:tc>
      </w:tr>
      <w:tr w14:paraId="1A4D2B3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9EF4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导出中心</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B90F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统一报表与报告导出、异步大文件生成、水印与哈希注入</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9339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报表 / 报告 / 台账</w:t>
            </w:r>
          </w:p>
        </w:tc>
      </w:tr>
      <w:tr w14:paraId="149466D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8852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审计日志中心</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C5A5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操作留痕、审计哈希链存证、越权事件记录</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8A0A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7F92A5B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B54E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数据字典与介质配置</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6CAF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能源介质字典、单位字典、枚举值字典集中管理</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DB24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292F70F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A5E6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采集通讯与接口配置</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21DB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采集网关注册、协议参数配置、接口健康监控与熔断阈值</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EBA2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第二章各监测模块</w:t>
            </w:r>
          </w:p>
        </w:tc>
      </w:tr>
      <w:tr w14:paraId="6CBDE88C">
        <w:tblPrEx>
          <w:tblCellMar>
            <w:top w:w="0" w:type="dxa"/>
            <w:left w:w="108" w:type="dxa"/>
            <w:bottom w:w="0" w:type="dxa"/>
            <w:right w:w="108" w:type="dxa"/>
          </w:tblCellMar>
        </w:tblPrEx>
        <w:trPr>
          <w:jc w:val="center"/>
        </w:trPr>
        <w:tc>
          <w:tcPr>
            <w:tcW w:w="21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8560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AI 智能专家工作台</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49A5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能耗异常智能诊断、减碳路径推荐、问答式数据检索</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E5F6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 / P2 / P4</w:t>
            </w:r>
          </w:p>
        </w:tc>
      </w:tr>
    </w:tbl>
    <w:p w14:paraId="3AB1E8BD">
      <w:pPr>
        <w:spacing w:after="60"/>
        <w:rPr>
          <w:rFonts w:hint="eastAsia" w:ascii="宋体" w:hAnsi="宋体" w:eastAsia="宋体" w:cs="宋体"/>
          <w:i w:val="0"/>
          <w:iCs w:val="0"/>
          <w:sz w:val="24"/>
          <w:szCs w:val="24"/>
        </w:rPr>
      </w:pPr>
    </w:p>
    <w:p w14:paraId="42B91BC2">
      <w:pPr>
        <w:pStyle w:val="4"/>
        <w:numPr>
          <w:ilvl w:val="0"/>
          <w:numId w:val="241"/>
        </w:numPr>
        <w:topLinePunct w:val="0"/>
        <w:ind w:left="0" w:leftChars="0" w:firstLine="0" w:firstLineChars="0"/>
        <w:outlineLvl w:val="0"/>
        <w:rPr>
          <w:rFonts w:hint="eastAsia" w:eastAsia="黑体"/>
          <w:b w:val="0"/>
          <w:bCs w:val="0"/>
          <w:sz w:val="30"/>
          <w:szCs w:val="32"/>
        </w:rPr>
      </w:pPr>
      <w:bookmarkStart w:id="104" w:name="_Toc4683"/>
      <w:r>
        <w:rPr>
          <w:rFonts w:ascii="Times New Roman" w:hAnsi="Times New Roman" w:eastAsia="黑体" w:cs="Times New Roman"/>
          <w:b w:val="0"/>
          <w:bCs w:val="0"/>
          <w:sz w:val="30"/>
          <w:szCs w:val="32"/>
        </w:rPr>
        <w:t>告警中枢分级与响应契约</w:t>
      </w:r>
      <w:bookmarkEnd w:id="104"/>
    </w:p>
    <w:tbl>
      <w:tblPr>
        <w:tblStyle w:val="38"/>
        <w:tblW w:w="9784" w:type="dxa"/>
        <w:jc w:val="center"/>
        <w:tblLayout w:type="autofit"/>
        <w:tblCellMar>
          <w:top w:w="0" w:type="dxa"/>
          <w:left w:w="108" w:type="dxa"/>
          <w:bottom w:w="0" w:type="dxa"/>
          <w:right w:w="108" w:type="dxa"/>
        </w:tblCellMar>
      </w:tblPr>
      <w:tblGrid>
        <w:gridCol w:w="1500"/>
        <w:gridCol w:w="4371"/>
        <w:gridCol w:w="2017"/>
        <w:gridCol w:w="1896"/>
      </w:tblGrid>
      <w:tr w14:paraId="5DB88500">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37CA6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告警等级</w:t>
            </w:r>
          </w:p>
        </w:tc>
        <w:tc>
          <w:tcPr>
            <w:tcW w:w="437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E238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触发条件</w:t>
            </w:r>
          </w:p>
        </w:tc>
        <w:tc>
          <w:tcPr>
            <w:tcW w:w="20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9E0BD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通知方式</w:t>
            </w:r>
          </w:p>
        </w:tc>
        <w:tc>
          <w:tcPr>
            <w:tcW w:w="18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121DE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响应时限</w:t>
            </w:r>
          </w:p>
        </w:tc>
      </w:tr>
      <w:tr w14:paraId="35C67A9D">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5249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P0 系统级</w:t>
            </w:r>
          </w:p>
        </w:tc>
        <w:tc>
          <w:tcPr>
            <w:tcW w:w="43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5D6D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主库连接中断、核心服务不可用</w:t>
            </w:r>
          </w:p>
        </w:tc>
        <w:tc>
          <w:tcPr>
            <w:tcW w:w="20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D486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电话 + 短信 + 站内</w:t>
            </w:r>
          </w:p>
        </w:tc>
        <w:tc>
          <w:tcPr>
            <w:tcW w:w="18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D2BA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分钟内响应</w:t>
            </w:r>
          </w:p>
        </w:tc>
      </w:tr>
      <w:tr w14:paraId="0267AA27">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2B8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 业务级</w:t>
            </w:r>
          </w:p>
        </w:tc>
        <w:tc>
          <w:tcPr>
            <w:tcW w:w="43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6D36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采集超时、越权访问、哈希校验失败、认证超时</w:t>
            </w:r>
          </w:p>
        </w:tc>
        <w:tc>
          <w:tcPr>
            <w:tcW w:w="20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8BC9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短信 + 站内</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F00B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 小时内响应</w:t>
            </w:r>
          </w:p>
        </w:tc>
      </w:tr>
      <w:tr w14:paraId="2972178D">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5039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 提示级</w:t>
            </w:r>
          </w:p>
        </w:tc>
        <w:tc>
          <w:tcPr>
            <w:tcW w:w="43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3127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数值非法、因子过期、碳价滞后、锁账冲突</w:t>
            </w:r>
          </w:p>
        </w:tc>
        <w:tc>
          <w:tcPr>
            <w:tcW w:w="20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E0D3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站内消息</w:t>
            </w:r>
          </w:p>
        </w:tc>
        <w:tc>
          <w:tcPr>
            <w:tcW w:w="18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20BC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当日处理</w:t>
            </w:r>
          </w:p>
        </w:tc>
      </w:tr>
      <w:tr w14:paraId="125BADB8">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7DD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P3 信息级</w:t>
            </w:r>
          </w:p>
        </w:tc>
        <w:tc>
          <w:tcPr>
            <w:tcW w:w="43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D44F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除零软降级、白名单判空、数据延迟</w:t>
            </w:r>
          </w:p>
        </w:tc>
        <w:tc>
          <w:tcPr>
            <w:tcW w:w="20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E562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界面内表达，不推送</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06ED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无需响应</w:t>
            </w:r>
          </w:p>
        </w:tc>
      </w:tr>
    </w:tbl>
    <w:p w14:paraId="63507791">
      <w:pPr>
        <w:spacing w:after="60"/>
        <w:rPr>
          <w:rFonts w:hint="eastAsia" w:ascii="宋体" w:hAnsi="宋体" w:eastAsia="宋体" w:cs="宋体"/>
          <w:i w:val="0"/>
          <w:iCs w:val="0"/>
          <w:sz w:val="24"/>
          <w:szCs w:val="24"/>
        </w:rPr>
      </w:pPr>
    </w:p>
    <w:p w14:paraId="2EE34191">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305D2415">
      <w:pPr>
        <w:pStyle w:val="3"/>
        <w:numPr>
          <w:ilvl w:val="0"/>
          <w:numId w:val="7"/>
        </w:numPr>
        <w:ind w:left="0" w:leftChars="0" w:firstLine="0" w:firstLineChars="0"/>
        <w:rPr>
          <w:rFonts w:eastAsia="黑体"/>
          <w:b w:val="0"/>
          <w:bCs w:val="0"/>
          <w:sz w:val="32"/>
          <w:szCs w:val="44"/>
        </w:rPr>
      </w:pPr>
      <w:bookmarkStart w:id="105" w:name="_Toc4190"/>
      <w:r>
        <w:rPr>
          <w:rFonts w:ascii="Times New Roman" w:hAnsi="Times New Roman" w:eastAsia="黑体" w:cs="Times New Roman"/>
          <w:b w:val="0"/>
          <w:bCs w:val="0"/>
          <w:sz w:val="32"/>
          <w:szCs w:val="44"/>
        </w:rPr>
        <w:t>安全与合规需求</w:t>
      </w:r>
      <w:bookmarkEnd w:id="105"/>
    </w:p>
    <w:p w14:paraId="20DEEF53">
      <w:pPr>
        <w:pStyle w:val="4"/>
        <w:numPr>
          <w:ilvl w:val="0"/>
          <w:numId w:val="242"/>
        </w:numPr>
        <w:topLinePunct w:val="0"/>
        <w:ind w:left="0" w:leftChars="0" w:firstLine="0" w:firstLineChars="0"/>
        <w:outlineLvl w:val="0"/>
        <w:rPr>
          <w:rFonts w:hint="eastAsia" w:eastAsia="黑体"/>
          <w:b w:val="0"/>
          <w:bCs w:val="0"/>
          <w:sz w:val="30"/>
          <w:szCs w:val="32"/>
        </w:rPr>
      </w:pPr>
      <w:bookmarkStart w:id="106" w:name="_Toc24788"/>
      <w:r>
        <w:rPr>
          <w:rFonts w:ascii="Times New Roman" w:hAnsi="Times New Roman" w:eastAsia="黑体" w:cs="Times New Roman"/>
          <w:b w:val="0"/>
          <w:bCs w:val="0"/>
          <w:sz w:val="30"/>
          <w:szCs w:val="32"/>
        </w:rPr>
        <w:t>网络安全防护体系</w:t>
      </w:r>
      <w:bookmarkEnd w:id="106"/>
    </w:p>
    <w:tbl>
      <w:tblPr>
        <w:tblStyle w:val="38"/>
        <w:tblW w:w="9784" w:type="dxa"/>
        <w:jc w:val="center"/>
        <w:tblLayout w:type="autofit"/>
        <w:tblCellMar>
          <w:top w:w="0" w:type="dxa"/>
          <w:left w:w="108" w:type="dxa"/>
          <w:bottom w:w="0" w:type="dxa"/>
          <w:right w:w="108" w:type="dxa"/>
        </w:tblCellMar>
      </w:tblPr>
      <w:tblGrid>
        <w:gridCol w:w="1793"/>
        <w:gridCol w:w="7991"/>
      </w:tblGrid>
      <w:tr w14:paraId="45E4DBCD">
        <w:tblPrEx>
          <w:tblCellMar>
            <w:top w:w="0" w:type="dxa"/>
            <w:left w:w="108" w:type="dxa"/>
            <w:bottom w:w="0" w:type="dxa"/>
            <w:right w:w="108" w:type="dxa"/>
          </w:tblCellMar>
        </w:tblPrEx>
        <w:trPr>
          <w:tblHeade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3E204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防护项</w:t>
            </w:r>
          </w:p>
        </w:tc>
        <w:tc>
          <w:tcPr>
            <w:tcW w:w="799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FEF81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要求</w:t>
            </w:r>
          </w:p>
        </w:tc>
      </w:tr>
      <w:tr w14:paraId="0A02C151">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F5865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传输安全</w:t>
            </w:r>
          </w:p>
        </w:tc>
        <w:tc>
          <w:tcPr>
            <w:tcW w:w="79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689E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全站强制 HTTPS / TLS 1.2+，内部服务间 mTLS</w:t>
            </w:r>
          </w:p>
        </w:tc>
      </w:tr>
      <w:tr w14:paraId="3A5865EA">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9000C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身份认证</w:t>
            </w:r>
          </w:p>
        </w:tc>
        <w:tc>
          <w:tcPr>
            <w:tcW w:w="79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B9BD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JWT + 刷新令牌滚动机制；越权操作强制二次鉴权</w:t>
            </w:r>
          </w:p>
        </w:tc>
      </w:tr>
      <w:tr w14:paraId="2B2E52F7">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8DF1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报文完整性</w:t>
            </w:r>
          </w:p>
        </w:tc>
        <w:tc>
          <w:tcPr>
            <w:tcW w:w="79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5C89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关键写接口强制 HMAC-SHA256 签名，防重放攻击</w:t>
            </w:r>
          </w:p>
        </w:tc>
      </w:tr>
      <w:tr w14:paraId="11C925E9">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9373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存储加密</w:t>
            </w:r>
          </w:p>
        </w:tc>
        <w:tc>
          <w:tcPr>
            <w:tcW w:w="79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3841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L3 及以上数据落盘 AES-256 加密</w:t>
            </w:r>
          </w:p>
        </w:tc>
      </w:tr>
      <w:tr w14:paraId="34954444">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D4AE4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防截屏</w:t>
            </w:r>
          </w:p>
        </w:tc>
        <w:tc>
          <w:tcPr>
            <w:tcW w:w="79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A54E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L4 级数据展示强制全屏动态水印</w:t>
            </w:r>
          </w:p>
        </w:tc>
      </w:tr>
      <w:tr w14:paraId="375E4443">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B510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接口防护</w:t>
            </w:r>
          </w:p>
        </w:tc>
        <w:tc>
          <w:tcPr>
            <w:tcW w:w="79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C720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限流、熔断（5 次/分钟）、参数校验与 SQL 注入防护</w:t>
            </w:r>
          </w:p>
        </w:tc>
      </w:tr>
    </w:tbl>
    <w:p w14:paraId="0A008F55">
      <w:pPr>
        <w:pStyle w:val="4"/>
        <w:numPr>
          <w:ilvl w:val="0"/>
          <w:numId w:val="242"/>
        </w:numPr>
        <w:topLinePunct w:val="0"/>
        <w:ind w:left="0" w:leftChars="0" w:firstLine="0" w:firstLineChars="0"/>
        <w:outlineLvl w:val="0"/>
        <w:rPr>
          <w:rFonts w:hint="eastAsia" w:eastAsia="黑体"/>
          <w:b w:val="0"/>
          <w:bCs w:val="0"/>
          <w:sz w:val="30"/>
          <w:szCs w:val="32"/>
        </w:rPr>
      </w:pPr>
      <w:bookmarkStart w:id="107" w:name="_Toc22294"/>
      <w:r>
        <w:rPr>
          <w:rFonts w:ascii="Times New Roman" w:hAnsi="Times New Roman" w:eastAsia="黑体" w:cs="Times New Roman"/>
          <w:b w:val="0"/>
          <w:bCs w:val="0"/>
          <w:sz w:val="30"/>
          <w:szCs w:val="32"/>
        </w:rPr>
        <w:t>数据出境与合规</w:t>
      </w:r>
      <w:bookmarkEnd w:id="107"/>
    </w:p>
    <w:p w14:paraId="0D91A461">
      <w:pPr>
        <w:pStyle w:val="19"/>
        <w:widowControl/>
        <w:numPr>
          <w:ilvl w:val="0"/>
          <w:numId w:val="243"/>
        </w:numPr>
        <w:ind w:left="0" w:leftChars="0" w:firstLine="440" w:firstLineChars="0"/>
        <w:rPr>
          <w:rFonts w:eastAsia="宋体"/>
          <w:b/>
          <w:i w:val="0"/>
          <w:color w:val="0284C7"/>
          <w:sz w:val="24"/>
          <w:szCs w:val="24"/>
        </w:rPr>
      </w:pPr>
      <w:r>
        <w:rPr>
          <w:rFonts w:ascii="Times New Roman" w:hAnsi="Times New Roman" w:eastAsia="宋体" w:cs="Times New Roman"/>
          <w:i w:val="0"/>
          <w:color w:val="1F2937"/>
          <w:sz w:val="24"/>
          <w:szCs w:val="24"/>
        </w:rPr>
        <w:t>CBAM 申报数据与 Ecoinvent 因子数据的跨境传输路径与审批已明确：全部出境流量须经「信安合规前置网关」，并执行严格字段白名单机制，详见本章「CBAM 数据出境安全合规前置方案」。</w:t>
      </w:r>
    </w:p>
    <w:p w14:paraId="4ED167B2">
      <w:pPr>
        <w:pStyle w:val="19"/>
        <w:widowControl/>
        <w:numPr>
          <w:ilvl w:val="0"/>
          <w:numId w:val="243"/>
        </w:numPr>
        <w:ind w:left="0" w:leftChars="0" w:firstLine="440" w:firstLineChars="0"/>
        <w:rPr>
          <w:rFonts w:eastAsia="宋体"/>
          <w:b/>
          <w:i w:val="0"/>
          <w:color w:val="0284C7"/>
          <w:sz w:val="24"/>
          <w:szCs w:val="24"/>
        </w:rPr>
      </w:pPr>
      <w:r>
        <w:rPr>
          <w:rFonts w:ascii="Times New Roman" w:hAnsi="Times New Roman" w:eastAsia="宋体" w:cs="Times New Roman"/>
          <w:i w:val="0"/>
          <w:color w:val="1F2937"/>
          <w:sz w:val="24"/>
          <w:szCs w:val="24"/>
        </w:rPr>
        <w:t>欧盟客户与审查专员的数据访问须遵循 GDPR 最小必要原则，仅开放脱敏后的碳足迹结果数据；个人信息一律本地剥离，不得随申报包出境。</w:t>
      </w:r>
    </w:p>
    <w:p w14:paraId="5603EC0C">
      <w:pPr>
        <w:pStyle w:val="19"/>
        <w:widowControl/>
        <w:numPr>
          <w:ilvl w:val="0"/>
          <w:numId w:val="243"/>
        </w:numPr>
        <w:ind w:left="0" w:leftChars="0" w:firstLine="440" w:firstLineChars="0"/>
        <w:rPr>
          <w:rFonts w:eastAsia="宋体"/>
          <w:b/>
          <w:i w:val="0"/>
          <w:color w:val="0284C7"/>
          <w:sz w:val="24"/>
          <w:szCs w:val="24"/>
        </w:rPr>
      </w:pPr>
      <w:r>
        <w:rPr>
          <w:rFonts w:ascii="Times New Roman" w:hAnsi="Times New Roman" w:eastAsia="宋体" w:cs="Times New Roman"/>
          <w:i w:val="0"/>
          <w:color w:val="1F2937"/>
          <w:sz w:val="24"/>
          <w:szCs w:val="24"/>
        </w:rPr>
        <w:t>外部审计沙箱（P6）与生产数据物理隔离，仅可访问指定报告与凭证，且禁止全量导出。</w:t>
      </w:r>
    </w:p>
    <w:p w14:paraId="7EF1A914">
      <w:pPr>
        <w:pStyle w:val="5"/>
        <w:numPr>
          <w:ilvl w:val="0"/>
          <w:numId w:val="238"/>
        </w:numPr>
        <w:ind w:left="0" w:leftChars="0" w:firstLine="0" w:firstLineChars="0"/>
        <w:outlineLvl w:val="1"/>
        <w:rPr>
          <w:rFonts w:ascii="Times New Roman" w:hAnsi="Times New Roman" w:eastAsia="黑体" w:cs="Times New Roman"/>
          <w:b w:val="0"/>
          <w:bCs w:val="0"/>
          <w:sz w:val="30"/>
          <w:szCs w:val="24"/>
        </w:rPr>
      </w:pPr>
      <w:bookmarkStart w:id="108" w:name="_Toc9806"/>
      <w:r>
        <w:rPr>
          <w:rFonts w:ascii="Times New Roman" w:hAnsi="Times New Roman" w:eastAsia="黑体" w:cs="Times New Roman"/>
          <w:b w:val="0"/>
          <w:bCs w:val="0"/>
          <w:sz w:val="30"/>
          <w:szCs w:val="24"/>
        </w:rPr>
        <w:t>CBAM 数据出境安全合规前置方案</w:t>
      </w:r>
      <w:bookmarkEnd w:id="108"/>
    </w:p>
    <w:p w14:paraId="1D67E731">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前置合规网关：系统在生成欧盟官方 CBAM Communication Template XML 申报包出境前，强制经过「信安合规前置过滤审查」；未通过审查的申报包不得出网关，网关留存请求方、报文哈希、审查结论与放行时间。</w:t>
      </w:r>
    </w:p>
    <w:p w14:paraId="16AB840E">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严格字段白名单机制：对变压器工艺配方、原辅料采购单价、车间工人个人信息等高密级商业秘密（L3~L4）执行本地强制剥离与脱敏，仅允许出口申报必需的税号、重量、直接排放强度与前驱物隐含间接排放强度输出。</w:t>
      </w:r>
    </w:p>
    <w:p w14:paraId="47B5259B">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最小必要复核与授权：出境字段清单按季度复核，新增出境字段须经信息安全合规组与法务双签后方可加入白名单；临时专项出境须逐次申请并留存审批单号。</w:t>
      </w:r>
    </w:p>
    <w:tbl>
      <w:tblPr>
        <w:tblStyle w:val="38"/>
        <w:tblW w:w="9784" w:type="dxa"/>
        <w:jc w:val="center"/>
        <w:tblLayout w:type="autofit"/>
        <w:tblCellMar>
          <w:top w:w="0" w:type="dxa"/>
          <w:left w:w="108" w:type="dxa"/>
          <w:bottom w:w="0" w:type="dxa"/>
          <w:right w:w="108" w:type="dxa"/>
        </w:tblCellMar>
      </w:tblPr>
      <w:tblGrid>
        <w:gridCol w:w="2083"/>
        <w:gridCol w:w="4094"/>
        <w:gridCol w:w="1737"/>
        <w:gridCol w:w="1870"/>
      </w:tblGrid>
      <w:tr w14:paraId="0A19D58C">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1F4C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字段类别</w:t>
            </w:r>
          </w:p>
        </w:tc>
        <w:tc>
          <w:tcPr>
            <w:tcW w:w="409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87D4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允许出境字段</w:t>
            </w:r>
          </w:p>
        </w:tc>
        <w:tc>
          <w:tcPr>
            <w:tcW w:w="17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A1F69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本地强制剥离 / 脱敏字段</w:t>
            </w:r>
          </w:p>
        </w:tc>
        <w:tc>
          <w:tcPr>
            <w:tcW w:w="187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DB87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合规依据</w:t>
            </w:r>
          </w:p>
        </w:tc>
      </w:tr>
      <w:tr w14:paraId="6FF1B605">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B020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申报主体信息</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A45E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生产商注册名、CBAM 注册号、报关税号（CN Code）、生产国别</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8D7C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统一社会信用代码明细、银行账户信息</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DAAF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 2023/956 号条例申报字段要求</w:t>
            </w:r>
          </w:p>
        </w:tc>
      </w:tr>
      <w:tr w14:paraId="105A5D23">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1CD0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产品与产量</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851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产品名称、规格型号、净质量（t）、生产周期</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2F4A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变压器工艺配方、设计图纸编号、核心工艺技术参数</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97D9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数据出境安全评估 + 商业秘密管控</w:t>
            </w:r>
          </w:p>
        </w:tc>
      </w:tr>
      <w:tr w14:paraId="11BBD301">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C523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排放数据</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DFFF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直接排放强度、前驱物隐含间接排放强度、间接排放量</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C271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车间级分工序能耗明细、关键设备台账</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A2BB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 CBAM 实施条例计算方法</w:t>
            </w:r>
          </w:p>
        </w:tc>
      </w:tr>
      <w:tr w14:paraId="65F4D3D8">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1D2E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成本与价格</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9B7E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—（一律不出境）</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6A4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原辅料采购单价、供应商名称与账期、成本构成明细</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1622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商业秘密 L3~L4 强制剥离</w:t>
            </w:r>
          </w:p>
        </w:tc>
      </w:tr>
      <w:tr w14:paraId="4B4D2C53">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9EEE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人员信息</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6677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—（一律不出境）</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77F6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车间工人姓名、工号、身份证件信息、薪酬数据</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D214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个人信息保护法 + GDPR</w:t>
            </w:r>
          </w:p>
        </w:tc>
      </w:tr>
      <w:tr w14:paraId="6C35AE40">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6483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因子数据</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228E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公开标准因子结果值（Ecoinvent 结果值）</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EC35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License 账号凭据、原始数据集文件</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CC1B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License 协议 + 数据出境合规组审批</w:t>
            </w:r>
          </w:p>
        </w:tc>
      </w:tr>
      <w:tr w14:paraId="5A4586A8">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EC2C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报文本身</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F11C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Communication Template XML 申报包报文体与哈希</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A4FB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申报包内嵌的原始凭证附件与系统截图</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C645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信安合规前置网关放行规则</w:t>
            </w:r>
          </w:p>
        </w:tc>
      </w:tr>
    </w:tbl>
    <w:p w14:paraId="1F99D46C">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白名单外零放行：白名单外的任何字段一律默认拒绝出境，网关返回拦截原因并生成审计事件，不提供人工强制放行开关。</w:t>
      </w:r>
    </w:p>
    <w:p w14:paraId="066829F5">
      <w:pPr>
        <w:pStyle w:val="4"/>
        <w:numPr>
          <w:ilvl w:val="0"/>
          <w:numId w:val="242"/>
        </w:numPr>
        <w:topLinePunct w:val="0"/>
        <w:ind w:left="0" w:leftChars="0" w:firstLine="0" w:firstLineChars="0"/>
        <w:outlineLvl w:val="0"/>
        <w:rPr>
          <w:rFonts w:hint="eastAsia" w:eastAsia="黑体"/>
          <w:b w:val="0"/>
          <w:bCs w:val="0"/>
          <w:sz w:val="30"/>
          <w:szCs w:val="32"/>
        </w:rPr>
      </w:pPr>
      <w:bookmarkStart w:id="109" w:name="_Toc10200"/>
      <w:r>
        <w:rPr>
          <w:rFonts w:ascii="Times New Roman" w:hAnsi="Times New Roman" w:eastAsia="黑体" w:cs="Times New Roman"/>
          <w:b w:val="0"/>
          <w:bCs w:val="0"/>
          <w:sz w:val="30"/>
          <w:szCs w:val="32"/>
        </w:rPr>
        <w:t>安全合规遗留待确认项清单</w:t>
      </w:r>
      <w:bookmarkEnd w:id="109"/>
    </w:p>
    <w:tbl>
      <w:tblPr>
        <w:tblStyle w:val="38"/>
        <w:tblW w:w="9784" w:type="dxa"/>
        <w:jc w:val="center"/>
        <w:tblLayout w:type="autofit"/>
        <w:tblCellMar>
          <w:top w:w="0" w:type="dxa"/>
          <w:left w:w="108" w:type="dxa"/>
          <w:bottom w:w="0" w:type="dxa"/>
          <w:right w:w="108" w:type="dxa"/>
        </w:tblCellMar>
      </w:tblPr>
      <w:tblGrid>
        <w:gridCol w:w="3449"/>
        <w:gridCol w:w="2130"/>
        <w:gridCol w:w="4205"/>
      </w:tblGrid>
      <w:tr w14:paraId="0F8536A6">
        <w:tblPrEx>
          <w:tblCellMar>
            <w:top w:w="0" w:type="dxa"/>
            <w:left w:w="108" w:type="dxa"/>
            <w:bottom w:w="0" w:type="dxa"/>
            <w:right w:w="108" w:type="dxa"/>
          </w:tblCellMar>
        </w:tblPrEx>
        <w:trPr>
          <w:tblHeade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40990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事项</w:t>
            </w:r>
          </w:p>
        </w:tc>
        <w:tc>
          <w:tcPr>
            <w:tcW w:w="213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877A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责任方</w:t>
            </w:r>
          </w:p>
        </w:tc>
        <w:tc>
          <w:tcPr>
            <w:tcW w:w="420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B011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状态</w:t>
            </w:r>
          </w:p>
        </w:tc>
      </w:tr>
      <w:tr w14:paraId="42D2281A">
        <w:tblPrEx>
          <w:tblCellMar>
            <w:top w:w="0" w:type="dxa"/>
            <w:left w:w="108" w:type="dxa"/>
            <w:bottom w:w="0" w:type="dxa"/>
            <w:right w:w="108" w:type="dxa"/>
          </w:tblCellMar>
        </w:tblPrEx>
        <w:trP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1D8B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等保测评等级目标</w:t>
            </w:r>
          </w:p>
        </w:tc>
        <w:tc>
          <w:tcPr>
            <w:tcW w:w="21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7C10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信息安全合规组</w:t>
            </w:r>
          </w:p>
        </w:tc>
        <w:tc>
          <w:tcPr>
            <w:tcW w:w="42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A120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r>
      <w:tr w14:paraId="68F83CCA">
        <w:tblPrEx>
          <w:tblCellMar>
            <w:top w:w="0" w:type="dxa"/>
            <w:left w:w="108" w:type="dxa"/>
            <w:bottom w:w="0" w:type="dxa"/>
            <w:right w:w="108" w:type="dxa"/>
          </w:tblCellMar>
        </w:tblPrEx>
        <w:trP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C2B9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国密算法适配范围</w:t>
            </w:r>
          </w:p>
        </w:tc>
        <w:tc>
          <w:tcPr>
            <w:tcW w:w="21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93D9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信息安全合规组</w:t>
            </w:r>
          </w:p>
        </w:tc>
        <w:tc>
          <w:tcPr>
            <w:tcW w:w="4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BE28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r>
      <w:tr w14:paraId="0D925076">
        <w:tblPrEx>
          <w:tblCellMar>
            <w:top w:w="0" w:type="dxa"/>
            <w:left w:w="108" w:type="dxa"/>
            <w:bottom w:w="0" w:type="dxa"/>
            <w:right w:w="108" w:type="dxa"/>
          </w:tblCellMar>
        </w:tblPrEx>
        <w:trP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0917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数据出境审批路径</w:t>
            </w:r>
          </w:p>
        </w:tc>
        <w:tc>
          <w:tcPr>
            <w:tcW w:w="21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8A84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信息安全合规组</w:t>
            </w:r>
          </w:p>
        </w:tc>
        <w:tc>
          <w:tcPr>
            <w:tcW w:w="42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0D6E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已明确（信安合规前置网关 + 严格字段白名单，见第十章第二节）</w:t>
            </w:r>
          </w:p>
        </w:tc>
      </w:tr>
      <w:tr w14:paraId="16355E72">
        <w:tblPrEx>
          <w:tblCellMar>
            <w:top w:w="0" w:type="dxa"/>
            <w:left w:w="108" w:type="dxa"/>
            <w:bottom w:w="0" w:type="dxa"/>
            <w:right w:w="108" w:type="dxa"/>
          </w:tblCellMar>
        </w:tblPrEx>
        <w:trP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F700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GDPR 数据主体权利响应流程</w:t>
            </w:r>
          </w:p>
        </w:tc>
        <w:tc>
          <w:tcPr>
            <w:tcW w:w="21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CF9C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法务</w:t>
            </w:r>
          </w:p>
        </w:tc>
        <w:tc>
          <w:tcPr>
            <w:tcW w:w="4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8FB1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已明确（GDPR 最小必要 + 个人信息本地剥离，见第十章第二节）</w:t>
            </w:r>
          </w:p>
        </w:tc>
      </w:tr>
    </w:tbl>
    <w:p w14:paraId="5F2589ED">
      <w:pPr>
        <w:spacing w:after="60"/>
        <w:rPr>
          <w:rFonts w:hint="eastAsia" w:ascii="宋体" w:hAnsi="宋体" w:eastAsia="宋体" w:cs="宋体"/>
          <w:i w:val="0"/>
          <w:iCs w:val="0"/>
          <w:sz w:val="24"/>
          <w:szCs w:val="24"/>
        </w:rPr>
      </w:pPr>
    </w:p>
    <w:p w14:paraId="6C06710C">
      <w:pPr>
        <w:pStyle w:val="3"/>
        <w:numPr>
          <w:ilvl w:val="0"/>
          <w:numId w:val="7"/>
        </w:numPr>
        <w:ind w:left="0" w:leftChars="0" w:firstLine="0" w:firstLineChars="0"/>
        <w:rPr>
          <w:rFonts w:eastAsia="黑体"/>
          <w:b w:val="0"/>
          <w:bCs w:val="0"/>
          <w:sz w:val="32"/>
          <w:szCs w:val="44"/>
        </w:rPr>
      </w:pPr>
      <w:bookmarkStart w:id="110" w:name="_Toc1560"/>
      <w:r>
        <w:rPr>
          <w:rFonts w:ascii="Times New Roman" w:hAnsi="Times New Roman" w:eastAsia="黑体" w:cs="Times New Roman"/>
          <w:b w:val="0"/>
          <w:bCs w:val="0"/>
          <w:sz w:val="32"/>
          <w:szCs w:val="44"/>
        </w:rPr>
        <w:t>外部系统集成与数据采集点表</w:t>
      </w:r>
      <w:bookmarkEnd w:id="110"/>
    </w:p>
    <w:p w14:paraId="34955927">
      <w:pPr>
        <w:pStyle w:val="4"/>
        <w:numPr>
          <w:ilvl w:val="0"/>
          <w:numId w:val="244"/>
        </w:numPr>
        <w:topLinePunct w:val="0"/>
        <w:ind w:left="0" w:leftChars="0" w:firstLine="0" w:firstLineChars="0"/>
        <w:outlineLvl w:val="0"/>
        <w:rPr>
          <w:rFonts w:hint="eastAsia" w:eastAsia="黑体"/>
          <w:b w:val="0"/>
          <w:bCs w:val="0"/>
          <w:sz w:val="30"/>
          <w:szCs w:val="32"/>
        </w:rPr>
      </w:pPr>
      <w:bookmarkStart w:id="111" w:name="_Toc29044"/>
      <w:r>
        <w:rPr>
          <w:rFonts w:ascii="Times New Roman" w:hAnsi="Times New Roman" w:eastAsia="黑体" w:cs="Times New Roman"/>
          <w:b w:val="0"/>
          <w:bCs w:val="0"/>
          <w:sz w:val="30"/>
          <w:szCs w:val="32"/>
        </w:rPr>
        <w:t>集成接口</w:t>
      </w:r>
      <w:bookmarkEnd w:id="111"/>
    </w:p>
    <w:tbl>
      <w:tblPr>
        <w:tblStyle w:val="38"/>
        <w:tblW w:w="9454" w:type="dxa"/>
        <w:jc w:val="center"/>
        <w:tblLayout w:type="autofit"/>
        <w:tblCellMar>
          <w:top w:w="0" w:type="dxa"/>
          <w:left w:w="108" w:type="dxa"/>
          <w:bottom w:w="0" w:type="dxa"/>
          <w:right w:w="108" w:type="dxa"/>
        </w:tblCellMar>
      </w:tblPr>
      <w:tblGrid>
        <w:gridCol w:w="1513"/>
        <w:gridCol w:w="1364"/>
        <w:gridCol w:w="1307"/>
        <w:gridCol w:w="2006"/>
        <w:gridCol w:w="3264"/>
      </w:tblGrid>
      <w:tr w14:paraId="7035A91E">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2451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系统名称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D725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集成内容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5A9D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协议/方式</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1F919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同步频率</w:t>
            </w:r>
          </w:p>
        </w:tc>
        <w:tc>
          <w:tcPr>
            <w:tcW w:w="32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E6F00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异常降级策略</w:t>
            </w:r>
          </w:p>
        </w:tc>
      </w:tr>
      <w:tr w14:paraId="4CBC56A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B010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IoT 采集网关</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05D5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电表、流量计、变送器遥测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8BED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Modbus-TCP / MQTT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4DAD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分钟（云端汇聚）/ 1s~5s（特种设备透传）</w:t>
            </w:r>
          </w:p>
        </w:tc>
        <w:tc>
          <w:tcPr>
            <w:tcW w:w="32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BFBB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缓存快照 + 数据延迟标签</w:t>
            </w:r>
          </w:p>
        </w:tc>
      </w:tr>
      <w:tr w14:paraId="3E08FB2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B1EC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SAP / 用友 ERP</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9AB5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 清单、产值、财务电费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0444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OpenAPI 3.0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3117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定时同步</w:t>
            </w:r>
          </w:p>
        </w:tc>
        <w:tc>
          <w:tcPr>
            <w:tcW w:w="32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F6CE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E_EXT_ERP_BOM_TIMEOUT 降级本地缓存</w:t>
            </w:r>
          </w:p>
        </w:tc>
      </w:tr>
      <w:tr w14:paraId="1BBCD02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0716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 制造执行系统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9BBC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报工产量、工时、工序四元组</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5AE4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OpenAPI 3.0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FD62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定时同步</w:t>
            </w:r>
          </w:p>
        </w:tc>
        <w:tc>
          <w:tcPr>
            <w:tcW w:w="32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AACD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人工上传兜底（INV-FALLBACK）</w:t>
            </w:r>
          </w:p>
        </w:tc>
      </w:tr>
      <w:tr w14:paraId="1BB9DFE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694F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欧洲能源交易所 EEX</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1769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碳配额结算均价</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9A55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REST API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EF7E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小时级（建议）</w:t>
            </w:r>
          </w:p>
        </w:tc>
        <w:tc>
          <w:tcPr>
            <w:tcW w:w="32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D303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E_EXT_ETS_PRICE_STALE 标注时间戳</w:t>
            </w:r>
          </w:p>
        </w:tc>
      </w:tr>
      <w:tr w14:paraId="65E84F0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3199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因子库</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9725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跨境物料碳因子</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1883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License API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376A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按需检索</w:t>
            </w:r>
          </w:p>
        </w:tc>
        <w:tc>
          <w:tcPr>
            <w:tcW w:w="32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8AB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E_EXT_ECOINVENT_LICENSE 降级 CLCD</w:t>
            </w:r>
          </w:p>
        </w:tc>
      </w:tr>
      <w:tr w14:paraId="26CAF6E7">
        <w:tblPrEx>
          <w:tblCellMar>
            <w:top w:w="0" w:type="dxa"/>
            <w:left w:w="108" w:type="dxa"/>
            <w:bottom w:w="0" w:type="dxa"/>
            <w:right w:w="108" w:type="dxa"/>
          </w:tblCellMar>
        </w:tblPrEx>
        <w:trPr>
          <w:jc w:val="center"/>
        </w:trPr>
        <w:tc>
          <w:tcPr>
            <w:tcW w:w="151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7B4C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国家绿证平台</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70DB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绿证核销凭证</w:t>
            </w:r>
          </w:p>
        </w:tc>
        <w:tc>
          <w:tcPr>
            <w:tcW w:w="130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F921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文件导入</w:t>
            </w:r>
          </w:p>
        </w:tc>
        <w:tc>
          <w:tcPr>
            <w:tcW w:w="20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484C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w:t>
            </w:r>
          </w:p>
        </w:tc>
        <w:tc>
          <w:tcPr>
            <w:tcW w:w="32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E889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手工上传佐证</w:t>
            </w:r>
          </w:p>
        </w:tc>
      </w:tr>
    </w:tbl>
    <w:p w14:paraId="58F68849">
      <w:pPr>
        <w:pStyle w:val="4"/>
        <w:numPr>
          <w:ilvl w:val="0"/>
          <w:numId w:val="244"/>
        </w:numPr>
        <w:topLinePunct w:val="0"/>
        <w:ind w:left="0" w:leftChars="0" w:firstLine="0" w:firstLineChars="0"/>
        <w:outlineLvl w:val="0"/>
        <w:rPr>
          <w:rFonts w:hint="eastAsia" w:eastAsia="黑体"/>
          <w:b w:val="0"/>
          <w:bCs w:val="0"/>
          <w:sz w:val="30"/>
          <w:szCs w:val="32"/>
        </w:rPr>
      </w:pPr>
      <w:bookmarkStart w:id="112" w:name="_Toc20731"/>
      <w:r>
        <w:rPr>
          <w:rFonts w:ascii="Times New Roman" w:hAnsi="Times New Roman" w:eastAsia="黑体" w:cs="Times New Roman"/>
          <w:b w:val="0"/>
          <w:bCs w:val="0"/>
          <w:sz w:val="30"/>
          <w:szCs w:val="32"/>
        </w:rPr>
        <w:t>采集点表（核心点位）</w:t>
      </w:r>
      <w:bookmarkEnd w:id="112"/>
    </w:p>
    <w:tbl>
      <w:tblPr>
        <w:tblStyle w:val="38"/>
        <w:tblW w:w="9450" w:type="dxa"/>
        <w:jc w:val="center"/>
        <w:tblLayout w:type="autofit"/>
        <w:tblCellMar>
          <w:top w:w="0" w:type="dxa"/>
          <w:left w:w="108" w:type="dxa"/>
          <w:bottom w:w="0" w:type="dxa"/>
          <w:right w:w="108" w:type="dxa"/>
        </w:tblCellMar>
      </w:tblPr>
      <w:tblGrid>
        <w:gridCol w:w="630"/>
        <w:gridCol w:w="851"/>
        <w:gridCol w:w="2071"/>
        <w:gridCol w:w="1121"/>
        <w:gridCol w:w="1121"/>
        <w:gridCol w:w="3656"/>
      </w:tblGrid>
      <w:tr w14:paraId="175C2F8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794D90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BAB875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介质</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1198D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点位名称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3F3793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687124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6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D48AFF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采集频率（边端/云端）</w:t>
            </w:r>
          </w:p>
        </w:tc>
      </w:tr>
      <w:tr w14:paraId="1040FF8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FF06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CBA6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E0DD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D5D1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1C2E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3980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7ECE8A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0A3EB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4ECE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8B39D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三相电流</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73A3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B854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0EA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4D29F6A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894E4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59503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A2F06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总有功功率</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146F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0ABE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8389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6A5B6CD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80DF3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6F594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C22FF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A95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EFE75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cosφ</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F65B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4940F51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2E28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489C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8A9D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正向有功电能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8CE6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A39D6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7174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3C22967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7375D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32909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280FE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反向有功电能</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2885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89044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7297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3311454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63B2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008B9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4AA0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正向无功电能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BE09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E4D0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B5FF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13919CE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1C4A8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6A9EB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39733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反向无功电能</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5EF48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DD52F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16A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172E6F5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E088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8450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87DB2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193E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F9F25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D6A9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4FB788D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6E41D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637D6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EFDE6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累计流量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4D1D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8926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8CFF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08A8292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CAB9D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8081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B66D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E76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F8D81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D228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563C65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33EB8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C7603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781C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累计流量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4A53D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73AEB0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8107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229B729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9900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49260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631F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瞬时蒸汽流量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EC7A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395EA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4359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7446EF6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51A5F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5C1915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6C13D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供汽管道工作压力</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289C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1730D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DD6A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2D009624">
        <w:tblPrEx>
          <w:tblCellMar>
            <w:top w:w="0" w:type="dxa"/>
            <w:left w:w="108" w:type="dxa"/>
            <w:bottom w:w="0" w:type="dxa"/>
            <w:right w:w="108" w:type="dxa"/>
          </w:tblCellMar>
        </w:tblPrEx>
        <w:trPr>
          <w:jc w:val="center"/>
        </w:trPr>
        <w:tc>
          <w:tcPr>
            <w:tcW w:w="6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69F04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w:t>
            </w:r>
          </w:p>
        </w:tc>
        <w:tc>
          <w:tcPr>
            <w:tcW w:w="85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CB27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w:t>
            </w:r>
          </w:p>
        </w:tc>
        <w:tc>
          <w:tcPr>
            <w:tcW w:w="20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A2628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供汽温度</w:t>
            </w:r>
          </w:p>
        </w:tc>
        <w:tc>
          <w:tcPr>
            <w:tcW w:w="11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79C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1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BF82F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901B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bl>
    <w:p w14:paraId="0505B9F6">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采集频率说明：边端 1s~5s 高频采集仅用于本地滑动窗口越限判定与断网缓存，不上云全量透传；云端常规汇聚频率统一为 15 分钟等间隔打点，全集团 15 大园区表计不再全量秒级上报，以规避带宽瓶颈与数仓膨胀。32 台特种工艺设备试验期可动态开启 1s~5s 高频透传（见第二章「用能在线监测」）。</w:t>
      </w:r>
    </w:p>
    <w:p w14:paraId="18DCFF7C">
      <w:pPr>
        <w:pStyle w:val="4"/>
        <w:numPr>
          <w:ilvl w:val="0"/>
          <w:numId w:val="244"/>
        </w:numPr>
        <w:topLinePunct w:val="0"/>
        <w:ind w:left="0" w:leftChars="0" w:firstLine="0" w:firstLineChars="0"/>
        <w:outlineLvl w:val="0"/>
        <w:rPr>
          <w:rFonts w:hint="eastAsia" w:eastAsia="黑体"/>
          <w:b w:val="0"/>
          <w:bCs w:val="0"/>
          <w:sz w:val="30"/>
          <w:szCs w:val="32"/>
        </w:rPr>
      </w:pPr>
      <w:bookmarkStart w:id="113" w:name="_Toc29125"/>
      <w:r>
        <w:rPr>
          <w:rFonts w:ascii="Times New Roman" w:hAnsi="Times New Roman" w:eastAsia="黑体" w:cs="Times New Roman"/>
          <w:b w:val="0"/>
          <w:bCs w:val="0"/>
          <w:sz w:val="30"/>
          <w:szCs w:val="32"/>
        </w:rPr>
        <w:t>外部数据源与授权</w:t>
      </w:r>
      <w:bookmarkEnd w:id="113"/>
    </w:p>
    <w:tbl>
      <w:tblPr>
        <w:tblStyle w:val="38"/>
        <w:tblW w:w="9744" w:type="dxa"/>
        <w:jc w:val="center"/>
        <w:tblLayout w:type="autofit"/>
        <w:tblCellMar>
          <w:top w:w="0" w:type="dxa"/>
          <w:left w:w="108" w:type="dxa"/>
          <w:bottom w:w="0" w:type="dxa"/>
          <w:right w:w="108" w:type="dxa"/>
        </w:tblCellMar>
      </w:tblPr>
      <w:tblGrid>
        <w:gridCol w:w="3216"/>
        <w:gridCol w:w="1776"/>
        <w:gridCol w:w="1536"/>
        <w:gridCol w:w="3216"/>
      </w:tblGrid>
      <w:tr w14:paraId="16B270B2">
        <w:tblPrEx>
          <w:tblCellMar>
            <w:top w:w="0" w:type="dxa"/>
            <w:left w:w="108" w:type="dxa"/>
            <w:bottom w:w="0" w:type="dxa"/>
            <w:right w:w="108" w:type="dxa"/>
          </w:tblCellMar>
        </w:tblPrEx>
        <w:trPr>
          <w:tblHeade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9FA64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数据源</w:t>
            </w:r>
          </w:p>
        </w:tc>
        <w:tc>
          <w:tcPr>
            <w:tcW w:w="17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F4E4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授权方式</w:t>
            </w:r>
          </w:p>
        </w:tc>
        <w:tc>
          <w:tcPr>
            <w:tcW w:w="15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5BEC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授权状态</w:t>
            </w:r>
          </w:p>
        </w:tc>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F31E0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备注</w:t>
            </w:r>
          </w:p>
        </w:tc>
      </w:tr>
      <w:tr w14:paraId="6B00D314">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25AE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国家自然资源部标准地图服务</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DE17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w:t>
            </w:r>
          </w:p>
        </w:tc>
        <w:tc>
          <w:tcPr>
            <w:tcW w:w="1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B07B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已具备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3D1C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大屏底图，审图号须常驻展示</w:t>
            </w:r>
          </w:p>
        </w:tc>
      </w:tr>
      <w:tr w14:paraId="76F2FFD7">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D402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v3.8</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2937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商业 License</w:t>
            </w:r>
          </w:p>
        </w:tc>
        <w:tc>
          <w:tcPr>
            <w:tcW w:w="1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4B9F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59C9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过期自动降级 CLCD</w:t>
            </w:r>
          </w:p>
        </w:tc>
      </w:tr>
      <w:tr w14:paraId="4ADE44B5">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AC9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CLCD 中国生命周期数据库</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8001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商业授权</w:t>
            </w:r>
          </w:p>
        </w:tc>
        <w:tc>
          <w:tcPr>
            <w:tcW w:w="1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4DF1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F151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本土近似因子来源</w:t>
            </w:r>
          </w:p>
        </w:tc>
      </w:tr>
      <w:tr w14:paraId="745E9AF2">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67F0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欧洲能源交易所 EEX</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52D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公开数据接口</w:t>
            </w:r>
          </w:p>
        </w:tc>
        <w:tc>
          <w:tcPr>
            <w:tcW w:w="1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25B3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C8B9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碳价来源</w:t>
            </w:r>
          </w:p>
        </w:tc>
      </w:tr>
    </w:tbl>
    <w:p w14:paraId="6ECCB9A2">
      <w:pPr>
        <w:spacing w:after="60"/>
        <w:rPr>
          <w:rFonts w:hint="eastAsia" w:ascii="宋体" w:hAnsi="宋体" w:eastAsia="宋体" w:cs="宋体"/>
          <w:i w:val="0"/>
          <w:iCs w:val="0"/>
          <w:sz w:val="24"/>
          <w:szCs w:val="24"/>
        </w:rPr>
      </w:pPr>
    </w:p>
    <w:p w14:paraId="6E9EB342">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20641015">
      <w:pPr>
        <w:pStyle w:val="3"/>
        <w:numPr>
          <w:ilvl w:val="0"/>
          <w:numId w:val="7"/>
        </w:numPr>
        <w:ind w:left="0" w:leftChars="0" w:firstLine="0" w:firstLineChars="0"/>
        <w:rPr>
          <w:rFonts w:eastAsia="黑体"/>
          <w:b w:val="0"/>
          <w:bCs w:val="0"/>
          <w:sz w:val="32"/>
          <w:szCs w:val="44"/>
        </w:rPr>
      </w:pPr>
      <w:bookmarkStart w:id="114" w:name="_Toc9404"/>
      <w:r>
        <w:rPr>
          <w:rFonts w:ascii="Times New Roman" w:hAnsi="Times New Roman" w:eastAsia="黑体" w:cs="Times New Roman"/>
          <w:b w:val="0"/>
          <w:bCs w:val="0"/>
          <w:sz w:val="32"/>
          <w:szCs w:val="44"/>
        </w:rPr>
        <w:t>测试与验收基线</w:t>
      </w:r>
      <w:bookmarkEnd w:id="114"/>
    </w:p>
    <w:p w14:paraId="015379B9">
      <w:pPr>
        <w:pStyle w:val="4"/>
        <w:numPr>
          <w:ilvl w:val="0"/>
          <w:numId w:val="245"/>
        </w:numPr>
        <w:topLinePunct w:val="0"/>
        <w:ind w:left="0" w:leftChars="0" w:firstLine="0" w:firstLineChars="0"/>
        <w:outlineLvl w:val="0"/>
        <w:rPr>
          <w:rFonts w:hint="eastAsia" w:eastAsia="黑体"/>
          <w:b w:val="0"/>
          <w:bCs w:val="0"/>
          <w:sz w:val="30"/>
          <w:szCs w:val="32"/>
        </w:rPr>
      </w:pPr>
      <w:bookmarkStart w:id="115" w:name="_Toc4485"/>
      <w:r>
        <w:rPr>
          <w:rFonts w:ascii="Times New Roman" w:hAnsi="Times New Roman" w:eastAsia="黑体" w:cs="Times New Roman"/>
          <w:b w:val="0"/>
          <w:bCs w:val="0"/>
          <w:sz w:val="30"/>
          <w:szCs w:val="32"/>
        </w:rPr>
        <w:t>验收准则</w:t>
      </w:r>
      <w:bookmarkEnd w:id="115"/>
    </w:p>
    <w:p w14:paraId="77BD826C">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全平台所有功能模块的验收均须满足以下基础准则：</w:t>
      </w:r>
    </w:p>
    <w:p w14:paraId="6500A6A8">
      <w:pPr>
        <w:pStyle w:val="19"/>
        <w:widowControl/>
        <w:numPr>
          <w:ilvl w:val="0"/>
          <w:numId w:val="24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结构完整性</w:t>
      </w:r>
      <w:r>
        <w:rPr>
          <w:rFonts w:ascii="Times New Roman" w:hAnsi="Times New Roman" w:eastAsia="宋体" w:cs="Times New Roman"/>
          <w:i w:val="0"/>
          <w:color w:val="1F2937"/>
          <w:sz w:val="24"/>
          <w:szCs w:val="24"/>
        </w:rPr>
        <w:t>：每个模块文档均含八段结构，缺任一段视为未完成。</w:t>
      </w:r>
    </w:p>
    <w:p w14:paraId="4C584E69">
      <w:pPr>
        <w:pStyle w:val="19"/>
        <w:widowControl/>
        <w:numPr>
          <w:ilvl w:val="0"/>
          <w:numId w:val="24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字段级可测</w:t>
      </w:r>
      <w:r>
        <w:rPr>
          <w:rFonts w:ascii="Times New Roman" w:hAnsi="Times New Roman" w:eastAsia="宋体" w:cs="Times New Roman"/>
          <w:i w:val="0"/>
          <w:color w:val="1F2937"/>
          <w:sz w:val="24"/>
          <w:szCs w:val="24"/>
        </w:rPr>
        <w:t>：字段字典中每一字段均有明确的校验与约束规则，无规则者不得进入测试。</w:t>
      </w:r>
    </w:p>
    <w:p w14:paraId="120F460A">
      <w:pPr>
        <w:pStyle w:val="19"/>
        <w:widowControl/>
        <w:numPr>
          <w:ilvl w:val="0"/>
          <w:numId w:val="24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公式一致性</w:t>
      </w:r>
      <w:r>
        <w:rPr>
          <w:rFonts w:ascii="Times New Roman" w:hAnsi="Times New Roman" w:eastAsia="宋体" w:cs="Times New Roman"/>
          <w:i w:val="0"/>
          <w:color w:val="1F2937"/>
          <w:sz w:val="24"/>
          <w:szCs w:val="24"/>
        </w:rPr>
        <w:t>：文档所载公式与实现代码一致，抽样比对差异为 0。</w:t>
      </w:r>
    </w:p>
    <w:p w14:paraId="101A86B5">
      <w:pPr>
        <w:pStyle w:val="19"/>
        <w:widowControl/>
        <w:numPr>
          <w:ilvl w:val="0"/>
          <w:numId w:val="24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异常可复现</w:t>
      </w:r>
      <w:r>
        <w:rPr>
          <w:rFonts w:ascii="Times New Roman" w:hAnsi="Times New Roman" w:eastAsia="宋体" w:cs="Times New Roman"/>
          <w:i w:val="0"/>
          <w:color w:val="1F2937"/>
          <w:sz w:val="24"/>
          <w:szCs w:val="24"/>
        </w:rPr>
        <w:t>：文档所载每个错误码均可通过对应操作稳定复现。</w:t>
      </w:r>
    </w:p>
    <w:p w14:paraId="428DB858">
      <w:pPr>
        <w:pStyle w:val="19"/>
        <w:widowControl/>
        <w:numPr>
          <w:ilvl w:val="0"/>
          <w:numId w:val="24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客观中立性</w:t>
      </w:r>
      <w:r>
        <w:rPr>
          <w:rFonts w:ascii="Times New Roman" w:hAnsi="Times New Roman" w:eastAsia="宋体" w:cs="Times New Roman"/>
          <w:i w:val="0"/>
          <w:color w:val="1F2937"/>
          <w:sz w:val="24"/>
          <w:szCs w:val="24"/>
        </w:rPr>
        <w:t>：全系统文字零主观定性词汇。</w:t>
      </w:r>
    </w:p>
    <w:p w14:paraId="2087EA42">
      <w:pPr>
        <w:pStyle w:val="19"/>
        <w:widowControl/>
        <w:numPr>
          <w:ilvl w:val="0"/>
          <w:numId w:val="24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除零零异常</w:t>
      </w:r>
      <w:r>
        <w:rPr>
          <w:rFonts w:ascii="Times New Roman" w:hAnsi="Times New Roman" w:eastAsia="宋体" w:cs="Times New Roman"/>
          <w:i w:val="0"/>
          <w:color w:val="1F2937"/>
          <w:sz w:val="24"/>
          <w:szCs w:val="24"/>
        </w:rPr>
        <w:t xml:space="preserve">：任何分母为 0 场景均输出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，无 NaN / Infinity / 白屏。</w:t>
      </w:r>
    </w:p>
    <w:p w14:paraId="0062C049">
      <w:pPr>
        <w:pStyle w:val="4"/>
        <w:numPr>
          <w:ilvl w:val="0"/>
          <w:numId w:val="245"/>
        </w:numPr>
        <w:topLinePunct w:val="0"/>
        <w:ind w:left="0" w:leftChars="0" w:firstLine="0" w:firstLineChars="0"/>
        <w:outlineLvl w:val="0"/>
        <w:rPr>
          <w:rFonts w:hint="eastAsia" w:eastAsia="黑体"/>
          <w:b w:val="0"/>
          <w:bCs w:val="0"/>
          <w:sz w:val="30"/>
          <w:szCs w:val="32"/>
        </w:rPr>
      </w:pPr>
      <w:bookmarkStart w:id="116" w:name="_Toc10509"/>
      <w:r>
        <w:rPr>
          <w:rFonts w:ascii="Times New Roman" w:hAnsi="Times New Roman" w:eastAsia="黑体" w:cs="Times New Roman"/>
          <w:b w:val="0"/>
          <w:bCs w:val="0"/>
          <w:sz w:val="30"/>
          <w:szCs w:val="32"/>
        </w:rPr>
        <w:t>破坏性测试矩阵（EQP / BVA）</w:t>
      </w:r>
      <w:bookmarkEnd w:id="116"/>
    </w:p>
    <w:tbl>
      <w:tblPr>
        <w:tblStyle w:val="38"/>
        <w:tblW w:w="9454" w:type="dxa"/>
        <w:jc w:val="center"/>
        <w:tblLayout w:type="autofit"/>
        <w:tblCellMar>
          <w:top w:w="0" w:type="dxa"/>
          <w:left w:w="108" w:type="dxa"/>
          <w:bottom w:w="0" w:type="dxa"/>
          <w:right w:w="108" w:type="dxa"/>
        </w:tblCellMar>
      </w:tblPr>
      <w:tblGrid>
        <w:gridCol w:w="1882"/>
        <w:gridCol w:w="2564"/>
        <w:gridCol w:w="2472"/>
        <w:gridCol w:w="2536"/>
      </w:tblGrid>
      <w:tr w14:paraId="34FC6349">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CC90E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测试类别</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55AF1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测试方法</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43DB0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覆盖范围</w:t>
            </w:r>
          </w:p>
        </w:tc>
        <w:tc>
          <w:tcPr>
            <w:tcW w:w="25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5C5A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通过标准</w:t>
            </w:r>
          </w:p>
        </w:tc>
      </w:tr>
      <w:tr w14:paraId="04D32AE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C331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等价类划分（EQP）</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30C8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按有效/无效等价类构造用例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EC89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全部数值型输入字段</w:t>
            </w:r>
          </w:p>
        </w:tc>
        <w:tc>
          <w:tcPr>
            <w:tcW w:w="2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A636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无效等价类 100% 被拦截</w:t>
            </w:r>
          </w:p>
        </w:tc>
      </w:tr>
      <w:tr w14:paraId="4D22846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3365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边界值分析（BVA）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B164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取边界值、边界±1、极值</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A083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产量、产值、单价、系数</w:t>
            </w:r>
          </w:p>
        </w:tc>
        <w:tc>
          <w:tcPr>
            <w:tcW w:w="2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9610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边界行为与文档一致</w:t>
            </w:r>
          </w:p>
        </w:tc>
      </w:tr>
      <w:tr w14:paraId="4F8AD48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1D9D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极限除零测试</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BBA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分母直接置 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05A3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全部单耗、占比、强度指标</w:t>
            </w:r>
          </w:p>
        </w:tc>
        <w:tc>
          <w:tcPr>
            <w:tcW w:w="2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EA50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统一显示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，无异常抛出</w:t>
            </w:r>
          </w:p>
        </w:tc>
      </w:tr>
      <w:tr w14:paraId="443B709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0911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并发防刷测试</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A90C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100ms 内连续提交</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FE6D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全部写操作接口</w:t>
            </w:r>
          </w:p>
        </w:tc>
        <w:tc>
          <w:tcPr>
            <w:tcW w:w="2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20B8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仅首笔入库</w:t>
            </w:r>
          </w:p>
        </w:tc>
      </w:tr>
      <w:tr w14:paraId="01A89A3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BB02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越权穿透测试</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AB93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低权限角色访问高密级数据</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D177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L2~L4 全量字段</w:t>
            </w:r>
          </w:p>
        </w:tc>
        <w:tc>
          <w:tcPr>
            <w:tcW w:w="2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2D2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 拦截并留痕</w:t>
            </w:r>
          </w:p>
        </w:tc>
      </w:tr>
      <w:tr w14:paraId="00B693B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9E5F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断网容灾测试</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3DAB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混沌工程注入网络故障</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7F4C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采集链路与边缘一体机</w:t>
            </w:r>
          </w:p>
        </w:tc>
        <w:tc>
          <w:tcPr>
            <w:tcW w:w="2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75DB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优雅降级 + 恢复后自动补传</w:t>
            </w:r>
          </w:p>
        </w:tc>
      </w:tr>
      <w:tr w14:paraId="7B9229E7">
        <w:tblPrEx>
          <w:tblCellMar>
            <w:top w:w="0" w:type="dxa"/>
            <w:left w:w="108" w:type="dxa"/>
            <w:bottom w:w="0" w:type="dxa"/>
            <w:right w:w="108" w:type="dxa"/>
          </w:tblCellMar>
        </w:tblPrEx>
        <w:trPr>
          <w:jc w:val="center"/>
        </w:trPr>
        <w:tc>
          <w:tcPr>
            <w:tcW w:w="1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F512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篡改校验测试</w:t>
            </w:r>
          </w:p>
        </w:tc>
        <w:tc>
          <w:tcPr>
            <w:tcW w:w="25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019C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篡改报告内容后校验哈希</w:t>
            </w:r>
          </w:p>
        </w:tc>
        <w:tc>
          <w:tcPr>
            <w:tcW w:w="24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7113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报告、CBAM 申报包</w:t>
            </w:r>
          </w:p>
        </w:tc>
        <w:tc>
          <w:tcPr>
            <w:tcW w:w="2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DD4F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校验失败并锁定单据</w:t>
            </w:r>
          </w:p>
        </w:tc>
      </w:tr>
    </w:tbl>
    <w:p w14:paraId="3AB5F67C">
      <w:pPr>
        <w:pStyle w:val="4"/>
        <w:numPr>
          <w:ilvl w:val="0"/>
          <w:numId w:val="245"/>
        </w:numPr>
        <w:topLinePunct w:val="0"/>
        <w:ind w:left="0" w:leftChars="0" w:firstLine="0" w:firstLineChars="0"/>
        <w:outlineLvl w:val="0"/>
        <w:rPr>
          <w:rFonts w:hint="eastAsia" w:eastAsia="黑体"/>
          <w:b w:val="0"/>
          <w:bCs w:val="0"/>
          <w:sz w:val="30"/>
          <w:szCs w:val="32"/>
        </w:rPr>
      </w:pPr>
      <w:bookmarkStart w:id="117" w:name="_Toc15357"/>
      <w:r>
        <w:rPr>
          <w:rFonts w:ascii="Times New Roman" w:hAnsi="Times New Roman" w:eastAsia="黑体" w:cs="Times New Roman"/>
          <w:b w:val="0"/>
          <w:bCs w:val="0"/>
          <w:sz w:val="30"/>
          <w:szCs w:val="32"/>
        </w:rPr>
        <w:t>全系统验收基线</w:t>
      </w:r>
      <w:bookmarkEnd w:id="117"/>
    </w:p>
    <w:tbl>
      <w:tblPr>
        <w:tblStyle w:val="38"/>
        <w:tblW w:w="9784" w:type="dxa"/>
        <w:jc w:val="center"/>
        <w:tblLayout w:type="autofit"/>
        <w:tblCellMar>
          <w:top w:w="0" w:type="dxa"/>
          <w:left w:w="108" w:type="dxa"/>
          <w:bottom w:w="0" w:type="dxa"/>
          <w:right w:w="108" w:type="dxa"/>
        </w:tblCellMar>
      </w:tblPr>
      <w:tblGrid>
        <w:gridCol w:w="1930"/>
        <w:gridCol w:w="5407"/>
        <w:gridCol w:w="2447"/>
      </w:tblGrid>
      <w:tr w14:paraId="3F8698C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ECF966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基线项</w:t>
            </w:r>
          </w:p>
        </w:tc>
        <w:tc>
          <w:tcPr>
            <w:tcW w:w="540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3E344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基线要求</w:t>
            </w:r>
          </w:p>
        </w:tc>
        <w:tc>
          <w:tcPr>
            <w:tcW w:w="244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3F678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验证方式</w:t>
            </w:r>
          </w:p>
        </w:tc>
      </w:tr>
      <w:tr w14:paraId="0DB81EB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80FA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模块完整率</w:t>
            </w:r>
          </w:p>
        </w:tc>
        <w:tc>
          <w:tcPr>
            <w:tcW w:w="540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55A8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 22 个 + 第三章 16 个模块 100% 覆盖</w:t>
            </w:r>
          </w:p>
        </w:tc>
        <w:tc>
          <w:tcPr>
            <w:tcW w:w="24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2EA1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模块清单比对</w:t>
            </w:r>
          </w:p>
        </w:tc>
      </w:tr>
      <w:tr w14:paraId="1AB805C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EAF6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八段完整率</w:t>
            </w:r>
          </w:p>
        </w:tc>
        <w:tc>
          <w:tcPr>
            <w:tcW w:w="540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6575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 模块含八段结构</w:t>
            </w:r>
          </w:p>
        </w:tc>
        <w:tc>
          <w:tcPr>
            <w:tcW w:w="244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C983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自动化结构扫描</w:t>
            </w:r>
          </w:p>
        </w:tc>
      </w:tr>
      <w:tr w14:paraId="5AECC13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AA3131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Gherkin 覆盖率</w:t>
            </w:r>
          </w:p>
        </w:tc>
        <w:tc>
          <w:tcPr>
            <w:tcW w:w="540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CA0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每个模块 ≥ 3 条可自动化验收场景</w:t>
            </w:r>
          </w:p>
        </w:tc>
        <w:tc>
          <w:tcPr>
            <w:tcW w:w="24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4ACD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用例库统计</w:t>
            </w:r>
          </w:p>
        </w:tc>
      </w:tr>
      <w:tr w14:paraId="42BEAE6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1003F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错误码覆盖</w:t>
            </w:r>
          </w:p>
        </w:tc>
        <w:tc>
          <w:tcPr>
            <w:tcW w:w="540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6373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24 项标准错误码全部有对应验收用例</w:t>
            </w:r>
          </w:p>
        </w:tc>
        <w:tc>
          <w:tcPr>
            <w:tcW w:w="244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E4EA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用例库比对</w:t>
            </w:r>
          </w:p>
        </w:tc>
      </w:tr>
      <w:tr w14:paraId="29C6FC87">
        <w:tblPrEx>
          <w:tblCellMar>
            <w:top w:w="0" w:type="dxa"/>
            <w:left w:w="108" w:type="dxa"/>
            <w:bottom w:w="0" w:type="dxa"/>
            <w:right w:w="108" w:type="dxa"/>
          </w:tblCellMar>
        </w:tblPrEx>
        <w:trPr>
          <w:jc w:val="center"/>
        </w:trPr>
        <w:tc>
          <w:tcPr>
            <w:tcW w:w="1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A3C9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双端同构率</w:t>
            </w:r>
          </w:p>
        </w:tc>
        <w:tc>
          <w:tcPr>
            <w:tcW w:w="540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151E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暗黑端与浅色端功能与样式 100% 一致</w:t>
            </w:r>
          </w:p>
        </w:tc>
        <w:tc>
          <w:tcPr>
            <w:tcW w:w="24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3F28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自动化对标 76 路由</w:t>
            </w:r>
          </w:p>
        </w:tc>
      </w:tr>
    </w:tbl>
    <w:p w14:paraId="52B10DB0">
      <w:pPr>
        <w:pStyle w:val="37"/>
        <w:widowControl/>
        <w:outlineLvl w:val="0"/>
        <w:rPr>
          <w:rFonts w:ascii="Times New Roman" w:hAnsi="Times New Roman" w:eastAsia="黑体" w:cs="Times New Roman"/>
          <w:b w:val="0"/>
          <w:bCs w:val="0"/>
          <w:sz w:val="36"/>
          <w:szCs w:val="24"/>
        </w:rPr>
      </w:pPr>
      <w:bookmarkStart w:id="118" w:name="_Toc23816"/>
      <w:r>
        <w:rPr>
          <w:rFonts w:ascii="Times New Roman" w:hAnsi="Times New Roman" w:eastAsia="黑体" w:cs="Times New Roman"/>
          <w:b w:val="0"/>
          <w:bCs w:val="0"/>
          <w:sz w:val="36"/>
          <w:szCs w:val="24"/>
        </w:rPr>
        <w:t>附录 A：现行国标 / 行标 / 欧标 法规映射表</w:t>
      </w:r>
      <w:bookmarkEnd w:id="118"/>
    </w:p>
    <w:tbl>
      <w:tblPr>
        <w:tblStyle w:val="38"/>
        <w:tblW w:w="9454" w:type="dxa"/>
        <w:jc w:val="center"/>
        <w:tblLayout w:type="autofit"/>
        <w:tblCellMar>
          <w:top w:w="0" w:type="dxa"/>
          <w:left w:w="108" w:type="dxa"/>
          <w:bottom w:w="0" w:type="dxa"/>
          <w:right w:w="108" w:type="dxa"/>
        </w:tblCellMar>
      </w:tblPr>
      <w:tblGrid>
        <w:gridCol w:w="2044"/>
        <w:gridCol w:w="3919"/>
        <w:gridCol w:w="1685"/>
        <w:gridCol w:w="1806"/>
      </w:tblGrid>
      <w:tr w14:paraId="49B771B6">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76A3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标准编号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76C4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6F711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适用范围</w:t>
            </w:r>
          </w:p>
        </w:tc>
        <w:tc>
          <w:tcPr>
            <w:tcW w:w="18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56823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引用章节</w:t>
            </w:r>
          </w:p>
        </w:tc>
      </w:tr>
      <w:tr w14:paraId="1A79BBB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2A1F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GB/T 2589-2020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94BB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综合能耗计算通则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866C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折标准煤当量/等价系数</w:t>
            </w:r>
          </w:p>
        </w:tc>
        <w:tc>
          <w:tcPr>
            <w:tcW w:w="18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9965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第二章二/三/五、第三章六</w:t>
            </w:r>
          </w:p>
        </w:tc>
      </w:tr>
      <w:tr w14:paraId="40B0384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FCE3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GB 17167</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5A29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用能单位能源计量器具配备和管理通则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B5E2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计量器具配备与分级</w:t>
            </w:r>
          </w:p>
        </w:tc>
        <w:tc>
          <w:tcPr>
            <w:tcW w:w="18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0E3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第二章二、第十章二</w:t>
            </w:r>
          </w:p>
        </w:tc>
      </w:tr>
      <w:tr w14:paraId="1D94FB7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615E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GB/T 23331 / ISO 50001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FDD5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能源管理体系要求</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CDC4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能效自评估与体系认证</w:t>
            </w:r>
          </w:p>
        </w:tc>
        <w:tc>
          <w:tcPr>
            <w:tcW w:w="18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96DA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第二章三、四</w:t>
            </w:r>
          </w:p>
        </w:tc>
      </w:tr>
      <w:tr w14:paraId="4E54DEE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9A1C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14067:2018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8EB3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温室气体—产品碳足迹—量化要求和指南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127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产品碳足迹核算与报告</w:t>
            </w:r>
          </w:p>
        </w:tc>
        <w:tc>
          <w:tcPr>
            <w:tcW w:w="18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DED8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w:t>
            </w:r>
          </w:p>
        </w:tc>
      </w:tr>
      <w:tr w14:paraId="1AEB438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7B1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14064-1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62E8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温室气体—第 1 部分：组织层次温室气体排放和清除的量化与报告</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356C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组织碳盘查</w:t>
            </w:r>
          </w:p>
        </w:tc>
        <w:tc>
          <w:tcPr>
            <w:tcW w:w="18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6F7B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第二章四、第三章三</w:t>
            </w:r>
          </w:p>
        </w:tc>
      </w:tr>
      <w:tr w14:paraId="02A58E1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2DA5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GHG Protocol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A18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温室气体核算体系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A076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1/2/3 划分</w:t>
            </w:r>
          </w:p>
        </w:tc>
        <w:tc>
          <w:tcPr>
            <w:tcW w:w="18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9687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第二章二、三</w:t>
            </w:r>
          </w:p>
        </w:tc>
      </w:tr>
      <w:tr w14:paraId="51D2984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45DC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EU 2023/956</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C749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欧盟碳边境调节机制条例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49C6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申报与关税测算</w:t>
            </w:r>
          </w:p>
        </w:tc>
        <w:tc>
          <w:tcPr>
            <w:tcW w:w="18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6581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第三章四</w:t>
            </w:r>
          </w:p>
        </w:tc>
      </w:tr>
      <w:tr w14:paraId="267AC463">
        <w:tblPrEx>
          <w:tblCellMar>
            <w:top w:w="0" w:type="dxa"/>
            <w:left w:w="108" w:type="dxa"/>
            <w:bottom w:w="0" w:type="dxa"/>
            <w:right w:w="108" w:type="dxa"/>
          </w:tblCellMar>
        </w:tblPrEx>
        <w:trPr>
          <w:jc w:val="center"/>
        </w:trPr>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C3C1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IPMVP</w:t>
            </w:r>
          </w:p>
        </w:tc>
        <w:tc>
          <w:tcPr>
            <w:tcW w:w="39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9587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国际节能量测量与验证规程</w:t>
            </w:r>
          </w:p>
        </w:tc>
        <w:tc>
          <w:tcPr>
            <w:tcW w:w="16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CB47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节能技改节能量核算</w:t>
            </w:r>
          </w:p>
        </w:tc>
        <w:tc>
          <w:tcPr>
            <w:tcW w:w="18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2671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w:t>
            </w:r>
          </w:p>
        </w:tc>
      </w:tr>
    </w:tbl>
    <w:p w14:paraId="26C6D606">
      <w:pPr>
        <w:pStyle w:val="37"/>
        <w:widowControl/>
        <w:rPr>
          <w:rFonts w:ascii="Times New Roman" w:hAnsi="Times New Roman" w:eastAsia="黑体" w:cs="Times New Roman"/>
          <w:b w:val="0"/>
          <w:bCs w:val="0"/>
          <w:sz w:val="36"/>
          <w:szCs w:val="24"/>
        </w:rPr>
      </w:pPr>
    </w:p>
    <w:p w14:paraId="2B0D1813">
      <w:pPr>
        <w:pStyle w:val="37"/>
        <w:widowControl/>
        <w:outlineLvl w:val="0"/>
        <w:rPr>
          <w:rFonts w:ascii="Times New Roman" w:hAnsi="Times New Roman" w:eastAsia="黑体" w:cs="Times New Roman"/>
          <w:b w:val="0"/>
          <w:bCs w:val="0"/>
          <w:sz w:val="36"/>
          <w:szCs w:val="24"/>
        </w:rPr>
      </w:pPr>
      <w:bookmarkStart w:id="119" w:name="_Toc30980"/>
      <w:r>
        <w:rPr>
          <w:rFonts w:ascii="Times New Roman" w:hAnsi="Times New Roman" w:eastAsia="黑体" w:cs="Times New Roman"/>
          <w:b w:val="0"/>
          <w:bCs w:val="0"/>
          <w:sz w:val="36"/>
          <w:szCs w:val="24"/>
        </w:rPr>
        <w:t>附录 B：反模式与反例对照治理清单</w:t>
      </w:r>
      <w:bookmarkEnd w:id="119"/>
    </w:p>
    <w:tbl>
      <w:tblPr>
        <w:tblStyle w:val="38"/>
        <w:tblW w:w="9784" w:type="dxa"/>
        <w:jc w:val="center"/>
        <w:tblLayout w:type="autofit"/>
        <w:tblCellMar>
          <w:top w:w="0" w:type="dxa"/>
          <w:left w:w="108" w:type="dxa"/>
          <w:bottom w:w="0" w:type="dxa"/>
          <w:right w:w="108" w:type="dxa"/>
        </w:tblCellMar>
      </w:tblPr>
      <w:tblGrid>
        <w:gridCol w:w="921"/>
        <w:gridCol w:w="4549"/>
        <w:gridCol w:w="4314"/>
      </w:tblGrid>
      <w:tr w14:paraId="08C0CBE8">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71873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454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444E2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严禁反模式</w:t>
            </w:r>
          </w:p>
        </w:tc>
        <w:tc>
          <w:tcPr>
            <w:tcW w:w="431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DD29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正向标准做法</w:t>
            </w:r>
          </w:p>
        </w:tc>
      </w:tr>
      <w:tr w14:paraId="03F0CBC7">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62B0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44DC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跨产业单耗混编同一统计列</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AFFC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变压器与线缆单耗按量纲分列，独立区块呈现</w:t>
            </w:r>
          </w:p>
        </w:tc>
      </w:tr>
      <w:tr w14:paraId="6C31CFED">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2C91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1018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各下级占比直接求算术平均</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6290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汇总分子分母后重新计算占比</w:t>
            </w:r>
          </w:p>
        </w:tc>
      </w:tr>
      <w:tr w14:paraId="6BC9104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ACA2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B520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分母为 0 时显示 NaN / Infinity / 白屏</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9C3C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统一安全兜底显示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 xml:space="preserve"> 并悬停友好说明</w:t>
            </w:r>
          </w:p>
        </w:tc>
      </w:tr>
      <w:tr w14:paraId="21A0CED9">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1378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18A9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无工序单位显示空白占位卡片或说教文案</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90E0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整行单行输出"暂无相关工序！"</w:t>
            </w:r>
          </w:p>
        </w:tc>
      </w:tr>
      <w:tr w14:paraId="5407D18A">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D293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80E7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使用"表现优异/落后单位/运行欠佳"等定性评语</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82B4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以客观数值与时序环比自解释</w:t>
            </w:r>
          </w:p>
        </w:tc>
      </w:tr>
      <w:tr w14:paraId="6B2425BE">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090A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479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卡片右上角添加"已联动过滤"等过程标签</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F0A5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以边框高亮承载激活态</w:t>
            </w:r>
          </w:p>
        </w:tc>
      </w:tr>
      <w:tr w14:paraId="3929AC8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FCE8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6AC1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用插值填补缺失月份趋势</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2809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保持真实断层，不插值</w:t>
            </w:r>
          </w:p>
        </w:tc>
      </w:tr>
      <w:tr w14:paraId="1C81F635">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673C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C33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用当前版本参数倒推历史核算</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58C0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按业务发生时间匹配当时生效版本</w:t>
            </w:r>
          </w:p>
        </w:tc>
      </w:tr>
      <w:tr w14:paraId="14A9121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21AE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7AD2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折标口径在同页面混用</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1DA9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全页统一口径并显式标注</w:t>
            </w:r>
          </w:p>
        </w:tc>
      </w:tr>
      <w:tr w14:paraId="53BE67B4">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C5E8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D2C4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认证报告导出无水印</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9645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强制注入工号、时间戳与哈希</w:t>
            </w:r>
          </w:p>
        </w:tc>
      </w:tr>
    </w:tbl>
    <w:p w14:paraId="4864ABD6">
      <w:pPr>
        <w:pStyle w:val="37"/>
        <w:widowControl/>
        <w:outlineLvl w:val="0"/>
        <w:rPr>
          <w:rFonts w:hint="eastAsia" w:ascii="宋体" w:hAnsi="宋体" w:eastAsia="宋体" w:cs="宋体"/>
          <w:i w:val="0"/>
          <w:iCs w:val="0"/>
          <w:sz w:val="24"/>
          <w:szCs w:val="24"/>
        </w:rPr>
      </w:pPr>
      <w:bookmarkStart w:id="120" w:name="_Toc16807"/>
      <w:r>
        <w:rPr>
          <w:rFonts w:ascii="Times New Roman" w:hAnsi="Times New Roman" w:eastAsia="黑体" w:cs="Times New Roman"/>
          <w:b w:val="0"/>
          <w:bCs w:val="0"/>
          <w:sz w:val="36"/>
          <w:szCs w:val="24"/>
        </w:rPr>
        <w:t>附录 C：企业组织结构树</w:t>
      </w:r>
      <w:bookmarkEnd w:id="120"/>
    </w:p>
    <w:tbl>
      <w:tblPr>
        <w:tblStyle w:val="38"/>
        <w:tblW w:w="953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Layout w:type="autofit"/>
        <w:tblCellMar>
          <w:top w:w="0" w:type="dxa"/>
          <w:left w:w="0" w:type="dxa"/>
          <w:bottom w:w="0" w:type="dxa"/>
          <w:right w:w="0" w:type="dxa"/>
        </w:tblCellMar>
      </w:tblPr>
      <w:tblGrid>
        <w:gridCol w:w="1152"/>
        <w:gridCol w:w="1706"/>
        <w:gridCol w:w="1680"/>
        <w:gridCol w:w="3358"/>
        <w:gridCol w:w="1634"/>
      </w:tblGrid>
      <w:tr w14:paraId="46999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tcBorders>
              <w:top w:val="nil"/>
              <w:left w:val="nil"/>
              <w:bottom w:val="nil"/>
              <w:right w:val="nil"/>
              <w:tl2br w:val="nil"/>
            </w:tcBorders>
            <w:shd w:val="clear" w:color="auto" w:fill="1E3A8A"/>
            <w:noWrap w:val="0"/>
            <w:tcMar>
              <w:top w:w="-1" w:type="dxa"/>
              <w:left w:w="-1" w:type="dxa"/>
              <w:bottom w:w="-1" w:type="dxa"/>
              <w:right w:w="-1" w:type="dxa"/>
            </w:tcMar>
            <w:vAlign w:val="center"/>
          </w:tcPr>
          <w:p w14:paraId="3CC13185">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经营单位</w:t>
            </w:r>
          </w:p>
        </w:tc>
        <w:tc>
          <w:tcPr>
            <w:tcW w:w="1706" w:type="dxa"/>
            <w:tcBorders>
              <w:top w:val="nil"/>
              <w:left w:val="nil"/>
              <w:bottom w:val="nil"/>
              <w:right w:val="nil"/>
            </w:tcBorders>
            <w:shd w:val="clear" w:color="auto" w:fill="1E3A8A"/>
            <w:noWrap w:val="0"/>
            <w:tcMar>
              <w:top w:w="-1" w:type="dxa"/>
              <w:left w:w="-1" w:type="dxa"/>
              <w:bottom w:w="-1" w:type="dxa"/>
              <w:right w:w="-1" w:type="dxa"/>
            </w:tcMar>
            <w:vAlign w:val="center"/>
          </w:tcPr>
          <w:p w14:paraId="5BE0912B">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原表二级单位</w:t>
            </w:r>
          </w:p>
        </w:tc>
        <w:tc>
          <w:tcPr>
            <w:tcW w:w="0" w:type="auto"/>
            <w:tcBorders>
              <w:top w:val="nil"/>
              <w:left w:val="nil"/>
              <w:bottom w:val="nil"/>
              <w:right w:val="nil"/>
            </w:tcBorders>
            <w:shd w:val="clear" w:color="auto" w:fill="1E3A8A"/>
            <w:noWrap w:val="0"/>
            <w:tcMar>
              <w:top w:w="-1" w:type="dxa"/>
              <w:left w:w="-1" w:type="dxa"/>
              <w:bottom w:w="-1" w:type="dxa"/>
              <w:right w:w="-1" w:type="dxa"/>
            </w:tcMar>
            <w:vAlign w:val="center"/>
          </w:tcPr>
          <w:p w14:paraId="0B995F58">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原表主要产品</w:t>
            </w:r>
          </w:p>
        </w:tc>
        <w:tc>
          <w:tcPr>
            <w:tcW w:w="3358" w:type="dxa"/>
            <w:tcBorders>
              <w:top w:val="nil"/>
              <w:left w:val="nil"/>
              <w:bottom w:val="nil"/>
              <w:right w:val="nil"/>
            </w:tcBorders>
            <w:shd w:val="clear" w:color="auto" w:fill="1E3A8A"/>
            <w:noWrap w:val="0"/>
            <w:tcMar>
              <w:top w:w="-1" w:type="dxa"/>
              <w:left w:w="-1" w:type="dxa"/>
              <w:bottom w:w="-1" w:type="dxa"/>
              <w:right w:w="-1" w:type="dxa"/>
            </w:tcMar>
            <w:vAlign w:val="center"/>
          </w:tcPr>
          <w:p w14:paraId="20CC4179">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原表关键工序</w:t>
            </w:r>
          </w:p>
        </w:tc>
        <w:tc>
          <w:tcPr>
            <w:tcW w:w="1634" w:type="dxa"/>
            <w:tcBorders>
              <w:top w:val="nil"/>
              <w:left w:val="nil"/>
              <w:bottom w:val="nil"/>
              <w:right w:val="nil"/>
            </w:tcBorders>
            <w:shd w:val="clear" w:color="auto" w:fill="1E3A8A"/>
            <w:noWrap w:val="0"/>
            <w:tcMar>
              <w:top w:w="-1" w:type="dxa"/>
              <w:left w:w="-1" w:type="dxa"/>
              <w:bottom w:w="-1" w:type="dxa"/>
              <w:right w:w="-1" w:type="dxa"/>
            </w:tcMar>
            <w:vAlign w:val="center"/>
          </w:tcPr>
          <w:p w14:paraId="57CD1618">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主要消耗能源</w:t>
            </w:r>
          </w:p>
        </w:tc>
      </w:tr>
      <w:tr w14:paraId="1D4F2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FFFFFF"/>
            <w:noWrap w:val="0"/>
            <w:tcMar>
              <w:top w:w="-1" w:type="dxa"/>
              <w:left w:w="-1" w:type="dxa"/>
              <w:bottom w:w="-1" w:type="dxa"/>
              <w:right w:w="-1" w:type="dxa"/>
            </w:tcMar>
            <w:vAlign w:val="center"/>
          </w:tcPr>
          <w:p w14:paraId="4596E1C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沈变公司</w:t>
            </w: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7838A28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沈变本部</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1BED07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F14B75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1336E3D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03EA2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2B1A65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941C71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和新套管公司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D9F38A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套管</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48505B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①套管-干燥</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081062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BA71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788172B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070B364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康嘉互感器</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74340A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互感器</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4EC94F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①互感器-干燥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07099F1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685F7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0537A9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F87523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智慧能源</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AEF4E4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4F6899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0064B8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71918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0AE187A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2780EA1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印能公司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696D51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C616ED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11D26AB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1A621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F798DD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3AD1B1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露娜公司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D390A2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8D8DEC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1F7DAA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63FFC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FFFFFF"/>
            <w:noWrap w:val="0"/>
            <w:tcMar>
              <w:top w:w="-1" w:type="dxa"/>
              <w:left w:w="-1" w:type="dxa"/>
              <w:bottom w:w="-1" w:type="dxa"/>
              <w:right w:w="-1" w:type="dxa"/>
            </w:tcMar>
            <w:vAlign w:val="center"/>
          </w:tcPr>
          <w:p w14:paraId="242F099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衡变公司</w:t>
            </w: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60C2C53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衡变本部</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BAAD16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11D9117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004C760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5948E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BE7E40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8E70C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湖南电气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6915B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2FB0B3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1F09A6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5B301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789C917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4438236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特能建</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42B8D5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7F4EA66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4569A76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47003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DCD4F7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23E03C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云集电气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49098A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中低压开关柜</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A035DF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①钣金加工 ②钣金喷涂</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36E9D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616CA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3BFDA98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483F31F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新疆自控</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9D1025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中低压开关柜</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0972217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①钣金加工 ②钣金喷涂</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7155930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8746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E9BB44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C9207E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云集高压开关</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262206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GIS</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19BB8C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①抽真空 ②干燥 ③耐压 ④恒温</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59308E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813A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7475448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4107AA7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合容电气股份</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C9C096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干式电抗器</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0798EB7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①固化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69CDA50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0D518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0CE661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A1ADD4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合容电力设备</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8BE021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电容器</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9C8DBD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①卷绕 ②浸渍 ③喷漆 ④试验</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761B86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5AB5D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B572E9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20475F3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赛杰爱迪</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1A8863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GIL</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1CDDCB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①螺旋焊管 ②绝缘子 ③测试</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24A386F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35814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1A21B8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F814D9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南京电研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92302C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A81820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911B8D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2A2D4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52AA12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02CE5C5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上开</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2BAA0A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5FC575F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7E7EDAD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5B615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865A50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786F72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柯贝尔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6ABC23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3244CD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05939B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27E79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FFFFFF"/>
            <w:noWrap w:val="0"/>
            <w:tcMar>
              <w:top w:w="-1" w:type="dxa"/>
              <w:left w:w="-1" w:type="dxa"/>
              <w:bottom w:w="-1" w:type="dxa"/>
              <w:right w:w="-1" w:type="dxa"/>
            </w:tcMar>
            <w:vAlign w:val="center"/>
          </w:tcPr>
          <w:p w14:paraId="489F5A2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新变厂</w:t>
            </w: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1143DE3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超高压公司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B6CF46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5E57367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4D938C5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10F22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0A54EB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82BA84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天变公司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2F6B5E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变压器-干变</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0247D3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①固化 ②试验</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920639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3BB84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1EE7F5E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139D530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智能电气公司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BFC048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变压器-干变</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5A0416C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①固化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1E9707E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68DFB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C3BCA2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008E62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京津冀公司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CBC816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变压器-油变</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2FE0C3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①干燥 ②试验</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DB33D9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1FFEA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6452342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0FAA143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珠峰硅钢</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3FA2BA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变压器-铁芯</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0EF3AE7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①退火 ②纵剪 ③叠装 ④大叠装</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3767E29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2966A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26323A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DAC26B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智慧能源</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F0B61A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FE55AB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8DB402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1931D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18CB05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4D41603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银利电气</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FE312A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95BD25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3E0B2FA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4361E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62430F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鲁缆公司</w:t>
            </w: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0911B7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鲁缆本部</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072EDC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线缆-高/中低压</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64EE2F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②交联(中低) ③交联(高压)</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A641F9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E28B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1FC41C2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347A0EA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智缆公司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446393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4313DAE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30327B3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0B59F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E3DE0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D42EF4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昭和公司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319638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40F284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702107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33BF8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3D4997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64AE1FA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曙光公司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22F79C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线缆-特种电缆</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4E956CF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(原表工序待定)</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4648D54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70578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075A87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新缆厂</w:t>
            </w: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854D36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新疆电缆有限公司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CE74FA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线缆-中低压</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A1B053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②交联（干法）</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C300F5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电力、氮气</w:t>
            </w:r>
          </w:p>
        </w:tc>
      </w:tr>
      <w:tr w14:paraId="25F2D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563A970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0AB9566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新疆线缆厂</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64959B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线缆-中低压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C6C0B9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②交联（干法）</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310E9EE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电力、氮气</w:t>
            </w:r>
          </w:p>
        </w:tc>
      </w:tr>
      <w:tr w14:paraId="52754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75F5654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德缆公司</w:t>
            </w:r>
          </w:p>
        </w:tc>
        <w:tc>
          <w:tcPr>
            <w:tcW w:w="1706"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3C83290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德缆股份有限公司</w:t>
            </w:r>
          </w:p>
        </w:tc>
        <w:tc>
          <w:tcPr>
            <w:tcW w:w="1680"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68D7922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线缆-中低压</w:t>
            </w:r>
          </w:p>
        </w:tc>
        <w:tc>
          <w:tcPr>
            <w:tcW w:w="3358"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3557F7F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②交联（干法）</w:t>
            </w:r>
          </w:p>
        </w:tc>
        <w:tc>
          <w:tcPr>
            <w:tcW w:w="1634"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186908D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电力、氮气</w:t>
            </w:r>
          </w:p>
        </w:tc>
      </w:tr>
    </w:tbl>
    <w:p w14:paraId="4DC45A5B">
      <w:pPr>
        <w:spacing w:after="60"/>
        <w:rPr>
          <w:rFonts w:hint="eastAsia" w:ascii="宋体" w:hAnsi="宋体" w:eastAsia="宋体" w:cs="宋体"/>
          <w:i w:val="0"/>
          <w:iCs w:val="0"/>
          <w:sz w:val="24"/>
          <w:szCs w:val="24"/>
        </w:rPr>
      </w:pPr>
    </w:p>
    <w:p w14:paraId="4EACE71A">
      <w:pPr>
        <w:pStyle w:val="37"/>
        <w:widowControl/>
        <w:outlineLvl w:val="0"/>
        <w:rPr>
          <w:rFonts w:hint="eastAsia" w:ascii="宋体" w:hAnsi="宋体" w:eastAsia="宋体" w:cs="宋体"/>
          <w:i w:val="0"/>
          <w:iCs w:val="0"/>
          <w:sz w:val="24"/>
          <w:szCs w:val="24"/>
        </w:rPr>
      </w:pPr>
      <w:bookmarkStart w:id="121" w:name="_Toc1064"/>
      <w:r>
        <w:rPr>
          <w:rFonts w:ascii="Times New Roman" w:hAnsi="Times New Roman" w:eastAsia="黑体" w:cs="Times New Roman"/>
          <w:b w:val="0"/>
          <w:bCs w:val="0"/>
          <w:sz w:val="36"/>
          <w:szCs w:val="24"/>
        </w:rPr>
        <w:t>附录 D：园区组织结构树</w:t>
      </w:r>
      <w:bookmarkEnd w:id="121"/>
    </w:p>
    <w:tbl>
      <w:tblPr>
        <w:tblStyle w:val="38"/>
        <w:tblW w:w="978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Layout w:type="autofit"/>
        <w:tblCellMar>
          <w:top w:w="0" w:type="dxa"/>
          <w:left w:w="0" w:type="dxa"/>
          <w:bottom w:w="0" w:type="dxa"/>
          <w:right w:w="0" w:type="dxa"/>
        </w:tblCellMar>
      </w:tblPr>
      <w:tblGrid>
        <w:gridCol w:w="646"/>
        <w:gridCol w:w="3111"/>
        <w:gridCol w:w="3426"/>
        <w:gridCol w:w="2601"/>
      </w:tblGrid>
      <w:tr w14:paraId="71C6C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1E3A8A"/>
            <w:noWrap w:val="0"/>
            <w:tcMar>
              <w:top w:w="-1" w:type="dxa"/>
              <w:left w:w="-1" w:type="dxa"/>
              <w:bottom w:w="-1" w:type="dxa"/>
              <w:right w:w="-1" w:type="dxa"/>
            </w:tcMar>
            <w:vAlign w:val="center"/>
          </w:tcPr>
          <w:p w14:paraId="27ADE6BF">
            <w:pPr>
              <w:snapToGrid w:val="0"/>
              <w:spacing w:line="240" w:lineRule="auto"/>
              <w:ind w:left="0" w:leftChars="0" w:right="0" w:rightChars="0" w:firstLine="0" w:firstLineChars="0"/>
              <w:jc w:val="center"/>
              <w:rPr>
                <w:rFonts w:hint="eastAsia" w:ascii="宋体" w:hAnsi="宋体" w:eastAsia="宋体" w:cs="宋体"/>
                <w:b/>
                <w:bCs/>
                <w:i w:val="0"/>
                <w:iCs w:val="0"/>
                <w:color w:val="FFFFFF"/>
                <w:sz w:val="24"/>
                <w:szCs w:val="24"/>
                <w:lang w:val="en-US" w:eastAsia="zh-CN"/>
              </w:rPr>
            </w:pPr>
            <w:r>
              <w:rPr>
                <w:rFonts w:hint="eastAsia" w:ascii="宋体" w:hAnsi="宋体" w:eastAsia="宋体" w:cs="宋体"/>
                <w:b/>
                <w:bCs/>
                <w:i w:val="0"/>
                <w:iCs w:val="0"/>
                <w:color w:val="FFFFFF"/>
                <w:sz w:val="24"/>
                <w:szCs w:val="24"/>
                <w:lang w:val="en-US" w:eastAsia="zh-CN"/>
              </w:rPr>
              <w:t>序号</w:t>
            </w:r>
          </w:p>
        </w:tc>
        <w:tc>
          <w:tcPr>
            <w:tcW w:w="3111" w:type="dxa"/>
            <w:tcBorders>
              <w:tl2br w:val="nil"/>
              <w:tr2bl w:val="nil"/>
            </w:tcBorders>
            <w:shd w:val="clear" w:color="auto" w:fill="1E3A8A"/>
            <w:noWrap w:val="0"/>
            <w:tcMar>
              <w:top w:w="-1" w:type="dxa"/>
              <w:left w:w="-1" w:type="dxa"/>
              <w:bottom w:w="-1" w:type="dxa"/>
              <w:right w:w="-1" w:type="dxa"/>
            </w:tcMar>
            <w:vAlign w:val="center"/>
          </w:tcPr>
          <w:p w14:paraId="2ECED488">
            <w:pPr>
              <w:snapToGrid w:val="0"/>
              <w:spacing w:line="240" w:lineRule="auto"/>
              <w:ind w:left="0" w:leftChars="0" w:right="0" w:rightChars="0" w:firstLine="0" w:firstLineChars="0"/>
              <w:jc w:val="center"/>
              <w:rPr>
                <w:rFonts w:hint="eastAsia" w:ascii="宋体" w:hAnsi="宋体" w:eastAsia="宋体" w:cs="宋体"/>
                <w:b/>
                <w:bCs/>
                <w:i w:val="0"/>
                <w:iCs w:val="0"/>
                <w:color w:val="FFFFFF"/>
                <w:sz w:val="24"/>
                <w:szCs w:val="24"/>
                <w:lang w:val="en-US" w:eastAsia="zh-CN"/>
              </w:rPr>
            </w:pPr>
            <w:r>
              <w:rPr>
                <w:rFonts w:hint="eastAsia" w:ascii="宋体" w:hAnsi="宋体" w:eastAsia="宋体" w:cs="宋体"/>
                <w:b/>
                <w:bCs/>
                <w:i w:val="0"/>
                <w:iCs w:val="0"/>
                <w:color w:val="FFFFFF"/>
                <w:sz w:val="24"/>
                <w:szCs w:val="24"/>
                <w:lang w:val="en-US" w:eastAsia="zh-CN"/>
              </w:rPr>
              <w:t>零碳产业园区全称</w:t>
            </w:r>
          </w:p>
        </w:tc>
        <w:tc>
          <w:tcPr>
            <w:tcW w:w="3426" w:type="dxa"/>
            <w:tcBorders>
              <w:tl2br w:val="nil"/>
              <w:tr2bl w:val="nil"/>
            </w:tcBorders>
            <w:shd w:val="clear" w:color="auto" w:fill="1E3A8A"/>
            <w:noWrap w:val="0"/>
            <w:tcMar>
              <w:top w:w="-1" w:type="dxa"/>
              <w:left w:w="-1" w:type="dxa"/>
              <w:bottom w:w="-1" w:type="dxa"/>
              <w:right w:w="-1" w:type="dxa"/>
            </w:tcMar>
            <w:vAlign w:val="center"/>
          </w:tcPr>
          <w:p w14:paraId="56F8D533">
            <w:pPr>
              <w:snapToGrid w:val="0"/>
              <w:spacing w:line="240" w:lineRule="auto"/>
              <w:ind w:left="0" w:leftChars="0" w:right="0" w:rightChars="0" w:firstLine="0" w:firstLineChars="0"/>
              <w:jc w:val="center"/>
              <w:rPr>
                <w:rFonts w:hint="eastAsia" w:ascii="宋体" w:hAnsi="宋体" w:eastAsia="宋体" w:cs="宋体"/>
                <w:b/>
                <w:i w:val="0"/>
                <w:iCs w:val="0"/>
                <w:color w:val="FFFFFF"/>
                <w:sz w:val="24"/>
                <w:szCs w:val="24"/>
                <w:lang w:val="en-US" w:eastAsia="zh-CN"/>
              </w:rPr>
            </w:pPr>
            <w:r>
              <w:rPr>
                <w:rFonts w:hint="eastAsia" w:ascii="宋体" w:hAnsi="宋体" w:eastAsia="宋体" w:cs="宋体"/>
                <w:b/>
                <w:i w:val="0"/>
                <w:iCs w:val="0"/>
                <w:color w:val="FFFFFF"/>
                <w:sz w:val="24"/>
                <w:szCs w:val="24"/>
                <w:lang w:val="en-US" w:eastAsia="zh-CN"/>
              </w:rPr>
              <w:t>纳管直属二级工厂/车间</w:t>
            </w:r>
          </w:p>
        </w:tc>
        <w:tc>
          <w:tcPr>
            <w:tcW w:w="2601" w:type="dxa"/>
            <w:tcBorders>
              <w:tl2br w:val="nil"/>
              <w:tr2bl w:val="nil"/>
            </w:tcBorders>
            <w:shd w:val="clear" w:color="auto" w:fill="1E3A8A"/>
            <w:noWrap w:val="0"/>
            <w:tcMar>
              <w:top w:w="-1" w:type="dxa"/>
              <w:left w:w="-1" w:type="dxa"/>
              <w:bottom w:w="-1" w:type="dxa"/>
              <w:right w:w="-1" w:type="dxa"/>
            </w:tcMar>
            <w:vAlign w:val="center"/>
          </w:tcPr>
          <w:p w14:paraId="7B5E5B3D">
            <w:pPr>
              <w:snapToGrid w:val="0"/>
              <w:spacing w:line="240" w:lineRule="auto"/>
              <w:ind w:left="0" w:leftChars="0" w:right="0" w:rightChars="0" w:firstLine="0" w:firstLineChars="0"/>
              <w:jc w:val="center"/>
              <w:rPr>
                <w:rFonts w:hint="eastAsia" w:ascii="宋体" w:hAnsi="宋体" w:eastAsia="宋体" w:cs="宋体"/>
                <w:b/>
                <w:i w:val="0"/>
                <w:iCs w:val="0"/>
                <w:color w:val="FFFFFF"/>
                <w:sz w:val="24"/>
                <w:szCs w:val="24"/>
                <w:lang w:val="en-US" w:eastAsia="zh-CN"/>
              </w:rPr>
            </w:pPr>
            <w:r>
              <w:rPr>
                <w:rFonts w:hint="eastAsia" w:ascii="宋体" w:hAnsi="宋体" w:eastAsia="宋体" w:cs="宋体"/>
                <w:b/>
                <w:i w:val="0"/>
                <w:iCs w:val="0"/>
                <w:color w:val="FFFFFF"/>
                <w:sz w:val="24"/>
                <w:szCs w:val="24"/>
                <w:lang w:val="en-US" w:eastAsia="zh-CN"/>
              </w:rPr>
              <w:t>三级细分</w:t>
            </w:r>
          </w:p>
        </w:tc>
      </w:tr>
      <w:tr w14:paraId="042F2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02F8E3D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w:t>
            </w:r>
          </w:p>
        </w:tc>
        <w:tc>
          <w:tcPr>
            <w:tcW w:w="3111" w:type="dxa"/>
            <w:tcBorders>
              <w:tl2br w:val="nil"/>
              <w:tr2bl w:val="nil"/>
            </w:tcBorders>
            <w:shd w:val="clear" w:color="auto" w:fill="FFFFFF"/>
            <w:noWrap w:val="0"/>
            <w:tcMar>
              <w:top w:w="-1" w:type="dxa"/>
              <w:left w:w="-1" w:type="dxa"/>
              <w:bottom w:w="-1" w:type="dxa"/>
              <w:right w:w="-1" w:type="dxa"/>
            </w:tcMar>
            <w:vAlign w:val="center"/>
          </w:tcPr>
          <w:p w14:paraId="2CD881F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特变电工东北输变电产业园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1797B7E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沈变本部</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智慧能源 (沈变)</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和新套管公司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④ 康嘉互感器</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⑤ 印能公司</w:t>
            </w:r>
          </w:p>
        </w:tc>
        <w:tc>
          <w:tcPr>
            <w:tcW w:w="2601" w:type="dxa"/>
            <w:tcBorders>
              <w:tl2br w:val="nil"/>
              <w:tr2bl w:val="nil"/>
            </w:tcBorders>
            <w:shd w:val="clear" w:color="auto" w:fill="FFFFFF"/>
            <w:noWrap w:val="0"/>
            <w:tcMar>
              <w:top w:w="-1" w:type="dxa"/>
              <w:left w:w="-1" w:type="dxa"/>
              <w:bottom w:w="-1" w:type="dxa"/>
              <w:right w:w="-1" w:type="dxa"/>
            </w:tcMar>
            <w:vAlign w:val="center"/>
          </w:tcPr>
          <w:p w14:paraId="440DA60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17749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5D9970D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2</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0FA39EB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特变电工南方输变电产业园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376675A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衡变本部</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3C86873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4FC78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36F8B0E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3</w:t>
            </w:r>
          </w:p>
        </w:tc>
        <w:tc>
          <w:tcPr>
            <w:tcW w:w="3111" w:type="dxa"/>
            <w:tcBorders>
              <w:tl2br w:val="nil"/>
              <w:tr2bl w:val="nil"/>
            </w:tcBorders>
            <w:shd w:val="clear" w:color="auto" w:fill="FFFFFF"/>
            <w:noWrap w:val="0"/>
            <w:tcMar>
              <w:top w:w="-1" w:type="dxa"/>
              <w:left w:w="-1" w:type="dxa"/>
              <w:bottom w:w="-1" w:type="dxa"/>
              <w:right w:w="-1" w:type="dxa"/>
            </w:tcMar>
            <w:vAlign w:val="center"/>
          </w:tcPr>
          <w:p w14:paraId="587BEDE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特变电工二次产业园区</w:t>
            </w:r>
          </w:p>
        </w:tc>
        <w:tc>
          <w:tcPr>
            <w:tcW w:w="3426" w:type="dxa"/>
            <w:tcBorders>
              <w:tl2br w:val="nil"/>
              <w:tr2bl w:val="nil"/>
            </w:tcBorders>
            <w:shd w:val="clear" w:color="auto" w:fill="FFFFFF"/>
            <w:noWrap w:val="0"/>
            <w:tcMar>
              <w:top w:w="-1" w:type="dxa"/>
              <w:left w:w="-1" w:type="dxa"/>
              <w:bottom w:w="-1" w:type="dxa"/>
              <w:right w:w="-1" w:type="dxa"/>
            </w:tcMar>
            <w:vAlign w:val="center"/>
          </w:tcPr>
          <w:p w14:paraId="4DD5129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南京电研</w:t>
            </w:r>
          </w:p>
        </w:tc>
        <w:tc>
          <w:tcPr>
            <w:tcW w:w="2601" w:type="dxa"/>
            <w:tcBorders>
              <w:tl2br w:val="nil"/>
              <w:tr2bl w:val="nil"/>
            </w:tcBorders>
            <w:shd w:val="clear" w:color="auto" w:fill="FFFFFF"/>
            <w:noWrap w:val="0"/>
            <w:tcMar>
              <w:top w:w="-1" w:type="dxa"/>
              <w:left w:w="-1" w:type="dxa"/>
              <w:bottom w:w="-1" w:type="dxa"/>
              <w:right w:w="-1" w:type="dxa"/>
            </w:tcMar>
            <w:vAlign w:val="center"/>
          </w:tcPr>
          <w:p w14:paraId="490C108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60646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7CFF989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4</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5057BFE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特变电工云集5G科技产业园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36287A1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云集电气</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湖南电气</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云集高压开关 (GIS)</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0D4358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6FD47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55DD447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5</w:t>
            </w:r>
          </w:p>
        </w:tc>
        <w:tc>
          <w:tcPr>
            <w:tcW w:w="3111" w:type="dxa"/>
            <w:tcBorders>
              <w:tl2br w:val="nil"/>
              <w:tr2bl w:val="nil"/>
            </w:tcBorders>
            <w:shd w:val="clear" w:color="auto" w:fill="FFFFFF"/>
            <w:noWrap w:val="0"/>
            <w:tcMar>
              <w:top w:w="-1" w:type="dxa"/>
              <w:left w:w="-1" w:type="dxa"/>
              <w:bottom w:w="-1" w:type="dxa"/>
              <w:right w:w="-1" w:type="dxa"/>
            </w:tcMar>
            <w:vAlign w:val="center"/>
          </w:tcPr>
          <w:p w14:paraId="2D31132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特变电工智能电气产业园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0BE0068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智能电气公司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新疆自控</w:t>
            </w:r>
          </w:p>
        </w:tc>
        <w:tc>
          <w:tcPr>
            <w:tcW w:w="2601" w:type="dxa"/>
            <w:tcBorders>
              <w:tl2br w:val="nil"/>
              <w:tr2bl w:val="nil"/>
            </w:tcBorders>
            <w:shd w:val="clear" w:color="auto" w:fill="FFFFFF"/>
            <w:noWrap w:val="0"/>
            <w:tcMar>
              <w:top w:w="-1" w:type="dxa"/>
              <w:left w:w="-1" w:type="dxa"/>
              <w:bottom w:w="-1" w:type="dxa"/>
              <w:right w:w="-1" w:type="dxa"/>
            </w:tcMar>
            <w:vAlign w:val="center"/>
          </w:tcPr>
          <w:p w14:paraId="6ECDD72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5866F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0CA3808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6</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F2DAD0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特变电工湖南能源建设园区</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4BA2063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特能建</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DB8EBA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0ECB2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0899382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7</w:t>
            </w:r>
          </w:p>
        </w:tc>
        <w:tc>
          <w:tcPr>
            <w:tcW w:w="3111" w:type="dxa"/>
            <w:tcBorders>
              <w:tl2br w:val="nil"/>
              <w:tr2bl w:val="nil"/>
            </w:tcBorders>
            <w:shd w:val="clear" w:color="auto" w:fill="FFFFFF"/>
            <w:noWrap w:val="0"/>
            <w:tcMar>
              <w:top w:w="-1" w:type="dxa"/>
              <w:left w:w="-1" w:type="dxa"/>
              <w:bottom w:w="-1" w:type="dxa"/>
              <w:right w:w="-1" w:type="dxa"/>
            </w:tcMar>
            <w:vAlign w:val="center"/>
          </w:tcPr>
          <w:p w14:paraId="486FF32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特变电工西安智能装备产业园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1EE4B68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合容电气</w:t>
            </w:r>
          </w:p>
        </w:tc>
        <w:tc>
          <w:tcPr>
            <w:tcW w:w="2601" w:type="dxa"/>
            <w:tcBorders>
              <w:tl2br w:val="nil"/>
              <w:tr2bl w:val="nil"/>
            </w:tcBorders>
            <w:shd w:val="clear" w:color="auto" w:fill="FFFFFF"/>
            <w:noWrap w:val="0"/>
            <w:tcMar>
              <w:top w:w="-1" w:type="dxa"/>
              <w:left w:w="-1" w:type="dxa"/>
              <w:bottom w:w="-1" w:type="dxa"/>
              <w:right w:w="-1" w:type="dxa"/>
            </w:tcMar>
            <w:vAlign w:val="center"/>
          </w:tcPr>
          <w:p w14:paraId="530EEA9D">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1. 合容电气股份</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2. 合容开关</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3. 合容电力设备</w:t>
            </w:r>
          </w:p>
        </w:tc>
      </w:tr>
      <w:tr w14:paraId="660B6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6B94EC4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8</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773902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特变电工GIL产业园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1254455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赛杰爱迪</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60F6A79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48CA1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785F7C9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9</w:t>
            </w:r>
          </w:p>
        </w:tc>
        <w:tc>
          <w:tcPr>
            <w:tcW w:w="3111" w:type="dxa"/>
            <w:tcBorders>
              <w:tl2br w:val="nil"/>
              <w:tr2bl w:val="nil"/>
            </w:tcBorders>
            <w:shd w:val="clear" w:color="auto" w:fill="FFFFFF"/>
            <w:noWrap w:val="0"/>
            <w:tcMar>
              <w:top w:w="-1" w:type="dxa"/>
              <w:left w:w="-1" w:type="dxa"/>
              <w:bottom w:w="-1" w:type="dxa"/>
              <w:right w:w="-1" w:type="dxa"/>
            </w:tcMar>
            <w:vAlign w:val="center"/>
          </w:tcPr>
          <w:p w14:paraId="567D440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特变电工输变电产业园 (新疆)</w:t>
            </w:r>
          </w:p>
        </w:tc>
        <w:tc>
          <w:tcPr>
            <w:tcW w:w="3426" w:type="dxa"/>
            <w:tcBorders>
              <w:tl2br w:val="nil"/>
              <w:tr2bl w:val="nil"/>
            </w:tcBorders>
            <w:shd w:val="clear" w:color="auto" w:fill="FFFFFF"/>
            <w:noWrap w:val="0"/>
            <w:tcMar>
              <w:top w:w="-1" w:type="dxa"/>
              <w:left w:w="-1" w:type="dxa"/>
              <w:bottom w:w="-1" w:type="dxa"/>
              <w:right w:w="-1" w:type="dxa"/>
            </w:tcMar>
            <w:vAlign w:val="center"/>
          </w:tcPr>
          <w:p w14:paraId="3E2E2E6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超高压公司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特变电工新疆线缆厂</w:t>
            </w:r>
          </w:p>
        </w:tc>
        <w:tc>
          <w:tcPr>
            <w:tcW w:w="2601" w:type="dxa"/>
            <w:tcBorders>
              <w:tl2br w:val="nil"/>
              <w:tr2bl w:val="nil"/>
            </w:tcBorders>
            <w:shd w:val="clear" w:color="auto" w:fill="FFFFFF"/>
            <w:noWrap w:val="0"/>
            <w:tcMar>
              <w:top w:w="-1" w:type="dxa"/>
              <w:left w:w="-1" w:type="dxa"/>
              <w:bottom w:w="-1" w:type="dxa"/>
              <w:right w:w="-1" w:type="dxa"/>
            </w:tcMar>
            <w:vAlign w:val="center"/>
          </w:tcPr>
          <w:p w14:paraId="655DAD6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7540D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683CF0C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10</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2857234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特变电工天变产业园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3F88D45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天变公司</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608866C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1. 天变天津基地</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2. 天变智慧能源</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3. 天变智能科技</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4. 天变衡阳基地</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5. 天变沈阳基地</w:t>
            </w:r>
          </w:p>
        </w:tc>
      </w:tr>
      <w:tr w14:paraId="06731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1BE0279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11</w:t>
            </w:r>
          </w:p>
        </w:tc>
        <w:tc>
          <w:tcPr>
            <w:tcW w:w="3111" w:type="dxa"/>
            <w:tcBorders>
              <w:tl2br w:val="nil"/>
              <w:tr2bl w:val="nil"/>
            </w:tcBorders>
            <w:shd w:val="clear" w:color="auto" w:fill="FFFFFF"/>
            <w:noWrap w:val="0"/>
            <w:tcMar>
              <w:top w:w="-1" w:type="dxa"/>
              <w:left w:w="-1" w:type="dxa"/>
              <w:bottom w:w="-1" w:type="dxa"/>
              <w:right w:w="-1" w:type="dxa"/>
            </w:tcMar>
            <w:vAlign w:val="center"/>
          </w:tcPr>
          <w:p w14:paraId="7E802BE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特变电工京津冀智能科技产业园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1D09C2E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京津冀公司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珠峰硅钢</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智慧能源 (新变)</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④ 银利电气</w:t>
            </w:r>
          </w:p>
        </w:tc>
        <w:tc>
          <w:tcPr>
            <w:tcW w:w="2601" w:type="dxa"/>
            <w:tcBorders>
              <w:tl2br w:val="nil"/>
              <w:tr2bl w:val="nil"/>
            </w:tcBorders>
            <w:shd w:val="clear" w:color="auto" w:fill="FFFFFF"/>
            <w:noWrap w:val="0"/>
            <w:tcMar>
              <w:top w:w="-1" w:type="dxa"/>
              <w:left w:w="-1" w:type="dxa"/>
              <w:bottom w:w="-1" w:type="dxa"/>
              <w:right w:w="-1" w:type="dxa"/>
            </w:tcMar>
            <w:vAlign w:val="center"/>
          </w:tcPr>
          <w:p w14:paraId="7131150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65CD3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64B05A3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12</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07E6AA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特变电工华东输变电科技产业园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62B2B10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鲁缆本部</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智缆公司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昭和公司</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3412A02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46120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06B975D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13</w:t>
            </w:r>
          </w:p>
        </w:tc>
        <w:tc>
          <w:tcPr>
            <w:tcW w:w="3111" w:type="dxa"/>
            <w:tcBorders>
              <w:tl2br w:val="nil"/>
              <w:tr2bl w:val="nil"/>
            </w:tcBorders>
            <w:shd w:val="clear" w:color="auto" w:fill="FFFFFF"/>
            <w:noWrap w:val="0"/>
            <w:tcMar>
              <w:top w:w="-1" w:type="dxa"/>
              <w:left w:w="-1" w:type="dxa"/>
              <w:bottom w:w="-1" w:type="dxa"/>
              <w:right w:w="-1" w:type="dxa"/>
            </w:tcMar>
            <w:vAlign w:val="center"/>
          </w:tcPr>
          <w:p w14:paraId="4793FAF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特变电工曙光电缆产业园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6E53006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曙光公司</w:t>
            </w:r>
          </w:p>
        </w:tc>
        <w:tc>
          <w:tcPr>
            <w:tcW w:w="2601" w:type="dxa"/>
            <w:tcBorders>
              <w:tl2br w:val="nil"/>
              <w:tr2bl w:val="nil"/>
            </w:tcBorders>
            <w:shd w:val="clear" w:color="auto" w:fill="FFFFFF"/>
            <w:noWrap w:val="0"/>
            <w:tcMar>
              <w:top w:w="-1" w:type="dxa"/>
              <w:left w:w="-1" w:type="dxa"/>
              <w:bottom w:w="-1" w:type="dxa"/>
              <w:right w:w="-1" w:type="dxa"/>
            </w:tcMar>
            <w:vAlign w:val="center"/>
          </w:tcPr>
          <w:p w14:paraId="578E747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0D2CF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1AB1EBF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14</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3F9786B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特变电工新疆电缆产业园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209DD89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特变电工新疆电缆有限公司</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70CFFCD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776CB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744EEC9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15</w:t>
            </w:r>
          </w:p>
        </w:tc>
        <w:tc>
          <w:tcPr>
            <w:tcW w:w="3111" w:type="dxa"/>
            <w:tcBorders>
              <w:tl2br w:val="nil"/>
              <w:tr2bl w:val="nil"/>
            </w:tcBorders>
            <w:shd w:val="clear" w:color="auto" w:fill="FFFFFF"/>
            <w:noWrap w:val="0"/>
            <w:tcMar>
              <w:top w:w="-1" w:type="dxa"/>
              <w:left w:w="-1" w:type="dxa"/>
              <w:bottom w:w="-1" w:type="dxa"/>
              <w:right w:w="-1" w:type="dxa"/>
            </w:tcMar>
            <w:vAlign w:val="center"/>
          </w:tcPr>
          <w:p w14:paraId="18D4925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特变电工(德阳)电缆园区</w:t>
            </w:r>
          </w:p>
        </w:tc>
        <w:tc>
          <w:tcPr>
            <w:tcW w:w="3426" w:type="dxa"/>
            <w:tcBorders>
              <w:tl2br w:val="nil"/>
              <w:tr2bl w:val="nil"/>
            </w:tcBorders>
            <w:shd w:val="clear" w:color="auto" w:fill="FFFFFF"/>
            <w:noWrap w:val="0"/>
            <w:tcMar>
              <w:top w:w="-1" w:type="dxa"/>
              <w:left w:w="-1" w:type="dxa"/>
              <w:bottom w:w="-1" w:type="dxa"/>
              <w:right w:w="-1" w:type="dxa"/>
            </w:tcMar>
            <w:vAlign w:val="center"/>
          </w:tcPr>
          <w:p w14:paraId="254B3A5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特变电工（德阳）电缆股份有限公司</w:t>
            </w:r>
          </w:p>
        </w:tc>
        <w:tc>
          <w:tcPr>
            <w:tcW w:w="2601" w:type="dxa"/>
            <w:tcBorders>
              <w:tl2br w:val="nil"/>
              <w:tr2bl w:val="nil"/>
            </w:tcBorders>
            <w:shd w:val="clear" w:color="auto" w:fill="FFFFFF"/>
            <w:noWrap w:val="0"/>
            <w:tcMar>
              <w:top w:w="-1" w:type="dxa"/>
              <w:left w:w="-1" w:type="dxa"/>
              <w:bottom w:w="-1" w:type="dxa"/>
              <w:right w:w="-1" w:type="dxa"/>
            </w:tcMar>
            <w:vAlign w:val="center"/>
          </w:tcPr>
          <w:p w14:paraId="2D7893D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bl>
    <w:p w14:paraId="2370011D">
      <w:pPr>
        <w:spacing w:after="60"/>
        <w:rPr>
          <w:rFonts w:hint="eastAsia" w:ascii="宋体" w:hAnsi="宋体" w:eastAsia="宋体" w:cs="宋体"/>
          <w:i w:val="0"/>
          <w:iCs w:val="0"/>
          <w:sz w:val="24"/>
          <w:szCs w:val="24"/>
        </w:rPr>
      </w:pPr>
    </w:p>
    <w:p w14:paraId="660DEB70">
      <w:pPr>
        <w:pStyle w:val="37"/>
        <w:widowControl/>
        <w:outlineLvl w:val="0"/>
        <w:rPr>
          <w:rFonts w:ascii="Times New Roman" w:hAnsi="Times New Roman" w:eastAsia="黑体" w:cs="Times New Roman"/>
          <w:b w:val="0"/>
          <w:bCs w:val="0"/>
          <w:sz w:val="36"/>
          <w:szCs w:val="24"/>
        </w:rPr>
      </w:pPr>
      <w:bookmarkStart w:id="122" w:name="_Toc20691"/>
      <w:r>
        <w:rPr>
          <w:rFonts w:ascii="Times New Roman" w:hAnsi="Times New Roman" w:eastAsia="黑体" w:cs="Times New Roman"/>
          <w:b w:val="0"/>
          <w:bCs w:val="0"/>
          <w:sz w:val="36"/>
          <w:szCs w:val="24"/>
        </w:rPr>
        <w:t>附录 E：角色与权限矩阵</w:t>
      </w:r>
      <w:bookmarkEnd w:id="122"/>
    </w:p>
    <w:tbl>
      <w:tblPr>
        <w:tblStyle w:val="38"/>
        <w:tblW w:w="9784" w:type="dxa"/>
        <w:jc w:val="center"/>
        <w:tblLayout w:type="autofit"/>
        <w:tblCellMar>
          <w:top w:w="0" w:type="dxa"/>
          <w:left w:w="108" w:type="dxa"/>
          <w:bottom w:w="0" w:type="dxa"/>
          <w:right w:w="108" w:type="dxa"/>
        </w:tblCellMar>
      </w:tblPr>
      <w:tblGrid>
        <w:gridCol w:w="2777"/>
        <w:gridCol w:w="1136"/>
        <w:gridCol w:w="1479"/>
        <w:gridCol w:w="1224"/>
        <w:gridCol w:w="1224"/>
        <w:gridCol w:w="972"/>
        <w:gridCol w:w="972"/>
      </w:tblGrid>
      <w:tr w14:paraId="7832E30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833473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功能模块/角色</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50465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P1集团</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95FEA3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P2能碳专员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CCAAA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P3填报员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F0DE0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P4碳专员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2D8BA9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P5报关</w:t>
            </w:r>
          </w:p>
        </w:tc>
        <w:tc>
          <w:tcPr>
            <w:tcW w:w="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AE4C6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P6审计</w:t>
            </w:r>
          </w:p>
        </w:tc>
      </w:tr>
      <w:tr w14:paraId="1DF5C23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CFF6E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集控中心大屏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9021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4C4F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4495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F8F3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3715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3D09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41E8EA1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65622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指标管控</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C82D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415C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F48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5FA8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AC91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BDE9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2B9073C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7D45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用能在线监测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4245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BE47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1F75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E291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7981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B048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47D3FD0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F24DA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能耗能效分析</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CF1E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AD88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FBCA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27F5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F414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0952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2A7C171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02453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零碳项目评估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176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CC40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116D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A14E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468A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4F99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49E2158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04FF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统计报表</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74AE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9443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读写导出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A342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27E4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0159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3D6A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19BACF6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08CF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基础管理与数据录入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37A3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F897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917D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3F80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C2B2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F8C0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1E6E106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07F68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对外示范窗口</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788F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E0110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BF54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132D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7343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7AF5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01A90A7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7A72B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多维分析</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5F8E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ADB9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375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01A6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21EB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EEE1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2CE5D1F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61D5D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实景数据库与 LCA 核算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CCAB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221C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6131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CE48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194C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83A4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59618A9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E4EAF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管理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8C9D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终审双签</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0F1F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CEDF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163F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AA15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A71F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4DD21A4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EB4A1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第三方认证管理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0DF7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BB0A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CCFA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71C9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8CF6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4E5A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r>
      <w:tr w14:paraId="1C8672A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1087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因子库管理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84C3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61BD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46E1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F885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6D64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9522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129DDA47">
        <w:tblPrEx>
          <w:tblCellMar>
            <w:top w:w="0" w:type="dxa"/>
            <w:left w:w="108" w:type="dxa"/>
            <w:bottom w:w="0" w:type="dxa"/>
            <w:right w:w="108" w:type="dxa"/>
          </w:tblCellMar>
        </w:tblPrEx>
        <w:trPr>
          <w:jc w:val="center"/>
        </w:trPr>
        <w:tc>
          <w:tcPr>
            <w:tcW w:w="2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DD40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基础参数配置</w:t>
            </w:r>
          </w:p>
        </w:tc>
        <w:tc>
          <w:tcPr>
            <w:tcW w:w="1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009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301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12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C4A6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2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DFE1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64A2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2138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bl>
    <w:p w14:paraId="5A371343">
      <w:pPr>
        <w:pStyle w:val="37"/>
        <w:widowControl/>
        <w:jc w:val="both"/>
        <w:rPr>
          <w:rFonts w:ascii="Times New Roman" w:hAnsi="Times New Roman" w:eastAsia="黑体" w:cs="Times New Roman"/>
          <w:b w:val="0"/>
          <w:bCs w:val="0"/>
          <w:sz w:val="36"/>
          <w:szCs w:val="24"/>
        </w:rPr>
      </w:pPr>
    </w:p>
    <w:p w14:paraId="325C1369">
      <w:pPr>
        <w:pStyle w:val="19"/>
        <w:widowControl/>
        <w:ind w:left="0" w:leftChars="0" w:firstLine="0" w:firstLineChars="0"/>
        <w:rPr>
          <w:rFonts w:ascii="Times New Roman" w:hAnsi="Times New Roman" w:eastAsia="宋体" w:cs="Times New Roman"/>
          <w:i w:val="0"/>
          <w:sz w:val="24"/>
          <w:szCs w:val="24"/>
        </w:rPr>
      </w:pPr>
    </w:p>
    <w:sectPr>
      <w:footerReference r:id="rId10" w:type="first"/>
      <w:footerReference r:id="rId9" w:type="default"/>
      <w:pgSz w:w="11906" w:h="16838"/>
      <w:pgMar w:top="1296" w:right="1296" w:bottom="1296" w:left="1296" w:header="720" w:footer="720" w:gutter="0"/>
      <w:pgBorders>
        <w:top w:val="none" w:sz="0" w:space="0"/>
        <w:left w:val="none" w:sz="0" w:space="0"/>
        <w:bottom w:val="none" w:sz="0" w:space="0"/>
        <w:right w:val="none" w:sz="0" w:space="0"/>
      </w:pgBorders>
      <w:pgNumType w:fmt="decimal"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ourier">
    <w:altName w:val="Courier New"/>
    <w:panose1 w:val="02000500000000000000"/>
    <w:charset w:val="00"/>
    <w:family w:val="auto"/>
    <w:pitch w:val="default"/>
    <w:sig w:usb0="00000000" w:usb1="0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B7C27">
    <w:pPr>
      <w:pStyle w:val="25"/>
      <w:jc w:val="center"/>
    </w:pPr>
    <w:r>
      <w:rPr>
        <w:rFonts w:ascii="微软雅黑" w:hAnsi="微软雅黑"/>
        <w:color w:val="64748B"/>
        <w:sz w:val="17"/>
      </w:rPr>
      <w:t>特变电工股份有限公司 · 内部绝密工程技术资产 严禁未经授权复制与外传</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FCBB6">
    <w:pPr>
      <w:pStyle w:val="25"/>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DEF02">
    <w:pPr>
      <w:pStyle w:val="2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CCE37">
    <w:pPr>
      <w:pStyle w:val="25"/>
      <w:jc w:val="center"/>
    </w:pPr>
    <w:r>
      <w:rPr>
        <w:sz w:val="17"/>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A179D1">
                          <w:pPr>
                            <w:pStyle w:val="25"/>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k3Pus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PUV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k3PuszAgAAYwQAAA4AAAAAAAAAAQAgAAAAHwEAAGRycy9lMm9Eb2MueG1sUEsF&#10;BgAAAAAGAAYAWQEAAMQFAAAAAA==&#10;">
              <v:fill on="f" focussize="0,0"/>
              <v:stroke on="f" weight="0.5pt"/>
              <v:imagedata o:title=""/>
              <o:lock v:ext="edit" aspectratio="f"/>
              <v:textbox inset="0mm,0mm,0mm,0mm" style="mso-fit-shape-to-text:t;">
                <w:txbxContent>
                  <w:p w14:paraId="0DA179D1">
                    <w:pPr>
                      <w:pStyle w:val="25"/>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FC78A">
    <w:pPr>
      <w:pStyle w:val="25"/>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AF75EA">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RkSwgzAgAAYw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dUaKZQsVP37+d&#10;fvw6/fxKcAaBWutniHuwiAzdW9OhbYZzj8PIu6ucil8wIvBD3uNFXtEFwuOl6WQ6zeHi8A0b4GeP&#10;163z4Z0wikSjoA71S7Kyw8aHPnQIidm0WTdSphpKTdqCXr9+k6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RkSwgzAgAAYwQAAA4AAAAAAAAAAQAgAAAAHwEAAGRycy9lMm9Eb2MueG1sUEsF&#10;BgAAAAAGAAYAWQEAAMQFAAAAAA==&#10;">
              <v:fill on="f" focussize="0,0"/>
              <v:stroke on="f" weight="0.5pt"/>
              <v:imagedata o:title=""/>
              <o:lock v:ext="edit" aspectratio="f"/>
              <v:textbox inset="0mm,0mm,0mm,0mm" style="mso-fit-shape-to-text:t;">
                <w:txbxContent>
                  <w:p w14:paraId="3CAF75EA">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F97F2">
    <w:pPr>
      <w:pStyle w:val="26"/>
      <w:jc w:val="right"/>
    </w:pPr>
    <w:r>
      <w:rPr>
        <w:rFonts w:ascii="微软雅黑" w:hAnsi="微软雅黑"/>
        <w:color w:val="64748B"/>
        <w:sz w:val="17"/>
      </w:rPr>
      <w:t>特变电工能碳数字化双中心 · 产品需求规格说明书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D54F57"/>
    <w:multiLevelType w:val="singleLevel"/>
    <w:tmpl w:val="80D54F57"/>
    <w:lvl w:ilvl="0" w:tentative="0">
      <w:start w:val="1"/>
      <w:numFmt w:val="decimal"/>
      <w:suff w:val="space"/>
      <w:lvlText w:val=""/>
      <w:lvlJc w:val="left"/>
      <w:pPr>
        <w:ind w:left="0" w:firstLine="482"/>
      </w:pPr>
      <w:rPr>
        <w:rFonts w:hint="default"/>
      </w:rPr>
    </w:lvl>
  </w:abstractNum>
  <w:abstractNum w:abstractNumId="1">
    <w:nsid w:val="820F3A78"/>
    <w:multiLevelType w:val="singleLevel"/>
    <w:tmpl w:val="820F3A78"/>
    <w:lvl w:ilvl="0" w:tentative="0">
      <w:start w:val="1"/>
      <w:numFmt w:val="decimal"/>
      <w:suff w:val="space"/>
      <w:lvlText w:val=""/>
      <w:lvlJc w:val="left"/>
      <w:pPr>
        <w:ind w:left="0" w:firstLine="482"/>
      </w:pPr>
      <w:rPr>
        <w:rFonts w:hint="default"/>
      </w:rPr>
    </w:lvl>
  </w:abstractNum>
  <w:abstractNum w:abstractNumId="2">
    <w:nsid w:val="82DA92D6"/>
    <w:multiLevelType w:val="singleLevel"/>
    <w:tmpl w:val="82DA92D6"/>
    <w:lvl w:ilvl="0" w:tentative="0">
      <w:start w:val="1"/>
      <w:numFmt w:val="decimal"/>
      <w:suff w:val="space"/>
      <w:lvlText w:val=""/>
      <w:lvlJc w:val="left"/>
      <w:pPr>
        <w:ind w:left="0" w:firstLine="482"/>
      </w:pPr>
      <w:rPr>
        <w:rFonts w:hint="default"/>
      </w:rPr>
    </w:lvl>
  </w:abstractNum>
  <w:abstractNum w:abstractNumId="3">
    <w:nsid w:val="82DBECF6"/>
    <w:multiLevelType w:val="singleLevel"/>
    <w:tmpl w:val="82DBECF6"/>
    <w:lvl w:ilvl="0" w:tentative="0">
      <w:start w:val="1"/>
      <w:numFmt w:val="decimal"/>
      <w:suff w:val="space"/>
      <w:lvlText w:val="%1."/>
      <w:lvlJc w:val="left"/>
    </w:lvl>
  </w:abstractNum>
  <w:abstractNum w:abstractNumId="4">
    <w:nsid w:val="82E25BE8"/>
    <w:multiLevelType w:val="singleLevel"/>
    <w:tmpl w:val="82E25BE8"/>
    <w:lvl w:ilvl="0" w:tentative="0">
      <w:start w:val="1"/>
      <w:numFmt w:val="decimal"/>
      <w:suff w:val="space"/>
      <w:lvlText w:val=""/>
      <w:lvlJc w:val="left"/>
      <w:pPr>
        <w:ind w:left="0" w:firstLine="482"/>
      </w:pPr>
      <w:rPr>
        <w:rFonts w:hint="default"/>
      </w:rPr>
    </w:lvl>
  </w:abstractNum>
  <w:abstractNum w:abstractNumId="5">
    <w:nsid w:val="831AFA9C"/>
    <w:multiLevelType w:val="singleLevel"/>
    <w:tmpl w:val="831AFA9C"/>
    <w:lvl w:ilvl="0" w:tentative="0">
      <w:start w:val="1"/>
      <w:numFmt w:val="decimal"/>
      <w:suff w:val="space"/>
      <w:lvlText w:val=""/>
      <w:lvlJc w:val="left"/>
      <w:pPr>
        <w:ind w:left="0" w:firstLine="482"/>
      </w:pPr>
      <w:rPr>
        <w:rFonts w:hint="default"/>
      </w:rPr>
    </w:lvl>
  </w:abstractNum>
  <w:abstractNum w:abstractNumId="6">
    <w:nsid w:val="83BBF6EF"/>
    <w:multiLevelType w:val="singleLevel"/>
    <w:tmpl w:val="83BBF6EF"/>
    <w:lvl w:ilvl="0" w:tentative="0">
      <w:start w:val="1"/>
      <w:numFmt w:val="chineseCounting"/>
      <w:suff w:val="nothing"/>
      <w:lvlText w:val="%1、"/>
      <w:lvlJc w:val="left"/>
      <w:pPr>
        <w:ind w:left="0" w:firstLine="0"/>
      </w:pPr>
      <w:rPr>
        <w:rFonts w:hint="eastAsia"/>
      </w:rPr>
    </w:lvl>
  </w:abstractNum>
  <w:abstractNum w:abstractNumId="7">
    <w:nsid w:val="86EA1A2B"/>
    <w:multiLevelType w:val="singleLevel"/>
    <w:tmpl w:val="86EA1A2B"/>
    <w:lvl w:ilvl="0" w:tentative="0">
      <w:start w:val="1"/>
      <w:numFmt w:val="decimal"/>
      <w:suff w:val="space"/>
      <w:lvlText w:val="【%1】"/>
      <w:lvlJc w:val="left"/>
      <w:pPr>
        <w:ind w:left="0" w:firstLine="0"/>
      </w:pPr>
      <w:rPr>
        <w:rFonts w:hint="default"/>
      </w:rPr>
    </w:lvl>
  </w:abstractNum>
  <w:abstractNum w:abstractNumId="8">
    <w:nsid w:val="8739E8F0"/>
    <w:multiLevelType w:val="singleLevel"/>
    <w:tmpl w:val="8739E8F0"/>
    <w:lvl w:ilvl="0" w:tentative="0">
      <w:start w:val="1"/>
      <w:numFmt w:val="decimal"/>
      <w:suff w:val="space"/>
      <w:lvlText w:val="【%1】"/>
      <w:lvlJc w:val="left"/>
      <w:pPr>
        <w:ind w:left="0" w:firstLine="0"/>
      </w:pPr>
      <w:rPr>
        <w:rFonts w:hint="default"/>
      </w:rPr>
    </w:lvl>
  </w:abstractNum>
  <w:abstractNum w:abstractNumId="9">
    <w:nsid w:val="874C51EF"/>
    <w:multiLevelType w:val="singleLevel"/>
    <w:tmpl w:val="874C51EF"/>
    <w:lvl w:ilvl="0" w:tentative="0">
      <w:start w:val="1"/>
      <w:numFmt w:val="decimal"/>
      <w:suff w:val="space"/>
      <w:lvlText w:val=""/>
      <w:lvlJc w:val="left"/>
      <w:pPr>
        <w:ind w:left="0" w:firstLine="482"/>
      </w:pPr>
      <w:rPr>
        <w:rFonts w:hint="default"/>
      </w:rPr>
    </w:lvl>
  </w:abstractNum>
  <w:abstractNum w:abstractNumId="10">
    <w:nsid w:val="8780A424"/>
    <w:multiLevelType w:val="singleLevel"/>
    <w:tmpl w:val="8780A424"/>
    <w:lvl w:ilvl="0" w:tentative="0">
      <w:start w:val="1"/>
      <w:numFmt w:val="chineseCounting"/>
      <w:suff w:val="nothing"/>
      <w:lvlText w:val="%1、"/>
      <w:lvlJc w:val="left"/>
      <w:pPr>
        <w:ind w:left="0" w:firstLine="0"/>
      </w:pPr>
      <w:rPr>
        <w:rFonts w:hint="eastAsia"/>
      </w:rPr>
    </w:lvl>
  </w:abstractNum>
  <w:abstractNum w:abstractNumId="11">
    <w:nsid w:val="88372269"/>
    <w:multiLevelType w:val="singleLevel"/>
    <w:tmpl w:val="88372269"/>
    <w:lvl w:ilvl="0" w:tentative="0">
      <w:start w:val="1"/>
      <w:numFmt w:val="decimal"/>
      <w:suff w:val="space"/>
      <w:lvlText w:val=""/>
      <w:lvlJc w:val="left"/>
      <w:pPr>
        <w:ind w:left="0" w:firstLine="482"/>
      </w:pPr>
      <w:rPr>
        <w:rFonts w:hint="default"/>
      </w:rPr>
    </w:lvl>
  </w:abstractNum>
  <w:abstractNum w:abstractNumId="12">
    <w:nsid w:val="88C83874"/>
    <w:multiLevelType w:val="singleLevel"/>
    <w:tmpl w:val="88C83874"/>
    <w:lvl w:ilvl="0" w:tentative="0">
      <w:start w:val="1"/>
      <w:numFmt w:val="decimal"/>
      <w:suff w:val="space"/>
      <w:lvlText w:val="【%1】"/>
      <w:lvlJc w:val="left"/>
      <w:pPr>
        <w:ind w:left="0" w:firstLine="0"/>
      </w:pPr>
      <w:rPr>
        <w:rFonts w:hint="default"/>
      </w:rPr>
    </w:lvl>
  </w:abstractNum>
  <w:abstractNum w:abstractNumId="13">
    <w:nsid w:val="894ED6A5"/>
    <w:multiLevelType w:val="singleLevel"/>
    <w:tmpl w:val="894ED6A5"/>
    <w:lvl w:ilvl="0" w:tentative="0">
      <w:start w:val="1"/>
      <w:numFmt w:val="decimal"/>
      <w:suff w:val="space"/>
      <w:lvlText w:val=""/>
      <w:lvlJc w:val="left"/>
      <w:pPr>
        <w:ind w:left="0" w:firstLine="482"/>
      </w:pPr>
      <w:rPr>
        <w:rFonts w:hint="default"/>
      </w:rPr>
    </w:lvl>
  </w:abstractNum>
  <w:abstractNum w:abstractNumId="14">
    <w:nsid w:val="8C7E2EA9"/>
    <w:multiLevelType w:val="singleLevel"/>
    <w:tmpl w:val="8C7E2EA9"/>
    <w:lvl w:ilvl="0" w:tentative="0">
      <w:start w:val="1"/>
      <w:numFmt w:val="decimal"/>
      <w:suff w:val="space"/>
      <w:lvlText w:val=""/>
      <w:lvlJc w:val="left"/>
      <w:pPr>
        <w:ind w:left="0" w:firstLine="482"/>
      </w:pPr>
      <w:rPr>
        <w:rFonts w:hint="default"/>
      </w:rPr>
    </w:lvl>
  </w:abstractNum>
  <w:abstractNum w:abstractNumId="15">
    <w:nsid w:val="8E05F43A"/>
    <w:multiLevelType w:val="singleLevel"/>
    <w:tmpl w:val="8E05F43A"/>
    <w:lvl w:ilvl="0" w:tentative="0">
      <w:start w:val="1"/>
      <w:numFmt w:val="decimal"/>
      <w:suff w:val="space"/>
      <w:lvlText w:val="%1."/>
      <w:lvlJc w:val="left"/>
      <w:pPr>
        <w:ind w:left="0" w:firstLine="0"/>
      </w:pPr>
      <w:rPr>
        <w:rFonts w:hint="default"/>
      </w:rPr>
    </w:lvl>
  </w:abstractNum>
  <w:abstractNum w:abstractNumId="16">
    <w:nsid w:val="90776809"/>
    <w:multiLevelType w:val="multilevel"/>
    <w:tmpl w:val="907768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9121E8EF"/>
    <w:multiLevelType w:val="singleLevel"/>
    <w:tmpl w:val="9121E8EF"/>
    <w:lvl w:ilvl="0" w:tentative="0">
      <w:start w:val="1"/>
      <w:numFmt w:val="decimal"/>
      <w:suff w:val="space"/>
      <w:lvlText w:val=""/>
      <w:lvlJc w:val="left"/>
      <w:pPr>
        <w:ind w:left="0" w:firstLine="482"/>
      </w:pPr>
      <w:rPr>
        <w:rFonts w:hint="default"/>
      </w:rPr>
    </w:lvl>
  </w:abstractNum>
  <w:abstractNum w:abstractNumId="18">
    <w:nsid w:val="91F629E4"/>
    <w:multiLevelType w:val="singleLevel"/>
    <w:tmpl w:val="91F629E4"/>
    <w:lvl w:ilvl="0" w:tentative="0">
      <w:start w:val="1"/>
      <w:numFmt w:val="decimal"/>
      <w:suff w:val="space"/>
      <w:lvlText w:val="%1."/>
      <w:lvlJc w:val="left"/>
      <w:pPr>
        <w:ind w:left="0" w:firstLine="0"/>
      </w:pPr>
      <w:rPr>
        <w:rFonts w:hint="default"/>
      </w:rPr>
    </w:lvl>
  </w:abstractNum>
  <w:abstractNum w:abstractNumId="19">
    <w:nsid w:val="93163AA2"/>
    <w:multiLevelType w:val="singleLevel"/>
    <w:tmpl w:val="93163AA2"/>
    <w:lvl w:ilvl="0" w:tentative="0">
      <w:start w:val="1"/>
      <w:numFmt w:val="decimal"/>
      <w:suff w:val="space"/>
      <w:lvlText w:val=""/>
      <w:lvlJc w:val="left"/>
      <w:pPr>
        <w:ind w:left="0" w:firstLine="482"/>
      </w:pPr>
      <w:rPr>
        <w:rFonts w:hint="default"/>
      </w:rPr>
    </w:lvl>
  </w:abstractNum>
  <w:abstractNum w:abstractNumId="20">
    <w:nsid w:val="93AB7A85"/>
    <w:multiLevelType w:val="singleLevel"/>
    <w:tmpl w:val="93AB7A85"/>
    <w:lvl w:ilvl="0" w:tentative="0">
      <w:start w:val="1"/>
      <w:numFmt w:val="decimal"/>
      <w:suff w:val="space"/>
      <w:lvlText w:val=""/>
      <w:lvlJc w:val="left"/>
      <w:pPr>
        <w:ind w:left="0" w:firstLine="482"/>
      </w:pPr>
      <w:rPr>
        <w:rFonts w:hint="default"/>
      </w:rPr>
    </w:lvl>
  </w:abstractNum>
  <w:abstractNum w:abstractNumId="21">
    <w:nsid w:val="9437EAA2"/>
    <w:multiLevelType w:val="singleLevel"/>
    <w:tmpl w:val="9437EAA2"/>
    <w:lvl w:ilvl="0" w:tentative="0">
      <w:start w:val="1"/>
      <w:numFmt w:val="decimal"/>
      <w:suff w:val="space"/>
      <w:lvlText w:val="%1."/>
      <w:lvlJc w:val="left"/>
    </w:lvl>
  </w:abstractNum>
  <w:abstractNum w:abstractNumId="22">
    <w:nsid w:val="9448DE20"/>
    <w:multiLevelType w:val="singleLevel"/>
    <w:tmpl w:val="9448DE20"/>
    <w:lvl w:ilvl="0" w:tentative="0">
      <w:start w:val="1"/>
      <w:numFmt w:val="decimal"/>
      <w:suff w:val="space"/>
      <w:lvlText w:val="【%1】"/>
      <w:lvlJc w:val="left"/>
      <w:pPr>
        <w:ind w:left="0" w:firstLine="0"/>
      </w:pPr>
      <w:rPr>
        <w:rFonts w:hint="default"/>
      </w:rPr>
    </w:lvl>
  </w:abstractNum>
  <w:abstractNum w:abstractNumId="23">
    <w:nsid w:val="94D49AA1"/>
    <w:multiLevelType w:val="singleLevel"/>
    <w:tmpl w:val="94D49AA1"/>
    <w:lvl w:ilvl="0" w:tentative="0">
      <w:start w:val="1"/>
      <w:numFmt w:val="decimal"/>
      <w:suff w:val="space"/>
      <w:lvlText w:val=""/>
      <w:lvlJc w:val="left"/>
      <w:pPr>
        <w:ind w:left="0" w:firstLine="482"/>
      </w:pPr>
      <w:rPr>
        <w:rFonts w:hint="default"/>
      </w:rPr>
    </w:lvl>
  </w:abstractNum>
  <w:abstractNum w:abstractNumId="24">
    <w:nsid w:val="9616636A"/>
    <w:multiLevelType w:val="singleLevel"/>
    <w:tmpl w:val="9616636A"/>
    <w:lvl w:ilvl="0" w:tentative="0">
      <w:start w:val="1"/>
      <w:numFmt w:val="decimal"/>
      <w:suff w:val="space"/>
      <w:lvlText w:val=""/>
      <w:lvlJc w:val="left"/>
      <w:pPr>
        <w:ind w:left="0" w:firstLine="482"/>
      </w:pPr>
      <w:rPr>
        <w:rFonts w:hint="default"/>
      </w:rPr>
    </w:lvl>
  </w:abstractNum>
  <w:abstractNum w:abstractNumId="25">
    <w:nsid w:val="97737BDD"/>
    <w:multiLevelType w:val="singleLevel"/>
    <w:tmpl w:val="97737BDD"/>
    <w:lvl w:ilvl="0" w:tentative="0">
      <w:start w:val="1"/>
      <w:numFmt w:val="decimal"/>
      <w:suff w:val="space"/>
      <w:lvlText w:val=""/>
      <w:lvlJc w:val="left"/>
      <w:pPr>
        <w:ind w:left="0" w:firstLine="482"/>
      </w:pPr>
      <w:rPr>
        <w:rFonts w:hint="default"/>
      </w:rPr>
    </w:lvl>
  </w:abstractNum>
  <w:abstractNum w:abstractNumId="26">
    <w:nsid w:val="9801B642"/>
    <w:multiLevelType w:val="singleLevel"/>
    <w:tmpl w:val="9801B642"/>
    <w:lvl w:ilvl="0" w:tentative="0">
      <w:start w:val="1"/>
      <w:numFmt w:val="decimal"/>
      <w:suff w:val="space"/>
      <w:lvlText w:val="【%1】"/>
      <w:lvlJc w:val="left"/>
      <w:pPr>
        <w:ind w:left="0" w:firstLine="0"/>
      </w:pPr>
      <w:rPr>
        <w:rFonts w:hint="default"/>
      </w:rPr>
    </w:lvl>
  </w:abstractNum>
  <w:abstractNum w:abstractNumId="27">
    <w:nsid w:val="98C262C9"/>
    <w:multiLevelType w:val="singleLevel"/>
    <w:tmpl w:val="98C262C9"/>
    <w:lvl w:ilvl="0" w:tentative="0">
      <w:start w:val="1"/>
      <w:numFmt w:val="decimal"/>
      <w:suff w:val="space"/>
      <w:lvlText w:val="%1."/>
      <w:lvlJc w:val="left"/>
      <w:pPr>
        <w:ind w:left="0" w:firstLine="482"/>
      </w:pPr>
      <w:rPr>
        <w:rFonts w:hint="default"/>
      </w:rPr>
    </w:lvl>
  </w:abstractNum>
  <w:abstractNum w:abstractNumId="28">
    <w:nsid w:val="99DA73B3"/>
    <w:multiLevelType w:val="singleLevel"/>
    <w:tmpl w:val="99DA73B3"/>
    <w:lvl w:ilvl="0" w:tentative="0">
      <w:start w:val="1"/>
      <w:numFmt w:val="decimal"/>
      <w:suff w:val="space"/>
      <w:lvlText w:val="【%1】"/>
      <w:lvlJc w:val="left"/>
      <w:pPr>
        <w:ind w:left="0" w:firstLine="0"/>
      </w:pPr>
      <w:rPr>
        <w:rFonts w:hint="default"/>
      </w:rPr>
    </w:lvl>
  </w:abstractNum>
  <w:abstractNum w:abstractNumId="29">
    <w:nsid w:val="9A2216C5"/>
    <w:multiLevelType w:val="singleLevel"/>
    <w:tmpl w:val="9A2216C5"/>
    <w:lvl w:ilvl="0" w:tentative="0">
      <w:start w:val="1"/>
      <w:numFmt w:val="decimal"/>
      <w:suff w:val="space"/>
      <w:lvlText w:val=""/>
      <w:lvlJc w:val="left"/>
      <w:pPr>
        <w:ind w:left="0" w:firstLine="482"/>
      </w:pPr>
      <w:rPr>
        <w:rFonts w:hint="default"/>
      </w:rPr>
    </w:lvl>
  </w:abstractNum>
  <w:abstractNum w:abstractNumId="30">
    <w:nsid w:val="9A5B94E8"/>
    <w:multiLevelType w:val="singleLevel"/>
    <w:tmpl w:val="9A5B94E8"/>
    <w:lvl w:ilvl="0" w:tentative="0">
      <w:start w:val="1"/>
      <w:numFmt w:val="decimal"/>
      <w:suff w:val="space"/>
      <w:lvlText w:val="%1."/>
      <w:lvlJc w:val="left"/>
      <w:pPr>
        <w:ind w:left="0" w:firstLine="0"/>
      </w:pPr>
      <w:rPr>
        <w:rFonts w:hint="default"/>
      </w:rPr>
    </w:lvl>
  </w:abstractNum>
  <w:abstractNum w:abstractNumId="31">
    <w:nsid w:val="9B80752E"/>
    <w:multiLevelType w:val="singleLevel"/>
    <w:tmpl w:val="9B80752E"/>
    <w:lvl w:ilvl="0" w:tentative="0">
      <w:start w:val="1"/>
      <w:numFmt w:val="decimal"/>
      <w:suff w:val="space"/>
      <w:lvlText w:val=""/>
      <w:lvlJc w:val="left"/>
      <w:pPr>
        <w:ind w:left="0" w:firstLine="482"/>
      </w:pPr>
      <w:rPr>
        <w:rFonts w:hint="default"/>
      </w:rPr>
    </w:lvl>
  </w:abstractNum>
  <w:abstractNum w:abstractNumId="32">
    <w:nsid w:val="9BCCBD02"/>
    <w:multiLevelType w:val="singleLevel"/>
    <w:tmpl w:val="9BCCBD02"/>
    <w:lvl w:ilvl="0" w:tentative="0">
      <w:start w:val="1"/>
      <w:numFmt w:val="decimal"/>
      <w:suff w:val="space"/>
      <w:lvlText w:val=""/>
      <w:lvlJc w:val="left"/>
      <w:pPr>
        <w:ind w:left="0" w:firstLine="482"/>
      </w:pPr>
      <w:rPr>
        <w:rFonts w:hint="default"/>
      </w:rPr>
    </w:lvl>
  </w:abstractNum>
  <w:abstractNum w:abstractNumId="33">
    <w:nsid w:val="9C63BAD2"/>
    <w:multiLevelType w:val="singleLevel"/>
    <w:tmpl w:val="9C63BAD2"/>
    <w:lvl w:ilvl="0" w:tentative="0">
      <w:start w:val="1"/>
      <w:numFmt w:val="decimal"/>
      <w:suff w:val="space"/>
      <w:lvlText w:val=""/>
      <w:lvlJc w:val="left"/>
      <w:pPr>
        <w:ind w:left="0" w:firstLine="482"/>
      </w:pPr>
      <w:rPr>
        <w:rFonts w:hint="default"/>
      </w:rPr>
    </w:lvl>
  </w:abstractNum>
  <w:abstractNum w:abstractNumId="34">
    <w:nsid w:val="9C8EB453"/>
    <w:multiLevelType w:val="singleLevel"/>
    <w:tmpl w:val="9C8EB453"/>
    <w:lvl w:ilvl="0" w:tentative="0">
      <w:start w:val="1"/>
      <w:numFmt w:val="decimal"/>
      <w:suff w:val="space"/>
      <w:lvlText w:val="【%1】"/>
      <w:lvlJc w:val="left"/>
      <w:pPr>
        <w:ind w:left="0" w:firstLine="0"/>
      </w:pPr>
      <w:rPr>
        <w:rFonts w:hint="default"/>
      </w:rPr>
    </w:lvl>
  </w:abstractNum>
  <w:abstractNum w:abstractNumId="35">
    <w:nsid w:val="9F113490"/>
    <w:multiLevelType w:val="singleLevel"/>
    <w:tmpl w:val="9F113490"/>
    <w:lvl w:ilvl="0" w:tentative="0">
      <w:start w:val="1"/>
      <w:numFmt w:val="decimal"/>
      <w:suff w:val="space"/>
      <w:lvlText w:val="%1."/>
      <w:lvlJc w:val="left"/>
    </w:lvl>
  </w:abstractNum>
  <w:abstractNum w:abstractNumId="36">
    <w:nsid w:val="9F9B1FAA"/>
    <w:multiLevelType w:val="singleLevel"/>
    <w:tmpl w:val="9F9B1FAA"/>
    <w:lvl w:ilvl="0" w:tentative="0">
      <w:start w:val="1"/>
      <w:numFmt w:val="chineseCounting"/>
      <w:suff w:val="nothing"/>
      <w:lvlText w:val="%1、"/>
      <w:lvlJc w:val="left"/>
      <w:pPr>
        <w:ind w:left="0" w:firstLine="0"/>
      </w:pPr>
      <w:rPr>
        <w:rFonts w:hint="eastAsia"/>
      </w:rPr>
    </w:lvl>
  </w:abstractNum>
  <w:abstractNum w:abstractNumId="37">
    <w:nsid w:val="A0EA38E5"/>
    <w:multiLevelType w:val="singleLevel"/>
    <w:tmpl w:val="A0EA38E5"/>
    <w:lvl w:ilvl="0" w:tentative="0">
      <w:start w:val="1"/>
      <w:numFmt w:val="decimal"/>
      <w:suff w:val="space"/>
      <w:lvlText w:val="【%1】"/>
      <w:lvlJc w:val="left"/>
      <w:pPr>
        <w:ind w:left="0" w:firstLine="0"/>
      </w:pPr>
      <w:rPr>
        <w:rFonts w:hint="default"/>
      </w:rPr>
    </w:lvl>
  </w:abstractNum>
  <w:abstractNum w:abstractNumId="38">
    <w:nsid w:val="A3067F8E"/>
    <w:multiLevelType w:val="singleLevel"/>
    <w:tmpl w:val="A3067F8E"/>
    <w:lvl w:ilvl="0" w:tentative="0">
      <w:start w:val="1"/>
      <w:numFmt w:val="decimal"/>
      <w:suff w:val="space"/>
      <w:lvlText w:val="【%1】"/>
      <w:lvlJc w:val="left"/>
      <w:pPr>
        <w:ind w:left="0" w:firstLine="0"/>
      </w:pPr>
      <w:rPr>
        <w:rFonts w:hint="default"/>
      </w:rPr>
    </w:lvl>
  </w:abstractNum>
  <w:abstractNum w:abstractNumId="39">
    <w:nsid w:val="A41D6A06"/>
    <w:multiLevelType w:val="singleLevel"/>
    <w:tmpl w:val="A41D6A06"/>
    <w:lvl w:ilvl="0" w:tentative="0">
      <w:start w:val="1"/>
      <w:numFmt w:val="decimal"/>
      <w:suff w:val="space"/>
      <w:lvlText w:val=""/>
      <w:lvlJc w:val="left"/>
      <w:pPr>
        <w:ind w:left="0" w:firstLine="482"/>
      </w:pPr>
      <w:rPr>
        <w:rFonts w:hint="default"/>
      </w:rPr>
    </w:lvl>
  </w:abstractNum>
  <w:abstractNum w:abstractNumId="40">
    <w:nsid w:val="A7CA51FE"/>
    <w:multiLevelType w:val="singleLevel"/>
    <w:tmpl w:val="A7CA51FE"/>
    <w:lvl w:ilvl="0" w:tentative="0">
      <w:start w:val="1"/>
      <w:numFmt w:val="decimal"/>
      <w:suff w:val="space"/>
      <w:lvlText w:val="【%1】"/>
      <w:lvlJc w:val="left"/>
      <w:pPr>
        <w:ind w:left="0" w:firstLine="0"/>
      </w:pPr>
      <w:rPr>
        <w:rFonts w:hint="default"/>
      </w:rPr>
    </w:lvl>
  </w:abstractNum>
  <w:abstractNum w:abstractNumId="41">
    <w:nsid w:val="A9854430"/>
    <w:multiLevelType w:val="singleLevel"/>
    <w:tmpl w:val="A9854430"/>
    <w:lvl w:ilvl="0" w:tentative="0">
      <w:start w:val="1"/>
      <w:numFmt w:val="decimal"/>
      <w:suff w:val="space"/>
      <w:lvlText w:val="%1."/>
      <w:lvlJc w:val="left"/>
    </w:lvl>
  </w:abstractNum>
  <w:abstractNum w:abstractNumId="42">
    <w:nsid w:val="AA2DFE47"/>
    <w:multiLevelType w:val="singleLevel"/>
    <w:tmpl w:val="AA2DFE47"/>
    <w:lvl w:ilvl="0" w:tentative="0">
      <w:start w:val="1"/>
      <w:numFmt w:val="decimal"/>
      <w:suff w:val="space"/>
      <w:lvlText w:val=""/>
      <w:lvlJc w:val="left"/>
      <w:pPr>
        <w:ind w:left="0" w:firstLine="482"/>
      </w:pPr>
      <w:rPr>
        <w:rFonts w:hint="default"/>
      </w:rPr>
    </w:lvl>
  </w:abstractNum>
  <w:abstractNum w:abstractNumId="43">
    <w:nsid w:val="AC93C784"/>
    <w:multiLevelType w:val="singleLevel"/>
    <w:tmpl w:val="AC93C784"/>
    <w:lvl w:ilvl="0" w:tentative="0">
      <w:start w:val="1"/>
      <w:numFmt w:val="decimal"/>
      <w:suff w:val="space"/>
      <w:lvlText w:val=""/>
      <w:lvlJc w:val="left"/>
      <w:pPr>
        <w:ind w:left="0" w:firstLine="482"/>
      </w:pPr>
      <w:rPr>
        <w:rFonts w:hint="default"/>
      </w:rPr>
    </w:lvl>
  </w:abstractNum>
  <w:abstractNum w:abstractNumId="44">
    <w:nsid w:val="ADDA889F"/>
    <w:multiLevelType w:val="singleLevel"/>
    <w:tmpl w:val="ADDA889F"/>
    <w:lvl w:ilvl="0" w:tentative="0">
      <w:start w:val="1"/>
      <w:numFmt w:val="decimal"/>
      <w:suff w:val="space"/>
      <w:lvlText w:val=""/>
      <w:lvlJc w:val="left"/>
      <w:pPr>
        <w:ind w:left="0" w:firstLine="482"/>
      </w:pPr>
      <w:rPr>
        <w:rFonts w:hint="default"/>
      </w:rPr>
    </w:lvl>
  </w:abstractNum>
  <w:abstractNum w:abstractNumId="45">
    <w:nsid w:val="AF8151C9"/>
    <w:multiLevelType w:val="singleLevel"/>
    <w:tmpl w:val="AF8151C9"/>
    <w:lvl w:ilvl="0" w:tentative="0">
      <w:start w:val="1"/>
      <w:numFmt w:val="decimal"/>
      <w:suff w:val="space"/>
      <w:lvlText w:val=""/>
      <w:lvlJc w:val="left"/>
      <w:pPr>
        <w:ind w:left="0" w:firstLine="482"/>
      </w:pPr>
      <w:rPr>
        <w:rFonts w:hint="default"/>
      </w:rPr>
    </w:lvl>
  </w:abstractNum>
  <w:abstractNum w:abstractNumId="46">
    <w:nsid w:val="AFCCCA87"/>
    <w:multiLevelType w:val="singleLevel"/>
    <w:tmpl w:val="AFCCCA87"/>
    <w:lvl w:ilvl="0" w:tentative="0">
      <w:start w:val="1"/>
      <w:numFmt w:val="decimal"/>
      <w:suff w:val="space"/>
      <w:lvlText w:val=""/>
      <w:lvlJc w:val="left"/>
      <w:pPr>
        <w:ind w:left="0" w:firstLine="482"/>
      </w:pPr>
      <w:rPr>
        <w:rFonts w:hint="default"/>
      </w:rPr>
    </w:lvl>
  </w:abstractNum>
  <w:abstractNum w:abstractNumId="47">
    <w:nsid w:val="B04D49AE"/>
    <w:multiLevelType w:val="singleLevel"/>
    <w:tmpl w:val="B04D49AE"/>
    <w:lvl w:ilvl="0" w:tentative="0">
      <w:start w:val="1"/>
      <w:numFmt w:val="decimal"/>
      <w:suff w:val="space"/>
      <w:lvlText w:val=""/>
      <w:lvlJc w:val="left"/>
      <w:pPr>
        <w:ind w:left="0" w:firstLine="482"/>
      </w:pPr>
      <w:rPr>
        <w:rFonts w:hint="default"/>
      </w:rPr>
    </w:lvl>
  </w:abstractNum>
  <w:abstractNum w:abstractNumId="48">
    <w:nsid w:val="B0C880EB"/>
    <w:multiLevelType w:val="singleLevel"/>
    <w:tmpl w:val="B0C880EB"/>
    <w:lvl w:ilvl="0" w:tentative="0">
      <w:start w:val="1"/>
      <w:numFmt w:val="decimal"/>
      <w:suff w:val="space"/>
      <w:lvlText w:val=""/>
      <w:lvlJc w:val="left"/>
      <w:pPr>
        <w:ind w:left="0" w:firstLine="482"/>
      </w:pPr>
      <w:rPr>
        <w:rFonts w:hint="default"/>
      </w:rPr>
    </w:lvl>
  </w:abstractNum>
  <w:abstractNum w:abstractNumId="49">
    <w:nsid w:val="B22256EE"/>
    <w:multiLevelType w:val="singleLevel"/>
    <w:tmpl w:val="B22256EE"/>
    <w:lvl w:ilvl="0" w:tentative="0">
      <w:start w:val="1"/>
      <w:numFmt w:val="decimal"/>
      <w:suff w:val="space"/>
      <w:lvlText w:val=""/>
      <w:lvlJc w:val="left"/>
      <w:pPr>
        <w:ind w:left="0" w:firstLine="482"/>
      </w:pPr>
      <w:rPr>
        <w:rFonts w:hint="default"/>
      </w:rPr>
    </w:lvl>
  </w:abstractNum>
  <w:abstractNum w:abstractNumId="50">
    <w:nsid w:val="B28BE648"/>
    <w:multiLevelType w:val="singleLevel"/>
    <w:tmpl w:val="B28BE648"/>
    <w:lvl w:ilvl="0" w:tentative="0">
      <w:start w:val="1"/>
      <w:numFmt w:val="decimal"/>
      <w:suff w:val="space"/>
      <w:lvlText w:val=""/>
      <w:lvlJc w:val="left"/>
      <w:pPr>
        <w:ind w:left="0" w:firstLine="482"/>
      </w:pPr>
      <w:rPr>
        <w:rFonts w:hint="default"/>
      </w:rPr>
    </w:lvl>
  </w:abstractNum>
  <w:abstractNum w:abstractNumId="51">
    <w:nsid w:val="B2BFCCE0"/>
    <w:multiLevelType w:val="singleLevel"/>
    <w:tmpl w:val="B2BFCCE0"/>
    <w:lvl w:ilvl="0" w:tentative="0">
      <w:start w:val="1"/>
      <w:numFmt w:val="decimal"/>
      <w:suff w:val="space"/>
      <w:lvlText w:val="【%1】"/>
      <w:lvlJc w:val="left"/>
      <w:pPr>
        <w:ind w:left="0" w:firstLine="0"/>
      </w:pPr>
      <w:rPr>
        <w:rFonts w:hint="default"/>
      </w:rPr>
    </w:lvl>
  </w:abstractNum>
  <w:abstractNum w:abstractNumId="52">
    <w:nsid w:val="B30BFAE3"/>
    <w:multiLevelType w:val="singleLevel"/>
    <w:tmpl w:val="B30BFAE3"/>
    <w:lvl w:ilvl="0" w:tentative="0">
      <w:start w:val="1"/>
      <w:numFmt w:val="decimal"/>
      <w:suff w:val="space"/>
      <w:lvlText w:val="%1."/>
      <w:lvlJc w:val="left"/>
    </w:lvl>
  </w:abstractNum>
  <w:abstractNum w:abstractNumId="53">
    <w:nsid w:val="B35A5435"/>
    <w:multiLevelType w:val="singleLevel"/>
    <w:tmpl w:val="B35A5435"/>
    <w:lvl w:ilvl="0" w:tentative="0">
      <w:start w:val="1"/>
      <w:numFmt w:val="decimal"/>
      <w:suff w:val="space"/>
      <w:lvlText w:val=""/>
      <w:lvlJc w:val="left"/>
      <w:pPr>
        <w:ind w:left="0" w:firstLine="482"/>
      </w:pPr>
      <w:rPr>
        <w:rFonts w:hint="default"/>
      </w:rPr>
    </w:lvl>
  </w:abstractNum>
  <w:abstractNum w:abstractNumId="54">
    <w:nsid w:val="B48EAF7B"/>
    <w:multiLevelType w:val="singleLevel"/>
    <w:tmpl w:val="B48EAF7B"/>
    <w:lvl w:ilvl="0" w:tentative="0">
      <w:start w:val="1"/>
      <w:numFmt w:val="decimal"/>
      <w:suff w:val="space"/>
      <w:lvlText w:val=""/>
      <w:lvlJc w:val="left"/>
      <w:pPr>
        <w:ind w:left="0" w:firstLine="482"/>
      </w:pPr>
      <w:rPr>
        <w:rFonts w:hint="default"/>
      </w:rPr>
    </w:lvl>
  </w:abstractNum>
  <w:abstractNum w:abstractNumId="55">
    <w:nsid w:val="B4C90ECC"/>
    <w:multiLevelType w:val="singleLevel"/>
    <w:tmpl w:val="B4C90ECC"/>
    <w:lvl w:ilvl="0" w:tentative="0">
      <w:start w:val="1"/>
      <w:numFmt w:val="decimal"/>
      <w:suff w:val="space"/>
      <w:lvlText w:val=""/>
      <w:lvlJc w:val="left"/>
      <w:pPr>
        <w:ind w:left="0" w:firstLine="482"/>
      </w:pPr>
      <w:rPr>
        <w:rFonts w:hint="default"/>
      </w:rPr>
    </w:lvl>
  </w:abstractNum>
  <w:abstractNum w:abstractNumId="56">
    <w:nsid w:val="B4C9B943"/>
    <w:multiLevelType w:val="singleLevel"/>
    <w:tmpl w:val="B4C9B943"/>
    <w:lvl w:ilvl="0" w:tentative="0">
      <w:start w:val="1"/>
      <w:numFmt w:val="decimal"/>
      <w:suff w:val="space"/>
      <w:lvlText w:val="【%1】"/>
      <w:lvlJc w:val="left"/>
      <w:pPr>
        <w:ind w:left="0" w:firstLine="0"/>
      </w:pPr>
      <w:rPr>
        <w:rFonts w:hint="default"/>
      </w:rPr>
    </w:lvl>
  </w:abstractNum>
  <w:abstractNum w:abstractNumId="57">
    <w:nsid w:val="B553E780"/>
    <w:multiLevelType w:val="singleLevel"/>
    <w:tmpl w:val="B553E780"/>
    <w:lvl w:ilvl="0" w:tentative="0">
      <w:start w:val="1"/>
      <w:numFmt w:val="decimal"/>
      <w:suff w:val="space"/>
      <w:lvlText w:val="【%1】"/>
      <w:lvlJc w:val="left"/>
      <w:pPr>
        <w:ind w:left="0" w:firstLine="0"/>
      </w:pPr>
      <w:rPr>
        <w:rFonts w:hint="default"/>
      </w:rPr>
    </w:lvl>
  </w:abstractNum>
  <w:abstractNum w:abstractNumId="58">
    <w:nsid w:val="B59620D3"/>
    <w:multiLevelType w:val="singleLevel"/>
    <w:tmpl w:val="B59620D3"/>
    <w:lvl w:ilvl="0" w:tentative="0">
      <w:start w:val="1"/>
      <w:numFmt w:val="decimal"/>
      <w:suff w:val="space"/>
      <w:lvlText w:val="【%1】"/>
      <w:lvlJc w:val="left"/>
      <w:pPr>
        <w:ind w:left="0" w:firstLine="0"/>
      </w:pPr>
      <w:rPr>
        <w:rFonts w:hint="default"/>
      </w:rPr>
    </w:lvl>
  </w:abstractNum>
  <w:abstractNum w:abstractNumId="59">
    <w:nsid w:val="B5C311DC"/>
    <w:multiLevelType w:val="singleLevel"/>
    <w:tmpl w:val="B5C311DC"/>
    <w:lvl w:ilvl="0" w:tentative="0">
      <w:start w:val="1"/>
      <w:numFmt w:val="decimal"/>
      <w:suff w:val="space"/>
      <w:lvlText w:val=""/>
      <w:lvlJc w:val="left"/>
      <w:pPr>
        <w:ind w:left="0" w:firstLine="482"/>
      </w:pPr>
      <w:rPr>
        <w:rFonts w:hint="default"/>
      </w:rPr>
    </w:lvl>
  </w:abstractNum>
  <w:abstractNum w:abstractNumId="60">
    <w:nsid w:val="B65793F7"/>
    <w:multiLevelType w:val="singleLevel"/>
    <w:tmpl w:val="B65793F7"/>
    <w:lvl w:ilvl="0" w:tentative="0">
      <w:start w:val="1"/>
      <w:numFmt w:val="decimal"/>
      <w:suff w:val="space"/>
      <w:lvlText w:val=""/>
      <w:lvlJc w:val="left"/>
      <w:pPr>
        <w:ind w:left="0" w:firstLine="482"/>
      </w:pPr>
      <w:rPr>
        <w:rFonts w:hint="default"/>
      </w:rPr>
    </w:lvl>
  </w:abstractNum>
  <w:abstractNum w:abstractNumId="61">
    <w:nsid w:val="B71ADD81"/>
    <w:multiLevelType w:val="singleLevel"/>
    <w:tmpl w:val="B71ADD81"/>
    <w:lvl w:ilvl="0" w:tentative="0">
      <w:start w:val="1"/>
      <w:numFmt w:val="decimal"/>
      <w:suff w:val="space"/>
      <w:lvlText w:val="【%1】"/>
      <w:lvlJc w:val="left"/>
      <w:pPr>
        <w:ind w:left="0" w:firstLine="0"/>
      </w:pPr>
      <w:rPr>
        <w:rFonts w:hint="default"/>
      </w:rPr>
    </w:lvl>
  </w:abstractNum>
  <w:abstractNum w:abstractNumId="62">
    <w:nsid w:val="B73178AC"/>
    <w:multiLevelType w:val="singleLevel"/>
    <w:tmpl w:val="B73178AC"/>
    <w:lvl w:ilvl="0" w:tentative="0">
      <w:start w:val="1"/>
      <w:numFmt w:val="decimal"/>
      <w:suff w:val="space"/>
      <w:lvlText w:val=""/>
      <w:lvlJc w:val="left"/>
      <w:pPr>
        <w:ind w:left="0" w:firstLine="482"/>
      </w:pPr>
      <w:rPr>
        <w:rFonts w:hint="default"/>
      </w:rPr>
    </w:lvl>
  </w:abstractNum>
  <w:abstractNum w:abstractNumId="63">
    <w:nsid w:val="B83988F1"/>
    <w:multiLevelType w:val="singleLevel"/>
    <w:tmpl w:val="B83988F1"/>
    <w:lvl w:ilvl="0" w:tentative="0">
      <w:start w:val="1"/>
      <w:numFmt w:val="decimal"/>
      <w:suff w:val="space"/>
      <w:lvlText w:val="3.%1"/>
      <w:lvlJc w:val="left"/>
      <w:pPr>
        <w:ind w:left="0" w:firstLine="0"/>
      </w:pPr>
      <w:rPr>
        <w:rFonts w:hint="default"/>
      </w:rPr>
    </w:lvl>
  </w:abstractNum>
  <w:abstractNum w:abstractNumId="64">
    <w:nsid w:val="B95D45D7"/>
    <w:multiLevelType w:val="singleLevel"/>
    <w:tmpl w:val="B95D45D7"/>
    <w:lvl w:ilvl="0" w:tentative="0">
      <w:start w:val="1"/>
      <w:numFmt w:val="decimal"/>
      <w:suff w:val="space"/>
      <w:lvlText w:val="【%1】"/>
      <w:lvlJc w:val="left"/>
      <w:pPr>
        <w:ind w:left="0" w:firstLine="0"/>
      </w:pPr>
      <w:rPr>
        <w:rFonts w:hint="default"/>
      </w:rPr>
    </w:lvl>
  </w:abstractNum>
  <w:abstractNum w:abstractNumId="65">
    <w:nsid w:val="B982AEB1"/>
    <w:multiLevelType w:val="singleLevel"/>
    <w:tmpl w:val="B982AEB1"/>
    <w:lvl w:ilvl="0" w:tentative="0">
      <w:start w:val="1"/>
      <w:numFmt w:val="decimal"/>
      <w:suff w:val="space"/>
      <w:lvlText w:val=""/>
      <w:lvlJc w:val="left"/>
      <w:pPr>
        <w:ind w:left="0" w:firstLine="482"/>
      </w:pPr>
      <w:rPr>
        <w:rFonts w:hint="default"/>
      </w:rPr>
    </w:lvl>
  </w:abstractNum>
  <w:abstractNum w:abstractNumId="66">
    <w:nsid w:val="B9B12C72"/>
    <w:multiLevelType w:val="singleLevel"/>
    <w:tmpl w:val="B9B12C72"/>
    <w:lvl w:ilvl="0" w:tentative="0">
      <w:start w:val="1"/>
      <w:numFmt w:val="decimal"/>
      <w:suff w:val="space"/>
      <w:lvlText w:val=""/>
      <w:lvlJc w:val="left"/>
      <w:pPr>
        <w:ind w:left="0" w:firstLine="482"/>
      </w:pPr>
      <w:rPr>
        <w:rFonts w:hint="default"/>
      </w:rPr>
    </w:lvl>
  </w:abstractNum>
  <w:abstractNum w:abstractNumId="67">
    <w:nsid w:val="BB0192BE"/>
    <w:multiLevelType w:val="singleLevel"/>
    <w:tmpl w:val="BB0192BE"/>
    <w:lvl w:ilvl="0" w:tentative="0">
      <w:start w:val="1"/>
      <w:numFmt w:val="decimal"/>
      <w:suff w:val="space"/>
      <w:lvlText w:val=""/>
      <w:lvlJc w:val="left"/>
      <w:pPr>
        <w:ind w:left="0" w:firstLine="482"/>
      </w:pPr>
      <w:rPr>
        <w:rFonts w:hint="default"/>
      </w:rPr>
    </w:lvl>
  </w:abstractNum>
  <w:abstractNum w:abstractNumId="68">
    <w:nsid w:val="BD301A4C"/>
    <w:multiLevelType w:val="singleLevel"/>
    <w:tmpl w:val="BD301A4C"/>
    <w:lvl w:ilvl="0" w:tentative="0">
      <w:start w:val="1"/>
      <w:numFmt w:val="decimal"/>
      <w:suff w:val="space"/>
      <w:lvlText w:val=""/>
      <w:lvlJc w:val="left"/>
      <w:pPr>
        <w:ind w:left="0" w:firstLine="482"/>
      </w:pPr>
      <w:rPr>
        <w:rFonts w:hint="default"/>
      </w:rPr>
    </w:lvl>
  </w:abstractNum>
  <w:abstractNum w:abstractNumId="69">
    <w:nsid w:val="BD5E3785"/>
    <w:multiLevelType w:val="singleLevel"/>
    <w:tmpl w:val="BD5E3785"/>
    <w:lvl w:ilvl="0" w:tentative="0">
      <w:start w:val="1"/>
      <w:numFmt w:val="decimal"/>
      <w:suff w:val="space"/>
      <w:lvlText w:val="%1."/>
      <w:lvlJc w:val="left"/>
    </w:lvl>
  </w:abstractNum>
  <w:abstractNum w:abstractNumId="70">
    <w:nsid w:val="BF433A8A"/>
    <w:multiLevelType w:val="singleLevel"/>
    <w:tmpl w:val="BF433A8A"/>
    <w:lvl w:ilvl="0" w:tentative="0">
      <w:start w:val="1"/>
      <w:numFmt w:val="decimal"/>
      <w:suff w:val="space"/>
      <w:lvlText w:val=""/>
      <w:lvlJc w:val="left"/>
      <w:pPr>
        <w:ind w:left="0" w:firstLine="482"/>
      </w:pPr>
      <w:rPr>
        <w:rFonts w:hint="default"/>
      </w:rPr>
    </w:lvl>
  </w:abstractNum>
  <w:abstractNum w:abstractNumId="71">
    <w:nsid w:val="BF69FDDF"/>
    <w:multiLevelType w:val="singleLevel"/>
    <w:tmpl w:val="BF69FDDF"/>
    <w:lvl w:ilvl="0" w:tentative="0">
      <w:start w:val="1"/>
      <w:numFmt w:val="decimal"/>
      <w:suff w:val="space"/>
      <w:lvlText w:val="【%1】"/>
      <w:lvlJc w:val="left"/>
      <w:pPr>
        <w:ind w:left="0" w:firstLine="0"/>
      </w:pPr>
      <w:rPr>
        <w:rFonts w:hint="default"/>
      </w:rPr>
    </w:lvl>
  </w:abstractNum>
  <w:abstractNum w:abstractNumId="72">
    <w:nsid w:val="C05179C8"/>
    <w:multiLevelType w:val="singleLevel"/>
    <w:tmpl w:val="C05179C8"/>
    <w:lvl w:ilvl="0" w:tentative="0">
      <w:start w:val="1"/>
      <w:numFmt w:val="decimal"/>
      <w:suff w:val="space"/>
      <w:lvlText w:val=""/>
      <w:lvlJc w:val="left"/>
      <w:pPr>
        <w:ind w:left="0" w:firstLine="482"/>
      </w:pPr>
      <w:rPr>
        <w:rFonts w:hint="default"/>
      </w:rPr>
    </w:lvl>
  </w:abstractNum>
  <w:abstractNum w:abstractNumId="73">
    <w:nsid w:val="C35CB0E8"/>
    <w:multiLevelType w:val="singleLevel"/>
    <w:tmpl w:val="C35CB0E8"/>
    <w:lvl w:ilvl="0" w:tentative="0">
      <w:start w:val="1"/>
      <w:numFmt w:val="decimal"/>
      <w:suff w:val="space"/>
      <w:lvlText w:val=""/>
      <w:lvlJc w:val="left"/>
      <w:pPr>
        <w:ind w:left="0" w:firstLine="482"/>
      </w:pPr>
      <w:rPr>
        <w:rFonts w:hint="default"/>
      </w:rPr>
    </w:lvl>
  </w:abstractNum>
  <w:abstractNum w:abstractNumId="74">
    <w:nsid w:val="C4CA2D91"/>
    <w:multiLevelType w:val="singleLevel"/>
    <w:tmpl w:val="C4CA2D91"/>
    <w:lvl w:ilvl="0" w:tentative="0">
      <w:start w:val="1"/>
      <w:numFmt w:val="decimal"/>
      <w:suff w:val="space"/>
      <w:lvlText w:val="【%1】"/>
      <w:lvlJc w:val="left"/>
      <w:pPr>
        <w:ind w:left="0" w:firstLine="0"/>
      </w:pPr>
      <w:rPr>
        <w:rFonts w:hint="default"/>
      </w:rPr>
    </w:lvl>
  </w:abstractNum>
  <w:abstractNum w:abstractNumId="75">
    <w:nsid w:val="C579A508"/>
    <w:multiLevelType w:val="singleLevel"/>
    <w:tmpl w:val="C579A508"/>
    <w:lvl w:ilvl="0" w:tentative="0">
      <w:start w:val="1"/>
      <w:numFmt w:val="decimal"/>
      <w:suff w:val="space"/>
      <w:lvlText w:val="【%1】"/>
      <w:lvlJc w:val="left"/>
      <w:pPr>
        <w:ind w:left="0" w:firstLine="0"/>
      </w:pPr>
      <w:rPr>
        <w:rFonts w:hint="default"/>
      </w:rPr>
    </w:lvl>
  </w:abstractNum>
  <w:abstractNum w:abstractNumId="76">
    <w:nsid w:val="C58455AB"/>
    <w:multiLevelType w:val="singleLevel"/>
    <w:tmpl w:val="C58455AB"/>
    <w:lvl w:ilvl="0" w:tentative="0">
      <w:start w:val="1"/>
      <w:numFmt w:val="decimal"/>
      <w:suff w:val="space"/>
      <w:lvlText w:val="%1."/>
      <w:lvlJc w:val="left"/>
    </w:lvl>
  </w:abstractNum>
  <w:abstractNum w:abstractNumId="77">
    <w:nsid w:val="C8E49426"/>
    <w:multiLevelType w:val="singleLevel"/>
    <w:tmpl w:val="C8E49426"/>
    <w:lvl w:ilvl="0" w:tentative="0">
      <w:start w:val="1"/>
      <w:numFmt w:val="decimal"/>
      <w:suff w:val="space"/>
      <w:lvlText w:val=""/>
      <w:lvlJc w:val="left"/>
      <w:pPr>
        <w:ind w:left="0" w:firstLine="482"/>
      </w:pPr>
      <w:rPr>
        <w:rFonts w:hint="default"/>
      </w:rPr>
    </w:lvl>
  </w:abstractNum>
  <w:abstractNum w:abstractNumId="78">
    <w:nsid w:val="C915FDB9"/>
    <w:multiLevelType w:val="singleLevel"/>
    <w:tmpl w:val="C915FDB9"/>
    <w:lvl w:ilvl="0" w:tentative="0">
      <w:start w:val="1"/>
      <w:numFmt w:val="decimal"/>
      <w:suff w:val="space"/>
      <w:lvlText w:val="%1."/>
      <w:lvlJc w:val="left"/>
      <w:pPr>
        <w:ind w:left="0" w:firstLine="482"/>
      </w:pPr>
      <w:rPr>
        <w:rFonts w:hint="default"/>
      </w:rPr>
    </w:lvl>
  </w:abstractNum>
  <w:abstractNum w:abstractNumId="79">
    <w:nsid w:val="C9587F91"/>
    <w:multiLevelType w:val="singleLevel"/>
    <w:tmpl w:val="C9587F91"/>
    <w:lvl w:ilvl="0" w:tentative="0">
      <w:start w:val="1"/>
      <w:numFmt w:val="chineseCounting"/>
      <w:suff w:val="nothing"/>
      <w:lvlText w:val="%1、"/>
      <w:lvlJc w:val="left"/>
      <w:pPr>
        <w:ind w:left="0" w:firstLine="0"/>
      </w:pPr>
      <w:rPr>
        <w:rFonts w:hint="eastAsia"/>
      </w:rPr>
    </w:lvl>
  </w:abstractNum>
  <w:abstractNum w:abstractNumId="80">
    <w:nsid w:val="C9588399"/>
    <w:multiLevelType w:val="singleLevel"/>
    <w:tmpl w:val="C9588399"/>
    <w:lvl w:ilvl="0" w:tentative="0">
      <w:start w:val="1"/>
      <w:numFmt w:val="decimal"/>
      <w:suff w:val="space"/>
      <w:lvlText w:val="3.%1"/>
      <w:lvlJc w:val="left"/>
      <w:pPr>
        <w:ind w:left="0" w:firstLine="0"/>
      </w:pPr>
      <w:rPr>
        <w:rFonts w:hint="default"/>
      </w:rPr>
    </w:lvl>
  </w:abstractNum>
  <w:abstractNum w:abstractNumId="81">
    <w:nsid w:val="CC6E6983"/>
    <w:multiLevelType w:val="singleLevel"/>
    <w:tmpl w:val="CC6E6983"/>
    <w:lvl w:ilvl="0" w:tentative="0">
      <w:start w:val="1"/>
      <w:numFmt w:val="decimal"/>
      <w:suff w:val="space"/>
      <w:lvlText w:val=""/>
      <w:lvlJc w:val="left"/>
      <w:pPr>
        <w:ind w:left="0" w:firstLine="482"/>
      </w:pPr>
      <w:rPr>
        <w:rFonts w:hint="default"/>
      </w:rPr>
    </w:lvl>
  </w:abstractNum>
  <w:abstractNum w:abstractNumId="82">
    <w:nsid w:val="CD156D07"/>
    <w:multiLevelType w:val="singleLevel"/>
    <w:tmpl w:val="CD156D07"/>
    <w:lvl w:ilvl="0" w:tentative="0">
      <w:start w:val="1"/>
      <w:numFmt w:val="chineseCounting"/>
      <w:suff w:val="nothing"/>
      <w:lvlText w:val="%1、"/>
      <w:lvlJc w:val="left"/>
      <w:pPr>
        <w:ind w:left="0" w:firstLine="0"/>
      </w:pPr>
      <w:rPr>
        <w:rFonts w:hint="eastAsia"/>
      </w:rPr>
    </w:lvl>
  </w:abstractNum>
  <w:abstractNum w:abstractNumId="83">
    <w:nsid w:val="CD5C6D69"/>
    <w:multiLevelType w:val="singleLevel"/>
    <w:tmpl w:val="CD5C6D69"/>
    <w:lvl w:ilvl="0" w:tentative="0">
      <w:start w:val="1"/>
      <w:numFmt w:val="decimal"/>
      <w:suff w:val="space"/>
      <w:lvlText w:val="%1."/>
      <w:lvlJc w:val="left"/>
    </w:lvl>
  </w:abstractNum>
  <w:abstractNum w:abstractNumId="84">
    <w:nsid w:val="CF1DA336"/>
    <w:multiLevelType w:val="singleLevel"/>
    <w:tmpl w:val="CF1DA336"/>
    <w:lvl w:ilvl="0" w:tentative="0">
      <w:start w:val="1"/>
      <w:numFmt w:val="decimal"/>
      <w:suff w:val="space"/>
      <w:lvlText w:val=""/>
      <w:lvlJc w:val="left"/>
      <w:pPr>
        <w:ind w:left="0" w:firstLine="482"/>
      </w:pPr>
      <w:rPr>
        <w:rFonts w:hint="default"/>
      </w:rPr>
    </w:lvl>
  </w:abstractNum>
  <w:abstractNum w:abstractNumId="85">
    <w:nsid w:val="D2AB9CE1"/>
    <w:multiLevelType w:val="singleLevel"/>
    <w:tmpl w:val="D2AB9CE1"/>
    <w:lvl w:ilvl="0" w:tentative="0">
      <w:start w:val="1"/>
      <w:numFmt w:val="decimal"/>
      <w:suff w:val="space"/>
      <w:lvlText w:val="【%1】"/>
      <w:lvlJc w:val="left"/>
      <w:pPr>
        <w:ind w:left="0" w:firstLine="0"/>
      </w:pPr>
      <w:rPr>
        <w:rFonts w:hint="default"/>
      </w:rPr>
    </w:lvl>
  </w:abstractNum>
  <w:abstractNum w:abstractNumId="86">
    <w:nsid w:val="D315E69F"/>
    <w:multiLevelType w:val="singleLevel"/>
    <w:tmpl w:val="D315E69F"/>
    <w:lvl w:ilvl="0" w:tentative="0">
      <w:start w:val="1"/>
      <w:numFmt w:val="decimal"/>
      <w:suff w:val="space"/>
      <w:lvlText w:val="【%1】"/>
      <w:lvlJc w:val="left"/>
      <w:pPr>
        <w:ind w:left="0" w:firstLine="0"/>
      </w:pPr>
      <w:rPr>
        <w:rFonts w:hint="default"/>
      </w:rPr>
    </w:lvl>
  </w:abstractNum>
  <w:abstractNum w:abstractNumId="87">
    <w:nsid w:val="D3D84700"/>
    <w:multiLevelType w:val="singleLevel"/>
    <w:tmpl w:val="D3D84700"/>
    <w:lvl w:ilvl="0" w:tentative="0">
      <w:start w:val="1"/>
      <w:numFmt w:val="decimal"/>
      <w:suff w:val="space"/>
      <w:lvlText w:val=""/>
      <w:lvlJc w:val="left"/>
      <w:pPr>
        <w:ind w:left="0" w:firstLine="482"/>
      </w:pPr>
      <w:rPr>
        <w:rFonts w:hint="default"/>
      </w:rPr>
    </w:lvl>
  </w:abstractNum>
  <w:abstractNum w:abstractNumId="88">
    <w:nsid w:val="D5C3CEE5"/>
    <w:multiLevelType w:val="singleLevel"/>
    <w:tmpl w:val="D5C3CEE5"/>
    <w:lvl w:ilvl="0" w:tentative="0">
      <w:start w:val="1"/>
      <w:numFmt w:val="decimal"/>
      <w:suff w:val="space"/>
      <w:lvlText w:val=""/>
      <w:lvlJc w:val="left"/>
      <w:pPr>
        <w:ind w:left="0" w:firstLine="482"/>
      </w:pPr>
      <w:rPr>
        <w:rFonts w:hint="default"/>
      </w:rPr>
    </w:lvl>
  </w:abstractNum>
  <w:abstractNum w:abstractNumId="89">
    <w:nsid w:val="D65C585F"/>
    <w:multiLevelType w:val="singleLevel"/>
    <w:tmpl w:val="D65C585F"/>
    <w:lvl w:ilvl="0" w:tentative="0">
      <w:start w:val="1"/>
      <w:numFmt w:val="decimal"/>
      <w:suff w:val="space"/>
      <w:lvlText w:val=""/>
      <w:lvlJc w:val="left"/>
      <w:pPr>
        <w:ind w:left="0" w:firstLine="482"/>
      </w:pPr>
      <w:rPr>
        <w:rFonts w:hint="default"/>
      </w:rPr>
    </w:lvl>
  </w:abstractNum>
  <w:abstractNum w:abstractNumId="90">
    <w:nsid w:val="D68174D4"/>
    <w:multiLevelType w:val="singleLevel"/>
    <w:tmpl w:val="D68174D4"/>
    <w:lvl w:ilvl="0" w:tentative="0">
      <w:start w:val="1"/>
      <w:numFmt w:val="decimal"/>
      <w:suff w:val="space"/>
      <w:lvlText w:val=""/>
      <w:lvlJc w:val="left"/>
      <w:pPr>
        <w:ind w:left="0" w:firstLine="482"/>
      </w:pPr>
      <w:rPr>
        <w:rFonts w:hint="default"/>
      </w:rPr>
    </w:lvl>
  </w:abstractNum>
  <w:abstractNum w:abstractNumId="91">
    <w:nsid w:val="D71D3A07"/>
    <w:multiLevelType w:val="singleLevel"/>
    <w:tmpl w:val="D71D3A07"/>
    <w:lvl w:ilvl="0" w:tentative="0">
      <w:start w:val="1"/>
      <w:numFmt w:val="decimal"/>
      <w:suff w:val="space"/>
      <w:lvlText w:val="%1."/>
      <w:lvlJc w:val="left"/>
      <w:pPr>
        <w:ind w:left="0" w:firstLine="0"/>
      </w:pPr>
      <w:rPr>
        <w:rFonts w:hint="default"/>
      </w:rPr>
    </w:lvl>
  </w:abstractNum>
  <w:abstractNum w:abstractNumId="92">
    <w:nsid w:val="D9994D54"/>
    <w:multiLevelType w:val="singleLevel"/>
    <w:tmpl w:val="D9994D54"/>
    <w:lvl w:ilvl="0" w:tentative="0">
      <w:start w:val="1"/>
      <w:numFmt w:val="decimal"/>
      <w:suff w:val="space"/>
      <w:lvlText w:val=""/>
      <w:lvlJc w:val="left"/>
      <w:pPr>
        <w:ind w:left="0" w:firstLine="482"/>
      </w:pPr>
      <w:rPr>
        <w:rFonts w:hint="default"/>
      </w:rPr>
    </w:lvl>
  </w:abstractNum>
  <w:abstractNum w:abstractNumId="93">
    <w:nsid w:val="DA30F3DF"/>
    <w:multiLevelType w:val="singleLevel"/>
    <w:tmpl w:val="DA30F3DF"/>
    <w:lvl w:ilvl="0" w:tentative="0">
      <w:start w:val="1"/>
      <w:numFmt w:val="decimal"/>
      <w:suff w:val="space"/>
      <w:lvlText w:val="【%1】"/>
      <w:lvlJc w:val="left"/>
      <w:pPr>
        <w:ind w:left="0" w:firstLine="0"/>
      </w:pPr>
      <w:rPr>
        <w:rFonts w:hint="default"/>
      </w:rPr>
    </w:lvl>
  </w:abstractNum>
  <w:abstractNum w:abstractNumId="94">
    <w:nsid w:val="DB2CA80F"/>
    <w:multiLevelType w:val="singleLevel"/>
    <w:tmpl w:val="DB2CA80F"/>
    <w:lvl w:ilvl="0" w:tentative="0">
      <w:start w:val="1"/>
      <w:numFmt w:val="decimal"/>
      <w:suff w:val="space"/>
      <w:lvlText w:val=""/>
      <w:lvlJc w:val="left"/>
      <w:pPr>
        <w:ind w:left="0" w:firstLine="482"/>
      </w:pPr>
      <w:rPr>
        <w:rFonts w:hint="default"/>
      </w:rPr>
    </w:lvl>
  </w:abstractNum>
  <w:abstractNum w:abstractNumId="95">
    <w:nsid w:val="DB58C874"/>
    <w:multiLevelType w:val="singleLevel"/>
    <w:tmpl w:val="DB58C874"/>
    <w:lvl w:ilvl="0" w:tentative="0">
      <w:start w:val="1"/>
      <w:numFmt w:val="decimal"/>
      <w:suff w:val="space"/>
      <w:lvlText w:val=""/>
      <w:lvlJc w:val="left"/>
      <w:pPr>
        <w:ind w:left="0" w:firstLine="482"/>
      </w:pPr>
      <w:rPr>
        <w:rFonts w:hint="default"/>
      </w:rPr>
    </w:lvl>
  </w:abstractNum>
  <w:abstractNum w:abstractNumId="96">
    <w:nsid w:val="DBB2E18B"/>
    <w:multiLevelType w:val="singleLevel"/>
    <w:tmpl w:val="DBB2E18B"/>
    <w:lvl w:ilvl="0" w:tentative="0">
      <w:start w:val="1"/>
      <w:numFmt w:val="decimal"/>
      <w:suff w:val="space"/>
      <w:lvlText w:val="%1."/>
      <w:lvlJc w:val="left"/>
      <w:pPr>
        <w:ind w:left="0" w:firstLine="0"/>
      </w:pPr>
      <w:rPr>
        <w:rFonts w:hint="default"/>
      </w:rPr>
    </w:lvl>
  </w:abstractNum>
  <w:abstractNum w:abstractNumId="97">
    <w:nsid w:val="DC827992"/>
    <w:multiLevelType w:val="singleLevel"/>
    <w:tmpl w:val="DC827992"/>
    <w:lvl w:ilvl="0" w:tentative="0">
      <w:start w:val="1"/>
      <w:numFmt w:val="decimal"/>
      <w:suff w:val="space"/>
      <w:lvlText w:val="【%1】"/>
      <w:lvlJc w:val="left"/>
      <w:pPr>
        <w:ind w:left="0" w:firstLine="0"/>
      </w:pPr>
      <w:rPr>
        <w:rFonts w:hint="default"/>
      </w:rPr>
    </w:lvl>
  </w:abstractNum>
  <w:abstractNum w:abstractNumId="98">
    <w:nsid w:val="DEF23186"/>
    <w:multiLevelType w:val="singleLevel"/>
    <w:tmpl w:val="DEF23186"/>
    <w:lvl w:ilvl="0" w:tentative="0">
      <w:start w:val="1"/>
      <w:numFmt w:val="decimal"/>
      <w:suff w:val="space"/>
      <w:lvlText w:val="【%1】"/>
      <w:lvlJc w:val="left"/>
      <w:pPr>
        <w:ind w:left="0" w:firstLine="0"/>
      </w:pPr>
      <w:rPr>
        <w:rFonts w:hint="default"/>
      </w:rPr>
    </w:lvl>
  </w:abstractNum>
  <w:abstractNum w:abstractNumId="99">
    <w:nsid w:val="E0F23399"/>
    <w:multiLevelType w:val="singleLevel"/>
    <w:tmpl w:val="E0F23399"/>
    <w:lvl w:ilvl="0" w:tentative="0">
      <w:start w:val="1"/>
      <w:numFmt w:val="decimal"/>
      <w:suff w:val="space"/>
      <w:lvlText w:val=""/>
      <w:lvlJc w:val="left"/>
      <w:pPr>
        <w:ind w:left="0" w:firstLine="482"/>
      </w:pPr>
      <w:rPr>
        <w:rFonts w:hint="default"/>
      </w:rPr>
    </w:lvl>
  </w:abstractNum>
  <w:abstractNum w:abstractNumId="100">
    <w:nsid w:val="E144FCDE"/>
    <w:multiLevelType w:val="singleLevel"/>
    <w:tmpl w:val="E144FCDE"/>
    <w:lvl w:ilvl="0" w:tentative="0">
      <w:start w:val="1"/>
      <w:numFmt w:val="decimal"/>
      <w:suff w:val="space"/>
      <w:lvlText w:val="%1."/>
      <w:lvlJc w:val="left"/>
      <w:pPr>
        <w:ind w:left="0" w:firstLine="0"/>
      </w:pPr>
      <w:rPr>
        <w:rFonts w:hint="default"/>
      </w:rPr>
    </w:lvl>
  </w:abstractNum>
  <w:abstractNum w:abstractNumId="101">
    <w:nsid w:val="E15FB9C5"/>
    <w:multiLevelType w:val="singleLevel"/>
    <w:tmpl w:val="E15FB9C5"/>
    <w:lvl w:ilvl="0" w:tentative="0">
      <w:start w:val="1"/>
      <w:numFmt w:val="decimal"/>
      <w:suff w:val="space"/>
      <w:lvlText w:val="%1."/>
      <w:lvlJc w:val="left"/>
    </w:lvl>
  </w:abstractNum>
  <w:abstractNum w:abstractNumId="102">
    <w:nsid w:val="E2F49B89"/>
    <w:multiLevelType w:val="singleLevel"/>
    <w:tmpl w:val="E2F49B89"/>
    <w:lvl w:ilvl="0" w:tentative="0">
      <w:start w:val="1"/>
      <w:numFmt w:val="decimal"/>
      <w:suff w:val="space"/>
      <w:lvlText w:val=""/>
      <w:lvlJc w:val="left"/>
      <w:pPr>
        <w:ind w:left="0" w:firstLine="482"/>
      </w:pPr>
      <w:rPr>
        <w:rFonts w:hint="default"/>
      </w:rPr>
    </w:lvl>
  </w:abstractNum>
  <w:abstractNum w:abstractNumId="103">
    <w:nsid w:val="E316BC5F"/>
    <w:multiLevelType w:val="singleLevel"/>
    <w:tmpl w:val="E316BC5F"/>
    <w:lvl w:ilvl="0" w:tentative="0">
      <w:start w:val="1"/>
      <w:numFmt w:val="chineseCounting"/>
      <w:suff w:val="nothing"/>
      <w:lvlText w:val="%1、"/>
      <w:lvlJc w:val="left"/>
      <w:pPr>
        <w:ind w:left="0" w:firstLine="0"/>
      </w:pPr>
      <w:rPr>
        <w:rFonts w:hint="eastAsia"/>
      </w:rPr>
    </w:lvl>
  </w:abstractNum>
  <w:abstractNum w:abstractNumId="104">
    <w:nsid w:val="E37F2C1B"/>
    <w:multiLevelType w:val="singleLevel"/>
    <w:tmpl w:val="E37F2C1B"/>
    <w:lvl w:ilvl="0" w:tentative="0">
      <w:start w:val="1"/>
      <w:numFmt w:val="decimal"/>
      <w:suff w:val="space"/>
      <w:lvlText w:val=""/>
      <w:lvlJc w:val="left"/>
      <w:pPr>
        <w:ind w:left="0" w:firstLine="482"/>
      </w:pPr>
      <w:rPr>
        <w:rFonts w:hint="default"/>
      </w:rPr>
    </w:lvl>
  </w:abstractNum>
  <w:abstractNum w:abstractNumId="105">
    <w:nsid w:val="E544E9C6"/>
    <w:multiLevelType w:val="singleLevel"/>
    <w:tmpl w:val="E544E9C6"/>
    <w:lvl w:ilvl="0" w:tentative="0">
      <w:start w:val="1"/>
      <w:numFmt w:val="decimal"/>
      <w:suff w:val="space"/>
      <w:lvlText w:val=""/>
      <w:lvlJc w:val="left"/>
      <w:pPr>
        <w:ind w:left="0" w:firstLine="482"/>
      </w:pPr>
      <w:rPr>
        <w:rFonts w:hint="default"/>
      </w:rPr>
    </w:lvl>
  </w:abstractNum>
  <w:abstractNum w:abstractNumId="106">
    <w:nsid w:val="E775A454"/>
    <w:multiLevelType w:val="singleLevel"/>
    <w:tmpl w:val="E775A454"/>
    <w:lvl w:ilvl="0" w:tentative="0">
      <w:start w:val="1"/>
      <w:numFmt w:val="decimal"/>
      <w:suff w:val="space"/>
      <w:lvlText w:val=""/>
      <w:lvlJc w:val="left"/>
      <w:pPr>
        <w:ind w:left="0" w:firstLine="482"/>
      </w:pPr>
      <w:rPr>
        <w:rFonts w:hint="default"/>
      </w:rPr>
    </w:lvl>
  </w:abstractNum>
  <w:abstractNum w:abstractNumId="107">
    <w:nsid w:val="E823D58D"/>
    <w:multiLevelType w:val="singleLevel"/>
    <w:tmpl w:val="E823D58D"/>
    <w:lvl w:ilvl="0" w:tentative="0">
      <w:start w:val="1"/>
      <w:numFmt w:val="decimal"/>
      <w:suff w:val="space"/>
      <w:lvlText w:val="【%1】"/>
      <w:lvlJc w:val="left"/>
      <w:pPr>
        <w:ind w:left="0" w:firstLine="0"/>
      </w:pPr>
      <w:rPr>
        <w:rFonts w:hint="default"/>
      </w:rPr>
    </w:lvl>
  </w:abstractNum>
  <w:abstractNum w:abstractNumId="108">
    <w:nsid w:val="E987FADC"/>
    <w:multiLevelType w:val="singleLevel"/>
    <w:tmpl w:val="E987FADC"/>
    <w:lvl w:ilvl="0" w:tentative="0">
      <w:start w:val="1"/>
      <w:numFmt w:val="decimal"/>
      <w:suff w:val="space"/>
      <w:lvlText w:val=""/>
      <w:lvlJc w:val="left"/>
      <w:pPr>
        <w:ind w:left="0" w:firstLine="482"/>
      </w:pPr>
      <w:rPr>
        <w:rFonts w:hint="default"/>
      </w:rPr>
    </w:lvl>
  </w:abstractNum>
  <w:abstractNum w:abstractNumId="109">
    <w:nsid w:val="E9A77239"/>
    <w:multiLevelType w:val="singleLevel"/>
    <w:tmpl w:val="E9A77239"/>
    <w:lvl w:ilvl="0" w:tentative="0">
      <w:start w:val="1"/>
      <w:numFmt w:val="decimal"/>
      <w:suff w:val="space"/>
      <w:lvlText w:val=""/>
      <w:lvlJc w:val="left"/>
      <w:pPr>
        <w:ind w:left="0" w:firstLine="482"/>
      </w:pPr>
      <w:rPr>
        <w:rFonts w:hint="default"/>
      </w:rPr>
    </w:lvl>
  </w:abstractNum>
  <w:abstractNum w:abstractNumId="110">
    <w:nsid w:val="EA3A8247"/>
    <w:multiLevelType w:val="singleLevel"/>
    <w:tmpl w:val="EA3A8247"/>
    <w:lvl w:ilvl="0" w:tentative="0">
      <w:start w:val="1"/>
      <w:numFmt w:val="decimal"/>
      <w:suff w:val="space"/>
      <w:lvlText w:val=""/>
      <w:lvlJc w:val="left"/>
      <w:pPr>
        <w:ind w:left="0" w:firstLine="482"/>
      </w:pPr>
      <w:rPr>
        <w:rFonts w:hint="default"/>
      </w:rPr>
    </w:lvl>
  </w:abstractNum>
  <w:abstractNum w:abstractNumId="111">
    <w:nsid w:val="EA4D1C42"/>
    <w:multiLevelType w:val="singleLevel"/>
    <w:tmpl w:val="EA4D1C42"/>
    <w:lvl w:ilvl="0" w:tentative="0">
      <w:start w:val="1"/>
      <w:numFmt w:val="decimal"/>
      <w:suff w:val="space"/>
      <w:lvlText w:val=""/>
      <w:lvlJc w:val="left"/>
      <w:pPr>
        <w:ind w:left="0" w:firstLine="482"/>
      </w:pPr>
      <w:rPr>
        <w:rFonts w:hint="default"/>
      </w:rPr>
    </w:lvl>
  </w:abstractNum>
  <w:abstractNum w:abstractNumId="112">
    <w:nsid w:val="ED5C8809"/>
    <w:multiLevelType w:val="singleLevel"/>
    <w:tmpl w:val="ED5C8809"/>
    <w:lvl w:ilvl="0" w:tentative="0">
      <w:start w:val="1"/>
      <w:numFmt w:val="decimal"/>
      <w:suff w:val="space"/>
      <w:lvlText w:val="【%1】"/>
      <w:lvlJc w:val="left"/>
      <w:pPr>
        <w:ind w:left="0" w:firstLine="0"/>
      </w:pPr>
      <w:rPr>
        <w:rFonts w:hint="default"/>
      </w:rPr>
    </w:lvl>
  </w:abstractNum>
  <w:abstractNum w:abstractNumId="113">
    <w:nsid w:val="ED930978"/>
    <w:multiLevelType w:val="singleLevel"/>
    <w:tmpl w:val="ED930978"/>
    <w:lvl w:ilvl="0" w:tentative="0">
      <w:start w:val="1"/>
      <w:numFmt w:val="decimal"/>
      <w:suff w:val="space"/>
      <w:lvlText w:val=""/>
      <w:lvlJc w:val="left"/>
      <w:pPr>
        <w:ind w:left="0" w:firstLine="482"/>
      </w:pPr>
      <w:rPr>
        <w:rFonts w:hint="default"/>
      </w:rPr>
    </w:lvl>
  </w:abstractNum>
  <w:abstractNum w:abstractNumId="114">
    <w:nsid w:val="F0F98369"/>
    <w:multiLevelType w:val="singleLevel"/>
    <w:tmpl w:val="F0F98369"/>
    <w:lvl w:ilvl="0" w:tentative="0">
      <w:start w:val="1"/>
      <w:numFmt w:val="decimal"/>
      <w:suff w:val="space"/>
      <w:lvlText w:val="%1."/>
      <w:lvlJc w:val="left"/>
    </w:lvl>
  </w:abstractNum>
  <w:abstractNum w:abstractNumId="115">
    <w:nsid w:val="F1518D6B"/>
    <w:multiLevelType w:val="singleLevel"/>
    <w:tmpl w:val="F1518D6B"/>
    <w:lvl w:ilvl="0" w:tentative="0">
      <w:start w:val="1"/>
      <w:numFmt w:val="decimal"/>
      <w:suff w:val="space"/>
      <w:lvlText w:val=""/>
      <w:lvlJc w:val="left"/>
      <w:pPr>
        <w:ind w:left="0" w:firstLine="482"/>
      </w:pPr>
      <w:rPr>
        <w:rFonts w:hint="default"/>
      </w:rPr>
    </w:lvl>
  </w:abstractNum>
  <w:abstractNum w:abstractNumId="116">
    <w:nsid w:val="F375DEBC"/>
    <w:multiLevelType w:val="singleLevel"/>
    <w:tmpl w:val="F375DEBC"/>
    <w:lvl w:ilvl="0" w:tentative="0">
      <w:start w:val="1"/>
      <w:numFmt w:val="decimal"/>
      <w:suff w:val="space"/>
      <w:lvlText w:val=""/>
      <w:lvlJc w:val="left"/>
      <w:pPr>
        <w:ind w:left="0" w:firstLine="482"/>
      </w:pPr>
      <w:rPr>
        <w:rFonts w:hint="default"/>
      </w:rPr>
    </w:lvl>
  </w:abstractNum>
  <w:abstractNum w:abstractNumId="117">
    <w:nsid w:val="F5CD62E9"/>
    <w:multiLevelType w:val="singleLevel"/>
    <w:tmpl w:val="F5CD62E9"/>
    <w:lvl w:ilvl="0" w:tentative="0">
      <w:start w:val="1"/>
      <w:numFmt w:val="decimal"/>
      <w:suff w:val="space"/>
      <w:lvlText w:val=""/>
      <w:lvlJc w:val="left"/>
      <w:pPr>
        <w:ind w:left="0" w:firstLine="482"/>
      </w:pPr>
      <w:rPr>
        <w:rFonts w:hint="default"/>
      </w:rPr>
    </w:lvl>
  </w:abstractNum>
  <w:abstractNum w:abstractNumId="118">
    <w:nsid w:val="F69F0795"/>
    <w:multiLevelType w:val="singleLevel"/>
    <w:tmpl w:val="F69F0795"/>
    <w:lvl w:ilvl="0" w:tentative="0">
      <w:start w:val="1"/>
      <w:numFmt w:val="decimal"/>
      <w:suff w:val="space"/>
      <w:lvlText w:val="【%1】"/>
      <w:lvlJc w:val="left"/>
      <w:pPr>
        <w:ind w:left="0" w:firstLine="0"/>
      </w:pPr>
      <w:rPr>
        <w:rFonts w:hint="default"/>
      </w:rPr>
    </w:lvl>
  </w:abstractNum>
  <w:abstractNum w:abstractNumId="119">
    <w:nsid w:val="F772D5ED"/>
    <w:multiLevelType w:val="singleLevel"/>
    <w:tmpl w:val="F772D5ED"/>
    <w:lvl w:ilvl="0" w:tentative="0">
      <w:start w:val="1"/>
      <w:numFmt w:val="decimal"/>
      <w:suff w:val="space"/>
      <w:lvlText w:val=""/>
      <w:lvlJc w:val="left"/>
      <w:pPr>
        <w:ind w:left="0" w:firstLine="482"/>
      </w:pPr>
      <w:rPr>
        <w:rFonts w:hint="default"/>
      </w:rPr>
    </w:lvl>
  </w:abstractNum>
  <w:abstractNum w:abstractNumId="120">
    <w:nsid w:val="F8FD28C5"/>
    <w:multiLevelType w:val="singleLevel"/>
    <w:tmpl w:val="F8FD28C5"/>
    <w:lvl w:ilvl="0" w:tentative="0">
      <w:start w:val="1"/>
      <w:numFmt w:val="decimal"/>
      <w:suff w:val="space"/>
      <w:lvlText w:val="%1."/>
      <w:lvlJc w:val="left"/>
      <w:pPr>
        <w:ind w:left="0" w:firstLine="0"/>
      </w:pPr>
      <w:rPr>
        <w:rFonts w:hint="default"/>
      </w:rPr>
    </w:lvl>
  </w:abstractNum>
  <w:abstractNum w:abstractNumId="121">
    <w:nsid w:val="F9698DD7"/>
    <w:multiLevelType w:val="singleLevel"/>
    <w:tmpl w:val="F9698DD7"/>
    <w:lvl w:ilvl="0" w:tentative="0">
      <w:start w:val="1"/>
      <w:numFmt w:val="chineseCounting"/>
      <w:suff w:val="nothing"/>
      <w:lvlText w:val="%1、"/>
      <w:lvlJc w:val="left"/>
      <w:pPr>
        <w:ind w:left="0" w:firstLine="0"/>
      </w:pPr>
      <w:rPr>
        <w:rFonts w:hint="eastAsia"/>
      </w:rPr>
    </w:lvl>
  </w:abstractNum>
  <w:abstractNum w:abstractNumId="122">
    <w:nsid w:val="F9B60A4E"/>
    <w:multiLevelType w:val="singleLevel"/>
    <w:tmpl w:val="F9B60A4E"/>
    <w:lvl w:ilvl="0" w:tentative="0">
      <w:start w:val="1"/>
      <w:numFmt w:val="decimal"/>
      <w:suff w:val="space"/>
      <w:lvlText w:val=""/>
      <w:lvlJc w:val="left"/>
      <w:pPr>
        <w:ind w:left="0" w:firstLine="482"/>
      </w:pPr>
      <w:rPr>
        <w:rFonts w:hint="default"/>
      </w:rPr>
    </w:lvl>
  </w:abstractNum>
  <w:abstractNum w:abstractNumId="123">
    <w:nsid w:val="F9B7CC4F"/>
    <w:multiLevelType w:val="singleLevel"/>
    <w:tmpl w:val="F9B7CC4F"/>
    <w:lvl w:ilvl="0" w:tentative="0">
      <w:start w:val="1"/>
      <w:numFmt w:val="decimal"/>
      <w:suff w:val="space"/>
      <w:lvlText w:val=""/>
      <w:lvlJc w:val="left"/>
      <w:pPr>
        <w:ind w:left="0" w:firstLine="482"/>
      </w:pPr>
      <w:rPr>
        <w:rFonts w:hint="default"/>
      </w:rPr>
    </w:lvl>
  </w:abstractNum>
  <w:abstractNum w:abstractNumId="124">
    <w:nsid w:val="FAB0F375"/>
    <w:multiLevelType w:val="singleLevel"/>
    <w:tmpl w:val="FAB0F375"/>
    <w:lvl w:ilvl="0" w:tentative="0">
      <w:start w:val="1"/>
      <w:numFmt w:val="decimal"/>
      <w:suff w:val="space"/>
      <w:lvlText w:val=""/>
      <w:lvlJc w:val="left"/>
      <w:pPr>
        <w:ind w:left="0" w:firstLine="482"/>
      </w:pPr>
      <w:rPr>
        <w:rFonts w:hint="default"/>
      </w:rPr>
    </w:lvl>
  </w:abstractNum>
  <w:abstractNum w:abstractNumId="125">
    <w:nsid w:val="FDF9D6E5"/>
    <w:multiLevelType w:val="singleLevel"/>
    <w:tmpl w:val="FDF9D6E5"/>
    <w:lvl w:ilvl="0" w:tentative="0">
      <w:start w:val="1"/>
      <w:numFmt w:val="decimal"/>
      <w:suff w:val="space"/>
      <w:lvlText w:val=""/>
      <w:lvlJc w:val="left"/>
      <w:pPr>
        <w:ind w:left="0" w:firstLine="482"/>
      </w:pPr>
      <w:rPr>
        <w:rFonts w:hint="default"/>
      </w:rPr>
    </w:lvl>
  </w:abstractNum>
  <w:abstractNum w:abstractNumId="126">
    <w:nsid w:val="FE31E588"/>
    <w:multiLevelType w:val="singleLevel"/>
    <w:tmpl w:val="FE31E588"/>
    <w:lvl w:ilvl="0" w:tentative="0">
      <w:start w:val="1"/>
      <w:numFmt w:val="decimal"/>
      <w:suff w:val="space"/>
      <w:lvlText w:val=""/>
      <w:lvlJc w:val="left"/>
      <w:pPr>
        <w:ind w:left="0" w:firstLine="482"/>
      </w:pPr>
      <w:rPr>
        <w:rFonts w:hint="default"/>
      </w:rPr>
    </w:lvl>
  </w:abstractNum>
  <w:abstractNum w:abstractNumId="127">
    <w:nsid w:val="FF4538C5"/>
    <w:multiLevelType w:val="singleLevel"/>
    <w:tmpl w:val="FF4538C5"/>
    <w:lvl w:ilvl="0" w:tentative="0">
      <w:start w:val="1"/>
      <w:numFmt w:val="decimal"/>
      <w:suff w:val="space"/>
      <w:lvlText w:val=""/>
      <w:lvlJc w:val="left"/>
      <w:pPr>
        <w:ind w:left="0" w:firstLine="482"/>
      </w:pPr>
      <w:rPr>
        <w:rFonts w:hint="default"/>
      </w:rPr>
    </w:lvl>
  </w:abstractNum>
  <w:abstractNum w:abstractNumId="128">
    <w:nsid w:val="FF62D596"/>
    <w:multiLevelType w:val="singleLevel"/>
    <w:tmpl w:val="FF62D596"/>
    <w:lvl w:ilvl="0" w:tentative="0">
      <w:start w:val="1"/>
      <w:numFmt w:val="decimal"/>
      <w:suff w:val="space"/>
      <w:lvlText w:val=""/>
      <w:lvlJc w:val="left"/>
      <w:pPr>
        <w:ind w:left="0" w:firstLine="482"/>
      </w:pPr>
      <w:rPr>
        <w:rFonts w:hint="default"/>
      </w:rPr>
    </w:lvl>
  </w:abstractNum>
  <w:abstractNum w:abstractNumId="129">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30">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131">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132">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33">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34">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35">
    <w:nsid w:val="00A347C8"/>
    <w:multiLevelType w:val="singleLevel"/>
    <w:tmpl w:val="00A347C8"/>
    <w:lvl w:ilvl="0" w:tentative="0">
      <w:start w:val="1"/>
      <w:numFmt w:val="decimal"/>
      <w:suff w:val="space"/>
      <w:lvlText w:val="【%1】"/>
      <w:lvlJc w:val="left"/>
      <w:pPr>
        <w:ind w:left="0" w:firstLine="0"/>
      </w:pPr>
      <w:rPr>
        <w:rFonts w:hint="default"/>
      </w:rPr>
    </w:lvl>
  </w:abstractNum>
  <w:abstractNum w:abstractNumId="136">
    <w:nsid w:val="01E4EEBF"/>
    <w:multiLevelType w:val="singleLevel"/>
    <w:tmpl w:val="01E4EEBF"/>
    <w:lvl w:ilvl="0" w:tentative="0">
      <w:start w:val="1"/>
      <w:numFmt w:val="decimal"/>
      <w:suff w:val="space"/>
      <w:lvlText w:val="【%1】"/>
      <w:lvlJc w:val="left"/>
      <w:pPr>
        <w:ind w:left="0" w:firstLine="0"/>
      </w:pPr>
      <w:rPr>
        <w:rFonts w:hint="default"/>
      </w:rPr>
    </w:lvl>
  </w:abstractNum>
  <w:abstractNum w:abstractNumId="137">
    <w:nsid w:val="02CB2F52"/>
    <w:multiLevelType w:val="singleLevel"/>
    <w:tmpl w:val="02CB2F52"/>
    <w:lvl w:ilvl="0" w:tentative="0">
      <w:start w:val="1"/>
      <w:numFmt w:val="decimal"/>
      <w:suff w:val="space"/>
      <w:lvlText w:val=""/>
      <w:lvlJc w:val="left"/>
      <w:pPr>
        <w:ind w:left="0" w:firstLine="482"/>
      </w:pPr>
      <w:rPr>
        <w:rFonts w:hint="default"/>
      </w:rPr>
    </w:lvl>
  </w:abstractNum>
  <w:abstractNum w:abstractNumId="138">
    <w:nsid w:val="048D8799"/>
    <w:multiLevelType w:val="singleLevel"/>
    <w:tmpl w:val="048D8799"/>
    <w:lvl w:ilvl="0" w:tentative="0">
      <w:start w:val="1"/>
      <w:numFmt w:val="decimal"/>
      <w:suff w:val="space"/>
      <w:lvlText w:val="【%1】"/>
      <w:lvlJc w:val="left"/>
      <w:pPr>
        <w:ind w:left="0" w:firstLine="0"/>
      </w:pPr>
      <w:rPr>
        <w:rFonts w:hint="default"/>
      </w:rPr>
    </w:lvl>
  </w:abstractNum>
  <w:abstractNum w:abstractNumId="139">
    <w:nsid w:val="076D0A84"/>
    <w:multiLevelType w:val="singleLevel"/>
    <w:tmpl w:val="076D0A84"/>
    <w:lvl w:ilvl="0" w:tentative="0">
      <w:start w:val="1"/>
      <w:numFmt w:val="decimal"/>
      <w:suff w:val="space"/>
      <w:lvlText w:val=""/>
      <w:lvlJc w:val="left"/>
      <w:pPr>
        <w:ind w:left="0" w:firstLine="482"/>
      </w:pPr>
      <w:rPr>
        <w:rFonts w:hint="default"/>
      </w:rPr>
    </w:lvl>
  </w:abstractNum>
  <w:abstractNum w:abstractNumId="140">
    <w:nsid w:val="0817D429"/>
    <w:multiLevelType w:val="singleLevel"/>
    <w:tmpl w:val="0817D429"/>
    <w:lvl w:ilvl="0" w:tentative="0">
      <w:start w:val="1"/>
      <w:numFmt w:val="decimal"/>
      <w:suff w:val="space"/>
      <w:lvlText w:val=""/>
      <w:lvlJc w:val="left"/>
      <w:pPr>
        <w:ind w:left="0" w:firstLine="482"/>
      </w:pPr>
      <w:rPr>
        <w:rFonts w:hint="default"/>
      </w:rPr>
    </w:lvl>
  </w:abstractNum>
  <w:abstractNum w:abstractNumId="141">
    <w:nsid w:val="08C54EDF"/>
    <w:multiLevelType w:val="singleLevel"/>
    <w:tmpl w:val="08C54EDF"/>
    <w:lvl w:ilvl="0" w:tentative="0">
      <w:start w:val="1"/>
      <w:numFmt w:val="decimal"/>
      <w:suff w:val="space"/>
      <w:lvlText w:val="%1."/>
      <w:lvlJc w:val="left"/>
      <w:pPr>
        <w:ind w:left="0" w:firstLine="0"/>
      </w:pPr>
      <w:rPr>
        <w:rFonts w:hint="default"/>
      </w:rPr>
    </w:lvl>
  </w:abstractNum>
  <w:abstractNum w:abstractNumId="142">
    <w:nsid w:val="0DC317BD"/>
    <w:multiLevelType w:val="singleLevel"/>
    <w:tmpl w:val="0DC317BD"/>
    <w:lvl w:ilvl="0" w:tentative="0">
      <w:start w:val="1"/>
      <w:numFmt w:val="decimal"/>
      <w:suff w:val="space"/>
      <w:lvlText w:val=""/>
      <w:lvlJc w:val="left"/>
      <w:pPr>
        <w:ind w:left="0" w:firstLine="482"/>
      </w:pPr>
      <w:rPr>
        <w:rFonts w:hint="default"/>
      </w:rPr>
    </w:lvl>
  </w:abstractNum>
  <w:abstractNum w:abstractNumId="143">
    <w:nsid w:val="11908268"/>
    <w:multiLevelType w:val="singleLevel"/>
    <w:tmpl w:val="11908268"/>
    <w:lvl w:ilvl="0" w:tentative="0">
      <w:start w:val="1"/>
      <w:numFmt w:val="decimal"/>
      <w:suff w:val="space"/>
      <w:lvlText w:val="%1."/>
      <w:lvlJc w:val="left"/>
      <w:pPr>
        <w:ind w:left="0" w:firstLine="0"/>
      </w:pPr>
      <w:rPr>
        <w:rFonts w:hint="default"/>
      </w:rPr>
    </w:lvl>
  </w:abstractNum>
  <w:abstractNum w:abstractNumId="144">
    <w:nsid w:val="14AB2487"/>
    <w:multiLevelType w:val="singleLevel"/>
    <w:tmpl w:val="14AB2487"/>
    <w:lvl w:ilvl="0" w:tentative="0">
      <w:start w:val="1"/>
      <w:numFmt w:val="decimal"/>
      <w:suff w:val="space"/>
      <w:lvlText w:val=""/>
      <w:lvlJc w:val="left"/>
      <w:pPr>
        <w:ind w:left="0" w:firstLine="482"/>
      </w:pPr>
      <w:rPr>
        <w:rFonts w:hint="default"/>
      </w:rPr>
    </w:lvl>
  </w:abstractNum>
  <w:abstractNum w:abstractNumId="145">
    <w:nsid w:val="14BAD5E0"/>
    <w:multiLevelType w:val="singleLevel"/>
    <w:tmpl w:val="14BAD5E0"/>
    <w:lvl w:ilvl="0" w:tentative="0">
      <w:start w:val="1"/>
      <w:numFmt w:val="decimal"/>
      <w:suff w:val="space"/>
      <w:lvlText w:val=""/>
      <w:lvlJc w:val="left"/>
      <w:pPr>
        <w:ind w:left="0" w:firstLine="482"/>
      </w:pPr>
      <w:rPr>
        <w:rFonts w:hint="default"/>
      </w:rPr>
    </w:lvl>
  </w:abstractNum>
  <w:abstractNum w:abstractNumId="146">
    <w:nsid w:val="15AA103A"/>
    <w:multiLevelType w:val="singleLevel"/>
    <w:tmpl w:val="15AA103A"/>
    <w:lvl w:ilvl="0" w:tentative="0">
      <w:start w:val="1"/>
      <w:numFmt w:val="decimal"/>
      <w:suff w:val="space"/>
      <w:lvlText w:val="【%1】"/>
      <w:lvlJc w:val="left"/>
      <w:pPr>
        <w:ind w:left="0" w:firstLine="0"/>
      </w:pPr>
      <w:rPr>
        <w:rFonts w:hint="default"/>
      </w:rPr>
    </w:lvl>
  </w:abstractNum>
  <w:abstractNum w:abstractNumId="147">
    <w:nsid w:val="1900AA1D"/>
    <w:multiLevelType w:val="singleLevel"/>
    <w:tmpl w:val="1900AA1D"/>
    <w:lvl w:ilvl="0" w:tentative="0">
      <w:start w:val="1"/>
      <w:numFmt w:val="decimal"/>
      <w:suff w:val="space"/>
      <w:lvlText w:val="【%1】"/>
      <w:lvlJc w:val="left"/>
      <w:pPr>
        <w:ind w:left="0" w:firstLine="0"/>
      </w:pPr>
      <w:rPr>
        <w:rFonts w:hint="default"/>
      </w:rPr>
    </w:lvl>
  </w:abstractNum>
  <w:abstractNum w:abstractNumId="148">
    <w:nsid w:val="1A44E267"/>
    <w:multiLevelType w:val="singleLevel"/>
    <w:tmpl w:val="1A44E267"/>
    <w:lvl w:ilvl="0" w:tentative="0">
      <w:start w:val="1"/>
      <w:numFmt w:val="decimal"/>
      <w:suff w:val="space"/>
      <w:lvlText w:val=""/>
      <w:lvlJc w:val="left"/>
      <w:pPr>
        <w:ind w:left="0" w:firstLine="482"/>
      </w:pPr>
      <w:rPr>
        <w:rFonts w:hint="default"/>
      </w:rPr>
    </w:lvl>
  </w:abstractNum>
  <w:abstractNum w:abstractNumId="149">
    <w:nsid w:val="1B11801D"/>
    <w:multiLevelType w:val="singleLevel"/>
    <w:tmpl w:val="1B11801D"/>
    <w:lvl w:ilvl="0" w:tentative="0">
      <w:start w:val="1"/>
      <w:numFmt w:val="decimal"/>
      <w:suff w:val="space"/>
      <w:lvlText w:val=""/>
      <w:lvlJc w:val="left"/>
      <w:pPr>
        <w:ind w:left="0" w:firstLine="482"/>
      </w:pPr>
      <w:rPr>
        <w:rFonts w:hint="default"/>
      </w:rPr>
    </w:lvl>
  </w:abstractNum>
  <w:abstractNum w:abstractNumId="150">
    <w:nsid w:val="1C9193F5"/>
    <w:multiLevelType w:val="singleLevel"/>
    <w:tmpl w:val="1C9193F5"/>
    <w:lvl w:ilvl="0" w:tentative="0">
      <w:start w:val="1"/>
      <w:numFmt w:val="decimal"/>
      <w:suff w:val="space"/>
      <w:lvlText w:val="【%1】"/>
      <w:lvlJc w:val="left"/>
      <w:pPr>
        <w:ind w:left="0" w:firstLine="0"/>
      </w:pPr>
      <w:rPr>
        <w:rFonts w:hint="default"/>
      </w:rPr>
    </w:lvl>
  </w:abstractNum>
  <w:abstractNum w:abstractNumId="151">
    <w:nsid w:val="1CA1BA15"/>
    <w:multiLevelType w:val="singleLevel"/>
    <w:tmpl w:val="1CA1BA15"/>
    <w:lvl w:ilvl="0" w:tentative="0">
      <w:start w:val="1"/>
      <w:numFmt w:val="decimal"/>
      <w:suff w:val="space"/>
      <w:lvlText w:val="%1."/>
      <w:lvlJc w:val="left"/>
      <w:pPr>
        <w:ind w:left="0" w:firstLine="0"/>
      </w:pPr>
      <w:rPr>
        <w:rFonts w:hint="default"/>
      </w:rPr>
    </w:lvl>
  </w:abstractNum>
  <w:abstractNum w:abstractNumId="152">
    <w:nsid w:val="1CAF3FB3"/>
    <w:multiLevelType w:val="singleLevel"/>
    <w:tmpl w:val="1CAF3FB3"/>
    <w:lvl w:ilvl="0" w:tentative="0">
      <w:start w:val="1"/>
      <w:numFmt w:val="decimal"/>
      <w:suff w:val="space"/>
      <w:lvlText w:val="%1."/>
      <w:lvlJc w:val="left"/>
      <w:pPr>
        <w:ind w:left="0" w:firstLine="482"/>
      </w:pPr>
      <w:rPr>
        <w:rFonts w:hint="default"/>
      </w:rPr>
    </w:lvl>
  </w:abstractNum>
  <w:abstractNum w:abstractNumId="153">
    <w:nsid w:val="1E224C4F"/>
    <w:multiLevelType w:val="singleLevel"/>
    <w:tmpl w:val="1E224C4F"/>
    <w:lvl w:ilvl="0" w:tentative="0">
      <w:start w:val="1"/>
      <w:numFmt w:val="decimal"/>
      <w:suff w:val="space"/>
      <w:lvlText w:val=""/>
      <w:lvlJc w:val="left"/>
      <w:pPr>
        <w:ind w:left="0" w:firstLine="482"/>
      </w:pPr>
      <w:rPr>
        <w:rFonts w:hint="default"/>
      </w:rPr>
    </w:lvl>
  </w:abstractNum>
  <w:abstractNum w:abstractNumId="154">
    <w:nsid w:val="1E30B63D"/>
    <w:multiLevelType w:val="singleLevel"/>
    <w:tmpl w:val="1E30B63D"/>
    <w:lvl w:ilvl="0" w:tentative="0">
      <w:start w:val="1"/>
      <w:numFmt w:val="decimal"/>
      <w:suff w:val="space"/>
      <w:lvlText w:val=""/>
      <w:lvlJc w:val="left"/>
      <w:pPr>
        <w:ind w:left="0" w:firstLine="482"/>
      </w:pPr>
      <w:rPr>
        <w:rFonts w:hint="default"/>
      </w:rPr>
    </w:lvl>
  </w:abstractNum>
  <w:abstractNum w:abstractNumId="155">
    <w:nsid w:val="1ECC15D0"/>
    <w:multiLevelType w:val="singleLevel"/>
    <w:tmpl w:val="1ECC15D0"/>
    <w:lvl w:ilvl="0" w:tentative="0">
      <w:start w:val="1"/>
      <w:numFmt w:val="decimal"/>
      <w:suff w:val="space"/>
      <w:lvlText w:val=""/>
      <w:lvlJc w:val="left"/>
      <w:pPr>
        <w:ind w:left="0" w:firstLine="482"/>
      </w:pPr>
      <w:rPr>
        <w:rFonts w:hint="default"/>
      </w:rPr>
    </w:lvl>
  </w:abstractNum>
  <w:abstractNum w:abstractNumId="156">
    <w:nsid w:val="1FFEA850"/>
    <w:multiLevelType w:val="singleLevel"/>
    <w:tmpl w:val="1FFEA850"/>
    <w:lvl w:ilvl="0" w:tentative="0">
      <w:start w:val="1"/>
      <w:numFmt w:val="decimal"/>
      <w:suff w:val="space"/>
      <w:lvlText w:val=""/>
      <w:lvlJc w:val="left"/>
      <w:pPr>
        <w:ind w:left="0" w:firstLine="482"/>
      </w:pPr>
      <w:rPr>
        <w:rFonts w:hint="default"/>
      </w:rPr>
    </w:lvl>
  </w:abstractNum>
  <w:abstractNum w:abstractNumId="157">
    <w:nsid w:val="21D169BF"/>
    <w:multiLevelType w:val="singleLevel"/>
    <w:tmpl w:val="21D169BF"/>
    <w:lvl w:ilvl="0" w:tentative="0">
      <w:start w:val="1"/>
      <w:numFmt w:val="decimal"/>
      <w:suff w:val="space"/>
      <w:lvlText w:val="【%1】"/>
      <w:lvlJc w:val="left"/>
      <w:pPr>
        <w:ind w:left="0" w:firstLine="0"/>
      </w:pPr>
      <w:rPr>
        <w:rFonts w:hint="default"/>
      </w:rPr>
    </w:lvl>
  </w:abstractNum>
  <w:abstractNum w:abstractNumId="158">
    <w:nsid w:val="227B798D"/>
    <w:multiLevelType w:val="singleLevel"/>
    <w:tmpl w:val="227B798D"/>
    <w:lvl w:ilvl="0" w:tentative="0">
      <w:start w:val="1"/>
      <w:numFmt w:val="decimal"/>
      <w:suff w:val="space"/>
      <w:lvlText w:val="%1."/>
      <w:lvlJc w:val="left"/>
    </w:lvl>
  </w:abstractNum>
  <w:abstractNum w:abstractNumId="159">
    <w:nsid w:val="22B6F6FB"/>
    <w:multiLevelType w:val="singleLevel"/>
    <w:tmpl w:val="22B6F6FB"/>
    <w:lvl w:ilvl="0" w:tentative="0">
      <w:start w:val="1"/>
      <w:numFmt w:val="decimal"/>
      <w:suff w:val="space"/>
      <w:lvlText w:val="%1."/>
      <w:lvlJc w:val="left"/>
      <w:pPr>
        <w:ind w:left="0" w:firstLine="0"/>
      </w:pPr>
      <w:rPr>
        <w:rFonts w:hint="default"/>
      </w:rPr>
    </w:lvl>
  </w:abstractNum>
  <w:abstractNum w:abstractNumId="160">
    <w:nsid w:val="240351A2"/>
    <w:multiLevelType w:val="singleLevel"/>
    <w:tmpl w:val="240351A2"/>
    <w:lvl w:ilvl="0" w:tentative="0">
      <w:start w:val="1"/>
      <w:numFmt w:val="decimal"/>
      <w:suff w:val="space"/>
      <w:lvlText w:val="【%1】"/>
      <w:lvlJc w:val="left"/>
      <w:pPr>
        <w:ind w:left="0" w:firstLine="0"/>
      </w:pPr>
      <w:rPr>
        <w:rFonts w:hint="default"/>
      </w:rPr>
    </w:lvl>
  </w:abstractNum>
  <w:abstractNum w:abstractNumId="161">
    <w:nsid w:val="2459407C"/>
    <w:multiLevelType w:val="singleLevel"/>
    <w:tmpl w:val="2459407C"/>
    <w:lvl w:ilvl="0" w:tentative="0">
      <w:start w:val="1"/>
      <w:numFmt w:val="decimal"/>
      <w:suff w:val="space"/>
      <w:lvlText w:val="【%1】"/>
      <w:lvlJc w:val="left"/>
      <w:pPr>
        <w:ind w:left="0" w:firstLine="0"/>
      </w:pPr>
      <w:rPr>
        <w:rFonts w:hint="default"/>
      </w:rPr>
    </w:lvl>
  </w:abstractNum>
  <w:abstractNum w:abstractNumId="162">
    <w:nsid w:val="263A57D5"/>
    <w:multiLevelType w:val="singleLevel"/>
    <w:tmpl w:val="263A57D5"/>
    <w:lvl w:ilvl="0" w:tentative="0">
      <w:start w:val="1"/>
      <w:numFmt w:val="decimal"/>
      <w:suff w:val="space"/>
      <w:lvlText w:val="【%1】"/>
      <w:lvlJc w:val="left"/>
      <w:pPr>
        <w:ind w:left="0" w:firstLine="0"/>
      </w:pPr>
      <w:rPr>
        <w:rFonts w:hint="default"/>
      </w:rPr>
    </w:lvl>
  </w:abstractNum>
  <w:abstractNum w:abstractNumId="163">
    <w:nsid w:val="268459D1"/>
    <w:multiLevelType w:val="singleLevel"/>
    <w:tmpl w:val="268459D1"/>
    <w:lvl w:ilvl="0" w:tentative="0">
      <w:start w:val="1"/>
      <w:numFmt w:val="decimal"/>
      <w:suff w:val="space"/>
      <w:lvlText w:val=""/>
      <w:lvlJc w:val="left"/>
      <w:pPr>
        <w:ind w:left="0" w:firstLine="482"/>
      </w:pPr>
      <w:rPr>
        <w:rFonts w:hint="default"/>
      </w:rPr>
    </w:lvl>
  </w:abstractNum>
  <w:abstractNum w:abstractNumId="164">
    <w:nsid w:val="27153E7B"/>
    <w:multiLevelType w:val="singleLevel"/>
    <w:tmpl w:val="27153E7B"/>
    <w:lvl w:ilvl="0" w:tentative="0">
      <w:start w:val="1"/>
      <w:numFmt w:val="decimal"/>
      <w:suff w:val="space"/>
      <w:lvlText w:val=""/>
      <w:lvlJc w:val="left"/>
      <w:pPr>
        <w:ind w:left="0" w:firstLine="482"/>
      </w:pPr>
      <w:rPr>
        <w:rFonts w:hint="default"/>
      </w:rPr>
    </w:lvl>
  </w:abstractNum>
  <w:abstractNum w:abstractNumId="165">
    <w:nsid w:val="27E504BF"/>
    <w:multiLevelType w:val="singleLevel"/>
    <w:tmpl w:val="27E504BF"/>
    <w:lvl w:ilvl="0" w:tentative="0">
      <w:start w:val="1"/>
      <w:numFmt w:val="decimal"/>
      <w:suff w:val="space"/>
      <w:lvlText w:val=""/>
      <w:lvlJc w:val="left"/>
      <w:pPr>
        <w:ind w:left="0" w:firstLine="482"/>
      </w:pPr>
      <w:rPr>
        <w:rFonts w:hint="default"/>
      </w:rPr>
    </w:lvl>
  </w:abstractNum>
  <w:abstractNum w:abstractNumId="166">
    <w:nsid w:val="28460EC3"/>
    <w:multiLevelType w:val="singleLevel"/>
    <w:tmpl w:val="28460EC3"/>
    <w:lvl w:ilvl="0" w:tentative="0">
      <w:start w:val="1"/>
      <w:numFmt w:val="decimal"/>
      <w:suff w:val="space"/>
      <w:lvlText w:val=""/>
      <w:lvlJc w:val="left"/>
      <w:pPr>
        <w:ind w:left="0" w:firstLine="482"/>
      </w:pPr>
      <w:rPr>
        <w:rFonts w:hint="default"/>
      </w:rPr>
    </w:lvl>
  </w:abstractNum>
  <w:abstractNum w:abstractNumId="167">
    <w:nsid w:val="28E984FA"/>
    <w:multiLevelType w:val="singleLevel"/>
    <w:tmpl w:val="28E984FA"/>
    <w:lvl w:ilvl="0" w:tentative="0">
      <w:start w:val="1"/>
      <w:numFmt w:val="decimal"/>
      <w:suff w:val="space"/>
      <w:lvlText w:val=""/>
      <w:lvlJc w:val="left"/>
      <w:pPr>
        <w:ind w:left="0" w:firstLine="482"/>
      </w:pPr>
      <w:rPr>
        <w:rFonts w:hint="default"/>
      </w:rPr>
    </w:lvl>
  </w:abstractNum>
  <w:abstractNum w:abstractNumId="168">
    <w:nsid w:val="296D4EE9"/>
    <w:multiLevelType w:val="singleLevel"/>
    <w:tmpl w:val="296D4EE9"/>
    <w:lvl w:ilvl="0" w:tentative="0">
      <w:start w:val="1"/>
      <w:numFmt w:val="decimal"/>
      <w:suff w:val="space"/>
      <w:lvlText w:val=""/>
      <w:lvlJc w:val="left"/>
      <w:pPr>
        <w:ind w:left="0" w:firstLine="482"/>
      </w:pPr>
      <w:rPr>
        <w:rFonts w:hint="default"/>
      </w:rPr>
    </w:lvl>
  </w:abstractNum>
  <w:abstractNum w:abstractNumId="169">
    <w:nsid w:val="29BBAD0E"/>
    <w:multiLevelType w:val="singleLevel"/>
    <w:tmpl w:val="29BBAD0E"/>
    <w:lvl w:ilvl="0" w:tentative="0">
      <w:start w:val="1"/>
      <w:numFmt w:val="decimal"/>
      <w:suff w:val="space"/>
      <w:lvlText w:val=""/>
      <w:lvlJc w:val="left"/>
      <w:pPr>
        <w:ind w:left="0" w:firstLine="482"/>
      </w:pPr>
      <w:rPr>
        <w:rFonts w:hint="default"/>
      </w:rPr>
    </w:lvl>
  </w:abstractNum>
  <w:abstractNum w:abstractNumId="170">
    <w:nsid w:val="29C24E1C"/>
    <w:multiLevelType w:val="singleLevel"/>
    <w:tmpl w:val="29C24E1C"/>
    <w:lvl w:ilvl="0" w:tentative="0">
      <w:start w:val="1"/>
      <w:numFmt w:val="decimal"/>
      <w:suff w:val="space"/>
      <w:lvlText w:val=""/>
      <w:lvlJc w:val="left"/>
      <w:pPr>
        <w:ind w:left="0" w:firstLine="482"/>
      </w:pPr>
      <w:rPr>
        <w:rFonts w:hint="default"/>
      </w:rPr>
    </w:lvl>
  </w:abstractNum>
  <w:abstractNum w:abstractNumId="171">
    <w:nsid w:val="2B3D8BFD"/>
    <w:multiLevelType w:val="singleLevel"/>
    <w:tmpl w:val="2B3D8BFD"/>
    <w:lvl w:ilvl="0" w:tentative="0">
      <w:start w:val="1"/>
      <w:numFmt w:val="decimal"/>
      <w:suff w:val="space"/>
      <w:lvlText w:val=""/>
      <w:lvlJc w:val="left"/>
      <w:pPr>
        <w:ind w:left="0" w:firstLine="482"/>
      </w:pPr>
      <w:rPr>
        <w:rFonts w:hint="default"/>
      </w:rPr>
    </w:lvl>
  </w:abstractNum>
  <w:abstractNum w:abstractNumId="172">
    <w:nsid w:val="2CEB4668"/>
    <w:multiLevelType w:val="singleLevel"/>
    <w:tmpl w:val="2CEB4668"/>
    <w:lvl w:ilvl="0" w:tentative="0">
      <w:start w:val="1"/>
      <w:numFmt w:val="decimal"/>
      <w:suff w:val="space"/>
      <w:lvlText w:val="%1."/>
      <w:lvlJc w:val="left"/>
      <w:pPr>
        <w:ind w:left="0" w:firstLine="0"/>
      </w:pPr>
      <w:rPr>
        <w:rFonts w:hint="default"/>
      </w:rPr>
    </w:lvl>
  </w:abstractNum>
  <w:abstractNum w:abstractNumId="173">
    <w:nsid w:val="2F2E6370"/>
    <w:multiLevelType w:val="singleLevel"/>
    <w:tmpl w:val="2F2E6370"/>
    <w:lvl w:ilvl="0" w:tentative="0">
      <w:start w:val="1"/>
      <w:numFmt w:val="decimal"/>
      <w:suff w:val="space"/>
      <w:lvlText w:val=""/>
      <w:lvlJc w:val="left"/>
      <w:pPr>
        <w:ind w:left="0" w:firstLine="482"/>
      </w:pPr>
      <w:rPr>
        <w:rFonts w:hint="default"/>
      </w:rPr>
    </w:lvl>
  </w:abstractNum>
  <w:abstractNum w:abstractNumId="174">
    <w:nsid w:val="31956329"/>
    <w:multiLevelType w:val="singleLevel"/>
    <w:tmpl w:val="31956329"/>
    <w:lvl w:ilvl="0" w:tentative="0">
      <w:start w:val="1"/>
      <w:numFmt w:val="decimal"/>
      <w:suff w:val="space"/>
      <w:lvlText w:val=""/>
      <w:lvlJc w:val="left"/>
      <w:pPr>
        <w:ind w:left="0" w:firstLine="482"/>
      </w:pPr>
      <w:rPr>
        <w:rFonts w:hint="default"/>
      </w:rPr>
    </w:lvl>
  </w:abstractNum>
  <w:abstractNum w:abstractNumId="175">
    <w:nsid w:val="32DF5FCD"/>
    <w:multiLevelType w:val="singleLevel"/>
    <w:tmpl w:val="32DF5FCD"/>
    <w:lvl w:ilvl="0" w:tentative="0">
      <w:start w:val="1"/>
      <w:numFmt w:val="decimal"/>
      <w:suff w:val="space"/>
      <w:lvlText w:val=""/>
      <w:lvlJc w:val="left"/>
      <w:pPr>
        <w:ind w:left="0" w:firstLine="482"/>
      </w:pPr>
      <w:rPr>
        <w:rFonts w:hint="default"/>
      </w:rPr>
    </w:lvl>
  </w:abstractNum>
  <w:abstractNum w:abstractNumId="176">
    <w:nsid w:val="3424CA97"/>
    <w:multiLevelType w:val="singleLevel"/>
    <w:tmpl w:val="3424CA97"/>
    <w:lvl w:ilvl="0" w:tentative="0">
      <w:start w:val="1"/>
      <w:numFmt w:val="decimal"/>
      <w:suff w:val="space"/>
      <w:lvlText w:val="%1."/>
      <w:lvlJc w:val="left"/>
      <w:pPr>
        <w:ind w:left="0" w:firstLine="0"/>
      </w:pPr>
      <w:rPr>
        <w:rFonts w:hint="default"/>
      </w:rPr>
    </w:lvl>
  </w:abstractNum>
  <w:abstractNum w:abstractNumId="177">
    <w:nsid w:val="3472B646"/>
    <w:multiLevelType w:val="singleLevel"/>
    <w:tmpl w:val="3472B646"/>
    <w:lvl w:ilvl="0" w:tentative="0">
      <w:start w:val="1"/>
      <w:numFmt w:val="decimal"/>
      <w:suff w:val="space"/>
      <w:lvlText w:val="【%1】"/>
      <w:lvlJc w:val="left"/>
      <w:pPr>
        <w:ind w:left="0" w:firstLine="0"/>
      </w:pPr>
      <w:rPr>
        <w:rFonts w:hint="default"/>
      </w:rPr>
    </w:lvl>
  </w:abstractNum>
  <w:abstractNum w:abstractNumId="178">
    <w:nsid w:val="34C74625"/>
    <w:multiLevelType w:val="singleLevel"/>
    <w:tmpl w:val="34C74625"/>
    <w:lvl w:ilvl="0" w:tentative="0">
      <w:start w:val="1"/>
      <w:numFmt w:val="decimal"/>
      <w:suff w:val="space"/>
      <w:lvlText w:val=""/>
      <w:lvlJc w:val="left"/>
      <w:pPr>
        <w:ind w:left="0" w:firstLine="482"/>
      </w:pPr>
      <w:rPr>
        <w:rFonts w:hint="default"/>
      </w:rPr>
    </w:lvl>
  </w:abstractNum>
  <w:abstractNum w:abstractNumId="179">
    <w:nsid w:val="356A5703"/>
    <w:multiLevelType w:val="singleLevel"/>
    <w:tmpl w:val="356A5703"/>
    <w:lvl w:ilvl="0" w:tentative="0">
      <w:start w:val="1"/>
      <w:numFmt w:val="decimal"/>
      <w:suff w:val="space"/>
      <w:lvlText w:val="【%1】"/>
      <w:lvlJc w:val="left"/>
      <w:pPr>
        <w:ind w:left="0" w:firstLine="0"/>
      </w:pPr>
      <w:rPr>
        <w:rFonts w:hint="default"/>
      </w:rPr>
    </w:lvl>
  </w:abstractNum>
  <w:abstractNum w:abstractNumId="180">
    <w:nsid w:val="370D2F68"/>
    <w:multiLevelType w:val="singleLevel"/>
    <w:tmpl w:val="370D2F68"/>
    <w:lvl w:ilvl="0" w:tentative="0">
      <w:start w:val="1"/>
      <w:numFmt w:val="chineseCounting"/>
      <w:suff w:val="nothing"/>
      <w:lvlText w:val="%1、"/>
      <w:lvlJc w:val="left"/>
      <w:pPr>
        <w:ind w:left="0" w:firstLine="0"/>
      </w:pPr>
      <w:rPr>
        <w:rFonts w:hint="eastAsia"/>
      </w:rPr>
    </w:lvl>
  </w:abstractNum>
  <w:abstractNum w:abstractNumId="181">
    <w:nsid w:val="39271B3C"/>
    <w:multiLevelType w:val="singleLevel"/>
    <w:tmpl w:val="39271B3C"/>
    <w:lvl w:ilvl="0" w:tentative="0">
      <w:start w:val="1"/>
      <w:numFmt w:val="decimal"/>
      <w:suff w:val="space"/>
      <w:lvlText w:val="【%1】"/>
      <w:lvlJc w:val="left"/>
      <w:pPr>
        <w:ind w:left="0" w:firstLine="0"/>
      </w:pPr>
      <w:rPr>
        <w:rFonts w:hint="default"/>
      </w:rPr>
    </w:lvl>
  </w:abstractNum>
  <w:abstractNum w:abstractNumId="182">
    <w:nsid w:val="3955E09D"/>
    <w:multiLevelType w:val="singleLevel"/>
    <w:tmpl w:val="3955E09D"/>
    <w:lvl w:ilvl="0" w:tentative="0">
      <w:start w:val="1"/>
      <w:numFmt w:val="chineseCounting"/>
      <w:suff w:val="nothing"/>
      <w:lvlText w:val="%1、"/>
      <w:lvlJc w:val="left"/>
      <w:pPr>
        <w:ind w:left="0" w:firstLine="0"/>
      </w:pPr>
      <w:rPr>
        <w:rFonts w:hint="eastAsia"/>
      </w:rPr>
    </w:lvl>
  </w:abstractNum>
  <w:abstractNum w:abstractNumId="183">
    <w:nsid w:val="3AE9A25A"/>
    <w:multiLevelType w:val="singleLevel"/>
    <w:tmpl w:val="3AE9A25A"/>
    <w:lvl w:ilvl="0" w:tentative="0">
      <w:start w:val="1"/>
      <w:numFmt w:val="decimal"/>
      <w:suff w:val="space"/>
      <w:lvlText w:val=""/>
      <w:lvlJc w:val="left"/>
      <w:pPr>
        <w:ind w:left="0" w:firstLine="482"/>
      </w:pPr>
      <w:rPr>
        <w:rFonts w:hint="default"/>
      </w:rPr>
    </w:lvl>
  </w:abstractNum>
  <w:abstractNum w:abstractNumId="184">
    <w:nsid w:val="3BAF4B88"/>
    <w:multiLevelType w:val="singleLevel"/>
    <w:tmpl w:val="3BAF4B88"/>
    <w:lvl w:ilvl="0" w:tentative="0">
      <w:start w:val="1"/>
      <w:numFmt w:val="decimal"/>
      <w:suff w:val="space"/>
      <w:lvlText w:val=""/>
      <w:lvlJc w:val="left"/>
      <w:pPr>
        <w:ind w:left="0" w:firstLine="482"/>
      </w:pPr>
      <w:rPr>
        <w:rFonts w:hint="default"/>
      </w:rPr>
    </w:lvl>
  </w:abstractNum>
  <w:abstractNum w:abstractNumId="185">
    <w:nsid w:val="3E643456"/>
    <w:multiLevelType w:val="singleLevel"/>
    <w:tmpl w:val="3E643456"/>
    <w:lvl w:ilvl="0" w:tentative="0">
      <w:start w:val="1"/>
      <w:numFmt w:val="decimal"/>
      <w:suff w:val="space"/>
      <w:lvlText w:val="【%1】"/>
      <w:lvlJc w:val="left"/>
      <w:pPr>
        <w:ind w:left="0" w:firstLine="0"/>
      </w:pPr>
      <w:rPr>
        <w:rFonts w:hint="default"/>
      </w:rPr>
    </w:lvl>
  </w:abstractNum>
  <w:abstractNum w:abstractNumId="186">
    <w:nsid w:val="3E77A1F0"/>
    <w:multiLevelType w:val="singleLevel"/>
    <w:tmpl w:val="3E77A1F0"/>
    <w:lvl w:ilvl="0" w:tentative="0">
      <w:start w:val="1"/>
      <w:numFmt w:val="decimal"/>
      <w:suff w:val="space"/>
      <w:lvlText w:val="%1."/>
      <w:lvlJc w:val="left"/>
      <w:pPr>
        <w:ind w:left="0" w:firstLine="0"/>
      </w:pPr>
      <w:rPr>
        <w:rFonts w:hint="default"/>
      </w:rPr>
    </w:lvl>
  </w:abstractNum>
  <w:abstractNum w:abstractNumId="187">
    <w:nsid w:val="3EEF83E7"/>
    <w:multiLevelType w:val="singleLevel"/>
    <w:tmpl w:val="3EEF83E7"/>
    <w:lvl w:ilvl="0" w:tentative="0">
      <w:start w:val="1"/>
      <w:numFmt w:val="decimal"/>
      <w:suff w:val="space"/>
      <w:lvlText w:val=""/>
      <w:lvlJc w:val="left"/>
      <w:pPr>
        <w:ind w:left="0" w:firstLine="482"/>
      </w:pPr>
      <w:rPr>
        <w:rFonts w:hint="default"/>
      </w:rPr>
    </w:lvl>
  </w:abstractNum>
  <w:abstractNum w:abstractNumId="188">
    <w:nsid w:val="446076BC"/>
    <w:multiLevelType w:val="singleLevel"/>
    <w:tmpl w:val="446076BC"/>
    <w:lvl w:ilvl="0" w:tentative="0">
      <w:start w:val="1"/>
      <w:numFmt w:val="decimal"/>
      <w:suff w:val="space"/>
      <w:lvlText w:val=""/>
      <w:lvlJc w:val="left"/>
      <w:pPr>
        <w:ind w:left="0" w:firstLine="482"/>
      </w:pPr>
      <w:rPr>
        <w:rFonts w:hint="default"/>
      </w:rPr>
    </w:lvl>
  </w:abstractNum>
  <w:abstractNum w:abstractNumId="189">
    <w:nsid w:val="46F492E7"/>
    <w:multiLevelType w:val="singleLevel"/>
    <w:tmpl w:val="46F492E7"/>
    <w:lvl w:ilvl="0" w:tentative="0">
      <w:start w:val="1"/>
      <w:numFmt w:val="decimal"/>
      <w:suff w:val="space"/>
      <w:lvlText w:val="%1."/>
      <w:lvlJc w:val="left"/>
    </w:lvl>
  </w:abstractNum>
  <w:abstractNum w:abstractNumId="190">
    <w:nsid w:val="482B781B"/>
    <w:multiLevelType w:val="singleLevel"/>
    <w:tmpl w:val="482B781B"/>
    <w:lvl w:ilvl="0" w:tentative="0">
      <w:start w:val="1"/>
      <w:numFmt w:val="decimal"/>
      <w:suff w:val="space"/>
      <w:lvlText w:val=""/>
      <w:lvlJc w:val="left"/>
      <w:pPr>
        <w:ind w:left="0" w:firstLine="482"/>
      </w:pPr>
      <w:rPr>
        <w:rFonts w:hint="default"/>
      </w:rPr>
    </w:lvl>
  </w:abstractNum>
  <w:abstractNum w:abstractNumId="191">
    <w:nsid w:val="48FA35CE"/>
    <w:multiLevelType w:val="singleLevel"/>
    <w:tmpl w:val="48FA35CE"/>
    <w:lvl w:ilvl="0" w:tentative="0">
      <w:start w:val="1"/>
      <w:numFmt w:val="decimal"/>
      <w:suff w:val="space"/>
      <w:lvlText w:val=""/>
      <w:lvlJc w:val="left"/>
      <w:pPr>
        <w:ind w:left="0" w:firstLine="482"/>
      </w:pPr>
      <w:rPr>
        <w:rFonts w:hint="default"/>
      </w:rPr>
    </w:lvl>
  </w:abstractNum>
  <w:abstractNum w:abstractNumId="192">
    <w:nsid w:val="491BE62B"/>
    <w:multiLevelType w:val="singleLevel"/>
    <w:tmpl w:val="491BE62B"/>
    <w:lvl w:ilvl="0" w:tentative="0">
      <w:start w:val="1"/>
      <w:numFmt w:val="decimal"/>
      <w:suff w:val="space"/>
      <w:lvlText w:val=""/>
      <w:lvlJc w:val="left"/>
      <w:pPr>
        <w:ind w:left="0" w:firstLine="482"/>
      </w:pPr>
      <w:rPr>
        <w:rFonts w:hint="default"/>
      </w:rPr>
    </w:lvl>
  </w:abstractNum>
  <w:abstractNum w:abstractNumId="193">
    <w:nsid w:val="4A77CCF7"/>
    <w:multiLevelType w:val="singleLevel"/>
    <w:tmpl w:val="4A77CCF7"/>
    <w:lvl w:ilvl="0" w:tentative="0">
      <w:start w:val="1"/>
      <w:numFmt w:val="decimal"/>
      <w:suff w:val="space"/>
      <w:lvlText w:val=""/>
      <w:lvlJc w:val="left"/>
      <w:pPr>
        <w:ind w:left="0" w:firstLine="482"/>
      </w:pPr>
      <w:rPr>
        <w:rFonts w:hint="default"/>
      </w:rPr>
    </w:lvl>
  </w:abstractNum>
  <w:abstractNum w:abstractNumId="194">
    <w:nsid w:val="4A8C8AF5"/>
    <w:multiLevelType w:val="singleLevel"/>
    <w:tmpl w:val="4A8C8AF5"/>
    <w:lvl w:ilvl="0" w:tentative="0">
      <w:start w:val="1"/>
      <w:numFmt w:val="decimal"/>
      <w:suff w:val="space"/>
      <w:lvlText w:val=""/>
      <w:lvlJc w:val="left"/>
      <w:pPr>
        <w:ind w:left="0" w:firstLine="482"/>
      </w:pPr>
      <w:rPr>
        <w:rFonts w:hint="default"/>
      </w:rPr>
    </w:lvl>
  </w:abstractNum>
  <w:abstractNum w:abstractNumId="195">
    <w:nsid w:val="4BE3479B"/>
    <w:multiLevelType w:val="singleLevel"/>
    <w:tmpl w:val="4BE3479B"/>
    <w:lvl w:ilvl="0" w:tentative="0">
      <w:start w:val="1"/>
      <w:numFmt w:val="decimal"/>
      <w:suff w:val="space"/>
      <w:lvlText w:val=""/>
      <w:lvlJc w:val="left"/>
      <w:pPr>
        <w:ind w:left="0" w:firstLine="482"/>
      </w:pPr>
      <w:rPr>
        <w:rFonts w:hint="default"/>
      </w:rPr>
    </w:lvl>
  </w:abstractNum>
  <w:abstractNum w:abstractNumId="196">
    <w:nsid w:val="4C77B402"/>
    <w:multiLevelType w:val="singleLevel"/>
    <w:tmpl w:val="4C77B402"/>
    <w:lvl w:ilvl="0" w:tentative="0">
      <w:start w:val="1"/>
      <w:numFmt w:val="decimal"/>
      <w:suff w:val="space"/>
      <w:lvlText w:val=""/>
      <w:lvlJc w:val="left"/>
      <w:pPr>
        <w:ind w:left="0" w:firstLine="482"/>
      </w:pPr>
      <w:rPr>
        <w:rFonts w:hint="default"/>
      </w:rPr>
    </w:lvl>
  </w:abstractNum>
  <w:abstractNum w:abstractNumId="197">
    <w:nsid w:val="4CB7A876"/>
    <w:multiLevelType w:val="singleLevel"/>
    <w:tmpl w:val="4CB7A876"/>
    <w:lvl w:ilvl="0" w:tentative="0">
      <w:start w:val="1"/>
      <w:numFmt w:val="decimal"/>
      <w:suff w:val="space"/>
      <w:lvlText w:val=""/>
      <w:lvlJc w:val="left"/>
      <w:pPr>
        <w:ind w:left="0" w:firstLine="482"/>
      </w:pPr>
      <w:rPr>
        <w:rFonts w:hint="default"/>
      </w:rPr>
    </w:lvl>
  </w:abstractNum>
  <w:abstractNum w:abstractNumId="198">
    <w:nsid w:val="4E376D55"/>
    <w:multiLevelType w:val="singleLevel"/>
    <w:tmpl w:val="4E376D55"/>
    <w:lvl w:ilvl="0" w:tentative="0">
      <w:start w:val="1"/>
      <w:numFmt w:val="decimal"/>
      <w:suff w:val="space"/>
      <w:lvlText w:val=""/>
      <w:lvlJc w:val="left"/>
      <w:pPr>
        <w:ind w:left="0" w:firstLine="482"/>
      </w:pPr>
      <w:rPr>
        <w:rFonts w:hint="default"/>
      </w:rPr>
    </w:lvl>
  </w:abstractNum>
  <w:abstractNum w:abstractNumId="199">
    <w:nsid w:val="4F0DCE0D"/>
    <w:multiLevelType w:val="singleLevel"/>
    <w:tmpl w:val="4F0DCE0D"/>
    <w:lvl w:ilvl="0" w:tentative="0">
      <w:start w:val="1"/>
      <w:numFmt w:val="decimal"/>
      <w:suff w:val="space"/>
      <w:lvlText w:val="【%1】"/>
      <w:lvlJc w:val="left"/>
      <w:pPr>
        <w:ind w:left="0" w:firstLine="0"/>
      </w:pPr>
      <w:rPr>
        <w:rFonts w:hint="default"/>
      </w:rPr>
    </w:lvl>
  </w:abstractNum>
  <w:abstractNum w:abstractNumId="200">
    <w:nsid w:val="4FC28BC5"/>
    <w:multiLevelType w:val="singleLevel"/>
    <w:tmpl w:val="4FC28BC5"/>
    <w:lvl w:ilvl="0" w:tentative="0">
      <w:start w:val="1"/>
      <w:numFmt w:val="decimal"/>
      <w:suff w:val="space"/>
      <w:lvlText w:val=""/>
      <w:lvlJc w:val="left"/>
      <w:pPr>
        <w:ind w:left="0" w:firstLine="482"/>
      </w:pPr>
      <w:rPr>
        <w:rFonts w:hint="default"/>
      </w:rPr>
    </w:lvl>
  </w:abstractNum>
  <w:abstractNum w:abstractNumId="201">
    <w:nsid w:val="50338085"/>
    <w:multiLevelType w:val="singleLevel"/>
    <w:tmpl w:val="50338085"/>
    <w:lvl w:ilvl="0" w:tentative="0">
      <w:start w:val="1"/>
      <w:numFmt w:val="decimal"/>
      <w:suff w:val="space"/>
      <w:lvlText w:val="%1."/>
      <w:lvlJc w:val="left"/>
      <w:pPr>
        <w:ind w:left="0" w:firstLine="482"/>
      </w:pPr>
      <w:rPr>
        <w:rFonts w:hint="default"/>
      </w:rPr>
    </w:lvl>
  </w:abstractNum>
  <w:abstractNum w:abstractNumId="202">
    <w:nsid w:val="503CC9D0"/>
    <w:multiLevelType w:val="singleLevel"/>
    <w:tmpl w:val="503CC9D0"/>
    <w:lvl w:ilvl="0" w:tentative="0">
      <w:start w:val="1"/>
      <w:numFmt w:val="decimal"/>
      <w:suff w:val="space"/>
      <w:lvlText w:val=""/>
      <w:lvlJc w:val="left"/>
      <w:pPr>
        <w:ind w:left="0" w:firstLine="482"/>
      </w:pPr>
      <w:rPr>
        <w:rFonts w:hint="default"/>
      </w:rPr>
    </w:lvl>
  </w:abstractNum>
  <w:abstractNum w:abstractNumId="203">
    <w:nsid w:val="5040E49F"/>
    <w:multiLevelType w:val="singleLevel"/>
    <w:tmpl w:val="5040E49F"/>
    <w:lvl w:ilvl="0" w:tentative="0">
      <w:start w:val="1"/>
      <w:numFmt w:val="decimal"/>
      <w:suff w:val="space"/>
      <w:lvlText w:val="%1."/>
      <w:lvlJc w:val="left"/>
      <w:pPr>
        <w:ind w:left="0" w:firstLine="0"/>
      </w:pPr>
      <w:rPr>
        <w:rFonts w:hint="default"/>
      </w:rPr>
    </w:lvl>
  </w:abstractNum>
  <w:abstractNum w:abstractNumId="204">
    <w:nsid w:val="505D1838"/>
    <w:multiLevelType w:val="singleLevel"/>
    <w:tmpl w:val="505D1838"/>
    <w:lvl w:ilvl="0" w:tentative="0">
      <w:start w:val="1"/>
      <w:numFmt w:val="decimal"/>
      <w:suff w:val="space"/>
      <w:lvlText w:val="%1."/>
      <w:lvlJc w:val="left"/>
      <w:pPr>
        <w:ind w:left="0" w:firstLine="0"/>
      </w:pPr>
      <w:rPr>
        <w:rFonts w:hint="default"/>
      </w:rPr>
    </w:lvl>
  </w:abstractNum>
  <w:abstractNum w:abstractNumId="205">
    <w:nsid w:val="51094587"/>
    <w:multiLevelType w:val="singleLevel"/>
    <w:tmpl w:val="51094587"/>
    <w:lvl w:ilvl="0" w:tentative="0">
      <w:start w:val="1"/>
      <w:numFmt w:val="decimal"/>
      <w:suff w:val="space"/>
      <w:lvlText w:val="【%1】"/>
      <w:lvlJc w:val="left"/>
      <w:pPr>
        <w:ind w:left="0" w:firstLine="0"/>
      </w:pPr>
      <w:rPr>
        <w:rFonts w:hint="default"/>
      </w:rPr>
    </w:lvl>
  </w:abstractNum>
  <w:abstractNum w:abstractNumId="206">
    <w:nsid w:val="53FC14DF"/>
    <w:multiLevelType w:val="singleLevel"/>
    <w:tmpl w:val="53FC14DF"/>
    <w:lvl w:ilvl="0" w:tentative="0">
      <w:start w:val="1"/>
      <w:numFmt w:val="decimal"/>
      <w:suff w:val="space"/>
      <w:lvlText w:val=""/>
      <w:lvlJc w:val="left"/>
      <w:pPr>
        <w:ind w:left="0" w:firstLine="482"/>
      </w:pPr>
      <w:rPr>
        <w:rFonts w:hint="default"/>
      </w:rPr>
    </w:lvl>
  </w:abstractNum>
  <w:abstractNum w:abstractNumId="207">
    <w:nsid w:val="54CBC6EC"/>
    <w:multiLevelType w:val="singleLevel"/>
    <w:tmpl w:val="54CBC6EC"/>
    <w:lvl w:ilvl="0" w:tentative="0">
      <w:start w:val="1"/>
      <w:numFmt w:val="chineseCounting"/>
      <w:suff w:val="nothing"/>
      <w:lvlText w:val="%1、"/>
      <w:lvlJc w:val="left"/>
      <w:pPr>
        <w:ind w:left="0" w:firstLine="0"/>
      </w:pPr>
      <w:rPr>
        <w:rFonts w:hint="eastAsia"/>
      </w:rPr>
    </w:lvl>
  </w:abstractNum>
  <w:abstractNum w:abstractNumId="208">
    <w:nsid w:val="569CC9D9"/>
    <w:multiLevelType w:val="singleLevel"/>
    <w:tmpl w:val="569CC9D9"/>
    <w:lvl w:ilvl="0" w:tentative="0">
      <w:start w:val="1"/>
      <w:numFmt w:val="decimal"/>
      <w:suff w:val="space"/>
      <w:lvlText w:val=""/>
      <w:lvlJc w:val="left"/>
      <w:pPr>
        <w:ind w:left="0" w:firstLine="482"/>
      </w:pPr>
      <w:rPr>
        <w:rFonts w:hint="default"/>
      </w:rPr>
    </w:lvl>
  </w:abstractNum>
  <w:abstractNum w:abstractNumId="209">
    <w:nsid w:val="56B4692C"/>
    <w:multiLevelType w:val="singleLevel"/>
    <w:tmpl w:val="56B4692C"/>
    <w:lvl w:ilvl="0" w:tentative="0">
      <w:start w:val="1"/>
      <w:numFmt w:val="decimal"/>
      <w:suff w:val="space"/>
      <w:lvlText w:val=""/>
      <w:lvlJc w:val="left"/>
      <w:pPr>
        <w:ind w:left="0" w:firstLine="482"/>
      </w:pPr>
      <w:rPr>
        <w:rFonts w:hint="default"/>
      </w:rPr>
    </w:lvl>
  </w:abstractNum>
  <w:abstractNum w:abstractNumId="210">
    <w:nsid w:val="56EFF0A2"/>
    <w:multiLevelType w:val="singleLevel"/>
    <w:tmpl w:val="56EFF0A2"/>
    <w:lvl w:ilvl="0" w:tentative="0">
      <w:start w:val="1"/>
      <w:numFmt w:val="decimal"/>
      <w:suff w:val="space"/>
      <w:lvlText w:val="【%1】"/>
      <w:lvlJc w:val="left"/>
      <w:pPr>
        <w:ind w:left="0" w:firstLine="0"/>
      </w:pPr>
      <w:rPr>
        <w:rFonts w:hint="default"/>
      </w:rPr>
    </w:lvl>
  </w:abstractNum>
  <w:abstractNum w:abstractNumId="211">
    <w:nsid w:val="5A325698"/>
    <w:multiLevelType w:val="singleLevel"/>
    <w:tmpl w:val="5A325698"/>
    <w:lvl w:ilvl="0" w:tentative="0">
      <w:start w:val="1"/>
      <w:numFmt w:val="decimal"/>
      <w:suff w:val="space"/>
      <w:lvlText w:val="%1."/>
      <w:lvlJc w:val="left"/>
    </w:lvl>
  </w:abstractNum>
  <w:abstractNum w:abstractNumId="212">
    <w:nsid w:val="5A4F39B2"/>
    <w:multiLevelType w:val="singleLevel"/>
    <w:tmpl w:val="5A4F39B2"/>
    <w:lvl w:ilvl="0" w:tentative="0">
      <w:start w:val="1"/>
      <w:numFmt w:val="chineseCounting"/>
      <w:suff w:val="nothing"/>
      <w:lvlText w:val="%1、"/>
      <w:lvlJc w:val="left"/>
      <w:pPr>
        <w:ind w:left="0" w:firstLine="0"/>
      </w:pPr>
      <w:rPr>
        <w:rFonts w:hint="eastAsia"/>
      </w:rPr>
    </w:lvl>
  </w:abstractNum>
  <w:abstractNum w:abstractNumId="213">
    <w:nsid w:val="5ACE5499"/>
    <w:multiLevelType w:val="singleLevel"/>
    <w:tmpl w:val="5ACE5499"/>
    <w:lvl w:ilvl="0" w:tentative="0">
      <w:start w:val="1"/>
      <w:numFmt w:val="decimal"/>
      <w:suff w:val="space"/>
      <w:lvlText w:val=""/>
      <w:lvlJc w:val="left"/>
      <w:pPr>
        <w:ind w:left="0" w:firstLine="482"/>
      </w:pPr>
      <w:rPr>
        <w:rFonts w:hint="default"/>
      </w:rPr>
    </w:lvl>
  </w:abstractNum>
  <w:abstractNum w:abstractNumId="214">
    <w:nsid w:val="5C354479"/>
    <w:multiLevelType w:val="singleLevel"/>
    <w:tmpl w:val="5C354479"/>
    <w:lvl w:ilvl="0" w:tentative="0">
      <w:start w:val="1"/>
      <w:numFmt w:val="decimal"/>
      <w:suff w:val="space"/>
      <w:lvlText w:val=""/>
      <w:lvlJc w:val="left"/>
      <w:pPr>
        <w:ind w:left="0" w:firstLine="482"/>
      </w:pPr>
      <w:rPr>
        <w:rFonts w:hint="default"/>
      </w:rPr>
    </w:lvl>
  </w:abstractNum>
  <w:abstractNum w:abstractNumId="215">
    <w:nsid w:val="5CCA8E15"/>
    <w:multiLevelType w:val="singleLevel"/>
    <w:tmpl w:val="5CCA8E15"/>
    <w:lvl w:ilvl="0" w:tentative="0">
      <w:start w:val="1"/>
      <w:numFmt w:val="decimal"/>
      <w:suff w:val="space"/>
      <w:lvlText w:val="【%1】"/>
      <w:lvlJc w:val="left"/>
      <w:pPr>
        <w:ind w:left="0" w:firstLine="0"/>
      </w:pPr>
      <w:rPr>
        <w:rFonts w:hint="default"/>
      </w:rPr>
    </w:lvl>
  </w:abstractNum>
  <w:abstractNum w:abstractNumId="216">
    <w:nsid w:val="5F35B691"/>
    <w:multiLevelType w:val="singleLevel"/>
    <w:tmpl w:val="5F35B691"/>
    <w:lvl w:ilvl="0" w:tentative="0">
      <w:start w:val="1"/>
      <w:numFmt w:val="decimal"/>
      <w:suff w:val="space"/>
      <w:lvlText w:val=""/>
      <w:lvlJc w:val="left"/>
      <w:pPr>
        <w:ind w:left="0" w:firstLine="482"/>
      </w:pPr>
      <w:rPr>
        <w:rFonts w:hint="default"/>
      </w:rPr>
    </w:lvl>
  </w:abstractNum>
  <w:abstractNum w:abstractNumId="217">
    <w:nsid w:val="63009E31"/>
    <w:multiLevelType w:val="singleLevel"/>
    <w:tmpl w:val="63009E31"/>
    <w:lvl w:ilvl="0" w:tentative="0">
      <w:start w:val="1"/>
      <w:numFmt w:val="decimal"/>
      <w:suff w:val="space"/>
      <w:lvlText w:val=""/>
      <w:lvlJc w:val="left"/>
      <w:pPr>
        <w:ind w:left="0" w:firstLine="482"/>
      </w:pPr>
      <w:rPr>
        <w:rFonts w:hint="default"/>
      </w:rPr>
    </w:lvl>
  </w:abstractNum>
  <w:abstractNum w:abstractNumId="218">
    <w:nsid w:val="63AE7253"/>
    <w:multiLevelType w:val="singleLevel"/>
    <w:tmpl w:val="63AE7253"/>
    <w:lvl w:ilvl="0" w:tentative="0">
      <w:start w:val="1"/>
      <w:numFmt w:val="chineseCounting"/>
      <w:suff w:val="nothing"/>
      <w:lvlText w:val="%1、"/>
      <w:lvlJc w:val="left"/>
      <w:pPr>
        <w:ind w:left="0" w:firstLine="0"/>
      </w:pPr>
      <w:rPr>
        <w:rFonts w:hint="eastAsia"/>
      </w:rPr>
    </w:lvl>
  </w:abstractNum>
  <w:abstractNum w:abstractNumId="219">
    <w:nsid w:val="64ECA0D4"/>
    <w:multiLevelType w:val="singleLevel"/>
    <w:tmpl w:val="64ECA0D4"/>
    <w:lvl w:ilvl="0" w:tentative="0">
      <w:start w:val="1"/>
      <w:numFmt w:val="decimal"/>
      <w:suff w:val="space"/>
      <w:lvlText w:val=""/>
      <w:lvlJc w:val="left"/>
      <w:pPr>
        <w:ind w:left="0" w:firstLine="482"/>
      </w:pPr>
      <w:rPr>
        <w:rFonts w:hint="default"/>
      </w:rPr>
    </w:lvl>
  </w:abstractNum>
  <w:abstractNum w:abstractNumId="220">
    <w:nsid w:val="6579F1DC"/>
    <w:multiLevelType w:val="singleLevel"/>
    <w:tmpl w:val="6579F1DC"/>
    <w:lvl w:ilvl="0" w:tentative="0">
      <w:start w:val="1"/>
      <w:numFmt w:val="decimal"/>
      <w:suff w:val="space"/>
      <w:lvlText w:val=""/>
      <w:lvlJc w:val="left"/>
      <w:pPr>
        <w:ind w:left="0" w:firstLine="482"/>
      </w:pPr>
      <w:rPr>
        <w:rFonts w:hint="default"/>
      </w:rPr>
    </w:lvl>
  </w:abstractNum>
  <w:abstractNum w:abstractNumId="221">
    <w:nsid w:val="65D7DC8E"/>
    <w:multiLevelType w:val="singleLevel"/>
    <w:tmpl w:val="65D7DC8E"/>
    <w:lvl w:ilvl="0" w:tentative="0">
      <w:start w:val="1"/>
      <w:numFmt w:val="decimal"/>
      <w:suff w:val="space"/>
      <w:lvlText w:val="【%1】"/>
      <w:lvlJc w:val="left"/>
      <w:pPr>
        <w:ind w:left="0" w:firstLine="0"/>
      </w:pPr>
      <w:rPr>
        <w:rFonts w:hint="default"/>
      </w:rPr>
    </w:lvl>
  </w:abstractNum>
  <w:abstractNum w:abstractNumId="222">
    <w:nsid w:val="663B8FD2"/>
    <w:multiLevelType w:val="singleLevel"/>
    <w:tmpl w:val="663B8FD2"/>
    <w:lvl w:ilvl="0" w:tentative="0">
      <w:start w:val="1"/>
      <w:numFmt w:val="decimal"/>
      <w:suff w:val="space"/>
      <w:lvlText w:val="【%1】"/>
      <w:lvlJc w:val="left"/>
      <w:pPr>
        <w:ind w:left="0" w:firstLine="0"/>
      </w:pPr>
      <w:rPr>
        <w:rFonts w:hint="default"/>
      </w:rPr>
    </w:lvl>
  </w:abstractNum>
  <w:abstractNum w:abstractNumId="223">
    <w:nsid w:val="669F37B5"/>
    <w:multiLevelType w:val="singleLevel"/>
    <w:tmpl w:val="669F37B5"/>
    <w:lvl w:ilvl="0" w:tentative="0">
      <w:start w:val="1"/>
      <w:numFmt w:val="decimal"/>
      <w:suff w:val="space"/>
      <w:lvlText w:val="【%1】"/>
      <w:lvlJc w:val="left"/>
      <w:pPr>
        <w:ind w:left="0" w:firstLine="0"/>
      </w:pPr>
      <w:rPr>
        <w:rFonts w:hint="default"/>
      </w:rPr>
    </w:lvl>
  </w:abstractNum>
  <w:abstractNum w:abstractNumId="224">
    <w:nsid w:val="66D84420"/>
    <w:multiLevelType w:val="singleLevel"/>
    <w:tmpl w:val="66D84420"/>
    <w:lvl w:ilvl="0" w:tentative="0">
      <w:start w:val="1"/>
      <w:numFmt w:val="decimal"/>
      <w:suff w:val="space"/>
      <w:lvlText w:val=""/>
      <w:lvlJc w:val="left"/>
      <w:pPr>
        <w:ind w:left="0" w:firstLine="482"/>
      </w:pPr>
      <w:rPr>
        <w:rFonts w:hint="default"/>
      </w:rPr>
    </w:lvl>
  </w:abstractNum>
  <w:abstractNum w:abstractNumId="225">
    <w:nsid w:val="676CA178"/>
    <w:multiLevelType w:val="singleLevel"/>
    <w:tmpl w:val="676CA178"/>
    <w:lvl w:ilvl="0" w:tentative="0">
      <w:start w:val="1"/>
      <w:numFmt w:val="decimal"/>
      <w:suff w:val="space"/>
      <w:lvlText w:val="%1."/>
      <w:lvlJc w:val="left"/>
      <w:pPr>
        <w:ind w:left="0" w:firstLine="0"/>
      </w:pPr>
      <w:rPr>
        <w:rFonts w:hint="default"/>
      </w:rPr>
    </w:lvl>
  </w:abstractNum>
  <w:abstractNum w:abstractNumId="226">
    <w:nsid w:val="69A6BDFE"/>
    <w:multiLevelType w:val="singleLevel"/>
    <w:tmpl w:val="69A6BDFE"/>
    <w:lvl w:ilvl="0" w:tentative="0">
      <w:start w:val="1"/>
      <w:numFmt w:val="decimal"/>
      <w:suff w:val="space"/>
      <w:lvlText w:val="【%1】"/>
      <w:lvlJc w:val="left"/>
      <w:pPr>
        <w:ind w:left="0" w:firstLine="0"/>
      </w:pPr>
      <w:rPr>
        <w:rFonts w:hint="default"/>
      </w:rPr>
    </w:lvl>
  </w:abstractNum>
  <w:abstractNum w:abstractNumId="227">
    <w:nsid w:val="6B142ADE"/>
    <w:multiLevelType w:val="singleLevel"/>
    <w:tmpl w:val="6B142ADE"/>
    <w:lvl w:ilvl="0" w:tentative="0">
      <w:start w:val="1"/>
      <w:numFmt w:val="decimal"/>
      <w:suff w:val="space"/>
      <w:lvlText w:val=""/>
      <w:lvlJc w:val="left"/>
      <w:pPr>
        <w:ind w:left="0" w:firstLine="482"/>
      </w:pPr>
      <w:rPr>
        <w:rFonts w:hint="default"/>
      </w:rPr>
    </w:lvl>
  </w:abstractNum>
  <w:abstractNum w:abstractNumId="228">
    <w:nsid w:val="6B9BE083"/>
    <w:multiLevelType w:val="singleLevel"/>
    <w:tmpl w:val="6B9BE083"/>
    <w:lvl w:ilvl="0" w:tentative="0">
      <w:start w:val="1"/>
      <w:numFmt w:val="decimal"/>
      <w:suff w:val="space"/>
      <w:lvlText w:val="【%1】"/>
      <w:lvlJc w:val="left"/>
      <w:pPr>
        <w:ind w:left="0" w:firstLine="0"/>
      </w:pPr>
      <w:rPr>
        <w:rFonts w:hint="default"/>
      </w:rPr>
    </w:lvl>
  </w:abstractNum>
  <w:abstractNum w:abstractNumId="229">
    <w:nsid w:val="6CE3F79A"/>
    <w:multiLevelType w:val="singleLevel"/>
    <w:tmpl w:val="6CE3F79A"/>
    <w:lvl w:ilvl="0" w:tentative="0">
      <w:start w:val="1"/>
      <w:numFmt w:val="decimal"/>
      <w:suff w:val="space"/>
      <w:lvlText w:val=""/>
      <w:lvlJc w:val="left"/>
      <w:pPr>
        <w:ind w:left="0" w:firstLine="482"/>
      </w:pPr>
      <w:rPr>
        <w:rFonts w:hint="default"/>
      </w:rPr>
    </w:lvl>
  </w:abstractNum>
  <w:abstractNum w:abstractNumId="230">
    <w:nsid w:val="6D1C6BBA"/>
    <w:multiLevelType w:val="singleLevel"/>
    <w:tmpl w:val="6D1C6BBA"/>
    <w:lvl w:ilvl="0" w:tentative="0">
      <w:start w:val="1"/>
      <w:numFmt w:val="decimal"/>
      <w:suff w:val="space"/>
      <w:lvlText w:val="%1."/>
      <w:lvlJc w:val="left"/>
      <w:pPr>
        <w:ind w:left="0" w:firstLine="0"/>
      </w:pPr>
      <w:rPr>
        <w:rFonts w:hint="default"/>
      </w:rPr>
    </w:lvl>
  </w:abstractNum>
  <w:abstractNum w:abstractNumId="231">
    <w:nsid w:val="6E92B67B"/>
    <w:multiLevelType w:val="singleLevel"/>
    <w:tmpl w:val="6E92B67B"/>
    <w:lvl w:ilvl="0" w:tentative="0">
      <w:start w:val="1"/>
      <w:numFmt w:val="decimal"/>
      <w:suff w:val="space"/>
      <w:lvlText w:val=""/>
      <w:lvlJc w:val="left"/>
      <w:pPr>
        <w:ind w:left="0" w:firstLine="482"/>
      </w:pPr>
      <w:rPr>
        <w:rFonts w:hint="default"/>
      </w:rPr>
    </w:lvl>
  </w:abstractNum>
  <w:abstractNum w:abstractNumId="232">
    <w:nsid w:val="6EBBD8BD"/>
    <w:multiLevelType w:val="singleLevel"/>
    <w:tmpl w:val="6EBBD8BD"/>
    <w:lvl w:ilvl="0" w:tentative="0">
      <w:start w:val="1"/>
      <w:numFmt w:val="decimal"/>
      <w:suff w:val="space"/>
      <w:lvlText w:val=""/>
      <w:lvlJc w:val="left"/>
      <w:pPr>
        <w:ind w:left="0" w:firstLine="482"/>
      </w:pPr>
      <w:rPr>
        <w:rFonts w:hint="default"/>
      </w:rPr>
    </w:lvl>
  </w:abstractNum>
  <w:abstractNum w:abstractNumId="233">
    <w:nsid w:val="6FE13EC2"/>
    <w:multiLevelType w:val="singleLevel"/>
    <w:tmpl w:val="6FE13EC2"/>
    <w:lvl w:ilvl="0" w:tentative="0">
      <w:start w:val="1"/>
      <w:numFmt w:val="decimal"/>
      <w:suff w:val="space"/>
      <w:lvlText w:val=""/>
      <w:lvlJc w:val="left"/>
      <w:pPr>
        <w:ind w:left="0" w:firstLine="482"/>
      </w:pPr>
      <w:rPr>
        <w:rFonts w:hint="default"/>
      </w:rPr>
    </w:lvl>
  </w:abstractNum>
  <w:abstractNum w:abstractNumId="234">
    <w:nsid w:val="70376A42"/>
    <w:multiLevelType w:val="singleLevel"/>
    <w:tmpl w:val="70376A42"/>
    <w:lvl w:ilvl="0" w:tentative="0">
      <w:start w:val="1"/>
      <w:numFmt w:val="decimal"/>
      <w:suff w:val="space"/>
      <w:lvlText w:val="【%1】"/>
      <w:lvlJc w:val="left"/>
      <w:pPr>
        <w:ind w:left="0" w:firstLine="0"/>
      </w:pPr>
      <w:rPr>
        <w:rFonts w:hint="default"/>
      </w:rPr>
    </w:lvl>
  </w:abstractNum>
  <w:abstractNum w:abstractNumId="235">
    <w:nsid w:val="70D413D3"/>
    <w:multiLevelType w:val="singleLevel"/>
    <w:tmpl w:val="70D413D3"/>
    <w:lvl w:ilvl="0" w:tentative="0">
      <w:start w:val="1"/>
      <w:numFmt w:val="chineseCounting"/>
      <w:suff w:val="space"/>
      <w:lvlText w:val="第%1章"/>
      <w:lvlJc w:val="left"/>
      <w:pPr>
        <w:ind w:left="0" w:firstLine="0"/>
      </w:pPr>
      <w:rPr>
        <w:rFonts w:hint="eastAsia"/>
      </w:rPr>
    </w:lvl>
  </w:abstractNum>
  <w:abstractNum w:abstractNumId="236">
    <w:nsid w:val="70EA57A8"/>
    <w:multiLevelType w:val="singleLevel"/>
    <w:tmpl w:val="70EA57A8"/>
    <w:lvl w:ilvl="0" w:tentative="0">
      <w:start w:val="1"/>
      <w:numFmt w:val="decimal"/>
      <w:suff w:val="space"/>
      <w:lvlText w:val=""/>
      <w:lvlJc w:val="left"/>
      <w:pPr>
        <w:ind w:left="0" w:firstLine="482"/>
      </w:pPr>
      <w:rPr>
        <w:rFonts w:hint="default"/>
      </w:rPr>
    </w:lvl>
  </w:abstractNum>
  <w:abstractNum w:abstractNumId="237">
    <w:nsid w:val="71AA17F9"/>
    <w:multiLevelType w:val="singleLevel"/>
    <w:tmpl w:val="71AA17F9"/>
    <w:lvl w:ilvl="0" w:tentative="0">
      <w:start w:val="1"/>
      <w:numFmt w:val="decimal"/>
      <w:suff w:val="space"/>
      <w:lvlText w:val="%1."/>
      <w:lvlJc w:val="left"/>
      <w:pPr>
        <w:ind w:left="0" w:firstLine="0"/>
      </w:pPr>
      <w:rPr>
        <w:rFonts w:hint="default"/>
      </w:rPr>
    </w:lvl>
  </w:abstractNum>
  <w:abstractNum w:abstractNumId="238">
    <w:nsid w:val="7228C134"/>
    <w:multiLevelType w:val="singleLevel"/>
    <w:tmpl w:val="7228C134"/>
    <w:lvl w:ilvl="0" w:tentative="0">
      <w:start w:val="1"/>
      <w:numFmt w:val="bullet"/>
      <w:lvlText w:val=""/>
      <w:lvlJc w:val="left"/>
      <w:pPr>
        <w:ind w:left="420" w:hanging="420"/>
      </w:pPr>
      <w:rPr>
        <w:rFonts w:hint="default" w:ascii="Wingdings" w:hAnsi="Wingdings"/>
      </w:rPr>
    </w:lvl>
  </w:abstractNum>
  <w:abstractNum w:abstractNumId="239">
    <w:nsid w:val="7512DE61"/>
    <w:multiLevelType w:val="singleLevel"/>
    <w:tmpl w:val="7512DE61"/>
    <w:lvl w:ilvl="0" w:tentative="0">
      <w:start w:val="1"/>
      <w:numFmt w:val="decimal"/>
      <w:suff w:val="space"/>
      <w:lvlText w:val="%1."/>
      <w:lvlJc w:val="left"/>
      <w:pPr>
        <w:ind w:left="0" w:firstLine="482"/>
      </w:pPr>
      <w:rPr>
        <w:rFonts w:hint="default"/>
      </w:rPr>
    </w:lvl>
  </w:abstractNum>
  <w:abstractNum w:abstractNumId="240">
    <w:nsid w:val="7744011C"/>
    <w:multiLevelType w:val="singleLevel"/>
    <w:tmpl w:val="7744011C"/>
    <w:lvl w:ilvl="0" w:tentative="0">
      <w:start w:val="1"/>
      <w:numFmt w:val="decimal"/>
      <w:suff w:val="space"/>
      <w:lvlText w:val="【%1】"/>
      <w:lvlJc w:val="left"/>
      <w:pPr>
        <w:ind w:left="0" w:firstLine="0"/>
      </w:pPr>
      <w:rPr>
        <w:rFonts w:hint="default"/>
      </w:rPr>
    </w:lvl>
  </w:abstractNum>
  <w:abstractNum w:abstractNumId="241">
    <w:nsid w:val="7833B6AA"/>
    <w:multiLevelType w:val="singleLevel"/>
    <w:tmpl w:val="7833B6AA"/>
    <w:lvl w:ilvl="0" w:tentative="0">
      <w:start w:val="1"/>
      <w:numFmt w:val="decimal"/>
      <w:suff w:val="space"/>
      <w:lvlText w:val=""/>
      <w:lvlJc w:val="left"/>
      <w:pPr>
        <w:ind w:left="0" w:firstLine="482"/>
      </w:pPr>
      <w:rPr>
        <w:rFonts w:hint="default"/>
      </w:rPr>
    </w:lvl>
  </w:abstractNum>
  <w:abstractNum w:abstractNumId="242">
    <w:nsid w:val="7B836642"/>
    <w:multiLevelType w:val="singleLevel"/>
    <w:tmpl w:val="7B836642"/>
    <w:lvl w:ilvl="0" w:tentative="0">
      <w:start w:val="1"/>
      <w:numFmt w:val="decimal"/>
      <w:suff w:val="space"/>
      <w:lvlText w:val=""/>
      <w:lvlJc w:val="left"/>
      <w:pPr>
        <w:ind w:left="0" w:firstLine="482"/>
      </w:pPr>
      <w:rPr>
        <w:rFonts w:hint="default"/>
      </w:rPr>
    </w:lvl>
  </w:abstractNum>
  <w:abstractNum w:abstractNumId="243">
    <w:nsid w:val="7D308E49"/>
    <w:multiLevelType w:val="singleLevel"/>
    <w:tmpl w:val="7D308E49"/>
    <w:lvl w:ilvl="0" w:tentative="0">
      <w:start w:val="1"/>
      <w:numFmt w:val="decimal"/>
      <w:suff w:val="space"/>
      <w:lvlText w:val="【%1】"/>
      <w:lvlJc w:val="left"/>
      <w:pPr>
        <w:ind w:left="0" w:firstLine="0"/>
      </w:pPr>
      <w:rPr>
        <w:rFonts w:hint="default"/>
      </w:rPr>
    </w:lvl>
  </w:abstractNum>
  <w:abstractNum w:abstractNumId="244">
    <w:nsid w:val="7EC6FD75"/>
    <w:multiLevelType w:val="singleLevel"/>
    <w:tmpl w:val="7EC6FD75"/>
    <w:lvl w:ilvl="0" w:tentative="0">
      <w:start w:val="1"/>
      <w:numFmt w:val="decimal"/>
      <w:suff w:val="space"/>
      <w:lvlText w:val=""/>
      <w:lvlJc w:val="left"/>
      <w:pPr>
        <w:ind w:left="0" w:firstLine="482"/>
      </w:pPr>
      <w:rPr>
        <w:rFonts w:hint="default"/>
      </w:rPr>
    </w:lvl>
  </w:abstractNum>
  <w:abstractNum w:abstractNumId="245">
    <w:nsid w:val="7F830E53"/>
    <w:multiLevelType w:val="singleLevel"/>
    <w:tmpl w:val="7F830E53"/>
    <w:lvl w:ilvl="0" w:tentative="0">
      <w:start w:val="1"/>
      <w:numFmt w:val="decimal"/>
      <w:suff w:val="space"/>
      <w:lvlText w:val=""/>
      <w:lvlJc w:val="left"/>
      <w:pPr>
        <w:ind w:left="0" w:firstLine="482"/>
      </w:pPr>
      <w:rPr>
        <w:rFonts w:hint="default"/>
      </w:rPr>
    </w:lvl>
  </w:abstractNum>
  <w:num w:numId="1">
    <w:abstractNumId w:val="130"/>
  </w:num>
  <w:num w:numId="2">
    <w:abstractNumId w:val="133"/>
  </w:num>
  <w:num w:numId="3">
    <w:abstractNumId w:val="134"/>
  </w:num>
  <w:num w:numId="4">
    <w:abstractNumId w:val="131"/>
  </w:num>
  <w:num w:numId="5">
    <w:abstractNumId w:val="129"/>
  </w:num>
  <w:num w:numId="6">
    <w:abstractNumId w:val="132"/>
  </w:num>
  <w:num w:numId="7">
    <w:abstractNumId w:val="235"/>
  </w:num>
  <w:num w:numId="8">
    <w:abstractNumId w:val="103"/>
  </w:num>
  <w:num w:numId="9">
    <w:abstractNumId w:val="176"/>
  </w:num>
  <w:num w:numId="10">
    <w:abstractNumId w:val="238"/>
  </w:num>
  <w:num w:numId="11">
    <w:abstractNumId w:val="55"/>
  </w:num>
  <w:num w:numId="12">
    <w:abstractNumId w:val="192"/>
  </w:num>
  <w:num w:numId="13">
    <w:abstractNumId w:val="15"/>
  </w:num>
  <w:num w:numId="14">
    <w:abstractNumId w:val="227"/>
  </w:num>
  <w:num w:numId="15">
    <w:abstractNumId w:val="36"/>
  </w:num>
  <w:num w:numId="16">
    <w:abstractNumId w:val="225"/>
  </w:num>
  <w:num w:numId="17">
    <w:abstractNumId w:val="135"/>
  </w:num>
  <w:num w:numId="18">
    <w:abstractNumId w:val="84"/>
  </w:num>
  <w:num w:numId="19">
    <w:abstractNumId w:val="193"/>
  </w:num>
  <w:num w:numId="20">
    <w:abstractNumId w:val="156"/>
  </w:num>
  <w:num w:numId="21">
    <w:abstractNumId w:val="47"/>
  </w:num>
  <w:num w:numId="22">
    <w:abstractNumId w:val="215"/>
  </w:num>
  <w:num w:numId="23">
    <w:abstractNumId w:val="72"/>
  </w:num>
  <w:num w:numId="24">
    <w:abstractNumId w:val="242"/>
  </w:num>
  <w:num w:numId="25">
    <w:abstractNumId w:val="155"/>
  </w:num>
  <w:num w:numId="26">
    <w:abstractNumId w:val="231"/>
  </w:num>
  <w:num w:numId="27">
    <w:abstractNumId w:val="120"/>
  </w:num>
  <w:num w:numId="28">
    <w:abstractNumId w:val="64"/>
  </w:num>
  <w:num w:numId="29">
    <w:abstractNumId w:val="88"/>
  </w:num>
  <w:num w:numId="30">
    <w:abstractNumId w:val="17"/>
  </w:num>
  <w:num w:numId="31">
    <w:abstractNumId w:val="149"/>
  </w:num>
  <w:num w:numId="32">
    <w:abstractNumId w:val="80"/>
  </w:num>
  <w:num w:numId="33">
    <w:abstractNumId w:val="68"/>
  </w:num>
  <w:num w:numId="34">
    <w:abstractNumId w:val="229"/>
  </w:num>
  <w:num w:numId="35">
    <w:abstractNumId w:val="244"/>
  </w:num>
  <w:num w:numId="36">
    <w:abstractNumId w:val="110"/>
  </w:num>
  <w:num w:numId="37">
    <w:abstractNumId w:val="123"/>
  </w:num>
  <w:num w:numId="38">
    <w:abstractNumId w:val="150"/>
  </w:num>
  <w:num w:numId="39">
    <w:abstractNumId w:val="224"/>
  </w:num>
  <w:num w:numId="40">
    <w:abstractNumId w:val="197"/>
  </w:num>
  <w:num w:numId="41">
    <w:abstractNumId w:val="66"/>
  </w:num>
  <w:num w:numId="42">
    <w:abstractNumId w:val="44"/>
  </w:num>
  <w:num w:numId="43">
    <w:abstractNumId w:val="221"/>
  </w:num>
  <w:num w:numId="44">
    <w:abstractNumId w:val="14"/>
  </w:num>
  <w:num w:numId="45">
    <w:abstractNumId w:val="202"/>
  </w:num>
  <w:num w:numId="46">
    <w:abstractNumId w:val="54"/>
  </w:num>
  <w:num w:numId="47">
    <w:abstractNumId w:val="164"/>
  </w:num>
  <w:num w:numId="48">
    <w:abstractNumId w:val="153"/>
  </w:num>
  <w:num w:numId="49">
    <w:abstractNumId w:val="71"/>
  </w:num>
  <w:num w:numId="50">
    <w:abstractNumId w:val="209"/>
  </w:num>
  <w:num w:numId="51">
    <w:abstractNumId w:val="190"/>
  </w:num>
  <w:num w:numId="52">
    <w:abstractNumId w:val="128"/>
  </w:num>
  <w:num w:numId="53">
    <w:abstractNumId w:val="187"/>
  </w:num>
  <w:num w:numId="54">
    <w:abstractNumId w:val="61"/>
  </w:num>
  <w:num w:numId="55">
    <w:abstractNumId w:val="183"/>
  </w:num>
  <w:num w:numId="56">
    <w:abstractNumId w:val="1"/>
  </w:num>
  <w:num w:numId="57">
    <w:abstractNumId w:val="119"/>
  </w:num>
  <w:num w:numId="58">
    <w:abstractNumId w:val="90"/>
  </w:num>
  <w:num w:numId="59">
    <w:abstractNumId w:val="40"/>
  </w:num>
  <w:num w:numId="60">
    <w:abstractNumId w:val="13"/>
  </w:num>
  <w:num w:numId="61">
    <w:abstractNumId w:val="42"/>
  </w:num>
  <w:num w:numId="62">
    <w:abstractNumId w:val="5"/>
  </w:num>
  <w:num w:numId="63">
    <w:abstractNumId w:val="191"/>
  </w:num>
  <w:num w:numId="64">
    <w:abstractNumId w:val="222"/>
  </w:num>
  <w:num w:numId="65">
    <w:abstractNumId w:val="143"/>
  </w:num>
  <w:num w:numId="66">
    <w:abstractNumId w:val="243"/>
  </w:num>
  <w:num w:numId="67">
    <w:abstractNumId w:val="232"/>
  </w:num>
  <w:num w:numId="68">
    <w:abstractNumId w:val="59"/>
  </w:num>
  <w:num w:numId="69">
    <w:abstractNumId w:val="213"/>
  </w:num>
  <w:num w:numId="70">
    <w:abstractNumId w:val="39"/>
  </w:num>
  <w:num w:numId="71">
    <w:abstractNumId w:val="181"/>
  </w:num>
  <w:num w:numId="72">
    <w:abstractNumId w:val="174"/>
  </w:num>
  <w:num w:numId="73">
    <w:abstractNumId w:val="184"/>
  </w:num>
  <w:num w:numId="74">
    <w:abstractNumId w:val="92"/>
  </w:num>
  <w:num w:numId="75">
    <w:abstractNumId w:val="126"/>
  </w:num>
  <w:num w:numId="76">
    <w:abstractNumId w:val="205"/>
  </w:num>
  <w:num w:numId="77">
    <w:abstractNumId w:val="178"/>
  </w:num>
  <w:num w:numId="78">
    <w:abstractNumId w:val="81"/>
  </w:num>
  <w:num w:numId="79">
    <w:abstractNumId w:val="24"/>
  </w:num>
  <w:num w:numId="80">
    <w:abstractNumId w:val="31"/>
  </w:num>
  <w:num w:numId="81">
    <w:abstractNumId w:val="228"/>
  </w:num>
  <w:num w:numId="82">
    <w:abstractNumId w:val="168"/>
  </w:num>
  <w:num w:numId="83">
    <w:abstractNumId w:val="9"/>
  </w:num>
  <w:num w:numId="84">
    <w:abstractNumId w:val="220"/>
  </w:num>
  <w:num w:numId="85">
    <w:abstractNumId w:val="46"/>
  </w:num>
  <w:num w:numId="86">
    <w:abstractNumId w:val="151"/>
  </w:num>
  <w:num w:numId="87">
    <w:abstractNumId w:val="177"/>
  </w:num>
  <w:num w:numId="88">
    <w:abstractNumId w:val="167"/>
  </w:num>
  <w:num w:numId="89">
    <w:abstractNumId w:val="142"/>
  </w:num>
  <w:num w:numId="90">
    <w:abstractNumId w:val="11"/>
  </w:num>
  <w:num w:numId="91">
    <w:abstractNumId w:val="217"/>
  </w:num>
  <w:num w:numId="92">
    <w:abstractNumId w:val="22"/>
  </w:num>
  <w:num w:numId="93">
    <w:abstractNumId w:val="233"/>
  </w:num>
  <w:num w:numId="94">
    <w:abstractNumId w:val="104"/>
  </w:num>
  <w:num w:numId="95">
    <w:abstractNumId w:val="95"/>
  </w:num>
  <w:num w:numId="96">
    <w:abstractNumId w:val="165"/>
  </w:num>
  <w:num w:numId="97">
    <w:abstractNumId w:val="34"/>
  </w:num>
  <w:num w:numId="98">
    <w:abstractNumId w:val="117"/>
  </w:num>
  <w:num w:numId="99">
    <w:abstractNumId w:val="140"/>
  </w:num>
  <w:num w:numId="100">
    <w:abstractNumId w:val="188"/>
  </w:num>
  <w:num w:numId="101">
    <w:abstractNumId w:val="148"/>
  </w:num>
  <w:num w:numId="102">
    <w:abstractNumId w:val="51"/>
  </w:num>
  <w:num w:numId="103">
    <w:abstractNumId w:val="154"/>
  </w:num>
  <w:num w:numId="104">
    <w:abstractNumId w:val="0"/>
  </w:num>
  <w:num w:numId="105">
    <w:abstractNumId w:val="62"/>
  </w:num>
  <w:num w:numId="106">
    <w:abstractNumId w:val="96"/>
  </w:num>
  <w:num w:numId="107">
    <w:abstractNumId w:val="57"/>
  </w:num>
  <w:num w:numId="108">
    <w:abstractNumId w:val="65"/>
  </w:num>
  <w:num w:numId="109">
    <w:abstractNumId w:val="32"/>
  </w:num>
  <w:num w:numId="110">
    <w:abstractNumId w:val="170"/>
  </w:num>
  <w:num w:numId="111">
    <w:abstractNumId w:val="124"/>
  </w:num>
  <w:num w:numId="112">
    <w:abstractNumId w:val="86"/>
  </w:num>
  <w:num w:numId="113">
    <w:abstractNumId w:val="206"/>
  </w:num>
  <w:num w:numId="114">
    <w:abstractNumId w:val="241"/>
  </w:num>
  <w:num w:numId="115">
    <w:abstractNumId w:val="89"/>
  </w:num>
  <w:num w:numId="116">
    <w:abstractNumId w:val="111"/>
  </w:num>
  <w:num w:numId="117">
    <w:abstractNumId w:val="223"/>
  </w:num>
  <w:num w:numId="118">
    <w:abstractNumId w:val="106"/>
  </w:num>
  <w:num w:numId="119">
    <w:abstractNumId w:val="94"/>
  </w:num>
  <w:num w:numId="120">
    <w:abstractNumId w:val="166"/>
  </w:num>
  <w:num w:numId="121">
    <w:abstractNumId w:val="20"/>
  </w:num>
  <w:num w:numId="122">
    <w:abstractNumId w:val="100"/>
  </w:num>
  <w:num w:numId="123">
    <w:abstractNumId w:val="226"/>
  </w:num>
  <w:num w:numId="124">
    <w:abstractNumId w:val="53"/>
  </w:num>
  <w:num w:numId="125">
    <w:abstractNumId w:val="33"/>
  </w:num>
  <w:num w:numId="126">
    <w:abstractNumId w:val="63"/>
  </w:num>
  <w:num w:numId="127">
    <w:abstractNumId w:val="201"/>
  </w:num>
  <w:num w:numId="128">
    <w:abstractNumId w:val="105"/>
  </w:num>
  <w:num w:numId="129">
    <w:abstractNumId w:val="70"/>
  </w:num>
  <w:num w:numId="130">
    <w:abstractNumId w:val="93"/>
  </w:num>
  <w:num w:numId="131">
    <w:abstractNumId w:val="137"/>
  </w:num>
  <w:num w:numId="132">
    <w:abstractNumId w:val="45"/>
  </w:num>
  <w:num w:numId="133">
    <w:abstractNumId w:val="144"/>
  </w:num>
  <w:num w:numId="134">
    <w:abstractNumId w:val="25"/>
  </w:num>
  <w:num w:numId="135">
    <w:abstractNumId w:val="180"/>
  </w:num>
  <w:num w:numId="136">
    <w:abstractNumId w:val="141"/>
  </w:num>
  <w:num w:numId="137">
    <w:abstractNumId w:val="58"/>
  </w:num>
  <w:num w:numId="138">
    <w:abstractNumId w:val="236"/>
  </w:num>
  <w:num w:numId="139">
    <w:abstractNumId w:val="122"/>
  </w:num>
  <w:num w:numId="140">
    <w:abstractNumId w:val="77"/>
  </w:num>
  <w:num w:numId="141">
    <w:abstractNumId w:val="216"/>
  </w:num>
  <w:num w:numId="142">
    <w:abstractNumId w:val="186"/>
  </w:num>
  <w:num w:numId="143">
    <w:abstractNumId w:val="85"/>
  </w:num>
  <w:num w:numId="144">
    <w:abstractNumId w:val="87"/>
  </w:num>
  <w:num w:numId="145">
    <w:abstractNumId w:val="195"/>
  </w:num>
  <w:num w:numId="146">
    <w:abstractNumId w:val="108"/>
  </w:num>
  <w:num w:numId="147">
    <w:abstractNumId w:val="4"/>
  </w:num>
  <w:num w:numId="148">
    <w:abstractNumId w:val="210"/>
  </w:num>
  <w:num w:numId="149">
    <w:abstractNumId w:val="171"/>
  </w:num>
  <w:num w:numId="150">
    <w:abstractNumId w:val="49"/>
  </w:num>
  <w:num w:numId="151">
    <w:abstractNumId w:val="115"/>
  </w:num>
  <w:num w:numId="152">
    <w:abstractNumId w:val="67"/>
  </w:num>
  <w:num w:numId="153">
    <w:abstractNumId w:val="18"/>
  </w:num>
  <w:num w:numId="154">
    <w:abstractNumId w:val="160"/>
  </w:num>
  <w:num w:numId="155">
    <w:abstractNumId w:val="145"/>
  </w:num>
  <w:num w:numId="156">
    <w:abstractNumId w:val="194"/>
  </w:num>
  <w:num w:numId="157">
    <w:abstractNumId w:val="200"/>
  </w:num>
  <w:num w:numId="158">
    <w:abstractNumId w:val="175"/>
  </w:num>
  <w:num w:numId="159">
    <w:abstractNumId w:val="56"/>
  </w:num>
  <w:num w:numId="160">
    <w:abstractNumId w:val="116"/>
  </w:num>
  <w:num w:numId="161">
    <w:abstractNumId w:val="208"/>
  </w:num>
  <w:num w:numId="162">
    <w:abstractNumId w:val="127"/>
  </w:num>
  <w:num w:numId="163">
    <w:abstractNumId w:val="29"/>
  </w:num>
  <w:num w:numId="164">
    <w:abstractNumId w:val="38"/>
  </w:num>
  <w:num w:numId="165">
    <w:abstractNumId w:val="43"/>
  </w:num>
  <w:num w:numId="166">
    <w:abstractNumId w:val="198"/>
  </w:num>
  <w:num w:numId="167">
    <w:abstractNumId w:val="239"/>
  </w:num>
  <w:num w:numId="168">
    <w:abstractNumId w:val="48"/>
  </w:num>
  <w:num w:numId="169">
    <w:abstractNumId w:val="204"/>
  </w:num>
  <w:num w:numId="170">
    <w:abstractNumId w:val="37"/>
  </w:num>
  <w:num w:numId="171">
    <w:abstractNumId w:val="169"/>
  </w:num>
  <w:num w:numId="172">
    <w:abstractNumId w:val="2"/>
  </w:num>
  <w:num w:numId="173">
    <w:abstractNumId w:val="23"/>
  </w:num>
  <w:num w:numId="174">
    <w:abstractNumId w:val="173"/>
  </w:num>
  <w:num w:numId="175">
    <w:abstractNumId w:val="12"/>
  </w:num>
  <w:num w:numId="176">
    <w:abstractNumId w:val="50"/>
  </w:num>
  <w:num w:numId="177">
    <w:abstractNumId w:val="219"/>
  </w:num>
  <w:num w:numId="178">
    <w:abstractNumId w:val="214"/>
  </w:num>
  <w:num w:numId="179">
    <w:abstractNumId w:val="152"/>
  </w:num>
  <w:num w:numId="180">
    <w:abstractNumId w:val="139"/>
  </w:num>
  <w:num w:numId="181">
    <w:abstractNumId w:val="107"/>
  </w:num>
  <w:num w:numId="182">
    <w:abstractNumId w:val="125"/>
  </w:num>
  <w:num w:numId="183">
    <w:abstractNumId w:val="73"/>
  </w:num>
  <w:num w:numId="184">
    <w:abstractNumId w:val="99"/>
  </w:num>
  <w:num w:numId="185">
    <w:abstractNumId w:val="245"/>
  </w:num>
  <w:num w:numId="186">
    <w:abstractNumId w:val="91"/>
  </w:num>
  <w:num w:numId="187">
    <w:abstractNumId w:val="199"/>
  </w:num>
  <w:num w:numId="188">
    <w:abstractNumId w:val="196"/>
  </w:num>
  <w:num w:numId="189">
    <w:abstractNumId w:val="163"/>
  </w:num>
  <w:num w:numId="190">
    <w:abstractNumId w:val="19"/>
  </w:num>
  <w:num w:numId="191">
    <w:abstractNumId w:val="102"/>
  </w:num>
  <w:num w:numId="192">
    <w:abstractNumId w:val="118"/>
  </w:num>
  <w:num w:numId="193">
    <w:abstractNumId w:val="97"/>
  </w:num>
  <w:num w:numId="194">
    <w:abstractNumId w:val="159"/>
  </w:num>
  <w:num w:numId="195">
    <w:abstractNumId w:val="138"/>
  </w:num>
  <w:num w:numId="196">
    <w:abstractNumId w:val="157"/>
  </w:num>
  <w:num w:numId="197">
    <w:abstractNumId w:val="146"/>
  </w:num>
  <w:num w:numId="198">
    <w:abstractNumId w:val="8"/>
  </w:num>
  <w:num w:numId="199">
    <w:abstractNumId w:val="79"/>
  </w:num>
  <w:num w:numId="200">
    <w:abstractNumId w:val="237"/>
  </w:num>
  <w:num w:numId="201">
    <w:abstractNumId w:val="74"/>
  </w:num>
  <w:num w:numId="202">
    <w:abstractNumId w:val="16"/>
  </w:num>
  <w:num w:numId="203">
    <w:abstractNumId w:val="234"/>
  </w:num>
  <w:num w:numId="204">
    <w:abstractNumId w:val="21"/>
  </w:num>
  <w:num w:numId="205">
    <w:abstractNumId w:val="75"/>
  </w:num>
  <w:num w:numId="206">
    <w:abstractNumId w:val="69"/>
  </w:num>
  <w:num w:numId="207">
    <w:abstractNumId w:val="136"/>
  </w:num>
  <w:num w:numId="208">
    <w:abstractNumId w:val="30"/>
  </w:num>
  <w:num w:numId="209">
    <w:abstractNumId w:val="28"/>
  </w:num>
  <w:num w:numId="210">
    <w:abstractNumId w:val="101"/>
  </w:num>
  <w:num w:numId="211">
    <w:abstractNumId w:val="112"/>
  </w:num>
  <w:num w:numId="212">
    <w:abstractNumId w:val="35"/>
  </w:num>
  <w:num w:numId="213">
    <w:abstractNumId w:val="161"/>
  </w:num>
  <w:num w:numId="214">
    <w:abstractNumId w:val="76"/>
  </w:num>
  <w:num w:numId="215">
    <w:abstractNumId w:val="98"/>
  </w:num>
  <w:num w:numId="216">
    <w:abstractNumId w:val="211"/>
  </w:num>
  <w:num w:numId="217">
    <w:abstractNumId w:val="230"/>
  </w:num>
  <w:num w:numId="218">
    <w:abstractNumId w:val="162"/>
  </w:num>
  <w:num w:numId="219">
    <w:abstractNumId w:val="158"/>
  </w:num>
  <w:num w:numId="220">
    <w:abstractNumId w:val="7"/>
  </w:num>
  <w:num w:numId="221">
    <w:abstractNumId w:val="189"/>
  </w:num>
  <w:num w:numId="222">
    <w:abstractNumId w:val="203"/>
  </w:num>
  <w:num w:numId="223">
    <w:abstractNumId w:val="147"/>
  </w:num>
  <w:num w:numId="224">
    <w:abstractNumId w:val="52"/>
  </w:num>
  <w:num w:numId="225">
    <w:abstractNumId w:val="185"/>
  </w:num>
  <w:num w:numId="226">
    <w:abstractNumId w:val="3"/>
  </w:num>
  <w:num w:numId="227">
    <w:abstractNumId w:val="179"/>
  </w:num>
  <w:num w:numId="228">
    <w:abstractNumId w:val="41"/>
  </w:num>
  <w:num w:numId="229">
    <w:abstractNumId w:val="26"/>
  </w:num>
  <w:num w:numId="230">
    <w:abstractNumId w:val="83"/>
  </w:num>
  <w:num w:numId="231">
    <w:abstractNumId w:val="240"/>
  </w:num>
  <w:num w:numId="232">
    <w:abstractNumId w:val="114"/>
  </w:num>
  <w:num w:numId="233">
    <w:abstractNumId w:val="82"/>
  </w:num>
  <w:num w:numId="234">
    <w:abstractNumId w:val="60"/>
  </w:num>
  <w:num w:numId="235">
    <w:abstractNumId w:val="109"/>
  </w:num>
  <w:num w:numId="236">
    <w:abstractNumId w:val="207"/>
  </w:num>
  <w:num w:numId="237">
    <w:abstractNumId w:val="78"/>
  </w:num>
  <w:num w:numId="238">
    <w:abstractNumId w:val="172"/>
  </w:num>
  <w:num w:numId="239">
    <w:abstractNumId w:val="182"/>
  </w:num>
  <w:num w:numId="240">
    <w:abstractNumId w:val="212"/>
  </w:num>
  <w:num w:numId="241">
    <w:abstractNumId w:val="218"/>
  </w:num>
  <w:num w:numId="242">
    <w:abstractNumId w:val="10"/>
  </w:num>
  <w:num w:numId="243">
    <w:abstractNumId w:val="113"/>
  </w:num>
  <w:num w:numId="244">
    <w:abstractNumId w:val="6"/>
  </w:num>
  <w:num w:numId="245">
    <w:abstractNumId w:val="121"/>
  </w:num>
  <w:num w:numId="24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AB59F7"/>
    <w:rsid w:val="00B47730"/>
    <w:rsid w:val="00CB0664"/>
    <w:rsid w:val="00DC3BBF"/>
    <w:rsid w:val="00FC693F"/>
    <w:rsid w:val="01287D8E"/>
    <w:rsid w:val="02337D11"/>
    <w:rsid w:val="02D72974"/>
    <w:rsid w:val="047D2C92"/>
    <w:rsid w:val="047F723D"/>
    <w:rsid w:val="048F7622"/>
    <w:rsid w:val="06A50BF6"/>
    <w:rsid w:val="06BB4388"/>
    <w:rsid w:val="07155C37"/>
    <w:rsid w:val="0790350F"/>
    <w:rsid w:val="084F4F9C"/>
    <w:rsid w:val="08550E08"/>
    <w:rsid w:val="089327F6"/>
    <w:rsid w:val="09404CDC"/>
    <w:rsid w:val="0951376D"/>
    <w:rsid w:val="095D0797"/>
    <w:rsid w:val="09710551"/>
    <w:rsid w:val="0A541176"/>
    <w:rsid w:val="0B2548EC"/>
    <w:rsid w:val="0B6251C3"/>
    <w:rsid w:val="0BE3052D"/>
    <w:rsid w:val="0C185CAA"/>
    <w:rsid w:val="0C3A723F"/>
    <w:rsid w:val="0C614F3A"/>
    <w:rsid w:val="0D532E09"/>
    <w:rsid w:val="0E2826F4"/>
    <w:rsid w:val="0E6404BC"/>
    <w:rsid w:val="0E791C99"/>
    <w:rsid w:val="0EB000A1"/>
    <w:rsid w:val="105B1AB4"/>
    <w:rsid w:val="105E064F"/>
    <w:rsid w:val="12DD5069"/>
    <w:rsid w:val="13280AA0"/>
    <w:rsid w:val="1335531E"/>
    <w:rsid w:val="137F7DA4"/>
    <w:rsid w:val="141170ED"/>
    <w:rsid w:val="14A16D5C"/>
    <w:rsid w:val="14B8020C"/>
    <w:rsid w:val="1504525C"/>
    <w:rsid w:val="15C87273"/>
    <w:rsid w:val="16646CDD"/>
    <w:rsid w:val="16910FD9"/>
    <w:rsid w:val="18740AE5"/>
    <w:rsid w:val="18EC3BAD"/>
    <w:rsid w:val="19FC7CC6"/>
    <w:rsid w:val="1A4866E5"/>
    <w:rsid w:val="1A58610F"/>
    <w:rsid w:val="1A6233DE"/>
    <w:rsid w:val="1AC90DBB"/>
    <w:rsid w:val="1AD055C7"/>
    <w:rsid w:val="1B0911B7"/>
    <w:rsid w:val="1B373F76"/>
    <w:rsid w:val="1B506DE6"/>
    <w:rsid w:val="1BFA52C3"/>
    <w:rsid w:val="1CB04E54"/>
    <w:rsid w:val="1CF06AD2"/>
    <w:rsid w:val="1E285BB3"/>
    <w:rsid w:val="1E854FF8"/>
    <w:rsid w:val="1EF83A1C"/>
    <w:rsid w:val="1F3031B6"/>
    <w:rsid w:val="1F877BDE"/>
    <w:rsid w:val="202548FF"/>
    <w:rsid w:val="20327478"/>
    <w:rsid w:val="20B47E17"/>
    <w:rsid w:val="20F73191"/>
    <w:rsid w:val="21537AB3"/>
    <w:rsid w:val="21BC614C"/>
    <w:rsid w:val="21C916A0"/>
    <w:rsid w:val="21EF60F0"/>
    <w:rsid w:val="220B039D"/>
    <w:rsid w:val="22230E62"/>
    <w:rsid w:val="22777571"/>
    <w:rsid w:val="22A65EBC"/>
    <w:rsid w:val="22BA7DA5"/>
    <w:rsid w:val="235B5ADA"/>
    <w:rsid w:val="235C2E4D"/>
    <w:rsid w:val="235E52E6"/>
    <w:rsid w:val="2472601F"/>
    <w:rsid w:val="247D03B7"/>
    <w:rsid w:val="248A0711"/>
    <w:rsid w:val="25C76384"/>
    <w:rsid w:val="26815BDB"/>
    <w:rsid w:val="274A5804"/>
    <w:rsid w:val="28D92B11"/>
    <w:rsid w:val="295F7807"/>
    <w:rsid w:val="2A4C7C4B"/>
    <w:rsid w:val="2AE337D3"/>
    <w:rsid w:val="2B095471"/>
    <w:rsid w:val="2B715282"/>
    <w:rsid w:val="2BC272BF"/>
    <w:rsid w:val="2C6F705F"/>
    <w:rsid w:val="2D942BFB"/>
    <w:rsid w:val="2DDD44E2"/>
    <w:rsid w:val="2EC465DF"/>
    <w:rsid w:val="2F5051AF"/>
    <w:rsid w:val="2F9C7272"/>
    <w:rsid w:val="2FEC3129"/>
    <w:rsid w:val="30157776"/>
    <w:rsid w:val="301E34E6"/>
    <w:rsid w:val="30797DCA"/>
    <w:rsid w:val="318A59A0"/>
    <w:rsid w:val="32263B56"/>
    <w:rsid w:val="326276D3"/>
    <w:rsid w:val="32A7067D"/>
    <w:rsid w:val="34547D9D"/>
    <w:rsid w:val="36594286"/>
    <w:rsid w:val="3670428D"/>
    <w:rsid w:val="36E51695"/>
    <w:rsid w:val="36FA6F28"/>
    <w:rsid w:val="37920A4E"/>
    <w:rsid w:val="37AE5168"/>
    <w:rsid w:val="39355C80"/>
    <w:rsid w:val="39430031"/>
    <w:rsid w:val="394962B0"/>
    <w:rsid w:val="3993406B"/>
    <w:rsid w:val="39A71956"/>
    <w:rsid w:val="3A2B0CF2"/>
    <w:rsid w:val="3CE3517D"/>
    <w:rsid w:val="3D2D5BD4"/>
    <w:rsid w:val="3D3C18A7"/>
    <w:rsid w:val="3E894239"/>
    <w:rsid w:val="3EF06996"/>
    <w:rsid w:val="3F6D0FB3"/>
    <w:rsid w:val="3F9F0CD2"/>
    <w:rsid w:val="41BE6785"/>
    <w:rsid w:val="42217728"/>
    <w:rsid w:val="433F2195"/>
    <w:rsid w:val="434A043B"/>
    <w:rsid w:val="434D3A87"/>
    <w:rsid w:val="43B119B5"/>
    <w:rsid w:val="44255D38"/>
    <w:rsid w:val="44DB54F6"/>
    <w:rsid w:val="44EF003D"/>
    <w:rsid w:val="45156827"/>
    <w:rsid w:val="454F3935"/>
    <w:rsid w:val="4581203B"/>
    <w:rsid w:val="46072613"/>
    <w:rsid w:val="464425BB"/>
    <w:rsid w:val="466815A0"/>
    <w:rsid w:val="467D4684"/>
    <w:rsid w:val="46D57DB6"/>
    <w:rsid w:val="475B11F3"/>
    <w:rsid w:val="47694F1C"/>
    <w:rsid w:val="476A63AC"/>
    <w:rsid w:val="48F77029"/>
    <w:rsid w:val="496658A3"/>
    <w:rsid w:val="497C6BEC"/>
    <w:rsid w:val="4A0155CC"/>
    <w:rsid w:val="4A880BB7"/>
    <w:rsid w:val="4A943797"/>
    <w:rsid w:val="4AD73EDC"/>
    <w:rsid w:val="4B086F3D"/>
    <w:rsid w:val="4B492087"/>
    <w:rsid w:val="4B603EF9"/>
    <w:rsid w:val="4B644493"/>
    <w:rsid w:val="4B991F60"/>
    <w:rsid w:val="4BC0490B"/>
    <w:rsid w:val="4BCD39B7"/>
    <w:rsid w:val="4BE20CC1"/>
    <w:rsid w:val="4BFA3413"/>
    <w:rsid w:val="4C0D3812"/>
    <w:rsid w:val="4C994BFF"/>
    <w:rsid w:val="4E505A06"/>
    <w:rsid w:val="4ED82D9F"/>
    <w:rsid w:val="4F804A74"/>
    <w:rsid w:val="502B33A2"/>
    <w:rsid w:val="509B6B85"/>
    <w:rsid w:val="50B82AC5"/>
    <w:rsid w:val="50D457E8"/>
    <w:rsid w:val="51027558"/>
    <w:rsid w:val="51255DA0"/>
    <w:rsid w:val="514566E6"/>
    <w:rsid w:val="517E000C"/>
    <w:rsid w:val="51F21D42"/>
    <w:rsid w:val="521E7B60"/>
    <w:rsid w:val="529B6283"/>
    <w:rsid w:val="53B44B0B"/>
    <w:rsid w:val="53DC50DF"/>
    <w:rsid w:val="54095EBA"/>
    <w:rsid w:val="54821AA4"/>
    <w:rsid w:val="551E02E1"/>
    <w:rsid w:val="55306B8D"/>
    <w:rsid w:val="55610682"/>
    <w:rsid w:val="557E4769"/>
    <w:rsid w:val="55CC1183"/>
    <w:rsid w:val="55E71DE2"/>
    <w:rsid w:val="56501DBB"/>
    <w:rsid w:val="56B756C4"/>
    <w:rsid w:val="57A3611E"/>
    <w:rsid w:val="580F7106"/>
    <w:rsid w:val="586A2A53"/>
    <w:rsid w:val="59B61CFB"/>
    <w:rsid w:val="5A36306F"/>
    <w:rsid w:val="5A6A34FF"/>
    <w:rsid w:val="5B5A153F"/>
    <w:rsid w:val="5B5D7BA1"/>
    <w:rsid w:val="5BB04C2C"/>
    <w:rsid w:val="5D08757F"/>
    <w:rsid w:val="5D1E4907"/>
    <w:rsid w:val="5E2418E2"/>
    <w:rsid w:val="5E3308A2"/>
    <w:rsid w:val="5E6F64A1"/>
    <w:rsid w:val="5EC26F49"/>
    <w:rsid w:val="5FF61782"/>
    <w:rsid w:val="5FF90DC7"/>
    <w:rsid w:val="60264B67"/>
    <w:rsid w:val="602D18A2"/>
    <w:rsid w:val="60A732CB"/>
    <w:rsid w:val="60EE7480"/>
    <w:rsid w:val="6131633F"/>
    <w:rsid w:val="617F354E"/>
    <w:rsid w:val="619C5EAE"/>
    <w:rsid w:val="622A0976"/>
    <w:rsid w:val="62C746D1"/>
    <w:rsid w:val="63803A39"/>
    <w:rsid w:val="64E63B26"/>
    <w:rsid w:val="653C392D"/>
    <w:rsid w:val="654362C3"/>
    <w:rsid w:val="66053C16"/>
    <w:rsid w:val="66BC7F97"/>
    <w:rsid w:val="66BE7A81"/>
    <w:rsid w:val="66FF0FD3"/>
    <w:rsid w:val="671C61EA"/>
    <w:rsid w:val="677D5FDA"/>
    <w:rsid w:val="680429A2"/>
    <w:rsid w:val="68176EBD"/>
    <w:rsid w:val="68476448"/>
    <w:rsid w:val="686B7D6C"/>
    <w:rsid w:val="687D3E81"/>
    <w:rsid w:val="68AA02F5"/>
    <w:rsid w:val="69B8584F"/>
    <w:rsid w:val="6A063B3C"/>
    <w:rsid w:val="6AE10DD5"/>
    <w:rsid w:val="6B3453A9"/>
    <w:rsid w:val="6B6D6B6B"/>
    <w:rsid w:val="6B931A72"/>
    <w:rsid w:val="6C0044C7"/>
    <w:rsid w:val="6C092392"/>
    <w:rsid w:val="6C7C1AC7"/>
    <w:rsid w:val="6C924135"/>
    <w:rsid w:val="6D5F3CC6"/>
    <w:rsid w:val="6E46205D"/>
    <w:rsid w:val="6E5D4666"/>
    <w:rsid w:val="6F4F0945"/>
    <w:rsid w:val="6F6F02E9"/>
    <w:rsid w:val="6F911E7E"/>
    <w:rsid w:val="6F9957DB"/>
    <w:rsid w:val="6FA64AAB"/>
    <w:rsid w:val="70A72179"/>
    <w:rsid w:val="70C44AD9"/>
    <w:rsid w:val="710E5A87"/>
    <w:rsid w:val="71DE14A3"/>
    <w:rsid w:val="72414F83"/>
    <w:rsid w:val="72B868C0"/>
    <w:rsid w:val="72DB435C"/>
    <w:rsid w:val="73271EE6"/>
    <w:rsid w:val="738F520D"/>
    <w:rsid w:val="73C95144"/>
    <w:rsid w:val="73E45068"/>
    <w:rsid w:val="75537C1F"/>
    <w:rsid w:val="757C5D9C"/>
    <w:rsid w:val="760D1070"/>
    <w:rsid w:val="766905FD"/>
    <w:rsid w:val="76FC17A3"/>
    <w:rsid w:val="77730C17"/>
    <w:rsid w:val="77BB3E94"/>
    <w:rsid w:val="77D2720E"/>
    <w:rsid w:val="782D11B6"/>
    <w:rsid w:val="784A5B3F"/>
    <w:rsid w:val="79A557F7"/>
    <w:rsid w:val="79D43F4C"/>
    <w:rsid w:val="7A1C7734"/>
    <w:rsid w:val="7AEF4D91"/>
    <w:rsid w:val="7B871525"/>
    <w:rsid w:val="7BAA04D3"/>
    <w:rsid w:val="7D845D1C"/>
    <w:rsid w:val="7E3C2153"/>
    <w:rsid w:val="7E934EBC"/>
    <w:rsid w:val="7EC4714C"/>
    <w:rsid w:val="7F637252"/>
    <w:rsid w:val="7FAB28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next w:val="1"/>
    <w:link w:val="145"/>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4">
    <w:name w:val="heading 2"/>
    <w:basedOn w:val="1"/>
    <w:next w:val="1"/>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5">
    <w:name w:val="heading 3"/>
    <w:next w:val="1"/>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6">
    <w:name w:val="heading 4"/>
    <w:next w:val="1"/>
    <w:link w:val="157"/>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7">
    <w:name w:val="heading 5"/>
    <w:next w:val="1"/>
    <w:link w:val="158"/>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8">
    <w:name w:val="heading 6"/>
    <w:next w:val="1"/>
    <w:link w:val="159"/>
    <w:semiHidden/>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9">
    <w:name w:val="heading 7"/>
    <w:next w:val="1"/>
    <w:link w:val="160"/>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10">
    <w:name w:val="heading 8"/>
    <w:next w:val="1"/>
    <w:link w:val="161"/>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1">
    <w:name w:val="heading 9"/>
    <w:next w:val="1"/>
    <w:link w:val="162"/>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38">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2">
    <w:name w:val="macro"/>
    <w:link w:val="1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3"/>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unhideWhenUsed/>
    <w:qFormat/>
    <w:uiPriority w:val="99"/>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74"/>
    <w:unhideWhenUsed/>
    <w:qFormat/>
    <w:uiPriority w:val="99"/>
    <w:pPr>
      <w:tabs>
        <w:tab w:val="center" w:pos="4680"/>
        <w:tab w:val="right" w:pos="9360"/>
      </w:tabs>
      <w:spacing w:after="0" w:line="240" w:lineRule="auto"/>
    </w:pPr>
  </w:style>
  <w:style w:type="paragraph" w:styleId="26">
    <w:name w:val="header"/>
    <w:basedOn w:val="1"/>
    <w:link w:val="173"/>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toc 4"/>
    <w:basedOn w:val="1"/>
    <w:next w:val="1"/>
    <w:semiHidden/>
    <w:unhideWhenUsed/>
    <w:qFormat/>
    <w:uiPriority w:val="39"/>
    <w:pPr>
      <w:ind w:left="1260" w:leftChars="600"/>
    </w:pPr>
  </w:style>
  <w:style w:type="paragraph" w:styleId="29">
    <w:name w:val="Subtitle"/>
    <w:next w:val="1"/>
    <w:qFormat/>
    <w:uiPriority w:val="11"/>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52"/>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5">
    <w:name w:val="Normal (Web)"/>
    <w:basedOn w:val="1"/>
    <w:semiHidden/>
    <w:unhideWhenUsed/>
    <w:qFormat/>
    <w:uiPriority w:val="99"/>
    <w:rPr>
      <w:sz w:val="24"/>
    </w:rPr>
  </w:style>
  <w:style w:type="paragraph" w:styleId="36">
    <w:name w:val="List Continue 3"/>
    <w:basedOn w:val="1"/>
    <w:unhideWhenUsed/>
    <w:qFormat/>
    <w:uiPriority w:val="99"/>
    <w:pPr>
      <w:spacing w:after="120"/>
      <w:ind w:left="1080"/>
      <w:contextualSpacing/>
    </w:pPr>
  </w:style>
  <w:style w:type="paragraph" w:styleId="37">
    <w:name w:val="Title"/>
    <w:next w:val="1"/>
    <w:qFormat/>
    <w:uiPriority w:val="1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39">
    <w:name w:val="Table Grid"/>
    <w:basedOn w:val="3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0">
    <w:name w:val="Light Shading"/>
    <w:basedOn w:val="38"/>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38"/>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42">
    <w:name w:val="Light Shading Accent 2"/>
    <w:basedOn w:val="38"/>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3">
    <w:name w:val="Light Shading Accent 3"/>
    <w:basedOn w:val="38"/>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4">
    <w:name w:val="Light Shading Accent 4"/>
    <w:basedOn w:val="38"/>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5">
    <w:name w:val="Light Shading Accent 5"/>
    <w:basedOn w:val="38"/>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6">
    <w:name w:val="Light Shading Accent 6"/>
    <w:basedOn w:val="38"/>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7">
    <w:name w:val="Light List"/>
    <w:basedOn w:val="38"/>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38"/>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9">
    <w:name w:val="Light List Accent 2"/>
    <w:basedOn w:val="38"/>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50">
    <w:name w:val="Light List Accent 3"/>
    <w:basedOn w:val="38"/>
    <w:qFormat/>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51">
    <w:name w:val="Light List Accent 4"/>
    <w:basedOn w:val="38"/>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52">
    <w:name w:val="Light List Accent 5"/>
    <w:basedOn w:val="38"/>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3">
    <w:name w:val="Light List Accent 6"/>
    <w:basedOn w:val="38"/>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4">
    <w:name w:val="Light Grid"/>
    <w:basedOn w:val="38"/>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38"/>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6">
    <w:name w:val="Light Grid Accent 2"/>
    <w:basedOn w:val="38"/>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7">
    <w:name w:val="Light Grid Accent 3"/>
    <w:basedOn w:val="38"/>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8">
    <w:name w:val="Light Grid Accent 4"/>
    <w:basedOn w:val="38"/>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9">
    <w:name w:val="Light Grid Accent 5"/>
    <w:basedOn w:val="38"/>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60">
    <w:name w:val="Light Grid Accent 6"/>
    <w:basedOn w:val="38"/>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61">
    <w:name w:val="Medium Shading 1"/>
    <w:basedOn w:val="38"/>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38"/>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3">
    <w:name w:val="Medium Shading 1 Accent 2"/>
    <w:basedOn w:val="38"/>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4">
    <w:name w:val="Medium Shading 1 Accent 3"/>
    <w:basedOn w:val="38"/>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5">
    <w:name w:val="Medium Shading 1 Accent 4"/>
    <w:basedOn w:val="38"/>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6">
    <w:name w:val="Medium Shading 1 Accent 5"/>
    <w:basedOn w:val="38"/>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7">
    <w:name w:val="Medium Shading 1 Accent 6"/>
    <w:basedOn w:val="38"/>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8">
    <w:name w:val="Medium Shading 2"/>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38"/>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38"/>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7">
    <w:name w:val="Medium List 1 Accent 2"/>
    <w:basedOn w:val="38"/>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8">
    <w:name w:val="Medium List 1 Accent 3"/>
    <w:basedOn w:val="38"/>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9">
    <w:name w:val="Medium List 1 Accent 4"/>
    <w:basedOn w:val="38"/>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80">
    <w:name w:val="Medium List 1 Accent 5"/>
    <w:basedOn w:val="38"/>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81">
    <w:name w:val="Medium List 1 Accent 6"/>
    <w:basedOn w:val="38"/>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82">
    <w:name w:val="Medium List 2"/>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38"/>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38"/>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91">
    <w:name w:val="Medium Grid 1 Accent 2"/>
    <w:basedOn w:val="38"/>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92">
    <w:name w:val="Medium Grid 1 Accent 3"/>
    <w:basedOn w:val="38"/>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3">
    <w:name w:val="Medium Grid 1 Accent 4"/>
    <w:basedOn w:val="38"/>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4">
    <w:name w:val="Medium Grid 1 Accent 5"/>
    <w:basedOn w:val="38"/>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5">
    <w:name w:val="Medium Grid 1 Accent 6"/>
    <w:basedOn w:val="38"/>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6">
    <w:name w:val="Medium Grid 2"/>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8">
    <w:name w:val="Medium Grid 2 Accent 2"/>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9">
    <w:name w:val="Medium Grid 2 Accent 3"/>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100">
    <w:name w:val="Medium Grid 2 Accent 4"/>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101">
    <w:name w:val="Medium Grid 2 Accent 5"/>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102">
    <w:name w:val="Medium Grid 2 Accent 6"/>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3">
    <w:name w:val="Medium Grid 3"/>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5">
    <w:name w:val="Medium Grid 3 Accent 2"/>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6">
    <w:name w:val="Medium Grid 3 Accent 3"/>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7">
    <w:name w:val="Medium Grid 3 Accent 4"/>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8">
    <w:name w:val="Medium Grid 3 Accent 5"/>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9">
    <w:name w:val="Medium Grid 3 Accent 6"/>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10">
    <w:name w:val="Dark List"/>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12">
    <w:name w:val="Dark List Accent 2"/>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3">
    <w:name w:val="Dark List Accent 3"/>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4">
    <w:name w:val="Dark List Accent 4"/>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5">
    <w:name w:val="Dark List Accent 5"/>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6">
    <w:name w:val="Dark List Accent 6"/>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7">
    <w:name w:val="Colorful Shading"/>
    <w:basedOn w:val="38"/>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38"/>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38"/>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38"/>
    <w:qFormat/>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21">
    <w:name w:val="Colorful Shading Accent 4"/>
    <w:basedOn w:val="38"/>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38"/>
    <w:qFormat/>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38"/>
    <w:qFormat/>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6">
    <w:name w:val="Colorful List Accent 2"/>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7">
    <w:name w:val="Colorful List Accent 3"/>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8">
    <w:name w:val="Colorful List Accent 4"/>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9">
    <w:name w:val="Colorful List Accent 5"/>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30">
    <w:name w:val="Colorful List Accent 6"/>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31">
    <w:name w:val="Colorful Grid"/>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3">
    <w:name w:val="Colorful Grid Accent 2"/>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4">
    <w:name w:val="Colorful Grid Accent 3"/>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5">
    <w:name w:val="Colorful Grid Accent 4"/>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6">
    <w:name w:val="Colorful Grid Accent 5"/>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7">
    <w:name w:val="Colorful Grid Accent 6"/>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9">
    <w:name w:val="Strong"/>
    <w:basedOn w:val="138"/>
    <w:qFormat/>
    <w:uiPriority w:val="22"/>
    <w:rPr>
      <w:b/>
      <w:bCs/>
    </w:rPr>
  </w:style>
  <w:style w:type="character" w:styleId="140">
    <w:name w:val="Emphasis"/>
    <w:basedOn w:val="138"/>
    <w:qFormat/>
    <w:uiPriority w:val="20"/>
    <w:rPr>
      <w:i/>
      <w:iCs/>
    </w:rPr>
  </w:style>
  <w:style w:type="character" w:styleId="141">
    <w:name w:val="HTML Code"/>
    <w:basedOn w:val="138"/>
    <w:semiHidden/>
    <w:unhideWhenUsed/>
    <w:qFormat/>
    <w:uiPriority w:val="99"/>
    <w:rPr>
      <w:rFonts w:ascii="Courier New" w:hAnsi="Courier New"/>
      <w:sz w:val="20"/>
    </w:rPr>
  </w:style>
  <w:style w:type="character" w:customStyle="1" w:styleId="142">
    <w:name w:val="Header Char"/>
    <w:basedOn w:val="138"/>
    <w:link w:val="26"/>
    <w:qFormat/>
    <w:uiPriority w:val="99"/>
  </w:style>
  <w:style w:type="character" w:customStyle="1" w:styleId="143">
    <w:name w:val="Footer Char"/>
    <w:basedOn w:val="138"/>
    <w:link w:val="25"/>
    <w:qFormat/>
    <w:uiPriority w:val="99"/>
  </w:style>
  <w:style w:type="paragraph" w:styleId="14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5">
    <w:name w:val="Heading 1 Char"/>
    <w:basedOn w:val="138"/>
    <w:link w:val="3"/>
    <w:qFormat/>
    <w:uiPriority w:val="9"/>
    <w:rPr>
      <w:rFonts w:ascii="Times New Roman" w:hAnsi="Times New Roman" w:eastAsia="黑体" w:cs="Times New Roman"/>
      <w:color w:val="000000"/>
      <w:kern w:val="44"/>
      <w:sz w:val="32"/>
      <w:szCs w:val="44"/>
      <w:lang w:bidi="ar-SA"/>
    </w:rPr>
  </w:style>
  <w:style w:type="character" w:customStyle="1" w:styleId="146">
    <w:name w:val="Heading 2 Char"/>
    <w:basedOn w:val="138"/>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7">
    <w:name w:val="Heading 3 Char"/>
    <w:basedOn w:val="138"/>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8">
    <w:name w:val="Title Char"/>
    <w:basedOn w:val="138"/>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9">
    <w:name w:val="Subtitle Char"/>
    <w:basedOn w:val="138"/>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50">
    <w:name w:val="List Paragraph"/>
    <w:basedOn w:val="1"/>
    <w:qFormat/>
    <w:uiPriority w:val="34"/>
    <w:pPr>
      <w:ind w:left="720"/>
      <w:contextualSpacing/>
    </w:pPr>
  </w:style>
  <w:style w:type="character" w:customStyle="1" w:styleId="151">
    <w:name w:val="Body Text Char"/>
    <w:basedOn w:val="138"/>
    <w:qFormat/>
    <w:uiPriority w:val="99"/>
  </w:style>
  <w:style w:type="character" w:customStyle="1" w:styleId="152">
    <w:name w:val="Body Text 2 Char"/>
    <w:basedOn w:val="138"/>
    <w:link w:val="32"/>
    <w:qFormat/>
    <w:uiPriority w:val="99"/>
  </w:style>
  <w:style w:type="character" w:customStyle="1" w:styleId="153">
    <w:name w:val="Body Text 3 Char"/>
    <w:basedOn w:val="138"/>
    <w:link w:val="17"/>
    <w:qFormat/>
    <w:uiPriority w:val="99"/>
    <w:rPr>
      <w:sz w:val="16"/>
      <w:szCs w:val="16"/>
    </w:rPr>
  </w:style>
  <w:style w:type="character" w:customStyle="1" w:styleId="154">
    <w:name w:val="Macro Text Char"/>
    <w:basedOn w:val="138"/>
    <w:link w:val="2"/>
    <w:qFormat/>
    <w:uiPriority w:val="99"/>
    <w:rPr>
      <w:rFonts w:ascii="Courier" w:hAnsi="Courier" w:eastAsiaTheme="minorEastAsia" w:cstheme="minorBidi"/>
      <w:sz w:val="20"/>
      <w:szCs w:val="20"/>
      <w:lang w:val="en-US" w:eastAsia="en-US" w:bidi="ar-SA"/>
    </w:rPr>
  </w:style>
  <w:style w:type="paragraph" w:styleId="155">
    <w:name w:val="Quote"/>
    <w:basedOn w:val="1"/>
    <w:next w:val="1"/>
    <w:link w:val="156"/>
    <w:qFormat/>
    <w:uiPriority w:val="29"/>
    <w:rPr>
      <w:i/>
      <w:iCs/>
      <w:color w:val="000000" w:themeColor="text1"/>
      <w14:textFill>
        <w14:solidFill>
          <w14:schemeClr w14:val="tx1"/>
        </w14:solidFill>
      </w14:textFill>
    </w:rPr>
  </w:style>
  <w:style w:type="character" w:customStyle="1" w:styleId="156">
    <w:name w:val="Quote Char"/>
    <w:basedOn w:val="138"/>
    <w:link w:val="155"/>
    <w:qFormat/>
    <w:uiPriority w:val="29"/>
    <w:rPr>
      <w:i/>
      <w:iCs/>
      <w:color w:val="000000" w:themeColor="text1"/>
      <w14:textFill>
        <w14:solidFill>
          <w14:schemeClr w14:val="tx1"/>
        </w14:solidFill>
      </w14:textFill>
    </w:rPr>
  </w:style>
  <w:style w:type="character" w:customStyle="1" w:styleId="157">
    <w:name w:val="Heading 4 Char"/>
    <w:basedOn w:val="138"/>
    <w:link w:val="6"/>
    <w:semiHidden/>
    <w:qFormat/>
    <w:uiPriority w:val="9"/>
    <w:rPr>
      <w:rFonts w:ascii="Times New Roman" w:hAnsi="Times New Roman" w:eastAsia="黑体" w:cs="Times New Roman"/>
      <w:bCs/>
      <w:kern w:val="2"/>
      <w:sz w:val="28"/>
      <w:szCs w:val="28"/>
      <w:lang w:bidi="ar-SA"/>
    </w:rPr>
  </w:style>
  <w:style w:type="character" w:customStyle="1" w:styleId="158">
    <w:name w:val="Heading 5 Char"/>
    <w:basedOn w:val="138"/>
    <w:link w:val="7"/>
    <w:semiHidden/>
    <w:qFormat/>
    <w:uiPriority w:val="9"/>
    <w:rPr>
      <w:rFonts w:ascii="Times New Roman" w:hAnsi="Times New Roman" w:eastAsia="黑体" w:cs="Times New Roman"/>
      <w:bCs/>
      <w:kern w:val="2"/>
      <w:sz w:val="28"/>
      <w:szCs w:val="28"/>
      <w:lang w:bidi="ar-SA"/>
    </w:rPr>
  </w:style>
  <w:style w:type="character" w:customStyle="1" w:styleId="159">
    <w:name w:val="Heading 6 Char"/>
    <w:basedOn w:val="138"/>
    <w:link w:val="8"/>
    <w:semiHidden/>
    <w:qFormat/>
    <w:uiPriority w:val="9"/>
    <w:rPr>
      <w:rFonts w:ascii="Times New Roman" w:hAnsi="Times New Roman" w:eastAsia="黑体" w:cs="Times New Roman"/>
      <w:bCs/>
      <w:kern w:val="2"/>
      <w:sz w:val="28"/>
      <w:szCs w:val="24"/>
      <w:lang w:bidi="ar-SA"/>
    </w:rPr>
  </w:style>
  <w:style w:type="character" w:customStyle="1" w:styleId="160">
    <w:name w:val="Heading 7 Char"/>
    <w:basedOn w:val="138"/>
    <w:link w:val="9"/>
    <w:semiHidden/>
    <w:qFormat/>
    <w:uiPriority w:val="9"/>
    <w:rPr>
      <w:rFonts w:ascii="Times New Roman" w:hAnsi="Times New Roman" w:eastAsia="黑体" w:cs="Times New Roman"/>
      <w:bCs/>
      <w:kern w:val="2"/>
      <w:sz w:val="24"/>
      <w:szCs w:val="24"/>
      <w:lang w:bidi="ar-SA"/>
    </w:rPr>
  </w:style>
  <w:style w:type="character" w:customStyle="1" w:styleId="161">
    <w:name w:val="Heading 8 Char"/>
    <w:basedOn w:val="138"/>
    <w:link w:val="10"/>
    <w:semiHidden/>
    <w:qFormat/>
    <w:uiPriority w:val="9"/>
    <w:rPr>
      <w:rFonts w:ascii="Times New Roman" w:hAnsi="Times New Roman" w:eastAsia="黑体" w:cs="Times New Roman"/>
      <w:kern w:val="2"/>
      <w:sz w:val="24"/>
      <w:szCs w:val="24"/>
      <w:lang w:bidi="ar-SA"/>
    </w:rPr>
  </w:style>
  <w:style w:type="character" w:customStyle="1" w:styleId="162">
    <w:name w:val="Heading 9 Char"/>
    <w:basedOn w:val="138"/>
    <w:link w:val="11"/>
    <w:semiHidden/>
    <w:qFormat/>
    <w:uiPriority w:val="9"/>
    <w:rPr>
      <w:rFonts w:ascii="Times New Roman" w:hAnsi="Times New Roman" w:eastAsia="黑体" w:cs="Times New Roman"/>
      <w:kern w:val="2"/>
      <w:sz w:val="21"/>
      <w:szCs w:val="21"/>
      <w:lang w:bidi="ar-SA"/>
    </w:rPr>
  </w:style>
  <w:style w:type="paragraph" w:styleId="163">
    <w:name w:val="Intense Quote"/>
    <w:basedOn w:val="1"/>
    <w:next w:val="1"/>
    <w:link w:val="164"/>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4">
    <w:name w:val="Intense Quote Char"/>
    <w:basedOn w:val="138"/>
    <w:link w:val="163"/>
    <w:qFormat/>
    <w:uiPriority w:val="30"/>
    <w:rPr>
      <w:b/>
      <w:bCs/>
      <w:i/>
      <w:iCs/>
      <w:color w:val="4874CB" w:themeColor="accent1"/>
      <w14:textFill>
        <w14:solidFill>
          <w14:schemeClr w14:val="accent1"/>
        </w14:solidFill>
      </w14:textFill>
    </w:rPr>
  </w:style>
  <w:style w:type="character" w:customStyle="1" w:styleId="165">
    <w:name w:val="Subtle Emphasis"/>
    <w:basedOn w:val="138"/>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Intense Emphasis"/>
    <w:basedOn w:val="138"/>
    <w:qFormat/>
    <w:uiPriority w:val="21"/>
    <w:rPr>
      <w:b/>
      <w:bCs/>
      <w:i/>
      <w:iCs/>
      <w:color w:val="4874CB" w:themeColor="accent1"/>
      <w14:textFill>
        <w14:solidFill>
          <w14:schemeClr w14:val="accent1"/>
        </w14:solidFill>
      </w14:textFill>
    </w:rPr>
  </w:style>
  <w:style w:type="character" w:customStyle="1" w:styleId="167">
    <w:name w:val="Subtle Reference"/>
    <w:basedOn w:val="138"/>
    <w:qFormat/>
    <w:uiPriority w:val="31"/>
    <w:rPr>
      <w:smallCaps/>
      <w:color w:val="EE822F" w:themeColor="accent2"/>
      <w:u w:val="single"/>
      <w14:textFill>
        <w14:solidFill>
          <w14:schemeClr w14:val="accent2"/>
        </w14:solidFill>
      </w14:textFill>
    </w:rPr>
  </w:style>
  <w:style w:type="character" w:customStyle="1" w:styleId="168">
    <w:name w:val="Intense Reference"/>
    <w:basedOn w:val="138"/>
    <w:qFormat/>
    <w:uiPriority w:val="32"/>
    <w:rPr>
      <w:b/>
      <w:bCs/>
      <w:smallCaps/>
      <w:color w:val="EE822F" w:themeColor="accent2"/>
      <w:spacing w:val="5"/>
      <w:u w:val="single"/>
      <w14:textFill>
        <w14:solidFill>
          <w14:schemeClr w14:val="accent2"/>
        </w14:solidFill>
      </w14:textFill>
    </w:rPr>
  </w:style>
  <w:style w:type="character" w:customStyle="1" w:styleId="169">
    <w:name w:val="Book Title"/>
    <w:basedOn w:val="138"/>
    <w:qFormat/>
    <w:uiPriority w:val="33"/>
    <w:rPr>
      <w:b/>
      <w:bCs/>
      <w:smallCaps/>
      <w:spacing w:val="5"/>
    </w:rPr>
  </w:style>
  <w:style w:type="paragraph" w:customStyle="1" w:styleId="170">
    <w:name w:val="TOC Heading"/>
    <w:basedOn w:val="3"/>
    <w:next w:val="1"/>
    <w:semiHidden/>
    <w:unhideWhenUsed/>
    <w:qFormat/>
    <w:uiPriority w:val="39"/>
    <w:pPr>
      <w:outlineLvl w:val="9"/>
    </w:pPr>
  </w:style>
  <w:style w:type="paragraph" w:customStyle="1" w:styleId="171">
    <w:name w:val="附录标题"/>
    <w:next w:val="1"/>
    <w:qFormat/>
    <w:uiPriority w:val="0"/>
    <w:pPr>
      <w:widowControl w:val="0"/>
      <w:adjustRightInd w:val="0"/>
      <w:spacing w:before="100" w:after="100" w:line="360" w:lineRule="auto"/>
      <w:jc w:val="both"/>
      <w:outlineLvl w:val="0"/>
    </w:pPr>
    <w:rPr>
      <w:rFonts w:ascii="Times New Roman" w:hAnsi="Times New Roman" w:eastAsia="宋体" w:cs="Times New Roman"/>
    </w:rPr>
  </w:style>
  <w:style w:type="paragraph" w:customStyle="1" w:styleId="172">
    <w:name w:val="内容块-06-h"/>
    <w:basedOn w:val="1"/>
    <w:next w:val="1"/>
    <w:qFormat/>
    <w:uiPriority w:val="0"/>
    <w:pPr>
      <w:pBdr>
        <w:left w:val="single" w:color="E54C5E" w:themeColor="accent6" w:sz="12" w:space="10"/>
      </w:pBdr>
      <w:ind w:left="227"/>
      <w:textAlignment w:val="center"/>
    </w:pPr>
    <w:rPr>
      <w:rFonts w:asciiTheme="minorEastAsia" w:hAnsiTheme="minorEastAsia"/>
      <w:color w:val="595959" w:themeColor="text1" w:themeTint="A6"/>
      <w:szCs w:val="21"/>
      <w14:textFill>
        <w14:solidFill>
          <w14:schemeClr w14:val="tx1">
            <w14:lumMod w14:val="65000"/>
            <w14:lumOff w14:val="35000"/>
          </w14:schemeClr>
        </w14:solidFill>
      </w14:textFill>
    </w:rPr>
  </w:style>
  <w:style w:type="character" w:customStyle="1" w:styleId="173">
    <w:name w:val="页眉 字符"/>
    <w:link w:val="26"/>
    <w:qFormat/>
    <w:uiPriority w:val="0"/>
  </w:style>
  <w:style w:type="character" w:customStyle="1" w:styleId="174">
    <w:name w:val="页脚 字符"/>
    <w:link w:val="25"/>
    <w:qFormat/>
    <w:uiPriority w:val="0"/>
  </w:style>
  <w:style w:type="paragraph" w:customStyle="1" w:styleId="175">
    <w:name w:val="内容块-13-h"/>
    <w:basedOn w:val="1"/>
    <w:next w:val="1"/>
    <w:qFormat/>
    <w:uiPriority w:val="0"/>
    <w:pPr>
      <w:pBdr>
        <w:top w:val="single" w:color="F2A5AE" w:themeColor="accent6" w:themeTint="7F" w:sz="4" w:space="10"/>
        <w:left w:val="single" w:color="F2A5AE" w:themeColor="accent6" w:themeTint="7F" w:sz="4" w:space="17"/>
        <w:bottom w:val="single" w:color="F2A5AE" w:themeColor="accent6" w:themeTint="7F" w:sz="4" w:space="10"/>
        <w:right w:val="single" w:color="F2A5AE" w:themeColor="accent6" w:themeTint="7F" w:sz="4" w:space="17"/>
      </w:pBdr>
      <w:shd w:val="clear" w:color="auto" w:fill="FDF6F7" w:themeFill="accent6" w:themeFillTint="0C"/>
      <w:ind w:left="363" w:right="363"/>
      <w:textAlignment w:val="center"/>
    </w:pPr>
    <w:rPr>
      <w:szCs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88.png"/><Relationship Id="rId98" Type="http://schemas.openxmlformats.org/officeDocument/2006/relationships/image" Target="media/image87.png"/><Relationship Id="rId97" Type="http://schemas.openxmlformats.org/officeDocument/2006/relationships/image" Target="media/image86.png"/><Relationship Id="rId96" Type="http://schemas.openxmlformats.org/officeDocument/2006/relationships/image" Target="media/image85.png"/><Relationship Id="rId95" Type="http://schemas.openxmlformats.org/officeDocument/2006/relationships/image" Target="media/image84.png"/><Relationship Id="rId94" Type="http://schemas.openxmlformats.org/officeDocument/2006/relationships/image" Target="media/image83.png"/><Relationship Id="rId93" Type="http://schemas.openxmlformats.org/officeDocument/2006/relationships/image" Target="media/image82.png"/><Relationship Id="rId92" Type="http://schemas.openxmlformats.org/officeDocument/2006/relationships/image" Target="media/image81.png"/><Relationship Id="rId91" Type="http://schemas.openxmlformats.org/officeDocument/2006/relationships/image" Target="media/image80.png"/><Relationship Id="rId90" Type="http://schemas.openxmlformats.org/officeDocument/2006/relationships/image" Target="media/image79.png"/><Relationship Id="rId9" Type="http://schemas.openxmlformats.org/officeDocument/2006/relationships/footer" Target="footer4.xml"/><Relationship Id="rId89" Type="http://schemas.openxmlformats.org/officeDocument/2006/relationships/image" Target="media/image78.png"/><Relationship Id="rId88" Type="http://schemas.openxmlformats.org/officeDocument/2006/relationships/image" Target="media/image77.png"/><Relationship Id="rId87" Type="http://schemas.openxmlformats.org/officeDocument/2006/relationships/image" Target="media/image76.png"/><Relationship Id="rId86" Type="http://schemas.openxmlformats.org/officeDocument/2006/relationships/image" Target="media/image75.png"/><Relationship Id="rId85" Type="http://schemas.openxmlformats.org/officeDocument/2006/relationships/image" Target="media/image74.png"/><Relationship Id="rId84" Type="http://schemas.openxmlformats.org/officeDocument/2006/relationships/image" Target="media/image73.png"/><Relationship Id="rId83" Type="http://schemas.openxmlformats.org/officeDocument/2006/relationships/image" Target="media/image72.png"/><Relationship Id="rId82" Type="http://schemas.openxmlformats.org/officeDocument/2006/relationships/image" Target="media/image71.png"/><Relationship Id="rId81" Type="http://schemas.openxmlformats.org/officeDocument/2006/relationships/image" Target="media/image70.png"/><Relationship Id="rId80" Type="http://schemas.openxmlformats.org/officeDocument/2006/relationships/image" Target="media/image69.png"/><Relationship Id="rId8" Type="http://schemas.openxmlformats.org/officeDocument/2006/relationships/footer" Target="footer3.xml"/><Relationship Id="rId79" Type="http://schemas.openxmlformats.org/officeDocument/2006/relationships/image" Target="media/image68.png"/><Relationship Id="rId78" Type="http://schemas.openxmlformats.org/officeDocument/2006/relationships/image" Target="media/image67.png"/><Relationship Id="rId77" Type="http://schemas.openxmlformats.org/officeDocument/2006/relationships/image" Target="media/image66.png"/><Relationship Id="rId76" Type="http://schemas.openxmlformats.org/officeDocument/2006/relationships/image" Target="media/image65.png"/><Relationship Id="rId75" Type="http://schemas.openxmlformats.org/officeDocument/2006/relationships/image" Target="media/image64.png"/><Relationship Id="rId74" Type="http://schemas.openxmlformats.org/officeDocument/2006/relationships/image" Target="media/image63.png"/><Relationship Id="rId73" Type="http://schemas.openxmlformats.org/officeDocument/2006/relationships/image" Target="media/image62.png"/><Relationship Id="rId72" Type="http://schemas.openxmlformats.org/officeDocument/2006/relationships/image" Target="media/image61.png"/><Relationship Id="rId71" Type="http://schemas.openxmlformats.org/officeDocument/2006/relationships/image" Target="media/image60.png"/><Relationship Id="rId70" Type="http://schemas.openxmlformats.org/officeDocument/2006/relationships/image" Target="media/image59.png"/><Relationship Id="rId7" Type="http://schemas.openxmlformats.org/officeDocument/2006/relationships/footer" Target="footer2.xml"/><Relationship Id="rId69" Type="http://schemas.openxmlformats.org/officeDocument/2006/relationships/image" Target="media/image58.png"/><Relationship Id="rId68" Type="http://schemas.openxmlformats.org/officeDocument/2006/relationships/image" Target="media/image57.png"/><Relationship Id="rId67" Type="http://schemas.openxmlformats.org/officeDocument/2006/relationships/image" Target="media/image56.png"/><Relationship Id="rId66" Type="http://schemas.openxmlformats.org/officeDocument/2006/relationships/image" Target="media/image55.png"/><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png"/><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footer" Target="footer1.xml"/><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png"/><Relationship Id="rId113" Type="http://schemas.openxmlformats.org/officeDocument/2006/relationships/fontTable" Target="fontTable.xml"/><Relationship Id="rId112" Type="http://schemas.openxmlformats.org/officeDocument/2006/relationships/customXml" Target="../customXml/item2.xml"/><Relationship Id="rId111" Type="http://schemas.openxmlformats.org/officeDocument/2006/relationships/numbering" Target="numbering.xml"/><Relationship Id="rId110" Type="http://schemas.openxmlformats.org/officeDocument/2006/relationships/customXml" Target="../customXml/item1.xml"/><Relationship Id="rId11" Type="http://schemas.openxmlformats.org/officeDocument/2006/relationships/theme" Target="theme/theme1.xml"/><Relationship Id="rId109" Type="http://schemas.openxmlformats.org/officeDocument/2006/relationships/image" Target="media/image98.png"/><Relationship Id="rId108" Type="http://schemas.openxmlformats.org/officeDocument/2006/relationships/image" Target="media/image97.png"/><Relationship Id="rId107" Type="http://schemas.openxmlformats.org/officeDocument/2006/relationships/image" Target="media/image96.png"/><Relationship Id="rId106" Type="http://schemas.openxmlformats.org/officeDocument/2006/relationships/image" Target="media/image95.png"/><Relationship Id="rId105" Type="http://schemas.openxmlformats.org/officeDocument/2006/relationships/image" Target="media/image94.png"/><Relationship Id="rId104" Type="http://schemas.openxmlformats.org/officeDocument/2006/relationships/image" Target="media/image93.png"/><Relationship Id="rId103" Type="http://schemas.openxmlformats.org/officeDocument/2006/relationships/image" Target="media/image92.png"/><Relationship Id="rId102" Type="http://schemas.openxmlformats.org/officeDocument/2006/relationships/image" Target="media/image91.png"/><Relationship Id="rId101" Type="http://schemas.openxmlformats.org/officeDocument/2006/relationships/image" Target="media/image90.png"/><Relationship Id="rId100" Type="http://schemas.openxmlformats.org/officeDocument/2006/relationships/image" Target="media/image89.png"/><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234</Pages>
  <Words>190</Words>
  <Characters>232</Characters>
  <Lines>0</Lines>
  <Paragraphs>0</Paragraphs>
  <TotalTime>13</TotalTime>
  <ScaleCrop>false</ScaleCrop>
  <LinksUpToDate>false</LinksUpToDate>
  <CharactersWithSpaces>241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v2.1.0 格式与结构修复版（基于 v2.0.0）</dc:description>
  <cp:lastModifiedBy>王亮</cp:lastModifiedBy>
  <dcterms:modified xsi:type="dcterms:W3CDTF">2026-09-27T05:22:48Z</dcterms:modified>
  <cp:revision>1</cp:revision>
  <cp:version>2.1.0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eyJoZGlkIjoiYWI3ZjY5NzZmOTc1MDNkMWE5OWFlYWEzYTNmM2Y2NjYiLCJ1c2VySWQiOiIxMjM4ODM0NDc0In0=</vt:lpwstr>
  </property>
  <property fmtid="{D5CDD505-2E9C-101B-9397-08002B2CF9AE}" pid="3" name="KSOProductBuildVer">
    <vt:lpwstr>2052-12.1.0.28505</vt:lpwstr>
  </property>
  <property fmtid="{D5CDD505-2E9C-101B-9397-08002B2CF9AE}" pid="4" name="ICV">
    <vt:lpwstr>6FF5D5E91D8E406D9F01BDEC6577D906_13</vt:lpwstr>
  </property>
</Properties>
</file>