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bookmarkStart w:id="123" w:name="_GoBack"/>
      <w:bookmarkEnd w:id="123"/>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0"/>
        <w:gridCol w:w="399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tcBorders>
              <w:tl2br w:val="nil"/>
            </w:tcBorders>
            <w:shd w:val="clear" w:color="auto" w:fill="FFFFFF"/>
            <w:tcMar>
              <w:top w:w="50" w:type="dxa"/>
              <w:left w:w="70" w:type="dxa"/>
              <w:bottom w:w="50" w:type="dxa"/>
              <w:right w:w="70" w:type="dxa"/>
            </w:tcMar>
            <w:vAlign w:val="center"/>
          </w:tcPr>
          <w:p w14:paraId="4620B388">
            <w:pPr>
              <w:pStyle w:val="19"/>
              <w:bidi w:val="0"/>
              <w:jc w:val="both"/>
              <w:rPr>
                <w:rFonts w:hint="eastAsia"/>
                <w:sz w:val="24"/>
                <w:szCs w:val="24"/>
                <w:lang w:eastAsia="zh-CN"/>
              </w:rPr>
            </w:pPr>
            <w:r>
              <w:rPr>
                <w:rFonts w:hint="eastAsia"/>
                <w:sz w:val="24"/>
                <w:szCs w:val="24"/>
              </w:rPr>
              <w:t>受控编号</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E5D4408">
            <w:pPr>
              <w:pStyle w:val="19"/>
              <w:bidi w:val="0"/>
              <w:ind w:left="0" w:leftChars="0" w:firstLine="0" w:firstLineChars="0"/>
              <w:jc w:val="both"/>
              <w:rPr>
                <w:rFonts w:hint="eastAsia"/>
                <w:sz w:val="24"/>
                <w:szCs w:val="24"/>
                <w:lang w:eastAsia="zh-CN"/>
              </w:rPr>
            </w:pPr>
            <w:r>
              <w:rPr>
                <w:rFonts w:hint="eastAsia"/>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384FFEA4">
            <w:pPr>
              <w:pStyle w:val="19"/>
              <w:bidi w:val="0"/>
              <w:jc w:val="both"/>
              <w:rPr>
                <w:rFonts w:hint="eastAsia"/>
                <w:sz w:val="24"/>
                <w:szCs w:val="24"/>
                <w:lang w:eastAsia="zh-CN"/>
              </w:rPr>
            </w:pPr>
            <w:r>
              <w:rPr>
                <w:rFonts w:hint="eastAsia"/>
                <w:sz w:val="24"/>
                <w:szCs w:val="24"/>
              </w:rPr>
              <w:t>文档版本</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0C140582">
            <w:pPr>
              <w:pStyle w:val="19"/>
              <w:bidi w:val="0"/>
              <w:ind w:left="0" w:leftChars="0" w:firstLine="0" w:firstLineChars="0"/>
              <w:jc w:val="both"/>
              <w:rPr>
                <w:rFonts w:hint="eastAsia"/>
                <w:sz w:val="24"/>
                <w:szCs w:val="24"/>
              </w:rPr>
            </w:pPr>
            <w:r>
              <w:rPr>
                <w:rFonts w:hint="eastAsia"/>
                <w:sz w:val="24"/>
                <w:szCs w:val="24"/>
              </w:rPr>
              <w:t xml:space="preserve">V1.6.0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21DD9299">
            <w:pPr>
              <w:pStyle w:val="19"/>
              <w:bidi w:val="0"/>
              <w:jc w:val="both"/>
              <w:rPr>
                <w:rFonts w:hint="eastAsia"/>
                <w:sz w:val="24"/>
                <w:szCs w:val="24"/>
                <w:lang w:eastAsia="zh-CN"/>
              </w:rPr>
            </w:pPr>
            <w:r>
              <w:rPr>
                <w:rFonts w:hint="eastAsia"/>
                <w:sz w:val="24"/>
                <w:szCs w:val="24"/>
              </w:rPr>
              <w:t>归属工程</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7E4E139">
            <w:pPr>
              <w:pStyle w:val="19"/>
              <w:bidi w:val="0"/>
              <w:ind w:left="0" w:leftChars="0" w:firstLine="0" w:firstLineChars="0"/>
              <w:jc w:val="both"/>
              <w:rPr>
                <w:rFonts w:hint="eastAsia"/>
                <w:sz w:val="24"/>
                <w:szCs w:val="24"/>
              </w:rPr>
            </w:pPr>
            <w:r>
              <w:rPr>
                <w:rFonts w:hint="eastAsia"/>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4324044B">
            <w:pPr>
              <w:pStyle w:val="19"/>
              <w:bidi w:val="0"/>
              <w:jc w:val="both"/>
              <w:rPr>
                <w:rFonts w:hint="eastAsia"/>
                <w:sz w:val="24"/>
                <w:szCs w:val="24"/>
                <w:lang w:eastAsia="zh-CN"/>
              </w:rPr>
            </w:pPr>
            <w:r>
              <w:rPr>
                <w:rFonts w:hint="eastAsia"/>
                <w:sz w:val="24"/>
                <w:szCs w:val="24"/>
              </w:rPr>
              <w:t>发布日期</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3C31F347">
            <w:pPr>
              <w:pStyle w:val="19"/>
              <w:bidi w:val="0"/>
              <w:ind w:left="0" w:leftChars="0" w:firstLine="0" w:firstLineChars="0"/>
              <w:jc w:val="both"/>
              <w:rPr>
                <w:rFonts w:hint="eastAsia"/>
                <w:sz w:val="24"/>
                <w:szCs w:val="24"/>
                <w:lang w:eastAsia="zh-CN"/>
              </w:rPr>
            </w:pPr>
            <w:r>
              <w:rPr>
                <w:rFonts w:hint="eastAsia"/>
                <w:sz w:val="24"/>
                <w:szCs w:val="24"/>
              </w:rPr>
              <w:t xml:space="preserve">2026-09-27</w:t>
            </w:r>
          </w:p>
        </w:tc>
      </w:tr>
    </w:tbl>
    <w:p w14:paraId="0D66CF77">
      <w:pPr>
        <w:spacing w:after="800"/>
        <w:jc w:val="both"/>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530" w:type="dxa"/>
        <w:jc w:val="center"/>
        <w:tblLayout w:type="autofit"/>
        <w:tblCellMar>
          <w:top w:w="0" w:type="dxa"/>
          <w:left w:w="108" w:type="dxa"/>
          <w:bottom w:w="0" w:type="dxa"/>
          <w:right w:w="108" w:type="dxa"/>
        </w:tblCellMar>
      </w:tblPr>
      <w:tblGrid>
        <w:gridCol w:w="1651"/>
        <w:gridCol w:w="1575"/>
        <w:gridCol w:w="3716"/>
        <w:gridCol w:w="1294"/>
        <w:gridCol w:w="1294"/>
      </w:tblGrid>
      <w:tr w14:paraId="54E38BE5">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2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922"/>
        <w:gridCol w:w="1396"/>
        <w:gridCol w:w="5109"/>
        <w:gridCol w:w="980"/>
        <w:gridCol w:w="1123"/>
      </w:tblGrid>
      <w:tr w14:paraId="5976494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630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1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E1A6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1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5A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9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1D5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11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99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6C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4245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C3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99246">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v1.4.0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F58AF9">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2026-9-23</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E19B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根据需求客户变更后的需求修订功能说明和产品截图</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8D6CB">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产品经理</w:t>
            </w:r>
          </w:p>
        </w:tc>
      </w:tr>
      <w:tr w14:paraId="713390C2">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2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v1.5.0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92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第三章《产品碳足迹集采中心功能需求规格》全章补强：16 个模块 × 八段式共 128 段逐段校订，路由 / 字段字典 / 判定阈值按平台原型界面截图坐实，补入数据权限条款、判定阈值与基准来源、取值示例与精度容差，补 Gherkin 场景与标准错误码，公式体例统一为 Unicode 符号；修正章首导言失效交叉引用；第十二章验收基线模块数同步修正</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产品经理</w:t>
            </w:r>
          </w:p>
        </w:tc>
      </w:tr>
      <w:tr w14:paraId="597F699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A57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v1.6.0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2026-09-27</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第四章《系统管理、基础参数设置》全章补强：15 个模块 × 八段式共 120 段逐段校订，①定位补齐页面路由/上游依赖/下游输出/数据权限四要素，③补交互契约表，④103 个字段三列按原型界面坐实，⑤补编码规则/分时电价/折标折算/因子加权等真实算法，⑥⑦⑧全部新增（15 个 Feature、91 个 Scenario）；「费价模型」「日志管理」补齐 H3 模块层修正目录层级；6 板块补导言；新增 79 条标准错误码并登记第六章字典；第十二章验收基线模块数与错误码数同步刷新</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sz w:val="24"/>
                <w:szCs w:val="24"/>
                <w:lang w:val="en-US" w:eastAsia="en-US" w:bidi="ar-SA"/>
              </w:rPr>
              <w:t xml:space="preserve">产品经理</w:t>
            </w: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73365"/>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37FB51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5AD03D8">
          <w:pPr>
            <w:pStyle w:val="27"/>
            <w:tabs>
              <w:tab w:val="right" w:leader="dot" w:pos="9314"/>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"1-2"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_Toc18767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第一章 </w:t>
          </w:r>
          <w:r>
            <w:rPr>
              <w:rFonts w:ascii="Times New Roman" w:hAnsi="Times New Roman" w:eastAsia="黑体" w:cs="Times New Roman"/>
              <w:bCs w:val="0"/>
              <w:szCs w:val="44"/>
            </w:rPr>
            <w:t>顶层业务架构与标准规范</w:t>
          </w:r>
          <w:r>
            <w:tab/>
          </w:r>
          <w:r>
            <w:fldChar w:fldCharType="begin"/>
          </w:r>
          <w:r>
            <w:instrText xml:space="preserve"> PAGEREF _Toc18767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3C9680A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_Toc19855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项目背景与建设目标</w:t>
          </w:r>
          <w:r>
            <w:tab/>
          </w:r>
          <w:r>
            <w:fldChar w:fldCharType="begin"/>
          </w:r>
          <w:r>
            <w:instrText xml:space="preserve"> PAGEREF _Toc19855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918EB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_Toc11274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项目建设背景</w:t>
          </w:r>
          <w:r>
            <w:tab/>
          </w:r>
          <w:r>
            <w:fldChar w:fldCharType="begin"/>
          </w:r>
          <w:r>
            <w:instrText xml:space="preserve"> PAGEREF _Toc11274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69DFB7E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_Toc28818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建设目标</w:t>
          </w:r>
          <w:r>
            <w:tab/>
          </w:r>
          <w:r>
            <w:fldChar w:fldCharType="begin"/>
          </w:r>
          <w:r>
            <w:instrText xml:space="preserve"> PAGEREF _Toc28818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574E96C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建设范围</w:t>
          </w:r>
          <w:r>
            <w:tab/>
          </w:r>
          <w:r>
            <w:fldChar w:fldCharType="begin"/>
          </w:r>
          <w:r>
            <w:instrText xml:space="preserve"> PAGEREF _Toc24061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143DB75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_Toc5095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双中心总体架构与协同机制</w:t>
          </w:r>
          <w:r>
            <w:tab/>
          </w:r>
          <w:r>
            <w:fldChar w:fldCharType="begin"/>
          </w:r>
          <w:r>
            <w:instrText xml:space="preserve"> PAGEREF _Toc5095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5A5108F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_Toc10778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端—边—云三层物联网架构</w:t>
          </w:r>
          <w:r>
            <w:tab/>
          </w:r>
          <w:r>
            <w:fldChar w:fldCharType="begin"/>
          </w:r>
          <w:r>
            <w:instrText xml:space="preserve"> PAGEREF _Toc10778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6411201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_Toc26715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双中心定位与协同</w:t>
          </w:r>
          <w:r>
            <w:tab/>
          </w:r>
          <w:r>
            <w:fldChar w:fldCharType="begin"/>
          </w:r>
          <w:r>
            <w:instrText xml:space="preserve"> PAGEREF _Toc26715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444BAB1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_Toc28925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角色画像与权限边界</w:t>
          </w:r>
          <w:r>
            <w:tab/>
          </w:r>
          <w:r>
            <w:fldChar w:fldCharType="begin"/>
          </w:r>
          <w:r>
            <w:instrText xml:space="preserve"> PAGEREF _Toc28925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557F3EB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文档编制范式：统一八段式模块模板</w:t>
          </w:r>
          <w:r>
            <w:tab/>
          </w:r>
          <w:r>
            <w:fldChar w:fldCharType="begin"/>
          </w:r>
          <w:r>
            <w:instrText xml:space="preserve"> PAGEREF _Toc31509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4057069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_Toc26178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第二章 </w:t>
          </w:r>
          <w:r>
            <w:rPr>
              <w:rFonts w:ascii="Times New Roman" w:hAnsi="Times New Roman" w:eastAsia="黑体" w:cs="Times New Roman"/>
              <w:bCs w:val="0"/>
              <w:szCs w:val="44"/>
            </w:rPr>
            <w:t>零碳园区集控中心功能需求规格</w:t>
          </w:r>
          <w:r>
            <w:tab/>
          </w:r>
          <w:r>
            <w:fldChar w:fldCharType="begin"/>
          </w:r>
          <w:r>
            <w:instrText xml:space="preserve"> PAGEREF _Toc26178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40F0B4F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_Toc26638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集控中心大屏</w:t>
          </w:r>
          <w:r>
            <w:tab/>
          </w:r>
          <w:r>
            <w:fldChar w:fldCharType="begin"/>
          </w:r>
          <w:r>
            <w:instrText xml:space="preserve"> PAGEREF _Toc26638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961CD3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_Toc14753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全景环幕大屏 46:9</w:t>
          </w:r>
          <w:r>
            <w:tab/>
          </w:r>
          <w:r>
            <w:fldChar w:fldCharType="begin"/>
          </w:r>
          <w:r>
            <w:instrText xml:space="preserve"> PAGEREF _Toc14753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0E01BC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综合集控大屏 16:9</w:t>
          </w:r>
          <w:r>
            <w:tab/>
          </w:r>
          <w:r>
            <w:fldChar w:fldCharType="begin"/>
          </w:r>
          <w:r>
            <w:instrText xml:space="preserve"> PAGEREF _Toc7478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182FA1F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_Toc4603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集中监管</w:t>
          </w:r>
          <w:r>
            <w:tab/>
          </w:r>
          <w:r>
            <w:fldChar w:fldCharType="begin"/>
          </w:r>
          <w:r>
            <w:instrText xml:space="preserve"> PAGEREF _Toc4603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5A66AC8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_Toc7125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指标管控</w:t>
          </w:r>
          <w:r>
            <w:tab/>
          </w:r>
          <w:r>
            <w:fldChar w:fldCharType="begin"/>
          </w:r>
          <w:r>
            <w:instrText xml:space="preserve"> PAGEREF _Toc7125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0C00F45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_Toc12727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数据变化详情</w:t>
          </w:r>
          <w:r>
            <w:tab/>
          </w:r>
          <w:r>
            <w:fldChar w:fldCharType="begin"/>
          </w:r>
          <w:r>
            <w:instrText xml:space="preserve"> PAGEREF _Toc12727 \h </w:instrText>
          </w:r>
          <w:r>
            <w:fldChar w:fldCharType="separate"/>
          </w:r>
          <w:r>
            <w:t>27</w:t>
          </w:r>
          <w:r>
            <w:fldChar w:fldCharType="end"/>
          </w:r>
          <w:r>
            <w:rPr>
              <w:rFonts w:asciiTheme="minorHAnsi" w:hAnsiTheme="minorHAnsi" w:eastAsiaTheme="minorEastAsia" w:cstheme="minorBidi"/>
              <w:szCs w:val="22"/>
              <w:lang w:val="en-US" w:eastAsia="en-US" w:bidi="ar-SA"/>
            </w:rPr>
            <w:fldChar w:fldCharType="end"/>
          </w:r>
        </w:p>
        <w:p w14:paraId="5C3CF16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_Toc20975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用能监测</w:t>
          </w:r>
          <w:r>
            <w:tab/>
          </w:r>
          <w:r>
            <w:fldChar w:fldCharType="begin"/>
          </w:r>
          <w:r>
            <w:instrText xml:space="preserve"> PAGEREF _Toc20975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7FF41D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_Toc5921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重点</w:t>
          </w:r>
          <w:r>
            <w:rPr>
              <w:rFonts w:hint="eastAsia" w:cs="Times New Roman"/>
              <w:bCs w:val="0"/>
              <w:szCs w:val="24"/>
              <w:lang w:val="en-US" w:eastAsia="zh-CN"/>
            </w:rPr>
            <w:t>用能设备</w:t>
          </w:r>
          <w:r>
            <w:tab/>
          </w:r>
          <w:r>
            <w:fldChar w:fldCharType="begin"/>
          </w:r>
          <w:r>
            <w:instrText xml:space="preserve"> PAGEREF _Toc5921 \h </w:instrText>
          </w:r>
          <w:r>
            <w:fldChar w:fldCharType="separate"/>
          </w:r>
          <w:r>
            <w:t>35</w:t>
          </w:r>
          <w:r>
            <w:fldChar w:fldCharType="end"/>
          </w:r>
          <w:r>
            <w:rPr>
              <w:rFonts w:asciiTheme="minorHAnsi" w:hAnsiTheme="minorHAnsi" w:eastAsiaTheme="minorEastAsia" w:cstheme="minorBidi"/>
              <w:szCs w:val="22"/>
              <w:lang w:val="en-US" w:eastAsia="en-US" w:bidi="ar-SA"/>
            </w:rPr>
            <w:fldChar w:fldCharType="end"/>
          </w:r>
        </w:p>
        <w:p w14:paraId="1C08DBF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_Toc13224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工业微电网监测</w:t>
          </w:r>
          <w:r>
            <w:tab/>
          </w:r>
          <w:r>
            <w:fldChar w:fldCharType="begin"/>
          </w:r>
          <w:r>
            <w:instrText xml:space="preserve"> PAGEREF _Toc13224 \h </w:instrText>
          </w:r>
          <w:r>
            <w:fldChar w:fldCharType="separate"/>
          </w:r>
          <w:r>
            <w:t>39</w:t>
          </w:r>
          <w:r>
            <w:fldChar w:fldCharType="end"/>
          </w:r>
          <w:r>
            <w:rPr>
              <w:rFonts w:asciiTheme="minorHAnsi" w:hAnsiTheme="minorHAnsi" w:eastAsiaTheme="minorEastAsia" w:cstheme="minorBidi"/>
              <w:szCs w:val="22"/>
              <w:lang w:val="en-US" w:eastAsia="en-US" w:bidi="ar-SA"/>
            </w:rPr>
            <w:fldChar w:fldCharType="end"/>
          </w:r>
        </w:p>
        <w:p w14:paraId="1B03652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6. </w:t>
          </w:r>
          <w:r>
            <w:rPr>
              <w:rFonts w:ascii="Times New Roman" w:hAnsi="Times New Roman" w:eastAsia="黑体" w:cs="Times New Roman"/>
              <w:bCs w:val="0"/>
              <w:szCs w:val="24"/>
            </w:rPr>
            <w:t>能源碳排放监测</w:t>
          </w:r>
          <w:r>
            <w:tab/>
          </w:r>
          <w:r>
            <w:fldChar w:fldCharType="begin"/>
          </w:r>
          <w:r>
            <w:instrText xml:space="preserve"> PAGEREF _Toc16557 \h </w:instrText>
          </w:r>
          <w:r>
            <w:fldChar w:fldCharType="separate"/>
          </w:r>
          <w:r>
            <w:t>42</w:t>
          </w:r>
          <w:r>
            <w:fldChar w:fldCharType="end"/>
          </w:r>
          <w:r>
            <w:rPr>
              <w:rFonts w:asciiTheme="minorHAnsi" w:hAnsiTheme="minorHAnsi" w:eastAsiaTheme="minorEastAsia" w:cstheme="minorBidi"/>
              <w:szCs w:val="22"/>
              <w:lang w:val="en-US" w:eastAsia="en-US" w:bidi="ar-SA"/>
            </w:rPr>
            <w:fldChar w:fldCharType="end"/>
          </w:r>
        </w:p>
        <w:p w14:paraId="53CB869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_Toc15620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7. </w:t>
          </w:r>
          <w:r>
            <w:rPr>
              <w:rFonts w:hint="eastAsia" w:ascii="Times New Roman" w:hAnsi="Times New Roman" w:eastAsia="黑体" w:cs="Times New Roman"/>
              <w:bCs w:val="0"/>
              <w:szCs w:val="24"/>
              <w:lang w:val="en-US" w:eastAsia="zh-CN"/>
            </w:rPr>
            <w:t>自定义指标监测</w:t>
          </w:r>
          <w:r>
            <w:tab/>
          </w:r>
          <w:r>
            <w:fldChar w:fldCharType="begin"/>
          </w:r>
          <w:r>
            <w:instrText xml:space="preserve"> PAGEREF _Toc15620 \h </w:instrText>
          </w:r>
          <w:r>
            <w:fldChar w:fldCharType="separate"/>
          </w:r>
          <w:r>
            <w:t>46</w:t>
          </w:r>
          <w:r>
            <w:fldChar w:fldCharType="end"/>
          </w:r>
          <w:r>
            <w:rPr>
              <w:rFonts w:asciiTheme="minorHAnsi" w:hAnsiTheme="minorHAnsi" w:eastAsiaTheme="minorEastAsia" w:cstheme="minorBidi"/>
              <w:szCs w:val="22"/>
              <w:lang w:val="en-US" w:eastAsia="en-US" w:bidi="ar-SA"/>
            </w:rPr>
            <w:fldChar w:fldCharType="end"/>
          </w:r>
        </w:p>
        <w:p w14:paraId="71DDAA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_Toc15423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能耗能效分析</w:t>
          </w:r>
          <w:r>
            <w:tab/>
          </w:r>
          <w:r>
            <w:fldChar w:fldCharType="begin"/>
          </w:r>
          <w:r>
            <w:instrText xml:space="preserve"> PAGEREF _Toc15423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02BC09B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用能结构分析</w:t>
          </w:r>
          <w:r>
            <w:tab/>
          </w:r>
          <w:r>
            <w:fldChar w:fldCharType="begin"/>
          </w:r>
          <w:r>
            <w:instrText xml:space="preserve"> PAGEREF _Toc1657 \h </w:instrText>
          </w:r>
          <w:r>
            <w:fldChar w:fldCharType="separate"/>
          </w:r>
          <w:r>
            <w:t>48</w:t>
          </w:r>
          <w:r>
            <w:fldChar w:fldCharType="end"/>
          </w:r>
          <w:r>
            <w:rPr>
              <w:rFonts w:asciiTheme="minorHAnsi" w:hAnsiTheme="minorHAnsi" w:eastAsiaTheme="minorEastAsia" w:cstheme="minorBidi"/>
              <w:szCs w:val="22"/>
              <w:lang w:val="en-US" w:eastAsia="en-US" w:bidi="ar-SA"/>
            </w:rPr>
            <w:fldChar w:fldCharType="end"/>
          </w:r>
        </w:p>
        <w:p w14:paraId="1FD22D2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_Toc8696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单位产品能耗</w:t>
          </w:r>
          <w:r>
            <w:tab/>
          </w:r>
          <w:r>
            <w:fldChar w:fldCharType="begin"/>
          </w:r>
          <w:r>
            <w:instrText xml:space="preserve"> PAGEREF _Toc8696 \h </w:instrText>
          </w:r>
          <w:r>
            <w:fldChar w:fldCharType="separate"/>
          </w:r>
          <w:r>
            <w:t>51</w:t>
          </w:r>
          <w:r>
            <w:fldChar w:fldCharType="end"/>
          </w:r>
          <w:r>
            <w:rPr>
              <w:rFonts w:asciiTheme="minorHAnsi" w:hAnsiTheme="minorHAnsi" w:eastAsiaTheme="minorEastAsia" w:cstheme="minorBidi"/>
              <w:szCs w:val="22"/>
              <w:lang w:val="en-US" w:eastAsia="en-US" w:bidi="ar-SA"/>
            </w:rPr>
            <w:fldChar w:fldCharType="end"/>
          </w:r>
        </w:p>
        <w:p w14:paraId="4AADD5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_Toc11046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单位产值能耗</w:t>
          </w:r>
          <w:r>
            <w:tab/>
          </w:r>
          <w:r>
            <w:fldChar w:fldCharType="begin"/>
          </w:r>
          <w:r>
            <w:instrText xml:space="preserve"> PAGEREF _Toc11046 \h </w:instrText>
          </w:r>
          <w:r>
            <w:fldChar w:fldCharType="separate"/>
          </w:r>
          <w:r>
            <w:t>55</w:t>
          </w:r>
          <w:r>
            <w:fldChar w:fldCharType="end"/>
          </w:r>
          <w:r>
            <w:rPr>
              <w:rFonts w:asciiTheme="minorHAnsi" w:hAnsiTheme="minorHAnsi" w:eastAsiaTheme="minorEastAsia" w:cstheme="minorBidi"/>
              <w:szCs w:val="22"/>
              <w:lang w:val="en-US" w:eastAsia="en-US" w:bidi="ar-SA"/>
            </w:rPr>
            <w:fldChar w:fldCharType="end"/>
          </w:r>
        </w:p>
        <w:p w14:paraId="13AE947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_Toc24077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对标管理</w:t>
          </w:r>
          <w:r>
            <w:tab/>
          </w:r>
          <w:r>
            <w:fldChar w:fldCharType="begin"/>
          </w:r>
          <w:r>
            <w:instrText xml:space="preserve"> PAGEREF _Toc24077 \h </w:instrText>
          </w:r>
          <w:r>
            <w:fldChar w:fldCharType="separate"/>
          </w:r>
          <w:r>
            <w:t>58</w:t>
          </w:r>
          <w:r>
            <w:fldChar w:fldCharType="end"/>
          </w:r>
          <w:r>
            <w:rPr>
              <w:rFonts w:asciiTheme="minorHAnsi" w:hAnsiTheme="minorHAnsi" w:eastAsiaTheme="minorEastAsia" w:cstheme="minorBidi"/>
              <w:szCs w:val="22"/>
              <w:lang w:val="en-US" w:eastAsia="en-US" w:bidi="ar-SA"/>
            </w:rPr>
            <w:fldChar w:fldCharType="end"/>
          </w:r>
        </w:p>
        <w:p w14:paraId="611D8C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_Toc30127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零碳项目评估</w:t>
          </w:r>
          <w:r>
            <w:tab/>
          </w:r>
          <w:r>
            <w:fldChar w:fldCharType="begin"/>
          </w:r>
          <w:r>
            <w:instrText xml:space="preserve"> PAGEREF _Toc30127 \h </w:instrText>
          </w:r>
          <w:r>
            <w:fldChar w:fldCharType="separate"/>
          </w:r>
          <w:r>
            <w:t>62</w:t>
          </w:r>
          <w:r>
            <w:fldChar w:fldCharType="end"/>
          </w:r>
          <w:r>
            <w:rPr>
              <w:rFonts w:asciiTheme="minorHAnsi" w:hAnsiTheme="minorHAnsi" w:eastAsiaTheme="minorEastAsia" w:cstheme="minorBidi"/>
              <w:szCs w:val="22"/>
              <w:lang w:val="en-US" w:eastAsia="en-US" w:bidi="ar-SA"/>
            </w:rPr>
            <w:fldChar w:fldCharType="end"/>
          </w:r>
        </w:p>
        <w:p w14:paraId="7A99169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项目档案管理</w:t>
          </w:r>
          <w:r>
            <w:tab/>
          </w:r>
          <w:r>
            <w:fldChar w:fldCharType="begin"/>
          </w:r>
          <w:r>
            <w:instrText xml:space="preserve"> PAGEREF _Toc2741 \h </w:instrText>
          </w:r>
          <w:r>
            <w:fldChar w:fldCharType="separate"/>
          </w:r>
          <w:r>
            <w:t>63</w:t>
          </w:r>
          <w:r>
            <w:fldChar w:fldCharType="end"/>
          </w:r>
          <w:r>
            <w:rPr>
              <w:rFonts w:asciiTheme="minorHAnsi" w:hAnsiTheme="minorHAnsi" w:eastAsiaTheme="minorEastAsia" w:cstheme="minorBidi"/>
              <w:szCs w:val="22"/>
              <w:lang w:val="en-US" w:eastAsia="en-US" w:bidi="ar-SA"/>
            </w:rPr>
            <w:fldChar w:fldCharType="end"/>
          </w:r>
        </w:p>
        <w:p w14:paraId="5A8442C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实时监控</w:t>
          </w:r>
          <w:r>
            <w:tab/>
          </w:r>
          <w:r>
            <w:fldChar w:fldCharType="begin"/>
          </w:r>
          <w:r>
            <w:instrText xml:space="preserve"> PAGEREF _Toc12557 \h </w:instrText>
          </w:r>
          <w:r>
            <w:fldChar w:fldCharType="separate"/>
          </w:r>
          <w:r>
            <w:t>66</w:t>
          </w:r>
          <w:r>
            <w:fldChar w:fldCharType="end"/>
          </w:r>
          <w:r>
            <w:rPr>
              <w:rFonts w:asciiTheme="minorHAnsi" w:hAnsiTheme="minorHAnsi" w:eastAsiaTheme="minorEastAsia" w:cstheme="minorBidi"/>
              <w:szCs w:val="22"/>
              <w:lang w:val="en-US" w:eastAsia="en-US" w:bidi="ar-SA"/>
            </w:rPr>
            <w:fldChar w:fldCharType="end"/>
          </w:r>
        </w:p>
        <w:p w14:paraId="2D7826A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_Toc25143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项目运行评估</w:t>
          </w:r>
          <w:r>
            <w:tab/>
          </w:r>
          <w:r>
            <w:fldChar w:fldCharType="begin"/>
          </w:r>
          <w:r>
            <w:instrText xml:space="preserve"> PAGEREF _Toc25143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4F6B235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_Toc9430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零碳工厂自评估</w:t>
          </w:r>
          <w:r>
            <w:tab/>
          </w:r>
          <w:r>
            <w:fldChar w:fldCharType="begin"/>
          </w:r>
          <w:r>
            <w:instrText xml:space="preserve"> PAGEREF _Toc9430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622F6AA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_Toc21137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统计报表</w:t>
          </w:r>
          <w:r>
            <w:tab/>
          </w:r>
          <w:r>
            <w:fldChar w:fldCharType="begin"/>
          </w:r>
          <w:r>
            <w:instrText xml:space="preserve"> PAGEREF _Toc21137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00255C6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用能报表</w:t>
          </w:r>
          <w:r>
            <w:tab/>
          </w:r>
          <w:r>
            <w:fldChar w:fldCharType="begin"/>
          </w:r>
          <w:r>
            <w:instrText xml:space="preserve"> PAGEREF _Toc16583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44AD34B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_Toc18272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成本报表</w:t>
          </w:r>
          <w:r>
            <w:tab/>
          </w:r>
          <w:r>
            <w:fldChar w:fldCharType="begin"/>
          </w:r>
          <w:r>
            <w:instrText xml:space="preserve"> PAGEREF _Toc18272 \h </w:instrText>
          </w:r>
          <w:r>
            <w:fldChar w:fldCharType="separate"/>
          </w:r>
          <w:r>
            <w:t>79</w:t>
          </w:r>
          <w:r>
            <w:fldChar w:fldCharType="end"/>
          </w:r>
          <w:r>
            <w:rPr>
              <w:rFonts w:asciiTheme="minorHAnsi" w:hAnsiTheme="minorHAnsi" w:eastAsiaTheme="minorEastAsia" w:cstheme="minorBidi"/>
              <w:szCs w:val="22"/>
              <w:lang w:val="en-US" w:eastAsia="en-US" w:bidi="ar-SA"/>
            </w:rPr>
            <w:fldChar w:fldCharType="end"/>
          </w:r>
        </w:p>
        <w:p w14:paraId="2A068CF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_Toc22933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单耗报表</w:t>
          </w:r>
          <w:r>
            <w:tab/>
          </w:r>
          <w:r>
            <w:fldChar w:fldCharType="begin"/>
          </w:r>
          <w:r>
            <w:instrText xml:space="preserve"> PAGEREF _Toc22933 \h </w:instrText>
          </w:r>
          <w:r>
            <w:fldChar w:fldCharType="separate"/>
          </w:r>
          <w:r>
            <w:t>82</w:t>
          </w:r>
          <w:r>
            <w:fldChar w:fldCharType="end"/>
          </w:r>
          <w:r>
            <w:rPr>
              <w:rFonts w:asciiTheme="minorHAnsi" w:hAnsiTheme="minorHAnsi" w:eastAsiaTheme="minorEastAsia" w:cstheme="minorBidi"/>
              <w:szCs w:val="22"/>
              <w:lang w:val="en-US" w:eastAsia="en-US" w:bidi="ar-SA"/>
            </w:rPr>
            <w:fldChar w:fldCharType="end"/>
          </w:r>
        </w:p>
        <w:p w14:paraId="768A910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_Toc9191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hint="eastAsia" w:cs="Times New Roman"/>
              <w:bCs w:val="0"/>
              <w:szCs w:val="32"/>
              <w:lang w:val="en-US" w:eastAsia="zh-CN"/>
            </w:rPr>
            <w:t>企业基础信息</w:t>
          </w:r>
          <w:r>
            <w:tab/>
          </w:r>
          <w:r>
            <w:fldChar w:fldCharType="begin"/>
          </w:r>
          <w:r>
            <w:instrText xml:space="preserve"> PAGEREF _Toc9191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6D9B61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_Toc10576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hint="eastAsia" w:cs="Times New Roman"/>
              <w:bCs w:val="0"/>
              <w:szCs w:val="24"/>
              <w:lang w:val="en-US" w:eastAsia="zh-CN"/>
            </w:rPr>
            <w:t>企业基础信息</w:t>
          </w:r>
          <w:r>
            <w:tab/>
          </w:r>
          <w:r>
            <w:fldChar w:fldCharType="begin"/>
          </w:r>
          <w:r>
            <w:instrText xml:space="preserve"> PAGEREF _Toc10576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334B4B4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_Toc30311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hint="eastAsia"/>
              <w:bCs w:val="0"/>
              <w:szCs w:val="24"/>
              <w:lang w:val="en-US" w:eastAsia="zh-CN"/>
            </w:rPr>
            <w:t>零碳工厂信息</w:t>
          </w:r>
          <w:r>
            <w:tab/>
          </w:r>
          <w:r>
            <w:fldChar w:fldCharType="begin"/>
          </w:r>
          <w:r>
            <w:instrText xml:space="preserve"> PAGEREF _Toc30311 \h </w:instrText>
          </w:r>
          <w:r>
            <w:fldChar w:fldCharType="separate"/>
          </w:r>
          <w:r>
            <w:t>89</w:t>
          </w:r>
          <w:r>
            <w:fldChar w:fldCharType="end"/>
          </w:r>
          <w:r>
            <w:rPr>
              <w:rFonts w:asciiTheme="minorHAnsi" w:hAnsiTheme="minorHAnsi" w:eastAsiaTheme="minorEastAsia" w:cstheme="minorBidi"/>
              <w:szCs w:val="22"/>
              <w:lang w:val="en-US" w:eastAsia="en-US" w:bidi="ar-SA"/>
            </w:rPr>
            <w:fldChar w:fldCharType="end"/>
          </w:r>
        </w:p>
        <w:p w14:paraId="3CD046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_Toc6112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第三章 </w:t>
          </w:r>
          <w:r>
            <w:rPr>
              <w:rFonts w:ascii="Times New Roman" w:hAnsi="Times New Roman" w:eastAsia="黑体" w:cs="Times New Roman"/>
              <w:bCs w:val="0"/>
              <w:szCs w:val="44"/>
            </w:rPr>
            <w:t>产品碳足迹集采中心功能需求规格</w:t>
          </w:r>
          <w:r>
            <w:tab/>
          </w:r>
          <w:r>
            <w:fldChar w:fldCharType="begin"/>
          </w:r>
          <w:r>
            <w:instrText xml:space="preserve"> PAGEREF _Toc6112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A14850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_Toc30505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对外示范窗口</w:t>
          </w:r>
          <w:r>
            <w:tab/>
          </w:r>
          <w:r>
            <w:fldChar w:fldCharType="begin"/>
          </w:r>
          <w:r>
            <w:instrText xml:space="preserve"> PAGEREF _Toc30505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2613C69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_Toc13410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碳足迹总览驾驶舱</w:t>
          </w:r>
          <w:r>
            <w:tab/>
          </w:r>
          <w:r>
            <w:fldChar w:fldCharType="begin"/>
          </w:r>
          <w:r>
            <w:instrText xml:space="preserve"> PAGEREF _Toc13410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6B0AAB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_Toc14569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多维分析</w:t>
          </w:r>
          <w:r>
            <w:tab/>
          </w:r>
          <w:r>
            <w:fldChar w:fldCharType="begin"/>
          </w:r>
          <w:r>
            <w:instrText xml:space="preserve"> PAGEREF _Toc14569 \h </w:instrText>
          </w:r>
          <w:r>
            <w:fldChar w:fldCharType="separate"/>
          </w:r>
          <w:r>
            <w:t>97</w:t>
          </w:r>
          <w:r>
            <w:fldChar w:fldCharType="end"/>
          </w:r>
          <w:r>
            <w:rPr>
              <w:rFonts w:asciiTheme="minorHAnsi" w:hAnsiTheme="minorHAnsi" w:eastAsiaTheme="minorEastAsia" w:cstheme="minorBidi"/>
              <w:szCs w:val="22"/>
              <w:lang w:val="en-US" w:eastAsia="en-US" w:bidi="ar-SA"/>
            </w:rPr>
            <w:fldChar w:fldCharType="end"/>
          </w:r>
        </w:p>
        <w:p w14:paraId="540ED7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_Toc20078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横向对比</w:t>
          </w:r>
          <w:r>
            <w:tab/>
          </w:r>
          <w:r>
            <w:fldChar w:fldCharType="begin"/>
          </w:r>
          <w:r>
            <w:instrText xml:space="preserve"> PAGEREF _Toc20078 \h </w:instrText>
          </w:r>
          <w:r>
            <w:fldChar w:fldCharType="separate"/>
          </w:r>
          <w:r>
            <w:t>98</w:t>
          </w:r>
          <w:r>
            <w:fldChar w:fldCharType="end"/>
          </w:r>
          <w:r>
            <w:rPr>
              <w:rFonts w:asciiTheme="minorHAnsi" w:hAnsiTheme="minorHAnsi" w:eastAsiaTheme="minorEastAsia" w:cstheme="minorBidi"/>
              <w:szCs w:val="22"/>
              <w:lang w:val="en-US" w:eastAsia="en-US" w:bidi="ar-SA"/>
            </w:rPr>
            <w:fldChar w:fldCharType="end"/>
          </w:r>
        </w:p>
        <w:p w14:paraId="75F5EE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_Toc23937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纵向</w:t>
          </w:r>
          <w:r>
            <w:rPr>
              <w:rFonts w:hint="eastAsia" w:cs="Times New Roman"/>
              <w:bCs w:val="0"/>
              <w:szCs w:val="24"/>
              <w:lang w:val="en-US" w:eastAsia="zh-CN"/>
            </w:rPr>
            <w:t>对比</w:t>
          </w:r>
          <w:r>
            <w:tab/>
          </w:r>
          <w:r>
            <w:fldChar w:fldCharType="begin"/>
          </w:r>
          <w:r>
            <w:instrText xml:space="preserve"> PAGEREF _Toc23937 \h </w:instrText>
          </w:r>
          <w:r>
            <w:fldChar w:fldCharType="separate"/>
          </w:r>
          <w:r>
            <w:t>101</w:t>
          </w:r>
          <w:r>
            <w:fldChar w:fldCharType="end"/>
          </w:r>
          <w:r>
            <w:rPr>
              <w:rFonts w:asciiTheme="minorHAnsi" w:hAnsiTheme="minorHAnsi" w:eastAsiaTheme="minorEastAsia" w:cstheme="minorBidi"/>
              <w:szCs w:val="22"/>
              <w:lang w:val="en-US" w:eastAsia="en-US" w:bidi="ar-SA"/>
            </w:rPr>
            <w:fldChar w:fldCharType="end"/>
          </w:r>
        </w:p>
        <w:p w14:paraId="3750815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实景数据库与碳足迹核算</w:t>
          </w:r>
          <w:r>
            <w:tab/>
          </w:r>
          <w:r>
            <w:fldChar w:fldCharType="begin"/>
          </w:r>
          <w:r>
            <w:instrText xml:space="preserve"> PAGEREF _Toc22158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3C819A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实景数据库</w:t>
          </w:r>
          <w:r>
            <w:tab/>
          </w:r>
          <w:r>
            <w:fldChar w:fldCharType="begin"/>
          </w:r>
          <w:r>
            <w:instrText xml:space="preserve"> PAGEREF _Toc30983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43B2E28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_Toc10094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碳足迹核算</w:t>
          </w:r>
          <w:r>
            <w:tab/>
          </w:r>
          <w:r>
            <w:fldChar w:fldCharType="begin"/>
          </w:r>
          <w:r>
            <w:instrText xml:space="preserve"> PAGEREF _Toc10094 \h </w:instrText>
          </w:r>
          <w:r>
            <w:fldChar w:fldCharType="separate"/>
          </w:r>
          <w:r>
            <w:t>108</w:t>
          </w:r>
          <w:r>
            <w:fldChar w:fldCharType="end"/>
          </w:r>
          <w:r>
            <w:rPr>
              <w:rFonts w:asciiTheme="minorHAnsi" w:hAnsiTheme="minorHAnsi" w:eastAsiaTheme="minorEastAsia" w:cstheme="minorBidi"/>
              <w:szCs w:val="22"/>
              <w:lang w:val="en-US" w:eastAsia="en-US" w:bidi="ar-SA"/>
            </w:rPr>
            <w:fldChar w:fldCharType="end"/>
          </w:r>
        </w:p>
        <w:p w14:paraId="7DE37ED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_Toc24248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碳足迹报告</w:t>
          </w:r>
          <w:r>
            <w:tab/>
          </w:r>
          <w:r>
            <w:fldChar w:fldCharType="begin"/>
          </w:r>
          <w:r>
            <w:instrText xml:space="preserve"> PAGEREF _Toc24248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76F5003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_Toc9612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CBAM 管理</w:t>
          </w:r>
          <w:r>
            <w:tab/>
          </w:r>
          <w:r>
            <w:fldChar w:fldCharType="begin"/>
          </w:r>
          <w:r>
            <w:instrText xml:space="preserve"> PAGEREF _Toc9612 \h </w:instrText>
          </w:r>
          <w:r>
            <w:fldChar w:fldCharType="separate"/>
          </w:r>
          <w:r>
            <w:t>115</w:t>
          </w:r>
          <w:r>
            <w:fldChar w:fldCharType="end"/>
          </w:r>
          <w:r>
            <w:rPr>
              <w:rFonts w:asciiTheme="minorHAnsi" w:hAnsiTheme="minorHAnsi" w:eastAsiaTheme="minorEastAsia" w:cstheme="minorBidi"/>
              <w:szCs w:val="22"/>
              <w:lang w:val="en-US" w:eastAsia="en-US" w:bidi="ar-SA"/>
            </w:rPr>
            <w:fldChar w:fldCharType="end"/>
          </w:r>
        </w:p>
        <w:p w14:paraId="2D798BC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_Toc11881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合规管理</w:t>
          </w:r>
          <w:r>
            <w:tab/>
          </w:r>
          <w:r>
            <w:fldChar w:fldCharType="begin"/>
          </w:r>
          <w:r>
            <w:instrText xml:space="preserve"> PAGEREF _Toc11881 \h </w:instrText>
          </w:r>
          <w:r>
            <w:fldChar w:fldCharType="separate"/>
          </w:r>
          <w:r>
            <w:t>116</w:t>
          </w:r>
          <w:r>
            <w:fldChar w:fldCharType="end"/>
          </w:r>
          <w:r>
            <w:rPr>
              <w:rFonts w:asciiTheme="minorHAnsi" w:hAnsiTheme="minorHAnsi" w:eastAsiaTheme="minorEastAsia" w:cstheme="minorBidi"/>
              <w:szCs w:val="22"/>
              <w:lang w:val="en-US" w:eastAsia="en-US" w:bidi="ar-SA"/>
            </w:rPr>
            <w:fldChar w:fldCharType="end"/>
          </w:r>
        </w:p>
        <w:p w14:paraId="02B2E7C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_Toc20854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申报模拟</w:t>
          </w:r>
          <w:r>
            <w:tab/>
          </w:r>
          <w:r>
            <w:fldChar w:fldCharType="begin"/>
          </w:r>
          <w:r>
            <w:instrText xml:space="preserve"> PAGEREF _Toc20854 \h </w:instrText>
          </w:r>
          <w:r>
            <w:fldChar w:fldCharType="separate"/>
          </w:r>
          <w:r>
            <w:t>119</w:t>
          </w:r>
          <w:r>
            <w:fldChar w:fldCharType="end"/>
          </w:r>
          <w:r>
            <w:rPr>
              <w:rFonts w:asciiTheme="minorHAnsi" w:hAnsiTheme="minorHAnsi" w:eastAsiaTheme="minorEastAsia" w:cstheme="minorBidi"/>
              <w:szCs w:val="22"/>
              <w:lang w:val="en-US" w:eastAsia="en-US" w:bidi="ar-SA"/>
            </w:rPr>
            <w:fldChar w:fldCharType="end"/>
          </w:r>
        </w:p>
        <w:p w14:paraId="05F9280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_Toc28246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知识库</w:t>
          </w:r>
          <w:r>
            <w:tab/>
          </w:r>
          <w:r>
            <w:fldChar w:fldCharType="begin"/>
          </w:r>
          <w:r>
            <w:instrText xml:space="preserve"> PAGEREF _Toc28246 \h </w:instrText>
          </w:r>
          <w:r>
            <w:fldChar w:fldCharType="separate"/>
          </w:r>
          <w:r>
            <w:t>123</w:t>
          </w:r>
          <w:r>
            <w:fldChar w:fldCharType="end"/>
          </w:r>
          <w:r>
            <w:rPr>
              <w:rFonts w:asciiTheme="minorHAnsi" w:hAnsiTheme="minorHAnsi" w:eastAsiaTheme="minorEastAsia" w:cstheme="minorBidi"/>
              <w:szCs w:val="22"/>
              <w:lang w:val="en-US" w:eastAsia="en-US" w:bidi="ar-SA"/>
            </w:rPr>
            <w:fldChar w:fldCharType="end"/>
          </w:r>
        </w:p>
        <w:p w14:paraId="3B4BB8A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第三方认证管理</w:t>
          </w:r>
          <w:r>
            <w:tab/>
          </w:r>
          <w:r>
            <w:fldChar w:fldCharType="begin"/>
          </w:r>
          <w:r>
            <w:instrText xml:space="preserve"> PAGEREF _Toc2256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631289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_Toc7298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认证资料维护</w:t>
          </w:r>
          <w:r>
            <w:tab/>
          </w:r>
          <w:r>
            <w:fldChar w:fldCharType="begin"/>
          </w:r>
          <w:r>
            <w:instrText xml:space="preserve"> PAGEREF _Toc7298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112469A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_Toc21692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2. </w:t>
          </w:r>
          <w:r>
            <w:rPr>
              <w:rFonts w:hint="eastAsia" w:cs="Times New Roman"/>
              <w:bCs w:val="0"/>
              <w:szCs w:val="24"/>
              <w:lang w:val="en-US" w:eastAsia="zh-CN"/>
            </w:rPr>
            <w:t>认证申请</w:t>
          </w:r>
          <w:r>
            <w:tab/>
          </w:r>
          <w:r>
            <w:fldChar w:fldCharType="begin"/>
          </w:r>
          <w:r>
            <w:instrText xml:space="preserve"> PAGEREF _Toc21692 \h </w:instrText>
          </w:r>
          <w:r>
            <w:fldChar w:fldCharType="separate"/>
          </w:r>
          <w:r>
            <w:t>130</w:t>
          </w:r>
          <w:r>
            <w:fldChar w:fldCharType="end"/>
          </w:r>
          <w:r>
            <w:rPr>
              <w:rFonts w:asciiTheme="minorHAnsi" w:hAnsiTheme="minorHAnsi" w:eastAsiaTheme="minorEastAsia" w:cstheme="minorBidi"/>
              <w:szCs w:val="22"/>
              <w:lang w:val="en-US" w:eastAsia="en-US" w:bidi="ar-SA"/>
            </w:rPr>
            <w:fldChar w:fldCharType="end"/>
          </w:r>
        </w:p>
        <w:p w14:paraId="154DF3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_Toc15371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3. </w:t>
          </w:r>
          <w:r>
            <w:rPr>
              <w:rFonts w:hint="eastAsia" w:cs="Times New Roman"/>
              <w:bCs w:val="0"/>
              <w:szCs w:val="24"/>
              <w:lang w:val="en-US" w:eastAsia="zh-CN"/>
            </w:rPr>
            <w:t>认证结果管理</w:t>
          </w:r>
          <w:r>
            <w:tab/>
          </w:r>
          <w:r>
            <w:fldChar w:fldCharType="begin"/>
          </w:r>
          <w:r>
            <w:instrText xml:space="preserve"> PAGEREF _Toc15371 \h </w:instrText>
          </w:r>
          <w:r>
            <w:fldChar w:fldCharType="separate"/>
          </w:r>
          <w:r>
            <w:t>134</w:t>
          </w:r>
          <w:r>
            <w:fldChar w:fldCharType="end"/>
          </w:r>
          <w:r>
            <w:rPr>
              <w:rFonts w:asciiTheme="minorHAnsi" w:hAnsiTheme="minorHAnsi" w:eastAsiaTheme="minorEastAsia" w:cstheme="minorBidi"/>
              <w:szCs w:val="22"/>
              <w:lang w:val="en-US" w:eastAsia="en-US" w:bidi="ar-SA"/>
            </w:rPr>
            <w:fldChar w:fldCharType="end"/>
          </w:r>
        </w:p>
        <w:p w14:paraId="1CE5D6D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_Toc22621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因子库管理</w:t>
          </w:r>
          <w:r>
            <w:tab/>
          </w:r>
          <w:r>
            <w:fldChar w:fldCharType="begin"/>
          </w:r>
          <w:r>
            <w:instrText xml:space="preserve"> PAGEREF _Toc22621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185C7D8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_Toc17942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原材料碳排因子</w:t>
          </w:r>
          <w:r>
            <w:tab/>
          </w:r>
          <w:r>
            <w:fldChar w:fldCharType="begin"/>
          </w:r>
          <w:r>
            <w:instrText xml:space="preserve"> PAGEREF _Toc17942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6938E55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_Toc18568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hint="eastAsia" w:cs="Times New Roman"/>
              <w:bCs w:val="0"/>
              <w:szCs w:val="24"/>
              <w:lang w:val="en-US" w:eastAsia="zh-CN"/>
            </w:rPr>
            <w:t>电力碳排因子</w:t>
          </w:r>
          <w:r>
            <w:tab/>
          </w:r>
          <w:r>
            <w:fldChar w:fldCharType="begin"/>
          </w:r>
          <w:r>
            <w:instrText xml:space="preserve"> PAGEREF _Toc18568 \h </w:instrText>
          </w:r>
          <w:r>
            <w:fldChar w:fldCharType="separate"/>
          </w:r>
          <w:r>
            <w:t>144</w:t>
          </w:r>
          <w:r>
            <w:fldChar w:fldCharType="end"/>
          </w:r>
          <w:r>
            <w:rPr>
              <w:rFonts w:asciiTheme="minorHAnsi" w:hAnsiTheme="minorHAnsi" w:eastAsiaTheme="minorEastAsia" w:cstheme="minorBidi"/>
              <w:szCs w:val="22"/>
              <w:lang w:val="en-US" w:eastAsia="en-US" w:bidi="ar-SA"/>
            </w:rPr>
            <w:fldChar w:fldCharType="end"/>
          </w:r>
        </w:p>
        <w:p w14:paraId="785769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_Toc25421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hint="eastAsia" w:cs="Times New Roman"/>
              <w:bCs w:val="0"/>
              <w:szCs w:val="24"/>
              <w:lang w:val="en-US" w:eastAsia="zh-CN"/>
            </w:rPr>
            <w:t>能源活动碳排因子</w:t>
          </w:r>
          <w:r>
            <w:tab/>
          </w:r>
          <w:r>
            <w:fldChar w:fldCharType="begin"/>
          </w:r>
          <w:r>
            <w:instrText xml:space="preserve"> PAGEREF _Toc25421 \h </w:instrText>
          </w:r>
          <w:r>
            <w:fldChar w:fldCharType="separate"/>
          </w:r>
          <w:r>
            <w:t>148</w:t>
          </w:r>
          <w:r>
            <w:fldChar w:fldCharType="end"/>
          </w:r>
          <w:r>
            <w:rPr>
              <w:rFonts w:asciiTheme="minorHAnsi" w:hAnsiTheme="minorHAnsi" w:eastAsiaTheme="minorEastAsia" w:cstheme="minorBidi"/>
              <w:szCs w:val="22"/>
              <w:lang w:val="en-US" w:eastAsia="en-US" w:bidi="ar-SA"/>
            </w:rPr>
            <w:fldChar w:fldCharType="end"/>
          </w:r>
        </w:p>
        <w:p w14:paraId="138DBEE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_Toc24030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4. </w:t>
          </w:r>
          <w:r>
            <w:rPr>
              <w:rFonts w:hint="eastAsia" w:cs="Times New Roman"/>
              <w:bCs w:val="0"/>
              <w:szCs w:val="24"/>
              <w:lang w:val="en-US" w:eastAsia="zh-CN"/>
            </w:rPr>
            <w:t>折标煤系数库</w:t>
          </w:r>
          <w:r>
            <w:tab/>
          </w:r>
          <w:r>
            <w:fldChar w:fldCharType="begin"/>
          </w:r>
          <w:r>
            <w:instrText xml:space="preserve"> PAGEREF _Toc24030 \h </w:instrText>
          </w:r>
          <w:r>
            <w:fldChar w:fldCharType="separate"/>
          </w:r>
          <w:r>
            <w:t>152</w:t>
          </w:r>
          <w:r>
            <w:fldChar w:fldCharType="end"/>
          </w:r>
          <w:r>
            <w:rPr>
              <w:rFonts w:asciiTheme="minorHAnsi" w:hAnsiTheme="minorHAnsi" w:eastAsiaTheme="minorEastAsia" w:cstheme="minorBidi"/>
              <w:szCs w:val="22"/>
              <w:lang w:val="en-US" w:eastAsia="en-US" w:bidi="ar-SA"/>
            </w:rPr>
            <w:fldChar w:fldCharType="end"/>
          </w:r>
        </w:p>
        <w:p w14:paraId="375F25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_Toc14842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第四章 </w:t>
          </w:r>
          <w:r>
            <w:rPr>
              <w:rFonts w:hint="eastAsia"/>
              <w:bCs w:val="0"/>
              <w:szCs w:val="44"/>
              <w:lang w:val="en-US" w:eastAsia="zh-CN"/>
            </w:rPr>
            <w:t>系统管理、基础参数设置</w:t>
          </w:r>
          <w:r>
            <w:tab/>
          </w:r>
          <w:r>
            <w:fldChar w:fldCharType="begin"/>
          </w:r>
          <w:r>
            <w:instrText xml:space="preserve"> PAGEREF _Toc14842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69B61C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_Toc31977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一、 权限管控</w:t>
          </w:r>
          <w:r>
            <w:tab/>
          </w:r>
          <w:r>
            <w:fldChar w:fldCharType="begin"/>
          </w:r>
          <w:r>
            <w:instrText xml:space="preserve"> PAGEREF _Toc31977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51A3B2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_Toc15939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组织管理</w:t>
          </w:r>
          <w:r>
            <w:tab/>
          </w:r>
          <w:r>
            <w:fldChar w:fldCharType="begin"/>
          </w:r>
          <w:r>
            <w:instrText xml:space="preserve"> PAGEREF _Toc15939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39792BF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_Toc27635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用户管理</w:t>
          </w:r>
          <w:r>
            <w:tab/>
          </w:r>
          <w:r>
            <w:fldChar w:fldCharType="begin"/>
          </w:r>
          <w:r>
            <w:instrText xml:space="preserve"> PAGEREF _Toc27635 \h </w:instrText>
          </w:r>
          <w:r>
            <w:fldChar w:fldCharType="separate"/>
          </w:r>
          <w:r>
            <w:t>158</w:t>
          </w:r>
          <w:r>
            <w:fldChar w:fldCharType="end"/>
          </w:r>
          <w:r>
            <w:rPr>
              <w:rFonts w:asciiTheme="minorHAnsi" w:hAnsiTheme="minorHAnsi" w:eastAsiaTheme="minorEastAsia" w:cstheme="minorBidi"/>
              <w:szCs w:val="22"/>
              <w:lang w:val="en-US" w:eastAsia="en-US" w:bidi="ar-SA"/>
            </w:rPr>
            <w:fldChar w:fldCharType="end"/>
          </w:r>
        </w:p>
        <w:p w14:paraId="1164396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_Toc7452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角色与权限</w:t>
          </w:r>
          <w:r>
            <w:tab/>
          </w:r>
          <w:r>
            <w:fldChar w:fldCharType="begin"/>
          </w:r>
          <w:r>
            <w:instrText xml:space="preserve"> PAGEREF _Toc7452 \h </w:instrText>
          </w:r>
          <w:r>
            <w:fldChar w:fldCharType="separate"/>
          </w:r>
          <w:r>
            <w:t>161</w:t>
          </w:r>
          <w:r>
            <w:fldChar w:fldCharType="end"/>
          </w:r>
          <w:r>
            <w:rPr>
              <w:rFonts w:asciiTheme="minorHAnsi" w:hAnsiTheme="minorHAnsi" w:eastAsiaTheme="minorEastAsia" w:cstheme="minorBidi"/>
              <w:szCs w:val="22"/>
              <w:lang w:val="en-US" w:eastAsia="en-US" w:bidi="ar-SA"/>
            </w:rPr>
            <w:fldChar w:fldCharType="end"/>
          </w:r>
        </w:p>
        <w:p w14:paraId="5886918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_Toc27816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4. </w:t>
          </w:r>
          <w:r>
            <w:rPr>
              <w:rFonts w:hint="eastAsia" w:cs="Times New Roman"/>
              <w:bCs w:val="0"/>
              <w:szCs w:val="24"/>
              <w:lang w:val="en-US" w:eastAsia="zh-CN"/>
            </w:rPr>
            <w:t>菜单与功能</w:t>
          </w:r>
          <w:r>
            <w:tab/>
          </w:r>
          <w:r>
            <w:fldChar w:fldCharType="begin"/>
          </w:r>
          <w:r>
            <w:instrText xml:space="preserve"> PAGEREF _Toc27816 \h </w:instrText>
          </w:r>
          <w:r>
            <w:fldChar w:fldCharType="separate"/>
          </w:r>
          <w:r>
            <w:t>163</w:t>
          </w:r>
          <w:r>
            <w:fldChar w:fldCharType="end"/>
          </w:r>
          <w:r>
            <w:rPr>
              <w:rFonts w:asciiTheme="minorHAnsi" w:hAnsiTheme="minorHAnsi" w:eastAsiaTheme="minorEastAsia" w:cstheme="minorBidi"/>
              <w:szCs w:val="22"/>
              <w:lang w:val="en-US" w:eastAsia="en-US" w:bidi="ar-SA"/>
            </w:rPr>
            <w:fldChar w:fldCharType="end"/>
          </w:r>
        </w:p>
        <w:p w14:paraId="6EC6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_Toc24546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二、 能碳基础因子管理</w:t>
          </w:r>
          <w:r>
            <w:tab/>
          </w:r>
          <w:r>
            <w:fldChar w:fldCharType="begin"/>
          </w:r>
          <w:r>
            <w:instrText xml:space="preserve"> PAGEREF _Toc24546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6C7142D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_Toc32713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bCs w:val="0"/>
              <w:lang w:val="en-US" w:eastAsia="zh-CN"/>
            </w:rPr>
            <w:t>电</w:t>
          </w:r>
          <w:r>
            <w:rPr>
              <w:rFonts w:hint="eastAsia" w:cs="Times New Roman"/>
              <w:bCs w:val="0"/>
              <w:szCs w:val="24"/>
              <w:lang w:val="en-US" w:eastAsia="zh-CN"/>
            </w:rPr>
            <w:t>力碳排因子</w:t>
          </w:r>
          <w:r>
            <w:tab/>
          </w:r>
          <w:r>
            <w:fldChar w:fldCharType="begin"/>
          </w:r>
          <w:r>
            <w:instrText xml:space="preserve"> PAGEREF _Toc32713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0212530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_Toc5571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能源活动碳排因子</w:t>
          </w:r>
          <w:r>
            <w:tab/>
          </w:r>
          <w:r>
            <w:fldChar w:fldCharType="begin"/>
          </w:r>
          <w:r>
            <w:instrText xml:space="preserve"> PAGEREF _Toc5571 \h </w:instrText>
          </w:r>
          <w:r>
            <w:fldChar w:fldCharType="separate"/>
          </w:r>
          <w:r>
            <w:t>167</w:t>
          </w:r>
          <w:r>
            <w:fldChar w:fldCharType="end"/>
          </w:r>
          <w:r>
            <w:rPr>
              <w:rFonts w:asciiTheme="minorHAnsi" w:hAnsiTheme="minorHAnsi" w:eastAsiaTheme="minorEastAsia" w:cstheme="minorBidi"/>
              <w:szCs w:val="22"/>
              <w:lang w:val="en-US" w:eastAsia="en-US" w:bidi="ar-SA"/>
            </w:rPr>
            <w:fldChar w:fldCharType="end"/>
          </w:r>
        </w:p>
        <w:p w14:paraId="1F40D9F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_Toc2938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折标煤系数库</w:t>
          </w:r>
          <w:r>
            <w:tab/>
          </w:r>
          <w:r>
            <w:fldChar w:fldCharType="begin"/>
          </w:r>
          <w:r>
            <w:instrText xml:space="preserve"> PAGEREF _Toc2938 \h </w:instrText>
          </w:r>
          <w:r>
            <w:fldChar w:fldCharType="separate"/>
          </w:r>
          <w:r>
            <w:t>169</w:t>
          </w:r>
          <w:r>
            <w:fldChar w:fldCharType="end"/>
          </w:r>
          <w:r>
            <w:rPr>
              <w:rFonts w:asciiTheme="minorHAnsi" w:hAnsiTheme="minorHAnsi" w:eastAsiaTheme="minorEastAsia" w:cstheme="minorBidi"/>
              <w:szCs w:val="22"/>
              <w:lang w:val="en-US" w:eastAsia="en-US" w:bidi="ar-SA"/>
            </w:rPr>
            <w:fldChar w:fldCharType="end"/>
          </w:r>
        </w:p>
        <w:p w14:paraId="6494708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_Toc31062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三、 费价模型</w:t>
          </w:r>
          <w:r>
            <w:tab/>
          </w:r>
          <w:r>
            <w:fldChar w:fldCharType="begin"/>
          </w:r>
          <w:r>
            <w:instrText xml:space="preserve"> PAGEREF _Toc31062 \h </w:instrText>
          </w:r>
          <w:r>
            <w:fldChar w:fldCharType="separate"/>
          </w:r>
          <w:r>
            <w:t>171</w:t>
          </w:r>
          <w:r>
            <w:fldChar w:fldCharType="end"/>
          </w:r>
          <w:r>
            <w:rPr>
              <w:rFonts w:asciiTheme="minorHAnsi" w:hAnsiTheme="minorHAnsi" w:eastAsiaTheme="minorEastAsia" w:cstheme="minorBidi"/>
              <w:szCs w:val="22"/>
              <w:lang w:val="en-US" w:eastAsia="en-US" w:bidi="ar-SA"/>
            </w:rPr>
            <w:fldChar w:fldCharType="end"/>
          </w:r>
        </w:p>
        <w:p w14:paraId="18630EC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_Toc8429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四、 生产设备维护</w:t>
          </w:r>
          <w:r>
            <w:tab/>
          </w:r>
          <w:r>
            <w:fldChar w:fldCharType="begin"/>
          </w:r>
          <w:r>
            <w:instrText xml:space="preserve"> PAGEREF _Toc8429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52F4614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_Toc31767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重点用能设备</w:t>
          </w:r>
          <w:r>
            <w:tab/>
          </w:r>
          <w:r>
            <w:fldChar w:fldCharType="begin"/>
          </w:r>
          <w:r>
            <w:instrText xml:space="preserve"> PAGEREF _Toc31767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06DC4D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_Toc17529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光伏设备管理</w:t>
          </w:r>
          <w:r>
            <w:tab/>
          </w:r>
          <w:r>
            <w:fldChar w:fldCharType="begin"/>
          </w:r>
          <w:r>
            <w:instrText xml:space="preserve"> PAGEREF _Toc17529 \h </w:instrText>
          </w:r>
          <w:r>
            <w:fldChar w:fldCharType="separate"/>
          </w:r>
          <w:r>
            <w:t>177</w:t>
          </w:r>
          <w:r>
            <w:fldChar w:fldCharType="end"/>
          </w:r>
          <w:r>
            <w:rPr>
              <w:rFonts w:asciiTheme="minorHAnsi" w:hAnsiTheme="minorHAnsi" w:eastAsiaTheme="minorEastAsia" w:cstheme="minorBidi"/>
              <w:szCs w:val="22"/>
              <w:lang w:val="en-US" w:eastAsia="en-US" w:bidi="ar-SA"/>
            </w:rPr>
            <w:fldChar w:fldCharType="end"/>
          </w:r>
        </w:p>
        <w:p w14:paraId="6B98C86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_Toc11939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五、 生产数据维护</w:t>
          </w:r>
          <w:r>
            <w:tab/>
          </w:r>
          <w:r>
            <w:fldChar w:fldCharType="begin"/>
          </w:r>
          <w:r>
            <w:instrText xml:space="preserve"> PAGEREF _Toc11939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16E8C1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_Toc29538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产品类型管理</w:t>
          </w:r>
          <w:r>
            <w:tab/>
          </w:r>
          <w:r>
            <w:fldChar w:fldCharType="begin"/>
          </w:r>
          <w:r>
            <w:instrText xml:space="preserve"> PAGEREF _Toc29538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504C7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_Toc29667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产品型号管理</w:t>
          </w:r>
          <w:r>
            <w:tab/>
          </w:r>
          <w:r>
            <w:fldChar w:fldCharType="begin"/>
          </w:r>
          <w:r>
            <w:instrText xml:space="preserve"> PAGEREF _Toc29667 \h </w:instrText>
          </w:r>
          <w:r>
            <w:fldChar w:fldCharType="separate"/>
          </w:r>
          <w:r>
            <w:t>181</w:t>
          </w:r>
          <w:r>
            <w:fldChar w:fldCharType="end"/>
          </w:r>
          <w:r>
            <w:rPr>
              <w:rFonts w:asciiTheme="minorHAnsi" w:hAnsiTheme="minorHAnsi" w:eastAsiaTheme="minorEastAsia" w:cstheme="minorBidi"/>
              <w:szCs w:val="22"/>
              <w:lang w:val="en-US" w:eastAsia="en-US" w:bidi="ar-SA"/>
            </w:rPr>
            <w:fldChar w:fldCharType="end"/>
          </w:r>
        </w:p>
        <w:p w14:paraId="04ADDE3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_Toc15573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3. </w:t>
          </w:r>
          <w:r>
            <w:rPr>
              <w:rFonts w:hint="eastAsia"/>
              <w:bCs w:val="0"/>
              <w:lang w:val="en-US" w:eastAsia="zh-CN"/>
            </w:rPr>
            <w:t>基础数据管理</w:t>
          </w:r>
          <w:r>
            <w:tab/>
          </w:r>
          <w:r>
            <w:fldChar w:fldCharType="begin"/>
          </w:r>
          <w:r>
            <w:instrText xml:space="preserve"> PAGEREF _Toc15573 \h </w:instrText>
          </w:r>
          <w:r>
            <w:fldChar w:fldCharType="separate"/>
          </w:r>
          <w:r>
            <w:t>184</w:t>
          </w:r>
          <w:r>
            <w:fldChar w:fldCharType="end"/>
          </w:r>
          <w:r>
            <w:rPr>
              <w:rFonts w:asciiTheme="minorHAnsi" w:hAnsiTheme="minorHAnsi" w:eastAsiaTheme="minorEastAsia" w:cstheme="minorBidi"/>
              <w:szCs w:val="22"/>
              <w:lang w:val="en-US" w:eastAsia="en-US" w:bidi="ar-SA"/>
            </w:rPr>
            <w:fldChar w:fldCharType="end"/>
          </w:r>
        </w:p>
        <w:p w14:paraId="5BFC0AA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_Toc7820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4. </w:t>
          </w:r>
          <w:r>
            <w:rPr>
              <w:rFonts w:hint="eastAsia"/>
              <w:bCs w:val="0"/>
              <w:lang w:val="en-US" w:eastAsia="zh-CN"/>
            </w:rPr>
            <w:t>生产工序管理</w:t>
          </w:r>
          <w:r>
            <w:tab/>
          </w:r>
          <w:r>
            <w:fldChar w:fldCharType="begin"/>
          </w:r>
          <w:r>
            <w:instrText xml:space="preserve"> PAGEREF _Toc7820 \h </w:instrText>
          </w:r>
          <w:r>
            <w:fldChar w:fldCharType="separate"/>
          </w:r>
          <w:r>
            <w:t>186</w:t>
          </w:r>
          <w:r>
            <w:fldChar w:fldCharType="end"/>
          </w:r>
          <w:r>
            <w:rPr>
              <w:rFonts w:asciiTheme="minorHAnsi" w:hAnsiTheme="minorHAnsi" w:eastAsiaTheme="minorEastAsia" w:cstheme="minorBidi"/>
              <w:szCs w:val="22"/>
              <w:lang w:val="en-US" w:eastAsia="en-US" w:bidi="ar-SA"/>
            </w:rPr>
            <w:fldChar w:fldCharType="end"/>
          </w:r>
        </w:p>
        <w:p w14:paraId="6065F5F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_Toc12273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六、 日志管理</w:t>
          </w:r>
          <w:r>
            <w:tab/>
          </w:r>
          <w:r>
            <w:fldChar w:fldCharType="begin"/>
          </w:r>
          <w:r>
            <w:instrText xml:space="preserve"> PAGEREF _Toc12273 \h </w:instrText>
          </w:r>
          <w:r>
            <w:fldChar w:fldCharType="separate"/>
          </w:r>
          <w:r>
            <w:t>188</w:t>
          </w:r>
          <w:r>
            <w:fldChar w:fldCharType="end"/>
          </w:r>
          <w:r>
            <w:rPr>
              <w:rFonts w:asciiTheme="minorHAnsi" w:hAnsiTheme="minorHAnsi" w:eastAsiaTheme="minorEastAsia" w:cstheme="minorBidi"/>
              <w:szCs w:val="22"/>
              <w:lang w:val="en-US" w:eastAsia="en-US" w:bidi="ar-SA"/>
            </w:rPr>
            <w:fldChar w:fldCharType="end"/>
          </w:r>
        </w:p>
        <w:p w14:paraId="24E11A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第五章 </w:t>
          </w:r>
          <w:r>
            <w:rPr>
              <w:rFonts w:ascii="Times New Roman" w:hAnsi="Times New Roman" w:eastAsia="黑体" w:cs="Times New Roman"/>
              <w:bCs w:val="0"/>
              <w:szCs w:val="44"/>
            </w:rPr>
            <w:t>系统底座、接口契约与 QA 质量验收</w:t>
          </w:r>
          <w:r>
            <w:tab/>
          </w:r>
          <w:r>
            <w:fldChar w:fldCharType="begin"/>
          </w:r>
          <w:r>
            <w:instrText xml:space="preserve"> PAGEREF _Toc21402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59A0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_Toc11975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六级组织架构与穿透鉴权体系</w:t>
          </w:r>
          <w:r>
            <w:tab/>
          </w:r>
          <w:r>
            <w:fldChar w:fldCharType="begin"/>
          </w:r>
          <w:r>
            <w:instrText xml:space="preserve"> PAGEREF _Toc11975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7E7EB5C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_Toc8628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外部系统集成与 API 契约</w:t>
          </w:r>
          <w:r>
            <w:tab/>
          </w:r>
          <w:r>
            <w:fldChar w:fldCharType="begin"/>
          </w:r>
          <w:r>
            <w:instrText xml:space="preserve"> PAGEREF _Toc8628 \h </w:instrText>
          </w:r>
          <w:r>
            <w:fldChar w:fldCharType="separate"/>
          </w:r>
          <w:r>
            <w:t>191</w:t>
          </w:r>
          <w:r>
            <w:fldChar w:fldCharType="end"/>
          </w:r>
          <w:r>
            <w:rPr>
              <w:rFonts w:asciiTheme="minorHAnsi" w:hAnsiTheme="minorHAnsi" w:eastAsiaTheme="minorEastAsia" w:cstheme="minorBidi"/>
              <w:szCs w:val="22"/>
              <w:lang w:val="en-US" w:eastAsia="en-US" w:bidi="ar-SA"/>
            </w:rPr>
            <w:fldChar w:fldCharType="end"/>
          </w:r>
        </w:p>
        <w:p w14:paraId="29D0718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_Toc30400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质量保障体系与全量验收测试用例矩阵</w:t>
          </w:r>
          <w:r>
            <w:tab/>
          </w:r>
          <w:r>
            <w:fldChar w:fldCharType="begin"/>
          </w:r>
          <w:r>
            <w:instrText xml:space="preserve"> PAGEREF _Toc30400 \h </w:instrText>
          </w:r>
          <w:r>
            <w:fldChar w:fldCharType="separate"/>
          </w:r>
          <w:r>
            <w:t>192</w:t>
          </w:r>
          <w:r>
            <w:fldChar w:fldCharType="end"/>
          </w:r>
          <w:r>
            <w:rPr>
              <w:rFonts w:asciiTheme="minorHAnsi" w:hAnsiTheme="minorHAnsi" w:eastAsiaTheme="minorEastAsia" w:cstheme="minorBidi"/>
              <w:szCs w:val="22"/>
              <w:lang w:val="en-US" w:eastAsia="en-US" w:bidi="ar-SA"/>
            </w:rPr>
            <w:fldChar w:fldCharType="end"/>
          </w:r>
        </w:p>
        <w:p w14:paraId="2DFB833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_Toc31896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第六章 </w:t>
          </w:r>
          <w:r>
            <w:rPr>
              <w:rFonts w:ascii="Times New Roman" w:hAnsi="Times New Roman" w:eastAsia="黑体" w:cs="Times New Roman"/>
              <w:bCs w:val="0"/>
              <w:szCs w:val="44"/>
            </w:rPr>
            <w:t>工程治理、状态机与合规保障体系</w:t>
          </w:r>
          <w:r>
            <w:tab/>
          </w:r>
          <w:r>
            <w:fldChar w:fldCharType="begin"/>
          </w:r>
          <w:r>
            <w:instrText xml:space="preserve"> PAGEREF _Toc31896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74DB3B9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_Toc28871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数据治理与商密合规</w:t>
          </w:r>
          <w:r>
            <w:tab/>
          </w:r>
          <w:r>
            <w:fldChar w:fldCharType="begin"/>
          </w:r>
          <w:r>
            <w:instrText xml:space="preserve"> PAGEREF _Toc28871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3522F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数据冲突仲裁与降级补传治理机制（Reconciliation）</w:t>
          </w:r>
          <w:r>
            <w:tab/>
          </w:r>
          <w:r>
            <w:fldChar w:fldCharType="begin"/>
          </w:r>
          <w:r>
            <w:instrText xml:space="preserve"> PAGEREF _Toc1283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F54936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_Toc12326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时序补传冲突消解（断网恢复场景）</w:t>
          </w:r>
          <w:r>
            <w:tab/>
          </w:r>
          <w:r>
            <w:fldChar w:fldCharType="begin"/>
          </w:r>
          <w:r>
            <w:instrText xml:space="preserve"> PAGEREF _Toc12326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48C92E5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_Toc2219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ascii="Times New Roman" w:hAnsi="Times New Roman" w:eastAsia="黑体" w:cs="Times New Roman"/>
              <w:bCs w:val="0"/>
              <w:szCs w:val="24"/>
            </w:rPr>
            <w:t>BOM 差异对账仲裁（ERP 恢复场景）</w:t>
          </w:r>
          <w:r>
            <w:tab/>
          </w:r>
          <w:r>
            <w:fldChar w:fldCharType="begin"/>
          </w:r>
          <w:r>
            <w:instrText xml:space="preserve"> PAGEREF _Toc2219 \h </w:instrText>
          </w:r>
          <w:r>
            <w:fldChar w:fldCharType="separate"/>
          </w:r>
          <w:r>
            <w:t>195</w:t>
          </w:r>
          <w:r>
            <w:fldChar w:fldCharType="end"/>
          </w:r>
          <w:r>
            <w:rPr>
              <w:rFonts w:asciiTheme="minorHAnsi" w:hAnsiTheme="minorHAnsi" w:eastAsiaTheme="minorEastAsia" w:cstheme="minorBidi"/>
              <w:szCs w:val="22"/>
              <w:lang w:val="en-US" w:eastAsia="en-US" w:bidi="ar-SA"/>
            </w:rPr>
            <w:fldChar w:fldCharType="end"/>
          </w:r>
        </w:p>
        <w:p w14:paraId="107A3B2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_Toc31999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关键业务长流程状态机图谱</w:t>
          </w:r>
          <w:r>
            <w:tab/>
          </w:r>
          <w:r>
            <w:fldChar w:fldCharType="begin"/>
          </w:r>
          <w:r>
            <w:instrText xml:space="preserve"> PAGEREF _Toc31999 \h </w:instrText>
          </w:r>
          <w:r>
            <w:fldChar w:fldCharType="separate"/>
          </w:r>
          <w:r>
            <w:t>196</w:t>
          </w:r>
          <w:r>
            <w:fldChar w:fldCharType="end"/>
          </w:r>
          <w:r>
            <w:rPr>
              <w:rFonts w:asciiTheme="minorHAnsi" w:hAnsiTheme="minorHAnsi" w:eastAsiaTheme="minorEastAsia" w:cstheme="minorBidi"/>
              <w:szCs w:val="22"/>
              <w:lang w:val="en-US" w:eastAsia="en-US" w:bidi="ar-SA"/>
            </w:rPr>
            <w:fldChar w:fldCharType="end"/>
          </w:r>
        </w:p>
        <w:p w14:paraId="57D6ED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_Toc17227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术语表与缩略语大全</w:t>
          </w:r>
          <w:r>
            <w:tab/>
          </w:r>
          <w:r>
            <w:fldChar w:fldCharType="begin"/>
          </w:r>
          <w:r>
            <w:instrText xml:space="preserve"> PAGEREF _Toc17227 \h </w:instrText>
          </w:r>
          <w:r>
            <w:fldChar w:fldCharType="separate"/>
          </w:r>
          <w:r>
            <w:t>197</w:t>
          </w:r>
          <w:r>
            <w:fldChar w:fldCharType="end"/>
          </w:r>
          <w:r>
            <w:rPr>
              <w:rFonts w:asciiTheme="minorHAnsi" w:hAnsiTheme="minorHAnsi" w:eastAsiaTheme="minorEastAsia" w:cstheme="minorBidi"/>
              <w:szCs w:val="22"/>
              <w:lang w:val="en-US" w:eastAsia="en-US" w:bidi="ar-SA"/>
            </w:rPr>
            <w:fldChar w:fldCharType="end"/>
          </w:r>
        </w:p>
        <w:p w14:paraId="57AE7DA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_Toc28606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标准化错误码字典与异常分级</w:t>
          </w:r>
          <w:r>
            <w:tab/>
          </w:r>
          <w:r>
            <w:fldChar w:fldCharType="begin"/>
          </w:r>
          <w:r>
            <w:instrText xml:space="preserve"> PAGEREF _Toc28606 \h </w:instrText>
          </w:r>
          <w:r>
            <w:fldChar w:fldCharType="separate"/>
          </w:r>
          <w:r>
            <w:t>198</w:t>
          </w:r>
          <w:r>
            <w:fldChar w:fldCharType="end"/>
          </w:r>
          <w:r>
            <w:rPr>
              <w:rFonts w:asciiTheme="minorHAnsi" w:hAnsiTheme="minorHAnsi" w:eastAsiaTheme="minorEastAsia" w:cstheme="minorBidi"/>
              <w:szCs w:val="22"/>
              <w:lang w:val="en-US" w:eastAsia="en-US" w:bidi="ar-SA"/>
            </w:rPr>
            <w:fldChar w:fldCharType="end"/>
          </w:r>
        </w:p>
        <w:p w14:paraId="5ED97F0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_Toc28882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决策治理责任矩阵</w:t>
          </w:r>
          <w:r>
            <w:tab/>
          </w:r>
          <w:r>
            <w:fldChar w:fldCharType="begin"/>
          </w:r>
          <w:r>
            <w:instrText xml:space="preserve"> PAGEREF _Toc28882 \h </w:instrText>
          </w:r>
          <w:r>
            <w:fldChar w:fldCharType="separate"/>
          </w:r>
          <w:r>
            <w:t>200</w:t>
          </w:r>
          <w:r>
            <w:fldChar w:fldCharType="end"/>
          </w:r>
          <w:r>
            <w:rPr>
              <w:rFonts w:asciiTheme="minorHAnsi" w:hAnsiTheme="minorHAnsi" w:eastAsiaTheme="minorEastAsia" w:cstheme="minorBidi"/>
              <w:szCs w:val="22"/>
              <w:lang w:val="en-US" w:eastAsia="en-US" w:bidi="ar-SA"/>
            </w:rPr>
            <w:fldChar w:fldCharType="end"/>
          </w:r>
        </w:p>
        <w:p w14:paraId="388FD79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_Toc3327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第七章 </w:t>
          </w:r>
          <w:r>
            <w:rPr>
              <w:rFonts w:ascii="Times New Roman" w:hAnsi="Times New Roman" w:eastAsia="黑体" w:cs="Times New Roman"/>
              <w:bCs w:val="0"/>
              <w:szCs w:val="44"/>
            </w:rPr>
            <w:t>非功能需求与性能指标</w:t>
          </w:r>
          <w:r>
            <w:tab/>
          </w:r>
          <w:r>
            <w:fldChar w:fldCharType="begin"/>
          </w:r>
          <w:r>
            <w:instrText xml:space="preserve"> PAGEREF _Toc3327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252295B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性能指标基线</w:t>
          </w:r>
          <w:r>
            <w:tab/>
          </w:r>
          <w:r>
            <w:fldChar w:fldCharType="begin"/>
          </w:r>
          <w:r>
            <w:instrText xml:space="preserve"> PAGEREF _Toc555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6DE3079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_Toc3514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可靠性与可观测性基线</w:t>
          </w:r>
          <w:r>
            <w:tab/>
          </w:r>
          <w:r>
            <w:fldChar w:fldCharType="begin"/>
          </w:r>
          <w:r>
            <w:instrText xml:space="preserve"> PAGEREF _Toc3514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1492B7C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_Toc4420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第八章 </w:t>
          </w:r>
          <w:r>
            <w:rPr>
              <w:rFonts w:ascii="Times New Roman" w:hAnsi="Times New Roman" w:eastAsia="黑体" w:cs="Times New Roman"/>
              <w:bCs w:val="0"/>
              <w:szCs w:val="44"/>
            </w:rPr>
            <w:t>技术架构与系统选型</w:t>
          </w:r>
          <w:r>
            <w:tab/>
          </w:r>
          <w:r>
            <w:fldChar w:fldCharType="begin"/>
          </w:r>
          <w:r>
            <w:instrText xml:space="preserve"> PAGEREF _Toc4420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3455F7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原型实现技术栈</w:t>
          </w:r>
          <w:r>
            <w:tab/>
          </w:r>
          <w:r>
            <w:fldChar w:fldCharType="begin"/>
          </w:r>
          <w:r>
            <w:instrText xml:space="preserve"> PAGEREF _Toc7602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76E4F5E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_Toc22068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关键架构决策（ADR）</w:t>
          </w:r>
          <w:r>
            <w:tab/>
          </w:r>
          <w:r>
            <w:fldChar w:fldCharType="begin"/>
          </w:r>
          <w:r>
            <w:instrText xml:space="preserve"> PAGEREF _Toc22068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4444240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_Toc27258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技术决策裁决记录与残留待确认项</w:t>
          </w:r>
          <w:r>
            <w:tab/>
          </w:r>
          <w:r>
            <w:fldChar w:fldCharType="begin"/>
          </w:r>
          <w:r>
            <w:instrText xml:space="preserve"> PAGEREF _Toc27258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6CE8E5C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第九章 </w:t>
          </w:r>
          <w:r>
            <w:rPr>
              <w:rFonts w:ascii="Times New Roman" w:hAnsi="Times New Roman" w:eastAsia="黑体" w:cs="Times New Roman"/>
              <w:bCs w:val="0"/>
              <w:szCs w:val="44"/>
            </w:rPr>
            <w:t>系统级公共模块需求</w:t>
          </w:r>
          <w:r>
            <w:tab/>
          </w:r>
          <w:r>
            <w:fldChar w:fldCharType="begin"/>
          </w:r>
          <w:r>
            <w:instrText xml:space="preserve"> PAGEREF _Toc11956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F205F5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_Toc28561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公共模块清单</w:t>
          </w:r>
          <w:r>
            <w:tab/>
          </w:r>
          <w:r>
            <w:fldChar w:fldCharType="begin"/>
          </w:r>
          <w:r>
            <w:instrText xml:space="preserve"> PAGEREF _Toc28561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ED475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告警中枢分级与响应契约</w:t>
          </w:r>
          <w:r>
            <w:tab/>
          </w:r>
          <w:r>
            <w:fldChar w:fldCharType="begin"/>
          </w:r>
          <w:r>
            <w:instrText xml:space="preserve"> PAGEREF _Toc4683 \h </w:instrText>
          </w:r>
          <w:r>
            <w:fldChar w:fldCharType="separate"/>
          </w:r>
          <w:r>
            <w:t>204</w:t>
          </w:r>
          <w:r>
            <w:fldChar w:fldCharType="end"/>
          </w:r>
          <w:r>
            <w:rPr>
              <w:rFonts w:asciiTheme="minorHAnsi" w:hAnsiTheme="minorHAnsi" w:eastAsiaTheme="minorEastAsia" w:cstheme="minorBidi"/>
              <w:szCs w:val="22"/>
              <w:lang w:val="en-US" w:eastAsia="en-US" w:bidi="ar-SA"/>
            </w:rPr>
            <w:fldChar w:fldCharType="end"/>
          </w:r>
        </w:p>
        <w:p w14:paraId="4B28A4D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_Toc4190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第十章 </w:t>
          </w:r>
          <w:r>
            <w:rPr>
              <w:rFonts w:ascii="Times New Roman" w:hAnsi="Times New Roman" w:eastAsia="黑体" w:cs="Times New Roman"/>
              <w:bCs w:val="0"/>
              <w:szCs w:val="44"/>
            </w:rPr>
            <w:t>安全与合规需求</w:t>
          </w:r>
          <w:r>
            <w:tab/>
          </w:r>
          <w:r>
            <w:fldChar w:fldCharType="begin"/>
          </w:r>
          <w:r>
            <w:instrText xml:space="preserve"> PAGEREF _Toc4190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505D5FD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_Toc24788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网络安全防护体系</w:t>
          </w:r>
          <w:r>
            <w:tab/>
          </w:r>
          <w:r>
            <w:fldChar w:fldCharType="begin"/>
          </w:r>
          <w:r>
            <w:instrText xml:space="preserve"> PAGEREF _Toc24788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650908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_Toc22294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数据出境与合规</w:t>
          </w:r>
          <w:r>
            <w:tab/>
          </w:r>
          <w:r>
            <w:fldChar w:fldCharType="begin"/>
          </w:r>
          <w:r>
            <w:instrText xml:space="preserve"> PAGEREF _Toc22294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32B29E7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_Toc9806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ascii="Times New Roman" w:hAnsi="Times New Roman" w:eastAsia="黑体" w:cs="Times New Roman"/>
              <w:bCs w:val="0"/>
              <w:szCs w:val="24"/>
            </w:rPr>
            <w:t>CBAM 数据出境安全合规前置方案</w:t>
          </w:r>
          <w:r>
            <w:tab/>
          </w:r>
          <w:r>
            <w:fldChar w:fldCharType="begin"/>
          </w:r>
          <w:r>
            <w:instrText xml:space="preserve"> PAGEREF _Toc9806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A7A7D4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_Toc10200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安全合规遗留待确认项清单</w:t>
          </w:r>
          <w:r>
            <w:tab/>
          </w:r>
          <w:r>
            <w:fldChar w:fldCharType="begin"/>
          </w:r>
          <w:r>
            <w:instrText xml:space="preserve"> PAGEREF _Toc10200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30068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第十一章 </w:t>
          </w:r>
          <w:r>
            <w:rPr>
              <w:rFonts w:ascii="Times New Roman" w:hAnsi="Times New Roman" w:eastAsia="黑体" w:cs="Times New Roman"/>
              <w:bCs w:val="0"/>
              <w:szCs w:val="44"/>
            </w:rPr>
            <w:t>外部系统集成与数据采集点表</w:t>
          </w:r>
          <w:r>
            <w:tab/>
          </w:r>
          <w:r>
            <w:fldChar w:fldCharType="begin"/>
          </w:r>
          <w:r>
            <w:instrText xml:space="preserve"> PAGEREF _Toc1560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F8D52D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_Toc29044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集成接口</w:t>
          </w:r>
          <w:r>
            <w:tab/>
          </w:r>
          <w:r>
            <w:fldChar w:fldCharType="begin"/>
          </w:r>
          <w:r>
            <w:instrText xml:space="preserve"> PAGEREF _Toc29044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0FBB83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_Toc20731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采集点表（核心点位）</w:t>
          </w:r>
          <w:r>
            <w:tab/>
          </w:r>
          <w:r>
            <w:fldChar w:fldCharType="begin"/>
          </w:r>
          <w:r>
            <w:instrText xml:space="preserve"> PAGEREF _Toc20731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5C76A0B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_Toc29125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外部数据源与授权</w:t>
          </w:r>
          <w:r>
            <w:tab/>
          </w:r>
          <w:r>
            <w:fldChar w:fldCharType="begin"/>
          </w:r>
          <w:r>
            <w:instrText xml:space="preserve"> PAGEREF _Toc29125 \h </w:instrText>
          </w:r>
          <w:r>
            <w:fldChar w:fldCharType="separate"/>
          </w:r>
          <w:r>
            <w:t>208</w:t>
          </w:r>
          <w:r>
            <w:fldChar w:fldCharType="end"/>
          </w:r>
          <w:r>
            <w:rPr>
              <w:rFonts w:asciiTheme="minorHAnsi" w:hAnsiTheme="minorHAnsi" w:eastAsiaTheme="minorEastAsia" w:cstheme="minorBidi"/>
              <w:szCs w:val="22"/>
              <w:lang w:val="en-US" w:eastAsia="en-US" w:bidi="ar-SA"/>
            </w:rPr>
            <w:fldChar w:fldCharType="end"/>
          </w:r>
        </w:p>
        <w:p w14:paraId="5009D0E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_Toc9404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第十二章 </w:t>
          </w:r>
          <w:r>
            <w:rPr>
              <w:rFonts w:ascii="Times New Roman" w:hAnsi="Times New Roman" w:eastAsia="黑体" w:cs="Times New Roman"/>
              <w:bCs w:val="0"/>
              <w:szCs w:val="44"/>
            </w:rPr>
            <w:t>测试与验收基线</w:t>
          </w:r>
          <w:r>
            <w:tab/>
          </w:r>
          <w:r>
            <w:fldChar w:fldCharType="begin"/>
          </w:r>
          <w:r>
            <w:instrText xml:space="preserve"> PAGEREF _Toc9404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07B8BD5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_Toc4485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验收准则</w:t>
          </w:r>
          <w:r>
            <w:tab/>
          </w:r>
          <w:r>
            <w:fldChar w:fldCharType="begin"/>
          </w:r>
          <w:r>
            <w:instrText xml:space="preserve"> PAGEREF _Toc4485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5F6ED7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破坏性测试矩阵（EQP / BVA）</w:t>
          </w:r>
          <w:r>
            <w:tab/>
          </w:r>
          <w:r>
            <w:fldChar w:fldCharType="begin"/>
          </w:r>
          <w:r>
            <w:instrText xml:space="preserve"> PAGEREF _Toc10509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1A7C5B7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_Toc15357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全系统验收基线</w:t>
          </w:r>
          <w:r>
            <w:tab/>
          </w:r>
          <w:r>
            <w:fldChar w:fldCharType="begin"/>
          </w:r>
          <w:r>
            <w:instrText xml:space="preserve"> PAGEREF _Toc15357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26B77C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_Toc23816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A：现行国标 / 行标 / 欧标 法规映射表</w:t>
          </w:r>
          <w:r>
            <w:tab/>
          </w:r>
          <w:r>
            <w:fldChar w:fldCharType="begin"/>
          </w:r>
          <w:r>
            <w:instrText xml:space="preserve"> PAGEREF _Toc23816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50D93F0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_Toc30980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B：反模式与反例对照治理清单</w:t>
          </w:r>
          <w:r>
            <w:tab/>
          </w:r>
          <w:r>
            <w:fldChar w:fldCharType="begin"/>
          </w:r>
          <w:r>
            <w:instrText xml:space="preserve"> PAGEREF _Toc30980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15ED468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_Toc16807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C：企业组织结构树</w:t>
          </w:r>
          <w:r>
            <w:tab/>
          </w:r>
          <w:r>
            <w:fldChar w:fldCharType="begin"/>
          </w:r>
          <w:r>
            <w:instrText xml:space="preserve"> PAGEREF _Toc16807 \h </w:instrText>
          </w:r>
          <w:r>
            <w:fldChar w:fldCharType="separate"/>
          </w:r>
          <w:r>
            <w:t>211</w:t>
          </w:r>
          <w:r>
            <w:fldChar w:fldCharType="end"/>
          </w:r>
          <w:r>
            <w:rPr>
              <w:rFonts w:asciiTheme="minorHAnsi" w:hAnsiTheme="minorHAnsi" w:eastAsiaTheme="minorEastAsia" w:cstheme="minorBidi"/>
              <w:szCs w:val="22"/>
              <w:lang w:val="en-US" w:eastAsia="en-US" w:bidi="ar-SA"/>
            </w:rPr>
            <w:fldChar w:fldCharType="end"/>
          </w:r>
        </w:p>
        <w:p w14:paraId="4DC89B1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_Toc1064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D：园区组织结构树</w:t>
          </w:r>
          <w:r>
            <w:tab/>
          </w:r>
          <w:r>
            <w:fldChar w:fldCharType="begin"/>
          </w:r>
          <w:r>
            <w:instrText xml:space="preserve"> PAGEREF _Toc1064 \h </w:instrText>
          </w:r>
          <w:r>
            <w:fldChar w:fldCharType="separate"/>
          </w:r>
          <w:r>
            <w:t>212</w:t>
          </w:r>
          <w:r>
            <w:fldChar w:fldCharType="end"/>
          </w:r>
          <w:r>
            <w:rPr>
              <w:rFonts w:asciiTheme="minorHAnsi" w:hAnsiTheme="minorHAnsi" w:eastAsiaTheme="minorEastAsia" w:cstheme="minorBidi"/>
              <w:szCs w:val="22"/>
              <w:lang w:val="en-US" w:eastAsia="en-US" w:bidi="ar-SA"/>
            </w:rPr>
            <w:fldChar w:fldCharType="end"/>
          </w:r>
        </w:p>
        <w:p w14:paraId="6A7B460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_Toc20691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E：角色与权限矩阵</w:t>
          </w:r>
          <w:r>
            <w:tab/>
          </w:r>
          <w:r>
            <w:fldChar w:fldCharType="begin"/>
          </w:r>
          <w:r>
            <w:instrText xml:space="preserve"> PAGEREF _Toc20691 \h </w:instrText>
          </w:r>
          <w:r>
            <w:fldChar w:fldCharType="separate"/>
          </w:r>
          <w:r>
            <w:t>213</w:t>
          </w:r>
          <w:r>
            <w:fldChar w:fldCharType="end"/>
          </w:r>
          <w:r>
            <w:rPr>
              <w:rFonts w:asciiTheme="minorHAnsi" w:hAnsiTheme="minorHAnsi" w:eastAsiaTheme="minorEastAsia" w:cstheme="minorBidi"/>
              <w:szCs w:val="22"/>
              <w:lang w:val="en-US" w:eastAsia="en-US" w:bidi="ar-SA"/>
            </w:rPr>
            <w:fldChar w:fldCharType="end"/>
          </w:r>
        </w:p>
        <w:p w14:paraId="48282ACD">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48E832F0">
      <w:pPr>
        <w:rPr>
          <w:rFonts w:asciiTheme="minorHAnsi" w:hAnsiTheme="minorHAnsi" w:eastAsiaTheme="minorEastAsia" w:cstheme="minorBidi"/>
          <w:sz w:val="22"/>
          <w:szCs w:val="22"/>
          <w:lang w:val="en-US" w:eastAsia="en-US" w:bidi="ar-SA"/>
        </w:rPr>
      </w:pPr>
    </w:p>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p>
    <w:p w14:paraId="1972F910">
      <w:pPr>
        <w:pStyle w:val="3"/>
        <w:numPr>
          <w:ilvl w:val="0"/>
          <w:numId w:val="7"/>
        </w:numPr>
        <w:ind w:left="0" w:leftChars="0" w:firstLine="0" w:firstLineChars="0"/>
        <w:rPr>
          <w:rFonts w:eastAsia="黑体"/>
          <w:b w:val="0"/>
          <w:bCs w:val="0"/>
          <w:sz w:val="32"/>
          <w:szCs w:val="44"/>
        </w:rPr>
      </w:pPr>
      <w:bookmarkStart w:id="0" w:name="_Toc18767"/>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1985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11274"/>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28818"/>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1415"/>
        <w:gridCol w:w="2235"/>
        <w:gridCol w:w="6134"/>
      </w:tblGrid>
      <w:tr w14:paraId="723DC6FB">
        <w:tblPrEx>
          <w:tblCellMar>
            <w:top w:w="0" w:type="dxa"/>
            <w:left w:w="108" w:type="dxa"/>
            <w:bottom w:w="0" w:type="dxa"/>
            <w:right w:w="108" w:type="dxa"/>
          </w:tblCellMar>
        </w:tblPrEx>
        <w:trPr>
          <w:trHeight w:val="0" w:hRule="atLeast"/>
          <w:tblHeader/>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1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1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24061"/>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5095"/>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drawing>
          <wp:inline distT="0" distB="0" distL="114300" distR="114300">
            <wp:extent cx="5904865" cy="3961130"/>
            <wp:effectExtent l="0" t="0" r="635" b="127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904865" cy="3961130"/>
                    </a:xfrm>
                    <a:prstGeom prst="rect">
                      <a:avLst/>
                    </a:prstGeom>
                    <a:noFill/>
                    <a:ln>
                      <a:noFill/>
                    </a:ln>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10778"/>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26715"/>
      <w:r>
        <w:rPr>
          <w:rFonts w:ascii="Times New Roman" w:hAnsi="Times New Roman" w:eastAsia="黑体" w:cs="Times New Roman"/>
          <w:b w:val="0"/>
          <w:bCs w:val="0"/>
          <w:sz w:val="30"/>
          <w:szCs w:val="24"/>
        </w:rPr>
        <w:t>双中心定位与协同</w:t>
      </w:r>
      <w:bookmarkEnd w:id="7"/>
    </w:p>
    <w:p w14:paraId="5F0AEBAD">
      <w:pPr>
        <w:pStyle w:val="19"/>
        <w:widowControl/>
        <w:numPr>
          <w:ilvl w:val="0"/>
          <w:numId w:val="0"/>
        </w:numPr>
        <w:jc w:val="center"/>
        <w:rPr>
          <w:rFonts w:eastAsia="宋体"/>
          <w:b/>
          <w:i w:val="0"/>
          <w:color w:val="0284C7"/>
          <w:sz w:val="24"/>
          <w:szCs w:val="24"/>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3"/>
                    <a:stretch>
                      <a:fillRect/>
                    </a:stretch>
                  </pic:blipFill>
                  <pic:spPr>
                    <a:xfrm>
                      <a:off x="0" y="0"/>
                      <a:ext cx="5588000" cy="3547110"/>
                    </a:xfrm>
                    <a:prstGeom prst="rect">
                      <a:avLst/>
                    </a:prstGeom>
                  </pic:spPr>
                </pic:pic>
              </a:graphicData>
            </a:graphic>
          </wp:inline>
        </w:drawing>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5C6B96EF">
      <w:pPr>
        <w:pStyle w:val="19"/>
        <w:widowControl/>
        <w:numPr>
          <w:ilvl w:val="0"/>
          <w:numId w:val="0"/>
        </w:numPr>
        <w:rPr>
          <w:rFonts w:ascii="Times New Roman" w:hAnsi="Times New Roman" w:eastAsia="宋体" w:cs="Times New Roman"/>
          <w:i w:val="0"/>
          <w:color w:val="1F2937"/>
          <w:sz w:val="24"/>
          <w:szCs w:val="24"/>
        </w:rPr>
      </w:pPr>
    </w:p>
    <w:p w14:paraId="58D108F6">
      <w:pPr>
        <w:pStyle w:val="19"/>
        <w:widowControl/>
        <w:numPr>
          <w:ilvl w:val="0"/>
          <w:numId w:val="0"/>
        </w:numPr>
        <w:rPr>
          <w:rFonts w:ascii="Times New Roman" w:hAnsi="Times New Roman" w:eastAsia="宋体" w:cs="Times New Roman"/>
          <w:i w:val="0"/>
          <w:color w:val="1F2937"/>
          <w:sz w:val="24"/>
          <w:szCs w:val="24"/>
        </w:rPr>
      </w:pPr>
    </w:p>
    <w:p w14:paraId="10A754AB">
      <w:pPr>
        <w:pStyle w:val="19"/>
        <w:widowControl/>
        <w:numPr>
          <w:ilvl w:val="0"/>
          <w:numId w:val="0"/>
        </w:numPr>
        <w:rPr>
          <w:rFonts w:ascii="Times New Roman" w:hAnsi="Times New Roman" w:eastAsia="宋体" w:cs="Times New Roman"/>
          <w:i w:val="0"/>
          <w:color w:val="1F2937"/>
          <w:sz w:val="24"/>
          <w:szCs w:val="24"/>
        </w:rPr>
      </w:pPr>
    </w:p>
    <w:p w14:paraId="6C5F8055">
      <w:pPr>
        <w:pStyle w:val="19"/>
        <w:widowControl/>
        <w:numPr>
          <w:ilvl w:val="0"/>
          <w:numId w:val="0"/>
        </w:numPr>
        <w:rPr>
          <w:rFonts w:ascii="Times New Roman" w:hAnsi="Times New Roman" w:eastAsia="宋体" w:cs="Times New Roman"/>
          <w:i w:val="0"/>
          <w:color w:val="1F2937"/>
          <w:sz w:val="24"/>
          <w:szCs w:val="24"/>
        </w:rPr>
      </w:pPr>
    </w:p>
    <w:p w14:paraId="60406835">
      <w:pPr>
        <w:pStyle w:val="19"/>
        <w:widowControl/>
        <w:numPr>
          <w:ilvl w:val="0"/>
          <w:numId w:val="0"/>
        </w:numPr>
        <w:rPr>
          <w:rFonts w:hint="eastAsia" w:ascii="黑体" w:hAnsi="黑体" w:eastAsia="黑体" w:cs="黑体"/>
          <w:b w:val="0"/>
          <w:bCs w:val="0"/>
          <w:i w:val="0"/>
          <w:color w:val="1F2937"/>
          <w:sz w:val="30"/>
          <w:szCs w:val="30"/>
          <w:lang w:val="en-US" w:eastAsia="zh-CN"/>
        </w:rPr>
      </w:pPr>
      <w:r>
        <w:rPr>
          <w:rFonts w:hint="eastAsia" w:ascii="黑体" w:hAnsi="黑体" w:eastAsia="黑体" w:cs="黑体"/>
          <w:b w:val="0"/>
          <w:bCs w:val="0"/>
          <w:i w:val="0"/>
          <w:color w:val="1F2937"/>
          <w:sz w:val="30"/>
          <w:szCs w:val="30"/>
          <w:lang w:val="en-US" w:eastAsia="zh-CN"/>
        </w:rPr>
        <w:t>系统数据流转</w:t>
      </w:r>
    </w:p>
    <w:p w14:paraId="18B8B3AF">
      <w:pPr>
        <w:pStyle w:val="19"/>
        <w:widowControl/>
        <w:numPr>
          <w:ilvl w:val="0"/>
          <w:numId w:val="0"/>
        </w:numPr>
        <w:rPr>
          <w:rFonts w:eastAsia="宋体"/>
          <w:b/>
          <w:i w:val="0"/>
          <w:color w:val="0284C7"/>
          <w:sz w:val="24"/>
          <w:szCs w:val="24"/>
        </w:rPr>
      </w:pPr>
      <w:r>
        <w:drawing>
          <wp:inline distT="0" distB="0" distL="114300" distR="114300">
            <wp:extent cx="5904865" cy="2928620"/>
            <wp:effectExtent l="0" t="0" r="635"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4"/>
                    <a:stretch>
                      <a:fillRect/>
                    </a:stretch>
                  </pic:blipFill>
                  <pic:spPr>
                    <a:xfrm>
                      <a:off x="0" y="0"/>
                      <a:ext cx="5904865" cy="2928620"/>
                    </a:xfrm>
                    <a:prstGeom prst="rect">
                      <a:avLst/>
                    </a:prstGeom>
                    <a:noFill/>
                    <a:ln>
                      <a:noFill/>
                    </a:ln>
                  </pic:spPr>
                </pic:pic>
              </a:graphicData>
            </a:graphic>
          </wp:inline>
        </w:drawing>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8925"/>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31509"/>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802"/>
        <w:gridCol w:w="2190"/>
        <w:gridCol w:w="4285"/>
        <w:gridCol w:w="2253"/>
      </w:tblGrid>
      <w:tr w14:paraId="183A7D12">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21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2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26178"/>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color w:val="1F2937"/>
          <w:sz w:val="24"/>
          <w:szCs w:val="24"/>
        </w:rPr>
        <w:t>本章严格</w:t>
      </w:r>
      <w:r>
        <w:rPr>
          <w:rFonts w:hint="eastAsia" w:ascii="Times New Roman" w:hAnsi="Times New Roman" w:eastAsia="宋体" w:cs="Times New Roman"/>
          <w:b w:val="0"/>
          <w:bCs w:val="0"/>
          <w:i w:val="0"/>
          <w:color w:val="1F2937"/>
          <w:sz w:val="24"/>
          <w:szCs w:val="24"/>
          <w:lang w:eastAsia="zh-CN"/>
        </w:rPr>
        <w:t>匹配</w:t>
      </w:r>
      <w:r>
        <w:rPr>
          <w:rFonts w:ascii="Times New Roman" w:hAnsi="Times New Roman" w:eastAsia="宋体" w:cs="Times New Roman"/>
          <w:b w:val="0"/>
          <w:bCs w:val="0"/>
          <w:i w:val="0"/>
          <w:color w:val="1F2937"/>
          <w:sz w:val="24"/>
          <w:szCs w:val="24"/>
        </w:rPr>
        <w:t>系统切换至【零碳园区集控中心】</w:t>
      </w:r>
      <w:r>
        <w:rPr>
          <w:rFonts w:hint="eastAsia" w:ascii="Times New Roman" w:hAnsi="Times New Roman" w:eastAsia="宋体" w:cs="Times New Roman"/>
          <w:b w:val="0"/>
          <w:bCs w:val="0"/>
          <w:i w:val="0"/>
          <w:color w:val="1F2937"/>
          <w:sz w:val="24"/>
          <w:szCs w:val="24"/>
          <w:lang w:eastAsia="zh-CN"/>
        </w:rPr>
        <w:t>后</w:t>
      </w:r>
      <w:r>
        <w:rPr>
          <w:rFonts w:ascii="Times New Roman" w:hAnsi="Times New Roman" w:eastAsia="宋体" w:cs="Times New Roman"/>
          <w:b w:val="0"/>
          <w:bCs w:val="0"/>
          <w:i w:val="0"/>
          <w:color w:val="1F2937"/>
          <w:sz w:val="24"/>
          <w:szCs w:val="24"/>
        </w:rPr>
        <w:t>的6大一级主导航</w:t>
      </w:r>
      <w:r>
        <w:rPr>
          <w:rFonts w:hint="eastAsia" w:ascii="Times New Roman" w:hAnsi="Times New Roman" w:eastAsia="宋体" w:cs="Times New Roman"/>
          <w:b w:val="0"/>
          <w:bCs w:val="0"/>
          <w:i w:val="0"/>
          <w:color w:val="1F2937"/>
          <w:sz w:val="24"/>
          <w:szCs w:val="24"/>
          <w:lang w:eastAsia="zh-CN"/>
        </w:rPr>
        <w:t>分层</w:t>
      </w:r>
      <w:r>
        <w:rPr>
          <w:rFonts w:ascii="Times New Roman" w:hAnsi="Times New Roman" w:eastAsia="宋体" w:cs="Times New Roman"/>
          <w:b w:val="0"/>
          <w:bCs w:val="0"/>
          <w:i w:val="0"/>
          <w:color w:val="1F2937"/>
          <w:sz w:val="24"/>
          <w:szCs w:val="24"/>
        </w:rPr>
        <w:t>展开，全面覆盖集中监控大屏、集中监管、能耗能效分析、零碳项目评估、统计报表与基础管理六大</w:t>
      </w:r>
      <w:r>
        <w:rPr>
          <w:rFonts w:hint="eastAsia" w:cs="Times New Roman"/>
          <w:b w:val="0"/>
          <w:bCs w:val="0"/>
          <w:i w:val="0"/>
          <w:color w:val="1F2937"/>
          <w:sz w:val="24"/>
          <w:szCs w:val="24"/>
          <w:lang w:eastAsia="zh-CN"/>
        </w:rPr>
        <w:t>业务</w:t>
      </w:r>
      <w:r>
        <w:rPr>
          <w:rFonts w:ascii="Times New Roman" w:hAnsi="Times New Roman" w:eastAsia="宋体" w:cs="Times New Roman"/>
          <w:b w:val="0"/>
          <w:bCs w:val="0"/>
          <w:i w:val="0"/>
          <w:color w:val="1F2937"/>
          <w:sz w:val="24"/>
          <w:szCs w:val="24"/>
        </w:rPr>
        <w:t>板块。</w:t>
      </w:r>
      <w:r>
        <w:rPr>
          <w:rFonts w:hint="eastAsia" w:ascii="Times New Roman" w:hAnsi="Times New Roman" w:eastAsia="宋体" w:cs="Times New Roman"/>
          <w:b w:val="0"/>
          <w:bCs w:val="0"/>
          <w:i w:val="0"/>
          <w:color w:val="1F2937"/>
          <w:sz w:val="24"/>
          <w:szCs w:val="24"/>
          <w:lang w:eastAsia="zh-CN"/>
        </w:rPr>
        <w:t>本章节的功能权限矩阵收录于附录E，</w:t>
      </w:r>
      <w:r>
        <w:rPr>
          <w:rFonts w:ascii="Times New Roman" w:hAnsi="Times New Roman" w:eastAsia="宋体" w:cs="Times New Roman"/>
          <w:b w:val="0"/>
          <w:bCs w:val="0"/>
          <w:i w:val="0"/>
          <w:color w:val="1F2937"/>
          <w:sz w:val="24"/>
          <w:szCs w:val="24"/>
        </w:rPr>
        <w:t>验收用例</w:t>
      </w:r>
      <w:r>
        <w:rPr>
          <w:rFonts w:hint="eastAsia" w:ascii="Times New Roman" w:hAnsi="Times New Roman" w:eastAsia="宋体" w:cs="Times New Roman"/>
          <w:b w:val="0"/>
          <w:bCs w:val="0"/>
          <w:i w:val="0"/>
          <w:color w:val="1F2937"/>
          <w:sz w:val="24"/>
          <w:szCs w:val="24"/>
          <w:lang w:eastAsia="zh-CN"/>
        </w:rPr>
        <w:t>放在</w:t>
      </w:r>
      <w:r>
        <w:rPr>
          <w:rFonts w:ascii="Times New Roman" w:hAnsi="Times New Roman" w:eastAsia="宋体" w:cs="Times New Roman"/>
          <w:b w:val="0"/>
          <w:bCs w:val="0"/>
          <w:i w:val="0"/>
          <w:color w:val="1F2937"/>
          <w:sz w:val="24"/>
          <w:szCs w:val="24"/>
        </w:rPr>
        <w:t>第十一章，</w:t>
      </w:r>
      <w:r>
        <w:rPr>
          <w:rFonts w:hint="eastAsia" w:ascii="Times New Roman" w:hAnsi="Times New Roman" w:eastAsia="宋体" w:cs="Times New Roman"/>
          <w:b w:val="0"/>
          <w:bCs w:val="0"/>
          <w:i w:val="0"/>
          <w:color w:val="1F2937"/>
          <w:sz w:val="24"/>
          <w:szCs w:val="24"/>
          <w:lang w:eastAsia="zh-CN"/>
        </w:rPr>
        <w:t>相关错误码可查阅第五章“标准化错误码字典”。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6638"/>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1475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6"/>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7"/>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7478"/>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8"/>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516DEB5F">
      <w:pPr>
        <w:rPr>
          <w:rFonts w:hint="eastAsia" w:eastAsia="黑体"/>
          <w:b w:val="0"/>
          <w:bCs w:val="0"/>
          <w:sz w:val="30"/>
          <w:szCs w:val="32"/>
        </w:rPr>
      </w:pPr>
      <w:r>
        <w:rPr>
          <w:rFonts w:ascii="Times New Roman" w:hAnsi="Times New Roman" w:eastAsia="黑体" w:cs="Times New Roman"/>
          <w:b w:val="0"/>
          <w:bCs w:val="0"/>
          <w:sz w:val="30"/>
          <w:szCs w:val="32"/>
        </w:rPr>
        <w:br w:type="page"/>
      </w: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4603"/>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125"/>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0420" cy="292544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38F4898">
      <w:pPr>
        <w:pStyle w:val="19"/>
        <w:widowControl/>
        <w:numPr>
          <w:ilvl w:val="0"/>
          <w:numId w:val="0"/>
        </w:numPr>
        <w:rPr>
          <w:rFonts w:eastAsia="宋体"/>
          <w:b/>
          <w:i w:val="0"/>
          <w:color w:val="0284C7"/>
          <w:sz w:val="24"/>
          <w:szCs w:val="24"/>
        </w:rPr>
      </w:pPr>
      <w:r>
        <w:drawing>
          <wp:inline distT="0" distB="0" distL="114300" distR="114300">
            <wp:extent cx="5913120" cy="1776730"/>
            <wp:effectExtent l="0" t="0" r="11430"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913120" cy="1776730"/>
                    </a:xfrm>
                    <a:prstGeom prst="rect">
                      <a:avLst/>
                    </a:prstGeom>
                    <a:noFill/>
                    <a:ln>
                      <a:noFill/>
                    </a:ln>
                  </pic:spPr>
                </pic:pic>
              </a:graphicData>
            </a:graphic>
          </wp:inline>
        </w:drawing>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5BD70BD8">
      <w:pPr>
        <w:pStyle w:val="19"/>
        <w:widowControl/>
        <w:rPr>
          <w:rFonts w:ascii="Times New Roman" w:hAnsi="Times New Roman" w:eastAsia="宋体" w:cs="Times New Roman"/>
          <w:b/>
          <w:i w:val="0"/>
          <w:color w:val="1E3A8A"/>
          <w:sz w:val="24"/>
          <w:szCs w:val="24"/>
        </w:rPr>
      </w:pPr>
    </w:p>
    <w:p w14:paraId="0416109B">
      <w:pPr>
        <w:pStyle w:val="19"/>
        <w:widowControl/>
        <w:rPr>
          <w:rFonts w:ascii="Times New Roman" w:hAnsi="Times New Roman" w:eastAsia="宋体" w:cs="Times New Roman"/>
          <w:b/>
          <w:i w:val="0"/>
          <w:color w:val="1E3A8A"/>
          <w:sz w:val="24"/>
          <w:szCs w:val="24"/>
        </w:rPr>
      </w:pPr>
    </w:p>
    <w:p w14:paraId="24EB841A">
      <w:pPr>
        <w:pStyle w:val="19"/>
        <w:widowControl/>
        <w:rPr>
          <w:rFonts w:ascii="Times New Roman" w:hAnsi="Times New Roman" w:eastAsia="宋体" w:cs="Times New Roman"/>
          <w:b/>
          <w:i w:val="0"/>
          <w:color w:val="1E3A8A"/>
          <w:sz w:val="24"/>
          <w:szCs w:val="24"/>
        </w:rPr>
      </w:pPr>
    </w:p>
    <w:p w14:paraId="7D04CC92">
      <w:pPr>
        <w:pStyle w:val="19"/>
        <w:widowControl/>
        <w:rPr>
          <w:rFonts w:ascii="Times New Roman" w:hAnsi="Times New Roman" w:eastAsia="宋体" w:cs="Times New Roman"/>
          <w:b/>
          <w:i w:val="0"/>
          <w:color w:val="1E3A8A"/>
          <w:sz w:val="24"/>
          <w:szCs w:val="24"/>
        </w:rPr>
      </w:pPr>
    </w:p>
    <w:p w14:paraId="3AC939A1">
      <w:pPr>
        <w:pStyle w:val="19"/>
        <w:widowControl/>
        <w:rPr>
          <w:rFonts w:ascii="Times New Roman" w:hAnsi="Times New Roman" w:eastAsia="宋体" w:cs="Times New Roman"/>
          <w:b/>
          <w:i w:val="0"/>
          <w:color w:val="1E3A8A"/>
          <w:sz w:val="24"/>
          <w:szCs w:val="24"/>
        </w:rPr>
      </w:pP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w:t>
      </w:r>
    </w:p>
    <w:tbl>
      <w:tblPr>
        <w:tblStyle w:val="38"/>
        <w:tblW w:w="9454" w:type="dxa"/>
        <w:jc w:val="center"/>
        <w:tblLayout w:type="autofit"/>
        <w:tblCellMar>
          <w:top w:w="0" w:type="dxa"/>
          <w:left w:w="108" w:type="dxa"/>
          <w:bottom w:w="0" w:type="dxa"/>
          <w:right w:w="108" w:type="dxa"/>
        </w:tblCellMar>
      </w:tblPr>
      <w:tblGrid>
        <w:gridCol w:w="2560"/>
        <w:gridCol w:w="2625"/>
        <w:gridCol w:w="2400"/>
        <w:gridCol w:w="1869"/>
      </w:tblGrid>
      <w:tr w14:paraId="76283B5B">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lang w:eastAsia="zh-CN"/>
              </w:rPr>
            </w:pPr>
            <w:r>
              <w:rPr>
                <w:rFonts w:hint="eastAsia" w:ascii="宋体" w:hAnsi="宋体" w:eastAsia="宋体" w:cs="宋体"/>
                <w:b/>
                <w:i w:val="0"/>
                <w:iCs w:val="0"/>
                <w:color w:val="FFFFFF"/>
                <w:sz w:val="24"/>
                <w:szCs w:val="24"/>
              </w:rPr>
              <w:t>一级节点</w:t>
            </w:r>
            <w:r>
              <w:rPr>
                <w:rFonts w:hint="eastAsia" w:ascii="宋体" w:hAnsi="宋体" w:eastAsia="宋体" w:cs="宋体"/>
                <w:b/>
                <w:i w:val="0"/>
                <w:iCs w:val="0"/>
                <w:color w:val="FFFFFF"/>
                <w:sz w:val="24"/>
                <w:szCs w:val="24"/>
              </w:rPr>
              <w:br w:type="textWrapping"/>
            </w: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集团</w:t>
            </w:r>
            <w:r>
              <w:rPr>
                <w:rFonts w:hint="eastAsia" w:ascii="宋体" w:hAnsi="宋体" w:eastAsia="宋体" w:cs="宋体"/>
                <w:b/>
                <w:i w:val="0"/>
                <w:iCs w:val="0"/>
                <w:color w:val="FFFFFF"/>
                <w:sz w:val="24"/>
                <w:szCs w:val="24"/>
                <w:lang w:eastAsia="zh-CN"/>
              </w:rPr>
              <w:t>）</w:t>
            </w:r>
          </w:p>
        </w:tc>
        <w:tc>
          <w:tcPr>
            <w:tcW w:w="26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二级节点</w:t>
            </w:r>
          </w:p>
          <w:p w14:paraId="54708A2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经营单位</w:t>
            </w:r>
            <w:r>
              <w:rPr>
                <w:rFonts w:hint="eastAsia" w:ascii="宋体" w:hAnsi="宋体" w:eastAsia="宋体" w:cs="宋体"/>
                <w:b/>
                <w:i w:val="0"/>
                <w:iCs w:val="0"/>
                <w:color w:val="FFFFFF"/>
                <w:sz w:val="24"/>
                <w:szCs w:val="24"/>
                <w:lang w:eastAsia="zh-CN"/>
              </w:rPr>
              <w:t>）</w:t>
            </w:r>
          </w:p>
        </w:tc>
        <w:tc>
          <w:tcPr>
            <w:tcW w:w="2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三级节点</w:t>
            </w:r>
          </w:p>
          <w:p w14:paraId="37BA199C">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工厂</w:t>
            </w:r>
            <w:r>
              <w:rPr>
                <w:rFonts w:hint="eastAsia" w:ascii="宋体" w:hAnsi="宋体" w:eastAsia="宋体" w:cs="宋体"/>
                <w:b/>
                <w:i w:val="0"/>
                <w:iCs w:val="0"/>
                <w:color w:val="FFFFFF"/>
                <w:sz w:val="24"/>
                <w:szCs w:val="24"/>
                <w:lang w:eastAsia="zh-CN"/>
              </w:rPr>
              <w:t>）</w:t>
            </w:r>
          </w:p>
        </w:tc>
        <w:tc>
          <w:tcPr>
            <w:tcW w:w="18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03BD981">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四级节点</w:t>
            </w:r>
          </w:p>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w:t>
            </w:r>
            <w:r>
              <w:rPr>
                <w:rFonts w:hint="eastAsia" w:ascii="宋体" w:hAnsi="宋体" w:eastAsia="宋体" w:cs="宋体"/>
                <w:b/>
                <w:i w:val="0"/>
                <w:iCs w:val="0"/>
                <w:color w:val="FFFFFF"/>
                <w:sz w:val="24"/>
                <w:szCs w:val="24"/>
                <w:lang w:val="en-US" w:eastAsia="zh-CN"/>
              </w:rPr>
              <w:t>下级</w:t>
            </w:r>
            <w:r>
              <w:rPr>
                <w:rFonts w:hint="eastAsia" w:ascii="宋体" w:hAnsi="宋体" w:eastAsia="宋体" w:cs="宋体"/>
                <w:b/>
                <w:i w:val="0"/>
                <w:iCs w:val="0"/>
                <w:color w:val="FFFFFF"/>
                <w:sz w:val="24"/>
                <w:szCs w:val="24"/>
              </w:rPr>
              <w:t>工厂）</w:t>
            </w:r>
          </w:p>
        </w:tc>
      </w:tr>
      <w:tr w14:paraId="4AE3E17C">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6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8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8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01BF2E45">
      <w:pPr>
        <w:pStyle w:val="19"/>
        <w:widowControl/>
        <w:rPr>
          <w:rFonts w:ascii="Times New Roman" w:hAnsi="Times New Roman" w:eastAsia="宋体" w:cs="Times New Roman"/>
          <w:b/>
          <w:i w:val="0"/>
          <w:color w:val="1E3A8A"/>
          <w:sz w:val="24"/>
          <w:szCs w:val="24"/>
        </w:rPr>
      </w:pPr>
    </w:p>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fixed"/>
        <w:tblCellMar>
          <w:top w:w="0" w:type="dxa"/>
          <w:left w:w="108" w:type="dxa"/>
          <w:bottom w:w="0" w:type="dxa"/>
          <w:right w:w="108" w:type="dxa"/>
        </w:tblCellMar>
      </w:tblPr>
      <w:tblGrid>
        <w:gridCol w:w="753"/>
        <w:gridCol w:w="1860"/>
        <w:gridCol w:w="930"/>
        <w:gridCol w:w="2021"/>
        <w:gridCol w:w="3966"/>
      </w:tblGrid>
      <w:tr w14:paraId="66A941F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9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2D9A46E6">
      <w:pPr>
        <w:pStyle w:val="19"/>
        <w:widowControl/>
        <w:numPr>
          <w:ilvl w:val="0"/>
          <w:numId w:val="0"/>
        </w:numPr>
        <w:rPr>
          <w:rFonts w:eastAsia="宋体"/>
          <w:b/>
          <w:i w:val="0"/>
          <w:color w:val="0284C7"/>
          <w:sz w:val="24"/>
          <w:szCs w:val="24"/>
        </w:rPr>
      </w:pPr>
      <w:r>
        <w:drawing>
          <wp:inline distT="0" distB="0" distL="114300" distR="114300">
            <wp:extent cx="5905500" cy="2783205"/>
            <wp:effectExtent l="0" t="0" r="0" b="171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1"/>
                    <a:stretch>
                      <a:fillRect/>
                    </a:stretch>
                  </pic:blipFill>
                  <pic:spPr>
                    <a:xfrm>
                      <a:off x="0" y="0"/>
                      <a:ext cx="5905500" cy="2783205"/>
                    </a:xfrm>
                    <a:prstGeom prst="rect">
                      <a:avLst/>
                    </a:prstGeom>
                    <a:noFill/>
                    <a:ln>
                      <a:noFill/>
                    </a:ln>
                  </pic:spPr>
                </pic:pic>
              </a:graphicData>
            </a:graphic>
          </wp:inline>
        </w:drawing>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39C6BBC2">
      <w:pPr>
        <w:pStyle w:val="19"/>
        <w:widowControl/>
        <w:numPr>
          <w:ilvl w:val="0"/>
          <w:numId w:val="0"/>
        </w:numPr>
        <w:rPr>
          <w:rFonts w:eastAsia="宋体"/>
          <w:b/>
          <w:i w:val="0"/>
          <w:color w:val="0284C7"/>
          <w:sz w:val="24"/>
          <w:szCs w:val="24"/>
        </w:rPr>
      </w:pPr>
      <w:r>
        <w:drawing>
          <wp:inline distT="0" distB="0" distL="114300" distR="114300">
            <wp:extent cx="5904865" cy="2269490"/>
            <wp:effectExtent l="0" t="0" r="635" b="165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904865" cy="2269490"/>
                    </a:xfrm>
                    <a:prstGeom prst="rect">
                      <a:avLst/>
                    </a:prstGeom>
                    <a:noFill/>
                    <a:ln>
                      <a:noFill/>
                    </a:ln>
                  </pic:spPr>
                </pic:pic>
              </a:graphicData>
            </a:graphic>
          </wp:inline>
        </w:drawing>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7784473E">
      <w:pPr>
        <w:pStyle w:val="19"/>
        <w:widowControl/>
        <w:numPr>
          <w:ilvl w:val="0"/>
          <w:numId w:val="0"/>
        </w:numPr>
        <w:rPr>
          <w:rFonts w:eastAsia="宋体"/>
          <w:b/>
          <w:i w:val="0"/>
          <w:color w:val="0284C7"/>
          <w:sz w:val="24"/>
          <w:szCs w:val="24"/>
        </w:rPr>
      </w:pPr>
      <w:r>
        <w:drawing>
          <wp:inline distT="0" distB="0" distL="114300" distR="114300">
            <wp:extent cx="5913755" cy="1889125"/>
            <wp:effectExtent l="0" t="0" r="10795" b="158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3"/>
                    <a:stretch>
                      <a:fillRect/>
                    </a:stretch>
                  </pic:blipFill>
                  <pic:spPr>
                    <a:xfrm>
                      <a:off x="0" y="0"/>
                      <a:ext cx="5913755" cy="1889125"/>
                    </a:xfrm>
                    <a:prstGeom prst="rect">
                      <a:avLst/>
                    </a:prstGeom>
                    <a:noFill/>
                    <a:ln>
                      <a:noFill/>
                    </a:ln>
                  </pic:spPr>
                </pic:pic>
              </a:graphicData>
            </a:graphic>
          </wp:inline>
        </w:drawing>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p w14:paraId="655D5A11">
      <w:r>
        <w:drawing>
          <wp:inline distT="0" distB="0" distL="114300" distR="114300">
            <wp:extent cx="5905500" cy="1648460"/>
            <wp:effectExtent l="0" t="0" r="0"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5905500" cy="1648460"/>
                    </a:xfrm>
                    <a:prstGeom prst="rect">
                      <a:avLst/>
                    </a:prstGeom>
                    <a:noFill/>
                    <a:ln>
                      <a:noFill/>
                    </a:ln>
                  </pic:spPr>
                </pic:pic>
              </a:graphicData>
            </a:graphic>
          </wp:inline>
        </w:drawing>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22BDFC75">
      <w:pPr>
        <w:pStyle w:val="19"/>
        <w:widowControl/>
        <w:rPr>
          <w:rFonts w:ascii="Times New Roman" w:hAnsi="Times New Roman" w:eastAsia="宋体" w:cs="Times New Roman"/>
          <w:b/>
          <w:i w:val="0"/>
          <w:color w:val="1E3A8A"/>
          <w:sz w:val="24"/>
          <w:szCs w:val="24"/>
        </w:rPr>
      </w:pPr>
      <w:r>
        <w:rPr>
          <w:rFonts w:ascii="Times New Roman" w:hAnsi="Times New Roman" w:eastAsia="宋体" w:cs="Times New Roman"/>
          <w:b/>
          <w:i w:val="0"/>
          <w:color w:val="1E3A8A"/>
          <w:sz w:val="24"/>
          <w:szCs w:val="24"/>
        </w:rPr>
        <w:t>关键工序指标清单：</w:t>
      </w:r>
    </w:p>
    <w:tbl>
      <w:tblPr>
        <w:tblStyle w:val="38"/>
        <w:tblW w:w="9530" w:type="dxa"/>
        <w:jc w:val="center"/>
        <w:tblLayout w:type="fixed"/>
        <w:tblCellMar>
          <w:top w:w="0" w:type="dxa"/>
          <w:left w:w="108" w:type="dxa"/>
          <w:bottom w:w="0" w:type="dxa"/>
          <w:right w:w="108" w:type="dxa"/>
        </w:tblCellMar>
      </w:tblPr>
      <w:tblGrid>
        <w:gridCol w:w="768"/>
        <w:gridCol w:w="2985"/>
        <w:gridCol w:w="1155"/>
        <w:gridCol w:w="4622"/>
      </w:tblGrid>
      <w:tr w14:paraId="428CDB3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1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6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吨铜电耗（线缆-拉丝）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q_Cu = Q_elec_Cu / M_Cu（拉丝工序用电量 ÷ 铜杆净重）</w:t>
            </w:r>
          </w:p>
        </w:tc>
      </w:tr>
      <w:tr w14:paraId="03463BE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吨铝电耗（线缆-拉丝）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q_Al = Q_elec_Al / M_Al（拉丝工序用电量 ÷ 铝杆净重）</w:t>
            </w:r>
          </w:p>
        </w:tc>
      </w:tr>
      <w:tr w14:paraId="16C2B62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交联电耗（干法）（线缆-中低压-交联）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2504EF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交联电耗（干法）（线缆-高压-交联）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7935CD1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B53E4F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353EF60">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5A9406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15EC171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DBCDE8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8AA6C8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6D0C33B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3CE21D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5704BF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D1D2E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0C17C07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4E3223E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93E3B9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M_kVA（工序蒸汽消耗量 ÷ 当期合格产出容量万kVA）</w:t>
            </w:r>
          </w:p>
        </w:tc>
      </w:tr>
      <w:tr w14:paraId="49598B98">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05B95D6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AEE774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单位产值电耗（中低压开关柜-钣金加工）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6D75FB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单位产值电耗（中低压开关柜-钣金喷涂）</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9C0D6E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单位产值电耗（套管-干燥）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4AEBD78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单位产值综合能耗（互感器-干燥）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0991DE5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639176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4DEC85D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5A931C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单位产量电耗（电容器-芯子卷绕）</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67F3EA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单位产量电耗（电容器-真空浸渍）</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1327289B">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单位产量电耗（电容器-喷漆）</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58D3DE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31462A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7E275">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7217D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C0476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B4EC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41B050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20EA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9B45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D5719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6ADB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5F28EC7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DB6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ECC3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单位产值电耗（GIL-螺旋焊管生产)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A90F3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25AA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5CCC7E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81D641">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6C585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单位产值电耗（GIL-测试)</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B799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92C275">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ABDB79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EDBD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36</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678C3">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单位产值电耗（GIL-绝缘子生产)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6DF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ADE02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7A94EC1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3272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0FB43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单位产值电耗（GIS-抽真空)</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79BD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8830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ECAB7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85FB07">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38</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013C0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单位产值电耗（GIS-绝缘件干燥)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D66945">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34D2C">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4E9E413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5C4D6">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33B28">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单位产值电耗（GIS-工频耐压试验)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C6ACE">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FF3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0B8A1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0D61A">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40</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5552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单位产值电耗（GIS-空调恒温除湿)</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1BF7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C123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DAC35C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4FD22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0E24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单位产量电耗（非晶合金铁心-退火）</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7E58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40CB5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09E25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148FD">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D2E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单位产量电耗（硅钢铁心-纵剪）</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A6417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F0BD0D">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8AED14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10134">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3B3A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单位产量电耗（硅钢铁心-中型叠装）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28B9C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4D19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3B39B68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5877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8E683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单位产量电耗（硅钢铁心-大型叠装）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D68C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95A1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bl>
    <w:p w14:paraId="78192EC2">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12727"/>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pic:cNvPicPr>
                      <a:picLocks noChangeAspect="1"/>
                    </pic:cNvPicPr>
                  </pic:nvPicPr>
                  <pic:blipFill>
                    <a:blip r:embed="rId25"/>
                    <a:stretch>
                      <a:fillRect/>
                    </a:stretch>
                  </pic:blipFill>
                  <pic:spPr>
                    <a:xfrm>
                      <a:off x="0" y="0"/>
                      <a:ext cx="5900420" cy="292544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20975"/>
      <w:r>
        <w:rPr>
          <w:rFonts w:ascii="Times New Roman" w:hAnsi="Times New Roman" w:eastAsia="黑体" w:cs="Times New Roman"/>
          <w:b w:val="0"/>
          <w:bCs w:val="0"/>
          <w:sz w:val="30"/>
          <w:szCs w:val="24"/>
        </w:rPr>
        <w:t>用能监测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6"/>
                    <a:stretch>
                      <a:fillRect/>
                    </a:stretch>
                  </pic:blipFill>
                  <pic:spPr>
                    <a:xfrm>
                      <a:off x="0" y="0"/>
                      <a:ext cx="5900420" cy="292544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numPr>
          <w:ilvl w:val="0"/>
          <w:numId w:val="46"/>
        </w:numPr>
        <w:bidi w:val="0"/>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576FDC46">
      <w:pPr>
        <w:pStyle w:val="19"/>
        <w:widowControl/>
        <w:numPr>
          <w:ilvl w:val="0"/>
          <w:numId w:val="0"/>
        </w:numPr>
        <w:rPr>
          <w:rFonts w:eastAsia="宋体"/>
          <w:b/>
          <w:i w:val="0"/>
          <w:color w:val="0284C7"/>
          <w:sz w:val="24"/>
          <w:szCs w:val="24"/>
        </w:rPr>
      </w:pPr>
      <w:r>
        <w:drawing>
          <wp:inline distT="0" distB="0" distL="114300" distR="114300">
            <wp:extent cx="5913755" cy="3187700"/>
            <wp:effectExtent l="0" t="0" r="10795" b="12700"/>
            <wp:docPr id="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2"/>
                    <pic:cNvPicPr>
                      <a:picLocks noChangeAspect="1"/>
                    </pic:cNvPicPr>
                  </pic:nvPicPr>
                  <pic:blipFill>
                    <a:blip r:embed="rId27"/>
                    <a:stretch>
                      <a:fillRect/>
                    </a:stretch>
                  </pic:blipFill>
                  <pic:spPr>
                    <a:xfrm>
                      <a:off x="0" y="0"/>
                      <a:ext cx="5913755" cy="3187700"/>
                    </a:xfrm>
                    <a:prstGeom prst="rect">
                      <a:avLst/>
                    </a:prstGeom>
                    <a:noFill/>
                    <a:ln>
                      <a:noFill/>
                    </a:ln>
                  </pic:spPr>
                </pic:pic>
              </a:graphicData>
            </a:graphic>
          </wp:inline>
        </w:drawing>
      </w:r>
    </w:p>
    <w:p w14:paraId="13A9187D">
      <w:pPr>
        <w:pStyle w:val="19"/>
        <w:bidi w:val="0"/>
        <w:ind w:left="0" w:leftChars="0" w:firstLine="0" w:firstLineChars="0"/>
      </w:pPr>
      <w: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bidi w:val="0"/>
      </w:pPr>
      <w: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4A70BD43">
      <w:pPr>
        <w:pStyle w:val="19"/>
        <w:widowControl/>
        <w:numPr>
          <w:ilvl w:val="0"/>
          <w:numId w:val="0"/>
        </w:numPr>
      </w:pPr>
      <w:r>
        <w:drawing>
          <wp:inline distT="0" distB="0" distL="114300" distR="114300">
            <wp:extent cx="5905500" cy="2032635"/>
            <wp:effectExtent l="0" t="0" r="0" b="5715"/>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28"/>
                    <a:stretch>
                      <a:fillRect/>
                    </a:stretch>
                  </pic:blipFill>
                  <pic:spPr>
                    <a:xfrm>
                      <a:off x="0" y="0"/>
                      <a:ext cx="5905500" cy="2032635"/>
                    </a:xfrm>
                    <a:prstGeom prst="rect">
                      <a:avLst/>
                    </a:prstGeom>
                    <a:noFill/>
                    <a:ln>
                      <a:noFill/>
                    </a:ln>
                  </pic:spPr>
                </pic:pic>
              </a:graphicData>
            </a:graphic>
          </wp:inline>
        </w:drawing>
      </w:r>
    </w:p>
    <w:p w14:paraId="30FFC747">
      <w:pPr>
        <w:pStyle w:val="19"/>
        <w:widowControl/>
        <w:numPr>
          <w:ilvl w:val="0"/>
          <w:numId w:val="0"/>
        </w:numPr>
        <w:rPr>
          <w:rFonts w:hint="eastAsia"/>
          <w:lang w:val="en-US" w:eastAsia="zh-CN"/>
        </w:rPr>
      </w:pPr>
      <w:r>
        <w:rPr>
          <w:rFonts w:hint="eastAsia"/>
          <w:lang w:val="en-US" w:eastAsia="zh-CN"/>
        </w:rPr>
        <w:t>市电峰平谷用电分析：</w:t>
      </w:r>
    </w:p>
    <w:p w14:paraId="579F3301">
      <w:pPr>
        <w:pStyle w:val="19"/>
        <w:widowControl/>
        <w:numPr>
          <w:ilvl w:val="0"/>
          <w:numId w:val="0"/>
        </w:numPr>
        <w:rPr>
          <w:rFonts w:hint="default"/>
          <w:lang w:val="en-US" w:eastAsia="zh-CN"/>
        </w:rPr>
      </w:pP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5921"/>
      <w:r>
        <w:rPr>
          <w:rFonts w:ascii="Times New Roman" w:hAnsi="Times New Roman" w:eastAsia="黑体" w:cs="Times New Roman"/>
          <w:b w:val="0"/>
          <w:bCs w:val="0"/>
          <w:sz w:val="30"/>
          <w:szCs w:val="24"/>
        </w:rPr>
        <w:t>重点</w:t>
      </w:r>
      <w:r>
        <w:rPr>
          <w:rFonts w:hint="eastAsia" w:cs="Times New Roman"/>
          <w:b w:val="0"/>
          <w:bCs w:val="0"/>
          <w:sz w:val="30"/>
          <w:szCs w:val="24"/>
          <w:lang w:val="en-US" w:eastAsia="zh-CN"/>
        </w:rPr>
        <w:t>用能设备</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9"/>
                    <a:stretch>
                      <a:fillRect/>
                    </a:stretch>
                  </pic:blipFill>
                  <pic:spPr>
                    <a:xfrm>
                      <a:off x="0" y="0"/>
                      <a:ext cx="5900420" cy="292544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ind w:left="0" w:leftChars="0" w:firstLine="0" w:firstLineChars="0"/>
      </w:pPr>
      <w:r>
        <w:drawing>
          <wp:inline distT="0" distB="0" distL="114300" distR="114300">
            <wp:extent cx="5913755" cy="1678940"/>
            <wp:effectExtent l="0" t="0" r="10795" b="1651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30"/>
                    <a:stretch>
                      <a:fillRect/>
                    </a:stretch>
                  </pic:blipFill>
                  <pic:spPr>
                    <a:xfrm>
                      <a:off x="0" y="0"/>
                      <a:ext cx="5913755" cy="1678940"/>
                    </a:xfrm>
                    <a:prstGeom prst="rect">
                      <a:avLst/>
                    </a:prstGeom>
                    <a:noFill/>
                    <a:ln>
                      <a:noFill/>
                    </a:ln>
                  </pic:spPr>
                </pic:pic>
              </a:graphicData>
            </a:graphic>
          </wp:inline>
        </w:drawing>
      </w:r>
    </w:p>
    <w:p w14:paraId="6C246EC5">
      <w:pPr>
        <w:pStyle w:val="19"/>
        <w:widowControl/>
        <w:ind w:left="0" w:leftChars="0" w:firstLine="0" w:firstLineChars="0"/>
        <w:rPr>
          <w:rFonts w:hint="eastAsia"/>
          <w:lang w:val="en-US" w:eastAsia="zh-CN"/>
        </w:rPr>
      </w:pPr>
      <w:r>
        <w:rPr>
          <w:rFonts w:hint="eastAsia"/>
          <w:lang w:val="en-US" w:eastAsia="zh-CN"/>
        </w:rPr>
        <w:t>监测设备：</w:t>
      </w:r>
    </w:p>
    <w:p w14:paraId="21387C61">
      <w:pPr>
        <w:pStyle w:val="19"/>
        <w:widowControl/>
        <w:ind w:left="0" w:leftChars="0" w:firstLine="0" w:firstLineChars="0"/>
        <w:rPr>
          <w:rFonts w:hint="eastAsia"/>
          <w:lang w:val="en-US" w:eastAsia="zh-CN"/>
        </w:rPr>
      </w:pPr>
    </w:p>
    <w:p w14:paraId="2097ECE5">
      <w:pPr>
        <w:pStyle w:val="19"/>
        <w:widowControl/>
        <w:ind w:left="0" w:leftChars="0" w:firstLine="0" w:firstLineChars="0"/>
      </w:pPr>
      <w:r>
        <w:drawing>
          <wp:inline distT="0" distB="0" distL="114300" distR="114300">
            <wp:extent cx="5913755" cy="1893570"/>
            <wp:effectExtent l="0" t="0" r="10795" b="11430"/>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31"/>
                    <a:stretch>
                      <a:fillRect/>
                    </a:stretch>
                  </pic:blipFill>
                  <pic:spPr>
                    <a:xfrm>
                      <a:off x="0" y="0"/>
                      <a:ext cx="5913755" cy="1893570"/>
                    </a:xfrm>
                    <a:prstGeom prst="rect">
                      <a:avLst/>
                    </a:prstGeom>
                    <a:noFill/>
                    <a:ln>
                      <a:noFill/>
                    </a:ln>
                  </pic:spPr>
                </pic:pic>
              </a:graphicData>
            </a:graphic>
          </wp:inline>
        </w:drawing>
      </w:r>
    </w:p>
    <w:p w14:paraId="57C8090A">
      <w:pPr>
        <w:pStyle w:val="19"/>
        <w:widowControl/>
        <w:ind w:left="0" w:leftChars="0" w:firstLine="0" w:firstLineChars="0"/>
        <w:rPr>
          <w:rFonts w:hint="eastAsia"/>
          <w:lang w:val="en-US" w:eastAsia="zh-CN"/>
        </w:rPr>
      </w:pPr>
      <w:r>
        <w:rPr>
          <w:rFonts w:hint="eastAsia"/>
          <w:lang w:val="en-US" w:eastAsia="zh-CN"/>
        </w:rPr>
        <w:t>数据图标：</w:t>
      </w:r>
    </w:p>
    <w:p w14:paraId="4AD1BD0B">
      <w:pPr>
        <w:pStyle w:val="19"/>
        <w:widowControl/>
        <w:ind w:left="0" w:leftChars="0" w:firstLine="0" w:firstLineChars="0"/>
        <w:rPr>
          <w:rFonts w:hint="eastAsia"/>
          <w:lang w:val="en-US" w:eastAsia="zh-CN"/>
        </w:rPr>
      </w:pPr>
    </w:p>
    <w:p w14:paraId="2709253A">
      <w:pPr>
        <w:pStyle w:val="19"/>
        <w:widowControl/>
        <w:ind w:left="0" w:leftChars="0" w:firstLine="0" w:firstLineChars="0"/>
      </w:pPr>
      <w:r>
        <w:drawing>
          <wp:inline distT="0" distB="0" distL="114300" distR="114300">
            <wp:extent cx="5913755" cy="1499870"/>
            <wp:effectExtent l="0" t="0" r="10795" b="508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32"/>
                    <a:stretch>
                      <a:fillRect/>
                    </a:stretch>
                  </pic:blipFill>
                  <pic:spPr>
                    <a:xfrm>
                      <a:off x="0" y="0"/>
                      <a:ext cx="5913755" cy="1499870"/>
                    </a:xfrm>
                    <a:prstGeom prst="rect">
                      <a:avLst/>
                    </a:prstGeom>
                    <a:noFill/>
                    <a:ln>
                      <a:noFill/>
                    </a:ln>
                  </pic:spPr>
                </pic:pic>
              </a:graphicData>
            </a:graphic>
          </wp:inline>
        </w:drawing>
      </w:r>
    </w:p>
    <w:p w14:paraId="363F5110">
      <w:pPr>
        <w:pStyle w:val="19"/>
        <w:widowControl/>
        <w:ind w:left="0" w:leftChars="0" w:firstLine="0" w:firstLineChars="0"/>
        <w:rPr>
          <w:rFonts w:hint="eastAsia"/>
          <w:lang w:val="en-US" w:eastAsia="zh-CN"/>
        </w:rPr>
      </w:pPr>
      <w:r>
        <w:rPr>
          <w:rFonts w:hint="eastAsia"/>
          <w:lang w:val="en-US" w:eastAsia="zh-CN"/>
        </w:rPr>
        <w:t>设备峰平谷分析：</w:t>
      </w:r>
    </w:p>
    <w:p w14:paraId="05CE69E2">
      <w:pPr>
        <w:pStyle w:val="19"/>
        <w:widowControl/>
        <w:ind w:left="0" w:leftChars="0" w:firstLine="0" w:firstLineChars="0"/>
        <w:rPr>
          <w:rFonts w:hint="default"/>
          <w:lang w:val="en-US" w:eastAsia="zh-CN"/>
        </w:rPr>
      </w:pP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13224"/>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3"/>
                    <a:stretch>
                      <a:fillRect/>
                    </a:stretch>
                  </pic:blipFill>
                  <pic:spPr>
                    <a:xfrm>
                      <a:off x="0" y="0"/>
                      <a:ext cx="5900420" cy="292544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4C597215">
      <w:pPr>
        <w:pStyle w:val="19"/>
        <w:widowControl/>
        <w:numPr>
          <w:ilvl w:val="0"/>
          <w:numId w:val="0"/>
        </w:numPr>
        <w:rPr>
          <w:rFonts w:hint="default" w:eastAsia="宋体"/>
          <w:b/>
          <w:i w:val="0"/>
          <w:color w:val="0284C7"/>
          <w:sz w:val="24"/>
          <w:szCs w:val="24"/>
          <w:lang w:val="en-US" w:eastAsia="zh-CN"/>
        </w:rPr>
      </w:pPr>
      <w:r>
        <w:rPr>
          <w:rFonts w:hint="eastAsia" w:cs="Times New Roman"/>
          <w:i w:val="0"/>
          <w:color w:val="1F2937"/>
          <w:sz w:val="24"/>
          <w:szCs w:val="24"/>
          <w:lang w:val="en-US" w:eastAsia="zh-CN"/>
        </w:rPr>
        <w:t>功率数据：</w:t>
      </w:r>
    </w:p>
    <w:p w14:paraId="2D932D9F">
      <w:pPr>
        <w:pStyle w:val="19"/>
        <w:widowControl/>
        <w:numPr>
          <w:ilvl w:val="0"/>
          <w:numId w:val="0"/>
        </w:numPr>
      </w:pPr>
      <w:r>
        <w:drawing>
          <wp:inline distT="0" distB="0" distL="114300" distR="114300">
            <wp:extent cx="5909310" cy="2963545"/>
            <wp:effectExtent l="0" t="0" r="15240" b="825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34"/>
                    <a:stretch>
                      <a:fillRect/>
                    </a:stretch>
                  </pic:blipFill>
                  <pic:spPr>
                    <a:xfrm>
                      <a:off x="0" y="0"/>
                      <a:ext cx="5909310" cy="2963545"/>
                    </a:xfrm>
                    <a:prstGeom prst="rect">
                      <a:avLst/>
                    </a:prstGeom>
                    <a:noFill/>
                    <a:ln>
                      <a:noFill/>
                    </a:ln>
                  </pic:spPr>
                </pic:pic>
              </a:graphicData>
            </a:graphic>
          </wp:inline>
        </w:drawing>
      </w:r>
    </w:p>
    <w:p w14:paraId="448545E1">
      <w:pPr>
        <w:pStyle w:val="19"/>
        <w:widowControl/>
        <w:numPr>
          <w:ilvl w:val="0"/>
          <w:numId w:val="0"/>
        </w:numPr>
      </w:pPr>
    </w:p>
    <w:p w14:paraId="02E7F840">
      <w:pPr>
        <w:pStyle w:val="19"/>
        <w:widowControl/>
        <w:numPr>
          <w:ilvl w:val="0"/>
          <w:numId w:val="0"/>
        </w:numPr>
      </w:pPr>
      <w:r>
        <w:rPr>
          <w:rFonts w:hint="eastAsia"/>
          <w:lang w:val="en-US" w:eastAsia="zh-CN"/>
        </w:rPr>
        <w:t>电量数据：</w:t>
      </w:r>
      <w:r>
        <w:rPr>
          <w:rFonts w:hint="eastAsia"/>
          <w:lang w:val="en-US" w:eastAsia="zh-CN"/>
        </w:rPr>
        <w:br w:type="textWrapping"/>
      </w:r>
      <w:r>
        <w:drawing>
          <wp:inline distT="0" distB="0" distL="114300" distR="114300">
            <wp:extent cx="5905500" cy="3547110"/>
            <wp:effectExtent l="0" t="0" r="0" b="15240"/>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35"/>
                    <a:stretch>
                      <a:fillRect/>
                    </a:stretch>
                  </pic:blipFill>
                  <pic:spPr>
                    <a:xfrm>
                      <a:off x="0" y="0"/>
                      <a:ext cx="5905500" cy="3547110"/>
                    </a:xfrm>
                    <a:prstGeom prst="rect">
                      <a:avLst/>
                    </a:prstGeom>
                    <a:noFill/>
                    <a:ln>
                      <a:noFill/>
                    </a:ln>
                  </pic:spPr>
                </pic:pic>
              </a:graphicData>
            </a:graphic>
          </wp:inline>
        </w:drawing>
      </w:r>
    </w:p>
    <w:p w14:paraId="2226C238">
      <w:pPr>
        <w:pStyle w:val="19"/>
        <w:widowControl/>
        <w:numPr>
          <w:ilvl w:val="0"/>
          <w:numId w:val="0"/>
        </w:numPr>
      </w:pPr>
    </w:p>
    <w:p w14:paraId="1E320698">
      <w:pPr>
        <w:pStyle w:val="19"/>
        <w:widowControl/>
        <w:numPr>
          <w:ilvl w:val="0"/>
          <w:numId w:val="0"/>
        </w:numPr>
        <w:rPr>
          <w:rFonts w:hint="default" w:eastAsia="宋体"/>
          <w:lang w:val="en-US" w:eastAsia="zh-CN"/>
        </w:rPr>
      </w:pPr>
      <w:r>
        <w:rPr>
          <w:rFonts w:hint="eastAsia"/>
          <w:lang w:val="en-US" w:eastAsia="zh-CN"/>
        </w:rPr>
        <w:t>绿电数据：</w:t>
      </w:r>
    </w:p>
    <w:p w14:paraId="251F5E60">
      <w:pPr>
        <w:pStyle w:val="19"/>
        <w:widowControl/>
        <w:numPr>
          <w:ilvl w:val="0"/>
          <w:numId w:val="0"/>
        </w:numPr>
      </w:pPr>
      <w:r>
        <w:drawing>
          <wp:inline distT="0" distB="0" distL="114300" distR="114300">
            <wp:extent cx="5901690" cy="3753485"/>
            <wp:effectExtent l="0" t="0" r="3810" b="18415"/>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36"/>
                    <a:stretch>
                      <a:fillRect/>
                    </a:stretch>
                  </pic:blipFill>
                  <pic:spPr>
                    <a:xfrm>
                      <a:off x="0" y="0"/>
                      <a:ext cx="5901690" cy="3753485"/>
                    </a:xfrm>
                    <a:prstGeom prst="rect">
                      <a:avLst/>
                    </a:prstGeom>
                    <a:noFill/>
                    <a:ln>
                      <a:noFill/>
                    </a:ln>
                  </pic:spPr>
                </pic:pic>
              </a:graphicData>
            </a:graphic>
          </wp:inline>
        </w:drawing>
      </w:r>
    </w:p>
    <w:p w14:paraId="49DDB670">
      <w:pPr>
        <w:pStyle w:val="19"/>
        <w:widowControl/>
        <w:numPr>
          <w:ilvl w:val="0"/>
          <w:numId w:val="0"/>
        </w:numPr>
        <w:rPr>
          <w:rFonts w:hint="default"/>
          <w:lang w:val="en-US" w:eastAsia="zh-CN"/>
        </w:rPr>
      </w:pP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16557"/>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7"/>
                    <a:stretch>
                      <a:fillRect/>
                    </a:stretch>
                  </pic:blipFill>
                  <pic:spPr>
                    <a:xfrm>
                      <a:off x="0" y="0"/>
                      <a:ext cx="5900420" cy="292544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306F7DD3">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数据概览：</w:t>
      </w:r>
    </w:p>
    <w:p w14:paraId="4D83E59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2345055"/>
            <wp:effectExtent l="0" t="0" r="0" b="17145"/>
            <wp:docPr id="1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1"/>
                    <pic:cNvPicPr>
                      <a:picLocks noChangeAspect="1"/>
                    </pic:cNvPicPr>
                  </pic:nvPicPr>
                  <pic:blipFill>
                    <a:blip r:embed="rId38"/>
                    <a:stretch>
                      <a:fillRect/>
                    </a:stretch>
                  </pic:blipFill>
                  <pic:spPr>
                    <a:xfrm>
                      <a:off x="0" y="0"/>
                      <a:ext cx="5905500" cy="2345055"/>
                    </a:xfrm>
                    <a:prstGeom prst="rect">
                      <a:avLst/>
                    </a:prstGeom>
                    <a:noFill/>
                    <a:ln>
                      <a:noFill/>
                    </a:ln>
                  </pic:spPr>
                </pic:pic>
              </a:graphicData>
            </a:graphic>
          </wp:inline>
        </w:drawing>
      </w:r>
    </w:p>
    <w:p w14:paraId="0848C81D">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211E993">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碳排放数据：</w:t>
      </w:r>
    </w:p>
    <w:p w14:paraId="3C950B44">
      <w:pPr>
        <w:pStyle w:val="19"/>
        <w:widowControl/>
        <w:numPr>
          <w:ilvl w:val="0"/>
          <w:numId w:val="0"/>
        </w:numPr>
        <w:adjustRightInd w:val="0"/>
        <w:spacing w:before="100" w:after="100" w:afterLines="0" w:afterAutospacing="0" w:line="300" w:lineRule="auto"/>
        <w:jc w:val="both"/>
      </w:pPr>
      <w:r>
        <w:drawing>
          <wp:inline distT="0" distB="0" distL="114300" distR="114300">
            <wp:extent cx="5913755" cy="3321685"/>
            <wp:effectExtent l="0" t="0" r="10795" b="12065"/>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39"/>
                    <a:stretch>
                      <a:fillRect/>
                    </a:stretch>
                  </pic:blipFill>
                  <pic:spPr>
                    <a:xfrm>
                      <a:off x="0" y="0"/>
                      <a:ext cx="5913755" cy="3321685"/>
                    </a:xfrm>
                    <a:prstGeom prst="rect">
                      <a:avLst/>
                    </a:prstGeom>
                    <a:noFill/>
                    <a:ln>
                      <a:noFill/>
                    </a:ln>
                  </pic:spPr>
                </pic:pic>
              </a:graphicData>
            </a:graphic>
          </wp:inline>
        </w:drawing>
      </w:r>
    </w:p>
    <w:p w14:paraId="3138B67E">
      <w:pPr>
        <w:pStyle w:val="19"/>
        <w:widowControl/>
        <w:numPr>
          <w:ilvl w:val="0"/>
          <w:numId w:val="0"/>
        </w:numPr>
        <w:adjustRightInd w:val="0"/>
        <w:spacing w:before="100" w:after="100" w:afterLines="0" w:afterAutospacing="0" w:line="300" w:lineRule="auto"/>
        <w:jc w:val="both"/>
      </w:pP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31364E59">
      <w:pPr>
        <w:pStyle w:val="5"/>
        <w:numPr>
          <w:ilvl w:val="0"/>
          <w:numId w:val="27"/>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21" w:name="_Toc15620"/>
      <w:r>
        <w:rPr>
          <w:rFonts w:hint="eastAsia" w:ascii="Times New Roman" w:hAnsi="Times New Roman" w:eastAsia="黑体" w:cs="Times New Roman"/>
          <w:b w:val="0"/>
          <w:bCs w:val="0"/>
          <w:sz w:val="30"/>
          <w:szCs w:val="24"/>
          <w:lang w:val="en-US" w:eastAsia="zh-CN"/>
        </w:rPr>
        <w:t>自定义指标监测</w:t>
      </w:r>
      <w:bookmarkEnd w:id="21"/>
    </w:p>
    <w:p w14:paraId="2F3AD31A">
      <w:pPr>
        <w:numPr>
          <w:ilvl w:val="0"/>
          <w:numId w:val="0"/>
        </w:numPr>
        <w:spacing w:after="40"/>
        <w:ind w:leftChars="0"/>
        <w:rPr>
          <w:rFonts w:hint="default" w:ascii="宋体" w:hAnsi="宋体" w:eastAsia="宋体" w:cs="宋体"/>
          <w:i w:val="0"/>
          <w:iCs w:val="0"/>
          <w:sz w:val="24"/>
          <w:szCs w:val="24"/>
          <w:lang w:val="en-US" w:eastAsia="zh-CN"/>
        </w:rPr>
      </w:pPr>
      <w:r>
        <w:drawing>
          <wp:inline distT="0" distB="0" distL="114300" distR="114300">
            <wp:extent cx="5900420" cy="2925445"/>
            <wp:effectExtent l="0" t="0" r="5080" b="82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0"/>
                    <a:stretch>
                      <a:fillRect/>
                    </a:stretch>
                  </pic:blipFill>
                  <pic:spPr>
                    <a:xfrm>
                      <a:off x="0" y="0"/>
                      <a:ext cx="5900420" cy="2925445"/>
                    </a:xfrm>
                    <a:prstGeom prst="rect">
                      <a:avLst/>
                    </a:prstGeom>
                    <a:noFill/>
                    <a:ln>
                      <a:noFill/>
                    </a:ln>
                  </pic:spPr>
                </pic:pic>
              </a:graphicData>
            </a:graphic>
          </wp:inline>
        </w:drawing>
      </w:r>
    </w:p>
    <w:p w14:paraId="4B4A1640">
      <w:pPr>
        <w:pStyle w:val="6"/>
        <w:numPr>
          <w:ilvl w:val="0"/>
          <w:numId w:val="64"/>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F6AE29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CB830D">
            <w:pPr>
              <w:pStyle w:val="19"/>
              <w:bidi w:val="0"/>
            </w:pPr>
          </w:p>
        </w:tc>
      </w:tr>
    </w:tbl>
    <w:p w14:paraId="770E48DB"/>
    <w:p w14:paraId="1BFC628B">
      <w:pPr>
        <w:pStyle w:val="6"/>
        <w:numPr>
          <w:ilvl w:val="0"/>
          <w:numId w:val="64"/>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D9CCB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5E8A42A">
            <w:pPr>
              <w:pStyle w:val="19"/>
              <w:bidi w:val="0"/>
            </w:pPr>
          </w:p>
        </w:tc>
      </w:tr>
    </w:tbl>
    <w:p w14:paraId="231FEA41"/>
    <w:p w14:paraId="7DE23CAE">
      <w:pPr>
        <w:pStyle w:val="6"/>
        <w:numPr>
          <w:ilvl w:val="0"/>
          <w:numId w:val="64"/>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FC7E326">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D64D4E6">
            <w:pPr>
              <w:pStyle w:val="19"/>
              <w:bidi w:val="0"/>
            </w:pPr>
          </w:p>
          <w:p w14:paraId="062D7437">
            <w:pPr>
              <w:pStyle w:val="19"/>
              <w:bidi w:val="0"/>
              <w:ind w:left="0" w:leftChars="0" w:firstLine="0" w:firstLineChars="0"/>
              <w:rPr>
                <w:rFonts w:hint="eastAsia"/>
                <w:lang w:val="en-US" w:eastAsia="zh-CN"/>
              </w:rPr>
            </w:pPr>
            <w:r>
              <w:rPr>
                <w:rFonts w:hint="eastAsia"/>
                <w:lang w:val="en-US" w:eastAsia="zh-CN"/>
              </w:rPr>
              <w:t>数据概览：</w:t>
            </w:r>
          </w:p>
          <w:p w14:paraId="6E0E59DE">
            <w:pPr>
              <w:pStyle w:val="19"/>
              <w:bidi w:val="0"/>
              <w:ind w:left="0" w:leftChars="0" w:firstLine="0" w:firstLineChars="0"/>
            </w:pPr>
            <w:r>
              <w:drawing>
                <wp:inline distT="0" distB="0" distL="114300" distR="114300">
                  <wp:extent cx="5996305" cy="2018665"/>
                  <wp:effectExtent l="0" t="0" r="4445" b="635"/>
                  <wp:docPr id="11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4"/>
                          <pic:cNvPicPr>
                            <a:picLocks noChangeAspect="1"/>
                          </pic:cNvPicPr>
                        </pic:nvPicPr>
                        <pic:blipFill>
                          <a:blip r:embed="rId41"/>
                          <a:stretch>
                            <a:fillRect/>
                          </a:stretch>
                        </pic:blipFill>
                        <pic:spPr>
                          <a:xfrm>
                            <a:off x="0" y="0"/>
                            <a:ext cx="5996305" cy="2018665"/>
                          </a:xfrm>
                          <a:prstGeom prst="rect">
                            <a:avLst/>
                          </a:prstGeom>
                          <a:noFill/>
                          <a:ln>
                            <a:noFill/>
                          </a:ln>
                        </pic:spPr>
                      </pic:pic>
                    </a:graphicData>
                  </a:graphic>
                </wp:inline>
              </w:drawing>
            </w:r>
          </w:p>
          <w:p w14:paraId="0BFB8EEC">
            <w:pPr>
              <w:pStyle w:val="19"/>
              <w:bidi w:val="0"/>
              <w:ind w:left="0" w:leftChars="0" w:firstLine="0" w:firstLineChars="0"/>
              <w:rPr>
                <w:rFonts w:hint="eastAsia"/>
                <w:lang w:val="en-US" w:eastAsia="zh-CN"/>
              </w:rPr>
            </w:pPr>
          </w:p>
          <w:p w14:paraId="12B672F9">
            <w:pPr>
              <w:pStyle w:val="19"/>
              <w:bidi w:val="0"/>
              <w:ind w:left="0" w:leftChars="0" w:firstLine="0" w:firstLineChars="0"/>
              <w:rPr>
                <w:rFonts w:hint="default"/>
                <w:lang w:val="en-US" w:eastAsia="zh-CN"/>
              </w:rPr>
            </w:pPr>
            <w:r>
              <w:rPr>
                <w:rFonts w:hint="eastAsia"/>
                <w:lang w:val="en-US" w:eastAsia="zh-CN"/>
              </w:rPr>
              <w:t>数据台账明细：</w:t>
            </w:r>
          </w:p>
          <w:p w14:paraId="66536892">
            <w:pPr>
              <w:pStyle w:val="19"/>
              <w:bidi w:val="0"/>
              <w:ind w:left="0" w:leftChars="0" w:firstLine="0" w:firstLineChars="0"/>
              <w:rPr>
                <w:rFonts w:hint="default"/>
                <w:lang w:val="en-US" w:eastAsia="zh-CN"/>
              </w:rPr>
            </w:pPr>
            <w:r>
              <w:drawing>
                <wp:inline distT="0" distB="0" distL="114300" distR="114300">
                  <wp:extent cx="5996305" cy="2658745"/>
                  <wp:effectExtent l="0" t="0" r="4445" b="8255"/>
                  <wp:docPr id="11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5"/>
                          <pic:cNvPicPr>
                            <a:picLocks noChangeAspect="1"/>
                          </pic:cNvPicPr>
                        </pic:nvPicPr>
                        <pic:blipFill>
                          <a:blip r:embed="rId42"/>
                          <a:stretch>
                            <a:fillRect/>
                          </a:stretch>
                        </pic:blipFill>
                        <pic:spPr>
                          <a:xfrm>
                            <a:off x="0" y="0"/>
                            <a:ext cx="5996305" cy="2658745"/>
                          </a:xfrm>
                          <a:prstGeom prst="rect">
                            <a:avLst/>
                          </a:prstGeom>
                          <a:noFill/>
                          <a:ln>
                            <a:noFill/>
                          </a:ln>
                        </pic:spPr>
                      </pic:pic>
                    </a:graphicData>
                  </a:graphic>
                </wp:inline>
              </w:drawing>
            </w:r>
          </w:p>
        </w:tc>
      </w:tr>
    </w:tbl>
    <w:p w14:paraId="531E4F14"/>
    <w:p w14:paraId="3E2A4776">
      <w:pPr>
        <w:pStyle w:val="6"/>
        <w:numPr>
          <w:ilvl w:val="0"/>
          <w:numId w:val="64"/>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3D6151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2C6C6B">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83FEA3">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0314CE">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25A81E">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02A53E">
            <w:pPr>
              <w:pStyle w:val="19"/>
              <w:bidi w:val="0"/>
              <w:spacing w:line="240" w:lineRule="auto"/>
              <w:ind w:left="0" w:leftChars="0" w:right="0" w:rightChars="0" w:firstLine="0" w:firstLineChars="0"/>
              <w:jc w:val="both"/>
            </w:pPr>
            <w:r>
              <w:t>校验与约束规则</w:t>
            </w:r>
          </w:p>
        </w:tc>
      </w:tr>
      <w:tr w14:paraId="7BD9BC7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269AB9">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9380">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9874C6">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76328">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8E5883">
            <w:pPr>
              <w:pStyle w:val="19"/>
              <w:bidi w:val="0"/>
              <w:spacing w:line="240" w:lineRule="auto"/>
              <w:ind w:left="0" w:leftChars="0" w:right="0" w:rightChars="0" w:firstLine="0" w:firstLineChars="0"/>
              <w:jc w:val="both"/>
            </w:pPr>
          </w:p>
        </w:tc>
      </w:tr>
      <w:tr w14:paraId="7FEA3C65">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75ADB">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EC37C">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FFC32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D407">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52EEE">
            <w:pPr>
              <w:pStyle w:val="19"/>
              <w:bidi w:val="0"/>
              <w:spacing w:line="240" w:lineRule="auto"/>
              <w:ind w:left="0" w:leftChars="0" w:right="0" w:rightChars="0" w:firstLine="0" w:firstLineChars="0"/>
              <w:jc w:val="both"/>
            </w:pPr>
          </w:p>
        </w:tc>
      </w:tr>
      <w:tr w14:paraId="4B08F85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1268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EF421">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F6993E">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BE5DB">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BAE48">
            <w:pPr>
              <w:pStyle w:val="19"/>
              <w:bidi w:val="0"/>
              <w:spacing w:line="240" w:lineRule="auto"/>
              <w:ind w:left="0" w:leftChars="0" w:right="0" w:rightChars="0" w:firstLine="0" w:firstLineChars="0"/>
              <w:jc w:val="both"/>
            </w:pPr>
          </w:p>
        </w:tc>
      </w:tr>
      <w:tr w14:paraId="7612DBB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A51F77">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F3797">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DAA9">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72362">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DFDE4">
            <w:pPr>
              <w:pStyle w:val="19"/>
              <w:bidi w:val="0"/>
              <w:spacing w:line="240" w:lineRule="auto"/>
              <w:ind w:left="0" w:leftChars="0" w:right="0" w:rightChars="0" w:firstLine="0" w:firstLineChars="0"/>
              <w:jc w:val="both"/>
            </w:pPr>
          </w:p>
        </w:tc>
      </w:tr>
      <w:tr w14:paraId="077AECE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632B0">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EDD4B">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338F">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6E0E0">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5B431">
            <w:pPr>
              <w:pStyle w:val="19"/>
              <w:bidi w:val="0"/>
              <w:spacing w:line="240" w:lineRule="auto"/>
              <w:ind w:left="0" w:leftChars="0" w:right="0" w:rightChars="0" w:firstLine="0" w:firstLineChars="0"/>
              <w:jc w:val="both"/>
            </w:pPr>
          </w:p>
        </w:tc>
      </w:tr>
      <w:tr w14:paraId="66F36E7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7E52F2">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D359F7">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F894C2">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B37B4">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99565">
            <w:pPr>
              <w:pStyle w:val="19"/>
              <w:bidi w:val="0"/>
              <w:spacing w:line="240" w:lineRule="auto"/>
              <w:ind w:left="0" w:leftChars="0" w:right="0" w:rightChars="0" w:firstLine="0" w:firstLineChars="0"/>
              <w:jc w:val="both"/>
            </w:pPr>
          </w:p>
        </w:tc>
      </w:tr>
      <w:tr w14:paraId="504C7D6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6F348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88AB6">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1B9865">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B762A">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5A422">
            <w:pPr>
              <w:pStyle w:val="19"/>
              <w:bidi w:val="0"/>
              <w:spacing w:line="240" w:lineRule="auto"/>
              <w:ind w:left="0" w:leftChars="0" w:right="0" w:rightChars="0" w:firstLine="0" w:firstLineChars="0"/>
              <w:jc w:val="both"/>
            </w:pPr>
          </w:p>
        </w:tc>
      </w:tr>
      <w:tr w14:paraId="006023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94AD0">
            <w:pPr>
              <w:pStyle w:val="19"/>
              <w:bidi w:val="0"/>
              <w:spacing w:line="240" w:lineRule="auto"/>
              <w:ind w:left="0" w:leftChars="0" w:right="0" w:rightChars="0" w:firstLine="0" w:firstLineChars="0"/>
              <w:jc w:val="both"/>
            </w:pP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AA7AC">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FBD78">
            <w:pPr>
              <w:pStyle w:val="19"/>
              <w:bidi w:val="0"/>
              <w:spacing w:line="240" w:lineRule="auto"/>
              <w:ind w:left="0" w:leftChars="0" w:right="0" w:rightChars="0" w:firstLine="0" w:firstLineChars="0"/>
              <w:jc w:val="both"/>
            </w:pP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0C36D">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DB56EC">
            <w:pPr>
              <w:pStyle w:val="19"/>
              <w:bidi w:val="0"/>
              <w:spacing w:line="240" w:lineRule="auto"/>
              <w:ind w:left="0" w:leftChars="0" w:right="0" w:rightChars="0" w:firstLine="0" w:firstLineChars="0"/>
              <w:jc w:val="both"/>
            </w:pPr>
          </w:p>
        </w:tc>
      </w:tr>
    </w:tbl>
    <w:p w14:paraId="6D1E93E6">
      <w:pPr>
        <w:pStyle w:val="19"/>
        <w:bidi w:val="0"/>
      </w:pPr>
    </w:p>
    <w:p w14:paraId="7DBFE415">
      <w:pPr>
        <w:pStyle w:val="6"/>
        <w:numPr>
          <w:ilvl w:val="0"/>
          <w:numId w:val="64"/>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95C997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95C272">
            <w:pPr>
              <w:pStyle w:val="19"/>
              <w:bidi w:val="0"/>
            </w:pPr>
          </w:p>
        </w:tc>
      </w:tr>
    </w:tbl>
    <w:p w14:paraId="3BF1F508">
      <w:pPr>
        <w:pStyle w:val="19"/>
        <w:bidi w:val="0"/>
      </w:pPr>
    </w:p>
    <w:p w14:paraId="5655A174">
      <w:pPr>
        <w:pStyle w:val="6"/>
        <w:numPr>
          <w:ilvl w:val="0"/>
          <w:numId w:val="64"/>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EF82BF9">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8BCF723">
            <w:pPr>
              <w:pStyle w:val="19"/>
              <w:bidi w:val="0"/>
            </w:pPr>
          </w:p>
        </w:tc>
      </w:tr>
    </w:tbl>
    <w:p w14:paraId="2F42FC2C">
      <w:pPr>
        <w:pStyle w:val="19"/>
        <w:bidi w:val="0"/>
      </w:pPr>
    </w:p>
    <w:p w14:paraId="412D10D1">
      <w:pPr>
        <w:pStyle w:val="6"/>
        <w:numPr>
          <w:ilvl w:val="0"/>
          <w:numId w:val="64"/>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BFD75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F118505">
            <w:pPr>
              <w:pStyle w:val="19"/>
              <w:bidi w:val="0"/>
            </w:pPr>
          </w:p>
        </w:tc>
      </w:tr>
    </w:tbl>
    <w:p w14:paraId="0CA02B5D"/>
    <w:p w14:paraId="4B40C322">
      <w:pPr>
        <w:pStyle w:val="6"/>
        <w:numPr>
          <w:ilvl w:val="0"/>
          <w:numId w:val="64"/>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2E180A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223F7A0">
            <w:pPr>
              <w:pStyle w:val="19"/>
              <w:bidi w:val="0"/>
            </w:pPr>
          </w:p>
        </w:tc>
      </w:tr>
    </w:tbl>
    <w:p w14:paraId="43050B62">
      <w:pPr>
        <w:numPr>
          <w:ilvl w:val="0"/>
          <w:numId w:val="0"/>
        </w:numPr>
        <w:spacing w:after="40"/>
        <w:ind w:leftChars="0"/>
        <w:rPr>
          <w:rFonts w:hint="default" w:ascii="宋体" w:hAnsi="宋体" w:eastAsia="宋体" w:cs="宋体"/>
          <w:i w:val="0"/>
          <w:iCs w:val="0"/>
          <w:sz w:val="24"/>
          <w:szCs w:val="24"/>
          <w:lang w:val="en-US" w:eastAsia="zh-CN"/>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2" w:name="_Toc15423"/>
      <w:r>
        <w:rPr>
          <w:rFonts w:ascii="Times New Roman" w:hAnsi="Times New Roman" w:eastAsia="黑体" w:cs="Times New Roman"/>
          <w:b w:val="0"/>
          <w:bCs w:val="0"/>
          <w:sz w:val="30"/>
          <w:szCs w:val="32"/>
        </w:rPr>
        <w:t>能耗能效分析</w:t>
      </w:r>
      <w:bookmarkEnd w:id="22"/>
    </w:p>
    <w:p w14:paraId="55286C6D">
      <w:pPr>
        <w:pStyle w:val="5"/>
        <w:numPr>
          <w:ilvl w:val="0"/>
          <w:numId w:val="65"/>
        </w:numPr>
        <w:ind w:left="0" w:leftChars="0" w:firstLine="0" w:firstLineChars="0"/>
        <w:outlineLvl w:val="1"/>
        <w:rPr>
          <w:rFonts w:eastAsia="黑体"/>
          <w:b w:val="0"/>
          <w:bCs w:val="0"/>
          <w:sz w:val="30"/>
          <w:szCs w:val="24"/>
        </w:rPr>
      </w:pPr>
      <w:bookmarkStart w:id="23" w:name="_Toc1657"/>
      <w:r>
        <w:rPr>
          <w:rFonts w:ascii="Times New Roman" w:hAnsi="Times New Roman" w:eastAsia="黑体" w:cs="Times New Roman"/>
          <w:b w:val="0"/>
          <w:bCs w:val="0"/>
          <w:sz w:val="30"/>
          <w:szCs w:val="24"/>
        </w:rPr>
        <w:t>用能结构分析</w:t>
      </w:r>
      <w:bookmarkEnd w:id="23"/>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3"/>
                    <a:stretch>
                      <a:fillRect/>
                    </a:stretch>
                  </pic:blipFill>
                  <pic:spPr>
                    <a:xfrm>
                      <a:off x="0" y="0"/>
                      <a:ext cx="5900420" cy="2925445"/>
                    </a:xfrm>
                    <a:prstGeom prst="rect">
                      <a:avLst/>
                    </a:prstGeom>
                    <a:noFill/>
                    <a:ln>
                      <a:noFill/>
                    </a:ln>
                  </pic:spPr>
                </pic:pic>
              </a:graphicData>
            </a:graphic>
          </wp:inline>
        </w:drawing>
      </w:r>
    </w:p>
    <w:p w14:paraId="6C837094">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968715">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6F462482">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能源消耗量概览：</w:t>
      </w:r>
    </w:p>
    <w:p w14:paraId="67271C3A">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1049655"/>
            <wp:effectExtent l="0" t="0" r="0" b="17145"/>
            <wp:docPr id="1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6"/>
                    <pic:cNvPicPr>
                      <a:picLocks noChangeAspect="1"/>
                    </pic:cNvPicPr>
                  </pic:nvPicPr>
                  <pic:blipFill>
                    <a:blip r:embed="rId44"/>
                    <a:stretch>
                      <a:fillRect/>
                    </a:stretch>
                  </pic:blipFill>
                  <pic:spPr>
                    <a:xfrm>
                      <a:off x="0" y="0"/>
                      <a:ext cx="5905500" cy="1049655"/>
                    </a:xfrm>
                    <a:prstGeom prst="rect">
                      <a:avLst/>
                    </a:prstGeom>
                    <a:noFill/>
                    <a:ln>
                      <a:noFill/>
                    </a:ln>
                  </pic:spPr>
                </pic:pic>
              </a:graphicData>
            </a:graphic>
          </wp:inline>
        </w:drawing>
      </w:r>
    </w:p>
    <w:p w14:paraId="62F99666">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70BB6E7">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能源消耗总量：</w:t>
      </w:r>
      <w:r>
        <w:rPr>
          <w:rFonts w:hint="eastAsia" w:cs="Times New Roman"/>
          <w:i w:val="0"/>
          <w:color w:val="1F2937"/>
          <w:sz w:val="24"/>
          <w:szCs w:val="24"/>
          <w:lang w:val="en-US" w:eastAsia="zh-CN"/>
        </w:rPr>
        <w:br w:type="textWrapping"/>
      </w:r>
      <w:r>
        <w:drawing>
          <wp:inline distT="0" distB="0" distL="114300" distR="114300">
            <wp:extent cx="5913755" cy="3120390"/>
            <wp:effectExtent l="0" t="0" r="10795" b="3810"/>
            <wp:docPr id="1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pic:cNvPicPr>
                      <a:picLocks noChangeAspect="1"/>
                    </pic:cNvPicPr>
                  </pic:nvPicPr>
                  <pic:blipFill>
                    <a:blip r:embed="rId45"/>
                    <a:stretch>
                      <a:fillRect/>
                    </a:stretch>
                  </pic:blipFill>
                  <pic:spPr>
                    <a:xfrm>
                      <a:off x="0" y="0"/>
                      <a:ext cx="5913755" cy="3120390"/>
                    </a:xfrm>
                    <a:prstGeom prst="rect">
                      <a:avLst/>
                    </a:prstGeom>
                    <a:noFill/>
                    <a:ln>
                      <a:noFill/>
                    </a:ln>
                  </pic:spPr>
                </pic:pic>
              </a:graphicData>
            </a:graphic>
          </wp:inline>
        </w:drawing>
      </w:r>
    </w:p>
    <w:p w14:paraId="272500DC">
      <w:pPr>
        <w:pStyle w:val="19"/>
        <w:widowControl/>
        <w:numPr>
          <w:ilvl w:val="0"/>
          <w:numId w:val="0"/>
        </w:numPr>
        <w:adjustRightInd w:val="0"/>
        <w:spacing w:before="100" w:after="100" w:afterLines="0" w:afterAutospacing="0" w:line="300" w:lineRule="auto"/>
        <w:jc w:val="both"/>
      </w:pPr>
    </w:p>
    <w:p w14:paraId="1FC5E8F1">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台账明细：</w:t>
      </w:r>
      <w:r>
        <w:rPr>
          <w:rFonts w:hint="eastAsia"/>
          <w:lang w:val="en-US" w:eastAsia="zh-CN"/>
        </w:rPr>
        <w:br w:type="textWrapping"/>
      </w:r>
      <w:r>
        <w:drawing>
          <wp:inline distT="0" distB="0" distL="114300" distR="114300">
            <wp:extent cx="5913755" cy="2054860"/>
            <wp:effectExtent l="0" t="0" r="10795" b="2540"/>
            <wp:docPr id="11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8"/>
                    <pic:cNvPicPr>
                      <a:picLocks noChangeAspect="1"/>
                    </pic:cNvPicPr>
                  </pic:nvPicPr>
                  <pic:blipFill>
                    <a:blip r:embed="rId46"/>
                    <a:stretch>
                      <a:fillRect/>
                    </a:stretch>
                  </pic:blipFill>
                  <pic:spPr>
                    <a:xfrm>
                      <a:off x="0" y="0"/>
                      <a:ext cx="5913755" cy="2054860"/>
                    </a:xfrm>
                    <a:prstGeom prst="rect">
                      <a:avLst/>
                    </a:prstGeom>
                    <a:noFill/>
                    <a:ln>
                      <a:noFill/>
                    </a:ln>
                  </pic:spPr>
                </pic:pic>
              </a:graphicData>
            </a:graphic>
          </wp:inline>
        </w:drawing>
      </w:r>
    </w:p>
    <w:p w14:paraId="42C4937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38D7F602">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17651FC7">
      <w:pPr>
        <w:spacing w:after="40"/>
        <w:rPr>
          <w:rFonts w:hint="eastAsia" w:ascii="宋体" w:hAnsi="宋体" w:eastAsia="宋体" w:cs="宋体"/>
          <w:i w:val="0"/>
          <w:iCs w:val="0"/>
          <w:sz w:val="24"/>
          <w:szCs w:val="24"/>
        </w:rPr>
      </w:pPr>
    </w:p>
    <w:p w14:paraId="3F042077">
      <w:pPr>
        <w:pStyle w:val="5"/>
        <w:numPr>
          <w:ilvl w:val="0"/>
          <w:numId w:val="65"/>
        </w:numPr>
        <w:ind w:left="0" w:leftChars="0" w:firstLine="0" w:firstLineChars="0"/>
        <w:outlineLvl w:val="1"/>
        <w:rPr>
          <w:rFonts w:eastAsia="黑体"/>
          <w:b w:val="0"/>
          <w:bCs w:val="0"/>
          <w:sz w:val="30"/>
          <w:szCs w:val="24"/>
        </w:rPr>
      </w:pPr>
      <w:bookmarkStart w:id="24" w:name="_Toc8696"/>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47"/>
                    <a:stretch>
                      <a:fillRect/>
                    </a:stretch>
                  </pic:blipFill>
                  <pic:spPr>
                    <a:xfrm>
                      <a:off x="0" y="0"/>
                      <a:ext cx="5900420" cy="2925445"/>
                    </a:xfrm>
                    <a:prstGeom prst="rect">
                      <a:avLst/>
                    </a:prstGeom>
                    <a:noFill/>
                    <a:ln>
                      <a:noFill/>
                    </a:ln>
                  </pic:spPr>
                </pic:pic>
              </a:graphicData>
            </a:graphic>
          </wp:inline>
        </w:drawing>
      </w:r>
    </w:p>
    <w:p w14:paraId="631D6A94">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能耗指标明细：</w:t>
      </w:r>
      <w:r>
        <w:rPr>
          <w:rFonts w:hint="eastAsia" w:cs="Times New Roman"/>
          <w:i w:val="0"/>
          <w:color w:val="1F2937"/>
          <w:sz w:val="24"/>
          <w:szCs w:val="24"/>
          <w:lang w:val="en-US" w:eastAsia="zh-CN"/>
        </w:rPr>
        <w:br w:type="textWrapping"/>
      </w:r>
      <w:r>
        <w:drawing>
          <wp:inline distT="0" distB="0" distL="114300" distR="114300">
            <wp:extent cx="5906770" cy="2233295"/>
            <wp:effectExtent l="0" t="0" r="17780" b="14605"/>
            <wp:docPr id="11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9"/>
                    <pic:cNvPicPr>
                      <a:picLocks noChangeAspect="1"/>
                    </pic:cNvPicPr>
                  </pic:nvPicPr>
                  <pic:blipFill>
                    <a:blip r:embed="rId48"/>
                    <a:stretch>
                      <a:fillRect/>
                    </a:stretch>
                  </pic:blipFill>
                  <pic:spPr>
                    <a:xfrm>
                      <a:off x="0" y="0"/>
                      <a:ext cx="5906770" cy="2233295"/>
                    </a:xfrm>
                    <a:prstGeom prst="rect">
                      <a:avLst/>
                    </a:prstGeom>
                    <a:noFill/>
                    <a:ln>
                      <a:noFill/>
                    </a:ln>
                  </pic:spPr>
                </pic:pic>
              </a:graphicData>
            </a:graphic>
          </wp:inline>
        </w:drawing>
      </w:r>
    </w:p>
    <w:p w14:paraId="4BDE1AB1">
      <w:pPr>
        <w:pStyle w:val="19"/>
        <w:widowControl/>
        <w:numPr>
          <w:ilvl w:val="0"/>
          <w:numId w:val="0"/>
        </w:numPr>
        <w:adjustRightInd w:val="0"/>
        <w:spacing w:before="100" w:after="100" w:afterLines="0" w:afterAutospacing="0" w:line="300" w:lineRule="auto"/>
        <w:jc w:val="both"/>
      </w:pPr>
    </w:p>
    <w:p w14:paraId="6D42B435">
      <w:pPr>
        <w:pStyle w:val="19"/>
        <w:widowControl/>
        <w:numPr>
          <w:ilvl w:val="0"/>
          <w:numId w:val="0"/>
        </w:numPr>
        <w:adjustRightInd w:val="0"/>
        <w:spacing w:before="100" w:after="100" w:afterLines="0" w:afterAutospacing="0" w:line="300" w:lineRule="auto"/>
        <w:jc w:val="both"/>
      </w:pPr>
      <w:r>
        <w:rPr>
          <w:rFonts w:hint="eastAsia"/>
          <w:lang w:val="en-US" w:eastAsia="zh-CN"/>
        </w:rPr>
        <w:t>产品管控指标：</w:t>
      </w:r>
      <w:r>
        <w:rPr>
          <w:rFonts w:hint="eastAsia"/>
          <w:lang w:val="en-US" w:eastAsia="zh-CN"/>
        </w:rPr>
        <w:br w:type="textWrapping"/>
      </w:r>
      <w:r>
        <w:drawing>
          <wp:inline distT="0" distB="0" distL="114300" distR="114300">
            <wp:extent cx="5909310" cy="2283460"/>
            <wp:effectExtent l="0" t="0" r="15240" b="2540"/>
            <wp:docPr id="11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0"/>
                    <pic:cNvPicPr>
                      <a:picLocks noChangeAspect="1"/>
                    </pic:cNvPicPr>
                  </pic:nvPicPr>
                  <pic:blipFill>
                    <a:blip r:embed="rId49"/>
                    <a:stretch>
                      <a:fillRect/>
                    </a:stretch>
                  </pic:blipFill>
                  <pic:spPr>
                    <a:xfrm>
                      <a:off x="0" y="0"/>
                      <a:ext cx="5909310" cy="2283460"/>
                    </a:xfrm>
                    <a:prstGeom prst="rect">
                      <a:avLst/>
                    </a:prstGeom>
                    <a:noFill/>
                    <a:ln>
                      <a:noFill/>
                    </a:ln>
                  </pic:spPr>
                </pic:pic>
              </a:graphicData>
            </a:graphic>
          </wp:inline>
        </w:drawing>
      </w:r>
    </w:p>
    <w:p w14:paraId="1097686E">
      <w:pPr>
        <w:pStyle w:val="19"/>
        <w:widowControl/>
        <w:numPr>
          <w:ilvl w:val="0"/>
          <w:numId w:val="0"/>
        </w:numPr>
        <w:adjustRightInd w:val="0"/>
        <w:spacing w:before="100" w:after="100" w:afterLines="0" w:afterAutospacing="0" w:line="300" w:lineRule="auto"/>
        <w:jc w:val="both"/>
      </w:pPr>
    </w:p>
    <w:p w14:paraId="286383A5">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产品能耗明细：</w:t>
      </w:r>
      <w:r>
        <w:rPr>
          <w:rFonts w:hint="eastAsia"/>
          <w:lang w:val="en-US" w:eastAsia="zh-CN"/>
        </w:rPr>
        <w:br w:type="textWrapping"/>
      </w:r>
      <w:r>
        <w:drawing>
          <wp:inline distT="0" distB="0" distL="114300" distR="114300">
            <wp:extent cx="5909310" cy="2954655"/>
            <wp:effectExtent l="0" t="0" r="15240" b="17145"/>
            <wp:docPr id="1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1"/>
                    <pic:cNvPicPr>
                      <a:picLocks noChangeAspect="1"/>
                    </pic:cNvPicPr>
                  </pic:nvPicPr>
                  <pic:blipFill>
                    <a:blip r:embed="rId50"/>
                    <a:stretch>
                      <a:fillRect/>
                    </a:stretch>
                  </pic:blipFill>
                  <pic:spPr>
                    <a:xfrm>
                      <a:off x="0" y="0"/>
                      <a:ext cx="5909310" cy="2954655"/>
                    </a:xfrm>
                    <a:prstGeom prst="rect">
                      <a:avLst/>
                    </a:prstGeom>
                    <a:noFill/>
                    <a:ln>
                      <a:noFill/>
                    </a:ln>
                  </pic:spPr>
                </pic:pic>
              </a:graphicData>
            </a:graphic>
          </wp:inline>
        </w:drawing>
      </w: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5"/>
        </w:numPr>
        <w:ind w:left="0" w:leftChars="0" w:firstLine="0" w:firstLineChars="0"/>
        <w:outlineLvl w:val="1"/>
        <w:rPr>
          <w:rFonts w:eastAsia="黑体"/>
          <w:b w:val="0"/>
          <w:bCs w:val="0"/>
          <w:sz w:val="30"/>
          <w:szCs w:val="24"/>
        </w:rPr>
      </w:pPr>
      <w:bookmarkStart w:id="25" w:name="_Toc11046"/>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51"/>
                    <a:stretch>
                      <a:fillRect/>
                    </a:stretch>
                  </pic:blipFill>
                  <pic:spPr>
                    <a:xfrm>
                      <a:off x="0" y="0"/>
                      <a:ext cx="5900420" cy="2925445"/>
                    </a:xfrm>
                    <a:prstGeom prst="rect">
                      <a:avLst/>
                    </a:prstGeom>
                    <a:noFill/>
                    <a:ln>
                      <a:noFill/>
                    </a:ln>
                  </pic:spPr>
                </pic:pic>
              </a:graphicData>
            </a:graphic>
          </wp:inline>
        </w:drawing>
      </w:r>
    </w:p>
    <w:p w14:paraId="6C53373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numPr>
          <w:ilvl w:val="0"/>
          <w:numId w:val="79"/>
        </w:numPr>
        <w:bidi w:val="0"/>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BCE2481">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产品产值概览：</w:t>
      </w:r>
      <w:r>
        <w:rPr>
          <w:rFonts w:hint="eastAsia" w:cs="Times New Roman"/>
          <w:i w:val="0"/>
          <w:color w:val="1F2937"/>
          <w:sz w:val="24"/>
          <w:szCs w:val="24"/>
          <w:lang w:val="en-US" w:eastAsia="zh-CN"/>
        </w:rPr>
        <w:br w:type="textWrapping"/>
      </w:r>
      <w:r>
        <w:drawing>
          <wp:inline distT="0" distB="0" distL="114300" distR="114300">
            <wp:extent cx="5901690" cy="2171065"/>
            <wp:effectExtent l="0" t="0" r="3810" b="635"/>
            <wp:docPr id="11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2"/>
                    <pic:cNvPicPr>
                      <a:picLocks noChangeAspect="1"/>
                    </pic:cNvPicPr>
                  </pic:nvPicPr>
                  <pic:blipFill>
                    <a:blip r:embed="rId52"/>
                    <a:stretch>
                      <a:fillRect/>
                    </a:stretch>
                  </pic:blipFill>
                  <pic:spPr>
                    <a:xfrm>
                      <a:off x="0" y="0"/>
                      <a:ext cx="5901690" cy="2171065"/>
                    </a:xfrm>
                    <a:prstGeom prst="rect">
                      <a:avLst/>
                    </a:prstGeom>
                    <a:noFill/>
                    <a:ln>
                      <a:noFill/>
                    </a:ln>
                  </pic:spPr>
                </pic:pic>
              </a:graphicData>
            </a:graphic>
          </wp:inline>
        </w:drawing>
      </w:r>
    </w:p>
    <w:p w14:paraId="63A6E76F">
      <w:pPr>
        <w:pStyle w:val="19"/>
        <w:widowControl/>
        <w:numPr>
          <w:ilvl w:val="0"/>
          <w:numId w:val="0"/>
        </w:numPr>
        <w:adjustRightInd w:val="0"/>
        <w:spacing w:before="100" w:after="100" w:afterLines="0" w:afterAutospacing="0" w:line="300" w:lineRule="auto"/>
        <w:jc w:val="both"/>
      </w:pPr>
    </w:p>
    <w:p w14:paraId="56DD4858">
      <w:pPr>
        <w:pStyle w:val="19"/>
        <w:widowControl/>
        <w:numPr>
          <w:ilvl w:val="0"/>
          <w:numId w:val="0"/>
        </w:numPr>
        <w:adjustRightInd w:val="0"/>
        <w:spacing w:before="100" w:after="100" w:afterLines="0" w:afterAutospacing="0" w:line="300" w:lineRule="auto"/>
        <w:jc w:val="both"/>
      </w:pPr>
      <w:r>
        <w:rPr>
          <w:rFonts w:hint="eastAsia"/>
          <w:lang w:val="en-US" w:eastAsia="zh-CN"/>
        </w:rPr>
        <w:t>产品产值能耗：</w:t>
      </w:r>
      <w:r>
        <w:rPr>
          <w:rFonts w:hint="eastAsia"/>
          <w:lang w:val="en-US" w:eastAsia="zh-CN"/>
        </w:rPr>
        <w:br w:type="textWrapping"/>
      </w:r>
      <w:r>
        <w:drawing>
          <wp:inline distT="0" distB="0" distL="114300" distR="114300">
            <wp:extent cx="5904865" cy="1804035"/>
            <wp:effectExtent l="0" t="0" r="635" b="5715"/>
            <wp:docPr id="11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3"/>
                    <pic:cNvPicPr>
                      <a:picLocks noChangeAspect="1"/>
                    </pic:cNvPicPr>
                  </pic:nvPicPr>
                  <pic:blipFill>
                    <a:blip r:embed="rId53"/>
                    <a:stretch>
                      <a:fillRect/>
                    </a:stretch>
                  </pic:blipFill>
                  <pic:spPr>
                    <a:xfrm>
                      <a:off x="0" y="0"/>
                      <a:ext cx="5904865" cy="1804035"/>
                    </a:xfrm>
                    <a:prstGeom prst="rect">
                      <a:avLst/>
                    </a:prstGeom>
                    <a:noFill/>
                    <a:ln>
                      <a:noFill/>
                    </a:ln>
                  </pic:spPr>
                </pic:pic>
              </a:graphicData>
            </a:graphic>
          </wp:inline>
        </w:drawing>
      </w:r>
    </w:p>
    <w:p w14:paraId="179C5311">
      <w:pPr>
        <w:pStyle w:val="19"/>
        <w:widowControl/>
        <w:numPr>
          <w:ilvl w:val="0"/>
          <w:numId w:val="0"/>
        </w:numPr>
        <w:adjustRightInd w:val="0"/>
        <w:spacing w:before="100" w:after="100" w:afterLines="0" w:afterAutospacing="0" w:line="300" w:lineRule="auto"/>
        <w:jc w:val="both"/>
      </w:pPr>
    </w:p>
    <w:p w14:paraId="7B95C509">
      <w:pPr>
        <w:pStyle w:val="19"/>
        <w:widowControl/>
        <w:numPr>
          <w:ilvl w:val="0"/>
          <w:numId w:val="0"/>
        </w:numPr>
        <w:adjustRightInd w:val="0"/>
        <w:spacing w:before="100" w:after="100" w:afterLines="0" w:afterAutospacing="0" w:line="300" w:lineRule="auto"/>
        <w:jc w:val="both"/>
        <w:rPr>
          <w:rFonts w:hint="default"/>
          <w:lang w:val="en-US" w:eastAsia="zh-CN"/>
        </w:rPr>
      </w:pPr>
      <w:r>
        <w:rPr>
          <w:rFonts w:hint="eastAsia"/>
          <w:lang w:val="en-US" w:eastAsia="zh-CN"/>
        </w:rPr>
        <w:t>万元产值能耗</w:t>
      </w:r>
      <w:r>
        <w:rPr>
          <w:rFonts w:hint="eastAsia"/>
          <w:lang w:val="en-US" w:eastAsia="zh-CN"/>
        </w:rPr>
        <w:br w:type="textWrapping"/>
      </w:r>
      <w:r>
        <w:drawing>
          <wp:inline distT="0" distB="0" distL="114300" distR="114300">
            <wp:extent cx="5913755" cy="1661160"/>
            <wp:effectExtent l="0" t="0" r="10795" b="15240"/>
            <wp:docPr id="1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6"/>
                    <pic:cNvPicPr>
                      <a:picLocks noChangeAspect="1"/>
                    </pic:cNvPicPr>
                  </pic:nvPicPr>
                  <pic:blipFill>
                    <a:blip r:embed="rId54"/>
                    <a:stretch>
                      <a:fillRect/>
                    </a:stretch>
                  </pic:blipFill>
                  <pic:spPr>
                    <a:xfrm>
                      <a:off x="0" y="0"/>
                      <a:ext cx="5913755" cy="1661160"/>
                    </a:xfrm>
                    <a:prstGeom prst="rect">
                      <a:avLst/>
                    </a:prstGeom>
                    <a:noFill/>
                    <a:ln>
                      <a:noFill/>
                    </a:ln>
                  </pic:spPr>
                </pic:pic>
              </a:graphicData>
            </a:graphic>
          </wp:inline>
        </w:drawing>
      </w:r>
    </w:p>
    <w:p w14:paraId="61D66874">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1D0D17FD">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7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5"/>
        </w:numPr>
        <w:ind w:left="0" w:leftChars="0" w:firstLine="0" w:firstLineChars="0"/>
        <w:outlineLvl w:val="1"/>
        <w:rPr>
          <w:rFonts w:eastAsia="黑体"/>
          <w:b w:val="0"/>
          <w:bCs w:val="0"/>
          <w:sz w:val="30"/>
          <w:szCs w:val="24"/>
        </w:rPr>
      </w:pPr>
      <w:bookmarkStart w:id="26" w:name="_Toc24077"/>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55"/>
                    <a:stretch>
                      <a:fillRect/>
                    </a:stretch>
                  </pic:blipFill>
                  <pic:spPr>
                    <a:xfrm>
                      <a:off x="0" y="0"/>
                      <a:ext cx="5900420" cy="2925445"/>
                    </a:xfrm>
                    <a:prstGeom prst="rect">
                      <a:avLst/>
                    </a:prstGeom>
                    <a:noFill/>
                    <a:ln>
                      <a:noFill/>
                    </a:ln>
                  </pic:spPr>
                </pic:pic>
              </a:graphicData>
            </a:graphic>
          </wp:inline>
        </w:drawing>
      </w:r>
    </w:p>
    <w:p w14:paraId="35BA35FA">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F2937"/>
          <w:sz w:val="24"/>
          <w:szCs w:val="24"/>
        </w:rPr>
        <w:br w:type="textWrapping"/>
      </w:r>
      <w:r>
        <w:rPr>
          <w:rFonts w:hint="eastAsia" w:cs="Times New Roman"/>
          <w:i w:val="0"/>
          <w:color w:val="1F2937"/>
          <w:sz w:val="24"/>
          <w:szCs w:val="24"/>
          <w:lang w:val="en-US" w:eastAsia="zh-CN"/>
        </w:rPr>
        <w:t>核心指标对比：</w:t>
      </w:r>
      <w:r>
        <w:rPr>
          <w:rFonts w:ascii="Times New Roman" w:hAnsi="Times New Roman" w:eastAsia="宋体" w:cs="Times New Roman"/>
          <w:i w:val="0"/>
          <w:color w:val="1F2937"/>
          <w:sz w:val="24"/>
          <w:szCs w:val="24"/>
        </w:rPr>
        <w:br w:type="textWrapping"/>
      </w:r>
      <w:r>
        <w:drawing>
          <wp:inline distT="0" distB="0" distL="114300" distR="114300">
            <wp:extent cx="5908675" cy="2294255"/>
            <wp:effectExtent l="0" t="0" r="15875" b="10795"/>
            <wp:docPr id="12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
                    <pic:cNvPicPr>
                      <a:picLocks noChangeAspect="1"/>
                    </pic:cNvPicPr>
                  </pic:nvPicPr>
                  <pic:blipFill>
                    <a:blip r:embed="rId56"/>
                    <a:stretch>
                      <a:fillRect/>
                    </a:stretch>
                  </pic:blipFill>
                  <pic:spPr>
                    <a:xfrm>
                      <a:off x="0" y="0"/>
                      <a:ext cx="5908675" cy="2294255"/>
                    </a:xfrm>
                    <a:prstGeom prst="rect">
                      <a:avLst/>
                    </a:prstGeom>
                    <a:noFill/>
                    <a:ln>
                      <a:noFill/>
                    </a:ln>
                  </pic:spPr>
                </pic:pic>
              </a:graphicData>
            </a:graphic>
          </wp:inline>
        </w:drawing>
      </w:r>
      <w:r>
        <w:br w:type="textWrapping"/>
      </w:r>
      <w:r>
        <w:br w:type="textWrapping"/>
      </w:r>
      <w:r>
        <w:rPr>
          <w:rFonts w:hint="eastAsia"/>
          <w:lang w:val="en-US" w:eastAsia="zh-CN"/>
        </w:rPr>
        <w:t>零碳指标排名：</w:t>
      </w:r>
      <w:r>
        <w:rPr>
          <w:rFonts w:hint="eastAsia"/>
          <w:lang w:val="en-US" w:eastAsia="zh-CN"/>
        </w:rPr>
        <w:br w:type="textWrapping"/>
      </w:r>
      <w:r>
        <w:drawing>
          <wp:inline distT="0" distB="0" distL="114300" distR="114300">
            <wp:extent cx="5900420" cy="2258695"/>
            <wp:effectExtent l="0" t="0" r="5080" b="8255"/>
            <wp:docPr id="1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
                    <pic:cNvPicPr>
                      <a:picLocks noChangeAspect="1"/>
                    </pic:cNvPicPr>
                  </pic:nvPicPr>
                  <pic:blipFill>
                    <a:blip r:embed="rId57"/>
                    <a:stretch>
                      <a:fillRect/>
                    </a:stretch>
                  </pic:blipFill>
                  <pic:spPr>
                    <a:xfrm>
                      <a:off x="0" y="0"/>
                      <a:ext cx="5900420" cy="2258695"/>
                    </a:xfrm>
                    <a:prstGeom prst="rect">
                      <a:avLst/>
                    </a:prstGeom>
                    <a:noFill/>
                    <a:ln>
                      <a:noFill/>
                    </a:ln>
                  </pic:spPr>
                </pic:pic>
              </a:graphicData>
            </a:graphic>
          </wp:inline>
        </w:drawing>
      </w:r>
      <w:r>
        <w:br w:type="textWrapping"/>
      </w:r>
    </w:p>
    <w:p w14:paraId="00B335B3">
      <w:pPr>
        <w:pStyle w:val="19"/>
        <w:widowControl/>
        <w:ind w:left="0" w:leftChars="0" w:firstLine="0" w:firstLineChars="0"/>
      </w:pPr>
      <w:r>
        <w:rPr>
          <w:rFonts w:hint="eastAsia"/>
          <w:lang w:val="en-US" w:eastAsia="zh-CN"/>
        </w:rPr>
        <w:t>产品单耗对比（横向）：</w:t>
      </w:r>
      <w:r>
        <w:rPr>
          <w:rFonts w:hint="eastAsia"/>
          <w:lang w:val="en-US" w:eastAsia="zh-CN"/>
        </w:rPr>
        <w:br w:type="textWrapping"/>
      </w:r>
      <w:r>
        <w:drawing>
          <wp:inline distT="0" distB="0" distL="114300" distR="114300">
            <wp:extent cx="5908675" cy="2981960"/>
            <wp:effectExtent l="0" t="0" r="15875" b="8890"/>
            <wp:docPr id="12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
                    <pic:cNvPicPr>
                      <a:picLocks noChangeAspect="1"/>
                    </pic:cNvPicPr>
                  </pic:nvPicPr>
                  <pic:blipFill>
                    <a:blip r:embed="rId58"/>
                    <a:stretch>
                      <a:fillRect/>
                    </a:stretch>
                  </pic:blipFill>
                  <pic:spPr>
                    <a:xfrm>
                      <a:off x="0" y="0"/>
                      <a:ext cx="5908675" cy="2981960"/>
                    </a:xfrm>
                    <a:prstGeom prst="rect">
                      <a:avLst/>
                    </a:prstGeom>
                    <a:noFill/>
                    <a:ln>
                      <a:noFill/>
                    </a:ln>
                  </pic:spPr>
                </pic:pic>
              </a:graphicData>
            </a:graphic>
          </wp:inline>
        </w:drawing>
      </w:r>
      <w:r>
        <w:br w:type="textWrapping"/>
      </w:r>
    </w:p>
    <w:p w14:paraId="1E59210A">
      <w:pPr>
        <w:pStyle w:val="19"/>
        <w:widowControl/>
        <w:ind w:left="0" w:leftChars="0" w:firstLine="0" w:firstLineChars="0"/>
      </w:pPr>
      <w:r>
        <w:rPr>
          <w:rFonts w:hint="eastAsia"/>
          <w:lang w:val="en-US" w:eastAsia="zh-CN"/>
        </w:rPr>
        <w:t>工厂单耗分析：</w:t>
      </w:r>
      <w:r>
        <w:rPr>
          <w:rFonts w:hint="eastAsia"/>
          <w:lang w:val="en-US" w:eastAsia="zh-CN"/>
        </w:rPr>
        <w:br w:type="textWrapping"/>
      </w:r>
      <w:r>
        <w:drawing>
          <wp:inline distT="0" distB="0" distL="114300" distR="114300">
            <wp:extent cx="5913120" cy="4327525"/>
            <wp:effectExtent l="0" t="0" r="11430" b="15875"/>
            <wp:docPr id="12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
                    <pic:cNvPicPr>
                      <a:picLocks noChangeAspect="1"/>
                    </pic:cNvPicPr>
                  </pic:nvPicPr>
                  <pic:blipFill>
                    <a:blip r:embed="rId59"/>
                    <a:stretch>
                      <a:fillRect/>
                    </a:stretch>
                  </pic:blipFill>
                  <pic:spPr>
                    <a:xfrm>
                      <a:off x="0" y="0"/>
                      <a:ext cx="5913120" cy="4327525"/>
                    </a:xfrm>
                    <a:prstGeom prst="rect">
                      <a:avLst/>
                    </a:prstGeom>
                    <a:noFill/>
                    <a:ln>
                      <a:noFill/>
                    </a:ln>
                  </pic:spPr>
                </pic:pic>
              </a:graphicData>
            </a:graphic>
          </wp:inline>
        </w:drawing>
      </w:r>
    </w:p>
    <w:p w14:paraId="354856E9">
      <w:pPr>
        <w:pStyle w:val="19"/>
        <w:widowControl/>
        <w:ind w:left="0" w:leftChars="0" w:firstLine="0" w:firstLineChars="0"/>
      </w:pPr>
      <w:r>
        <w:rPr>
          <w:rFonts w:hint="default"/>
          <w:lang w:val="en-US" w:eastAsia="zh-CN"/>
        </w:rPr>
        <w:br w:type="textWrapping"/>
      </w:r>
      <w:r>
        <w:rPr>
          <w:rFonts w:hint="eastAsia"/>
          <w:lang w:val="en-US" w:eastAsia="zh-CN"/>
        </w:rPr>
        <w:t>产品单耗分析（纵向）：</w:t>
      </w:r>
      <w:r>
        <w:rPr>
          <w:rFonts w:hint="eastAsia"/>
          <w:lang w:val="en-US" w:eastAsia="zh-CN"/>
        </w:rPr>
        <w:br w:type="textWrapping"/>
      </w:r>
      <w:r>
        <w:drawing>
          <wp:inline distT="0" distB="0" distL="114300" distR="114300">
            <wp:extent cx="5908675" cy="3249930"/>
            <wp:effectExtent l="0" t="0" r="15875" b="7620"/>
            <wp:docPr id="1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1"/>
                    <pic:cNvPicPr>
                      <a:picLocks noChangeAspect="1"/>
                    </pic:cNvPicPr>
                  </pic:nvPicPr>
                  <pic:blipFill>
                    <a:blip r:embed="rId60"/>
                    <a:stretch>
                      <a:fillRect/>
                    </a:stretch>
                  </pic:blipFill>
                  <pic:spPr>
                    <a:xfrm>
                      <a:off x="0" y="0"/>
                      <a:ext cx="5908675" cy="3249930"/>
                    </a:xfrm>
                    <a:prstGeom prst="rect">
                      <a:avLst/>
                    </a:prstGeom>
                    <a:noFill/>
                    <a:ln>
                      <a:noFill/>
                    </a:ln>
                  </pic:spPr>
                </pic:pic>
              </a:graphicData>
            </a:graphic>
          </wp:inline>
        </w:drawing>
      </w:r>
    </w:p>
    <w:p w14:paraId="76740A2E">
      <w:pPr>
        <w:pStyle w:val="19"/>
        <w:widowControl/>
        <w:ind w:left="0" w:leftChars="0" w:firstLine="0" w:firstLineChars="0"/>
      </w:pPr>
    </w:p>
    <w:p w14:paraId="20733BA9">
      <w:pPr>
        <w:pStyle w:val="19"/>
        <w:widowControl/>
        <w:ind w:left="0" w:leftChars="0" w:firstLine="0" w:firstLineChars="0"/>
      </w:pPr>
      <w:r>
        <w:rPr>
          <w:rFonts w:hint="eastAsia"/>
          <w:lang w:val="en-US" w:eastAsia="zh-CN"/>
        </w:rPr>
        <w:t>关键工序对比分析：</w:t>
      </w:r>
      <w:r>
        <w:rPr>
          <w:rFonts w:hint="eastAsia"/>
          <w:lang w:val="en-US" w:eastAsia="zh-CN"/>
        </w:rPr>
        <w:br w:type="textWrapping"/>
      </w:r>
      <w:r>
        <w:drawing>
          <wp:inline distT="0" distB="0" distL="114300" distR="114300">
            <wp:extent cx="5912485" cy="3147695"/>
            <wp:effectExtent l="0" t="0" r="12065" b="14605"/>
            <wp:docPr id="12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2"/>
                    <pic:cNvPicPr>
                      <a:picLocks noChangeAspect="1"/>
                    </pic:cNvPicPr>
                  </pic:nvPicPr>
                  <pic:blipFill>
                    <a:blip r:embed="rId61"/>
                    <a:stretch>
                      <a:fillRect/>
                    </a:stretch>
                  </pic:blipFill>
                  <pic:spPr>
                    <a:xfrm>
                      <a:off x="0" y="0"/>
                      <a:ext cx="5912485" cy="3147695"/>
                    </a:xfrm>
                    <a:prstGeom prst="rect">
                      <a:avLst/>
                    </a:prstGeom>
                    <a:noFill/>
                    <a:ln>
                      <a:noFill/>
                    </a:ln>
                  </pic:spPr>
                </pic:pic>
              </a:graphicData>
            </a:graphic>
          </wp:inline>
        </w:drawing>
      </w:r>
    </w:p>
    <w:p w14:paraId="5AA05ABB">
      <w:pPr>
        <w:pStyle w:val="19"/>
        <w:widowControl/>
        <w:ind w:left="0" w:leftChars="0" w:firstLine="0" w:firstLineChars="0"/>
      </w:pPr>
    </w:p>
    <w:p w14:paraId="39C25D2D">
      <w:pPr>
        <w:pStyle w:val="19"/>
        <w:widowControl/>
        <w:ind w:left="0" w:leftChars="0" w:firstLine="0" w:firstLineChars="0"/>
      </w:pPr>
      <w:r>
        <w:rPr>
          <w:rFonts w:hint="eastAsia"/>
          <w:lang w:val="en-US" w:eastAsia="zh-CN"/>
        </w:rPr>
        <w:t>基准管理：</w:t>
      </w:r>
      <w:r>
        <w:rPr>
          <w:rFonts w:hint="eastAsia"/>
          <w:lang w:val="en-US" w:eastAsia="zh-CN"/>
        </w:rPr>
        <w:br w:type="textWrapping"/>
      </w:r>
      <w:r>
        <w:drawing>
          <wp:inline distT="0" distB="0" distL="114300" distR="114300">
            <wp:extent cx="5899785" cy="2308225"/>
            <wp:effectExtent l="0" t="0" r="5715" b="15875"/>
            <wp:docPr id="13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pic:cNvPicPr>
                      <a:picLocks noChangeAspect="1"/>
                    </pic:cNvPicPr>
                  </pic:nvPicPr>
                  <pic:blipFill>
                    <a:blip r:embed="rId62"/>
                    <a:stretch>
                      <a:fillRect/>
                    </a:stretch>
                  </pic:blipFill>
                  <pic:spPr>
                    <a:xfrm>
                      <a:off x="0" y="0"/>
                      <a:ext cx="5899785" cy="2308225"/>
                    </a:xfrm>
                    <a:prstGeom prst="rect">
                      <a:avLst/>
                    </a:prstGeom>
                    <a:noFill/>
                    <a:ln>
                      <a:noFill/>
                    </a:ln>
                  </pic:spPr>
                </pic:pic>
              </a:graphicData>
            </a:graphic>
          </wp:inline>
        </w:drawing>
      </w:r>
    </w:p>
    <w:p w14:paraId="7154BD1A">
      <w:pPr>
        <w:pStyle w:val="19"/>
        <w:widowControl/>
        <w:ind w:left="0" w:leftChars="0" w:firstLine="0" w:firstLineChars="0"/>
      </w:pPr>
    </w:p>
    <w:p w14:paraId="51E885BC">
      <w:pPr>
        <w:pStyle w:val="19"/>
        <w:widowControl/>
        <w:ind w:left="0" w:leftChars="0" w:firstLine="0" w:firstLineChars="0"/>
        <w:rPr>
          <w:rFonts w:hint="default"/>
          <w:lang w:val="en-US" w:eastAsia="zh-CN"/>
        </w:rPr>
      </w:pPr>
      <w:r>
        <w:rPr>
          <w:rFonts w:hint="default"/>
          <w:lang w:val="en-US" w:eastAsia="zh-CN"/>
        </w:rPr>
        <w:br w:type="textWrapping"/>
      </w:r>
      <w:r>
        <w:rPr>
          <w:rFonts w:hint="eastAsia"/>
          <w:lang w:val="en-US" w:eastAsia="zh-CN"/>
        </w:rPr>
        <w:t>基准数据参数：</w:t>
      </w:r>
      <w:r>
        <w:rPr>
          <w:rFonts w:hint="eastAsia"/>
          <w:lang w:val="en-US" w:eastAsia="zh-CN"/>
        </w:rPr>
        <w:br w:type="textWrapping"/>
      </w:r>
      <w:r>
        <w:drawing>
          <wp:inline distT="0" distB="0" distL="114300" distR="114300">
            <wp:extent cx="4772660" cy="4821555"/>
            <wp:effectExtent l="0" t="0" r="8890" b="17145"/>
            <wp:docPr id="13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6"/>
                    <pic:cNvPicPr>
                      <a:picLocks noChangeAspect="1"/>
                    </pic:cNvPicPr>
                  </pic:nvPicPr>
                  <pic:blipFill>
                    <a:blip r:embed="rId63"/>
                    <a:stretch>
                      <a:fillRect/>
                    </a:stretch>
                  </pic:blipFill>
                  <pic:spPr>
                    <a:xfrm>
                      <a:off x="0" y="0"/>
                      <a:ext cx="4772660" cy="4821555"/>
                    </a:xfrm>
                    <a:prstGeom prst="rect">
                      <a:avLst/>
                    </a:prstGeom>
                    <a:noFill/>
                    <a:ln>
                      <a:noFill/>
                    </a:ln>
                  </pic:spPr>
                </pic:pic>
              </a:graphicData>
            </a:graphic>
          </wp:inline>
        </w:drawing>
      </w:r>
    </w:p>
    <w:p w14:paraId="2725AA4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4CB6690A">
      <w:pPr>
        <w:spacing w:after="60"/>
        <w:rPr>
          <w:rFonts w:hint="eastAsia" w:ascii="宋体" w:hAnsi="宋体" w:eastAsia="宋体" w:cs="宋体"/>
          <w:i w:val="0"/>
          <w:iCs w:val="0"/>
          <w:sz w:val="24"/>
          <w:szCs w:val="24"/>
        </w:rPr>
      </w:pPr>
    </w:p>
    <w:p w14:paraId="5FCDA8D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7" w:name="_Toc30127"/>
      <w:r>
        <w:rPr>
          <w:rFonts w:ascii="Times New Roman" w:hAnsi="Times New Roman" w:eastAsia="黑体" w:cs="Times New Roman"/>
          <w:b w:val="0"/>
          <w:bCs w:val="0"/>
          <w:sz w:val="30"/>
          <w:szCs w:val="32"/>
        </w:rPr>
        <w:t>零碳项目评估</w:t>
      </w:r>
      <w:bookmarkEnd w:id="27"/>
    </w:p>
    <w:p w14:paraId="23F1C6EE">
      <w:pPr>
        <w:pStyle w:val="5"/>
        <w:numPr>
          <w:ilvl w:val="0"/>
          <w:numId w:val="86"/>
        </w:numPr>
        <w:ind w:left="0" w:leftChars="0" w:firstLine="0" w:firstLineChars="0"/>
        <w:outlineLvl w:val="1"/>
        <w:rPr>
          <w:rFonts w:eastAsia="黑体"/>
          <w:b w:val="0"/>
          <w:bCs w:val="0"/>
          <w:sz w:val="30"/>
          <w:szCs w:val="24"/>
        </w:rPr>
      </w:pPr>
      <w:bookmarkStart w:id="28" w:name="_Toc2741"/>
      <w:r>
        <w:rPr>
          <w:rFonts w:ascii="Times New Roman" w:hAnsi="Times New Roman" w:eastAsia="黑体" w:cs="Times New Roman"/>
          <w:b w:val="0"/>
          <w:bCs w:val="0"/>
          <w:sz w:val="30"/>
          <w:szCs w:val="24"/>
        </w:rPr>
        <w:t>项目档案管理</w:t>
      </w:r>
      <w:bookmarkEnd w:id="28"/>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4"/>
                    <a:stretch>
                      <a:fillRect/>
                    </a:stretch>
                  </pic:blipFill>
                  <pic:spPr>
                    <a:xfrm>
                      <a:off x="0" y="0"/>
                      <a:ext cx="5900420" cy="2925445"/>
                    </a:xfrm>
                    <a:prstGeom prst="rect">
                      <a:avLst/>
                    </a:prstGeom>
                    <a:noFill/>
                    <a:ln>
                      <a:noFill/>
                    </a:ln>
                  </pic:spPr>
                </pic:pic>
              </a:graphicData>
            </a:graphic>
          </wp:inline>
        </w:drawing>
      </w:r>
    </w:p>
    <w:p w14:paraId="33396B7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1D465D59">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C049352">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添加档案管理：</w:t>
      </w:r>
      <w:r>
        <w:rPr>
          <w:rFonts w:hint="eastAsia" w:cs="Times New Roman"/>
          <w:i w:val="0"/>
          <w:color w:val="1F2937"/>
          <w:sz w:val="24"/>
          <w:szCs w:val="24"/>
          <w:lang w:val="en-US" w:eastAsia="zh-CN"/>
        </w:rPr>
        <w:br w:type="textWrapping"/>
      </w:r>
      <w:r>
        <w:drawing>
          <wp:inline distT="0" distB="0" distL="114300" distR="114300">
            <wp:extent cx="5911215" cy="4638040"/>
            <wp:effectExtent l="0" t="0" r="13335" b="10160"/>
            <wp:docPr id="1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7"/>
                    <pic:cNvPicPr>
                      <a:picLocks noChangeAspect="1"/>
                    </pic:cNvPicPr>
                  </pic:nvPicPr>
                  <pic:blipFill>
                    <a:blip r:embed="rId65"/>
                    <a:stretch>
                      <a:fillRect/>
                    </a:stretch>
                  </pic:blipFill>
                  <pic:spPr>
                    <a:xfrm>
                      <a:off x="0" y="0"/>
                      <a:ext cx="5911215" cy="4638040"/>
                    </a:xfrm>
                    <a:prstGeom prst="rect">
                      <a:avLst/>
                    </a:prstGeom>
                    <a:noFill/>
                    <a:ln>
                      <a:noFill/>
                    </a:ln>
                  </pic:spPr>
                </pic:pic>
              </a:graphicData>
            </a:graphic>
          </wp:inline>
        </w:drawing>
      </w:r>
    </w:p>
    <w:p w14:paraId="03FE7B55">
      <w:pPr>
        <w:pStyle w:val="19"/>
        <w:widowControl/>
        <w:numPr>
          <w:ilvl w:val="0"/>
          <w:numId w:val="0"/>
        </w:numPr>
        <w:adjustRightInd w:val="0"/>
        <w:spacing w:before="100" w:after="100" w:afterLines="0" w:afterAutospacing="0" w:line="300" w:lineRule="auto"/>
        <w:jc w:val="both"/>
        <w:rPr>
          <w:rFonts w:hint="default"/>
          <w:lang w:val="en-US" w:eastAsia="zh-CN"/>
        </w:rPr>
      </w:pPr>
    </w:p>
    <w:p w14:paraId="550E1E5D">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6674109">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86"/>
        </w:numPr>
        <w:ind w:left="0" w:leftChars="0" w:firstLine="0" w:firstLineChars="0"/>
        <w:outlineLvl w:val="1"/>
        <w:rPr>
          <w:rFonts w:eastAsia="黑体"/>
          <w:b w:val="0"/>
          <w:bCs w:val="0"/>
          <w:sz w:val="30"/>
          <w:szCs w:val="24"/>
        </w:rPr>
      </w:pPr>
      <w:bookmarkStart w:id="29" w:name="_Toc12557"/>
      <w:r>
        <w:rPr>
          <w:rFonts w:ascii="Times New Roman" w:hAnsi="Times New Roman" w:eastAsia="黑体" w:cs="Times New Roman"/>
          <w:b w:val="0"/>
          <w:bCs w:val="0"/>
          <w:sz w:val="30"/>
          <w:szCs w:val="24"/>
        </w:rPr>
        <w:t>实时监控</w:t>
      </w:r>
      <w:bookmarkEnd w:id="29"/>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66"/>
                    <a:stretch>
                      <a:fillRect/>
                    </a:stretch>
                  </pic:blipFill>
                  <pic:spPr>
                    <a:xfrm>
                      <a:off x="0" y="0"/>
                      <a:ext cx="5900420" cy="2925445"/>
                    </a:xfrm>
                    <a:prstGeom prst="rect">
                      <a:avLst/>
                    </a:prstGeom>
                    <a:noFill/>
                    <a:ln>
                      <a:noFill/>
                    </a:ln>
                  </pic:spPr>
                </pic:pic>
              </a:graphicData>
            </a:graphic>
          </wp:inline>
        </w:drawing>
      </w:r>
    </w:p>
    <w:p w14:paraId="1007803F">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541AE5EE">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光伏：</w:t>
      </w:r>
      <w:r>
        <w:rPr>
          <w:rFonts w:hint="eastAsia" w:cs="Times New Roman"/>
          <w:i w:val="0"/>
          <w:color w:val="1F2937"/>
          <w:sz w:val="24"/>
          <w:szCs w:val="24"/>
          <w:lang w:val="en-US" w:eastAsia="zh-CN"/>
        </w:rPr>
        <w:br w:type="textWrapping"/>
      </w:r>
      <w:r>
        <w:drawing>
          <wp:inline distT="0" distB="0" distL="114300" distR="114300">
            <wp:extent cx="5904865" cy="3836670"/>
            <wp:effectExtent l="0" t="0" r="635" b="11430"/>
            <wp:docPr id="13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8"/>
                    <pic:cNvPicPr>
                      <a:picLocks noChangeAspect="1"/>
                    </pic:cNvPicPr>
                  </pic:nvPicPr>
                  <pic:blipFill>
                    <a:blip r:embed="rId67"/>
                    <a:stretch>
                      <a:fillRect/>
                    </a:stretch>
                  </pic:blipFill>
                  <pic:spPr>
                    <a:xfrm>
                      <a:off x="0" y="0"/>
                      <a:ext cx="5904865" cy="3836670"/>
                    </a:xfrm>
                    <a:prstGeom prst="rect">
                      <a:avLst/>
                    </a:prstGeom>
                    <a:noFill/>
                    <a:ln>
                      <a:noFill/>
                    </a:ln>
                  </pic:spPr>
                </pic:pic>
              </a:graphicData>
            </a:graphic>
          </wp:inline>
        </w:drawing>
      </w:r>
    </w:p>
    <w:p w14:paraId="59C7CAD6">
      <w:pPr>
        <w:pStyle w:val="19"/>
        <w:widowControl/>
        <w:numPr>
          <w:ilvl w:val="0"/>
          <w:numId w:val="0"/>
        </w:numPr>
        <w:adjustRightInd w:val="0"/>
        <w:spacing w:before="100" w:after="100" w:afterLines="0" w:afterAutospacing="0" w:line="300" w:lineRule="auto"/>
        <w:jc w:val="both"/>
      </w:pPr>
    </w:p>
    <w:p w14:paraId="576CFD3B">
      <w:pPr>
        <w:pStyle w:val="19"/>
        <w:widowControl/>
        <w:numPr>
          <w:ilvl w:val="0"/>
          <w:numId w:val="0"/>
        </w:numPr>
        <w:adjustRightInd w:val="0"/>
        <w:spacing w:before="100" w:after="100" w:afterLines="0" w:afterAutospacing="0" w:line="300" w:lineRule="auto"/>
        <w:jc w:val="both"/>
      </w:pPr>
      <w:r>
        <w:rPr>
          <w:rFonts w:hint="eastAsia"/>
          <w:lang w:val="en-US" w:eastAsia="zh-CN"/>
        </w:rPr>
        <w:t>储能：</w:t>
      </w:r>
      <w:r>
        <w:rPr>
          <w:rFonts w:hint="eastAsia"/>
          <w:lang w:val="en-US" w:eastAsia="zh-CN"/>
        </w:rPr>
        <w:br w:type="textWrapping"/>
      </w:r>
      <w:r>
        <w:drawing>
          <wp:inline distT="0" distB="0" distL="114300" distR="114300">
            <wp:extent cx="5913755" cy="3926205"/>
            <wp:effectExtent l="0" t="0" r="10795" b="17145"/>
            <wp:docPr id="13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89"/>
                    <pic:cNvPicPr>
                      <a:picLocks noChangeAspect="1"/>
                    </pic:cNvPicPr>
                  </pic:nvPicPr>
                  <pic:blipFill>
                    <a:blip r:embed="rId68"/>
                    <a:stretch>
                      <a:fillRect/>
                    </a:stretch>
                  </pic:blipFill>
                  <pic:spPr>
                    <a:xfrm>
                      <a:off x="0" y="0"/>
                      <a:ext cx="5913755" cy="3926205"/>
                    </a:xfrm>
                    <a:prstGeom prst="rect">
                      <a:avLst/>
                    </a:prstGeom>
                    <a:noFill/>
                    <a:ln>
                      <a:noFill/>
                    </a:ln>
                  </pic:spPr>
                </pic:pic>
              </a:graphicData>
            </a:graphic>
          </wp:inline>
        </w:drawing>
      </w:r>
    </w:p>
    <w:p w14:paraId="4B783382">
      <w:pPr>
        <w:pStyle w:val="19"/>
        <w:widowControl/>
        <w:numPr>
          <w:ilvl w:val="0"/>
          <w:numId w:val="0"/>
        </w:numPr>
        <w:adjustRightInd w:val="0"/>
        <w:spacing w:before="100" w:after="100" w:afterLines="0" w:afterAutospacing="0" w:line="300" w:lineRule="auto"/>
        <w:jc w:val="both"/>
      </w:pPr>
    </w:p>
    <w:p w14:paraId="5C79657D">
      <w:pPr>
        <w:pStyle w:val="19"/>
        <w:widowControl/>
        <w:numPr>
          <w:ilvl w:val="0"/>
          <w:numId w:val="0"/>
        </w:numPr>
        <w:adjustRightInd w:val="0"/>
        <w:spacing w:before="100" w:after="100" w:afterLines="0" w:afterAutospacing="0" w:line="300" w:lineRule="auto"/>
        <w:jc w:val="both"/>
      </w:pPr>
      <w:r>
        <w:rPr>
          <w:rFonts w:hint="eastAsia"/>
          <w:lang w:val="en-US" w:eastAsia="zh-CN"/>
        </w:rPr>
        <w:t>热泵：</w:t>
      </w:r>
      <w:r>
        <w:rPr>
          <w:rFonts w:hint="eastAsia"/>
          <w:lang w:val="en-US" w:eastAsia="zh-CN"/>
        </w:rPr>
        <w:br w:type="textWrapping"/>
      </w:r>
      <w:r>
        <w:drawing>
          <wp:inline distT="0" distB="0" distL="114300" distR="114300">
            <wp:extent cx="5909310" cy="3850005"/>
            <wp:effectExtent l="0" t="0" r="15240" b="17145"/>
            <wp:docPr id="1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0"/>
                    <pic:cNvPicPr>
                      <a:picLocks noChangeAspect="1"/>
                    </pic:cNvPicPr>
                  </pic:nvPicPr>
                  <pic:blipFill>
                    <a:blip r:embed="rId69"/>
                    <a:stretch>
                      <a:fillRect/>
                    </a:stretch>
                  </pic:blipFill>
                  <pic:spPr>
                    <a:xfrm>
                      <a:off x="0" y="0"/>
                      <a:ext cx="5909310" cy="3850005"/>
                    </a:xfrm>
                    <a:prstGeom prst="rect">
                      <a:avLst/>
                    </a:prstGeom>
                    <a:noFill/>
                    <a:ln>
                      <a:noFill/>
                    </a:ln>
                  </pic:spPr>
                </pic:pic>
              </a:graphicData>
            </a:graphic>
          </wp:inline>
        </w:drawing>
      </w:r>
    </w:p>
    <w:p w14:paraId="22294CC3">
      <w:pPr>
        <w:pStyle w:val="19"/>
        <w:widowControl/>
        <w:numPr>
          <w:ilvl w:val="0"/>
          <w:numId w:val="0"/>
        </w:numPr>
        <w:adjustRightInd w:val="0"/>
        <w:spacing w:before="100" w:after="100" w:afterLines="0" w:afterAutospacing="0" w:line="300" w:lineRule="auto"/>
        <w:jc w:val="both"/>
      </w:pPr>
    </w:p>
    <w:p w14:paraId="06551AD5">
      <w:pPr>
        <w:pStyle w:val="19"/>
        <w:widowControl/>
        <w:numPr>
          <w:ilvl w:val="0"/>
          <w:numId w:val="0"/>
        </w:numPr>
        <w:adjustRightInd w:val="0"/>
        <w:spacing w:before="100" w:after="100" w:afterLines="0" w:afterAutospacing="0" w:line="300" w:lineRule="auto"/>
        <w:jc w:val="both"/>
        <w:rPr>
          <w:rFonts w:hint="eastAsia" w:eastAsia="宋体"/>
          <w:lang w:val="en-US" w:eastAsia="zh-CN"/>
        </w:rPr>
      </w:pPr>
      <w:r>
        <w:rPr>
          <w:rFonts w:hint="eastAsia"/>
          <w:lang w:val="en-US" w:eastAsia="zh-CN"/>
        </w:rPr>
        <w:t>空调：</w:t>
      </w:r>
      <w:r>
        <w:rPr>
          <w:rFonts w:hint="eastAsia"/>
          <w:lang w:val="en-US" w:eastAsia="zh-CN"/>
        </w:rPr>
        <w:br w:type="textWrapping"/>
      </w:r>
      <w:r>
        <w:drawing>
          <wp:inline distT="0" distB="0" distL="114300" distR="114300">
            <wp:extent cx="5913755" cy="3881120"/>
            <wp:effectExtent l="0" t="0" r="10795" b="5080"/>
            <wp:docPr id="1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1"/>
                    <pic:cNvPicPr>
                      <a:picLocks noChangeAspect="1"/>
                    </pic:cNvPicPr>
                  </pic:nvPicPr>
                  <pic:blipFill>
                    <a:blip r:embed="rId70"/>
                    <a:stretch>
                      <a:fillRect/>
                    </a:stretch>
                  </pic:blipFill>
                  <pic:spPr>
                    <a:xfrm>
                      <a:off x="0" y="0"/>
                      <a:ext cx="5913755" cy="3881120"/>
                    </a:xfrm>
                    <a:prstGeom prst="rect">
                      <a:avLst/>
                    </a:prstGeom>
                    <a:noFill/>
                    <a:ln>
                      <a:noFill/>
                    </a:ln>
                  </pic:spPr>
                </pic:pic>
              </a:graphicData>
            </a:graphic>
          </wp:inline>
        </w:drawing>
      </w:r>
    </w:p>
    <w:p w14:paraId="05D3EBC0">
      <w:pPr>
        <w:pStyle w:val="19"/>
        <w:widowControl/>
        <w:numPr>
          <w:ilvl w:val="0"/>
          <w:numId w:val="0"/>
        </w:numPr>
        <w:adjustRightInd w:val="0"/>
        <w:spacing w:before="100" w:after="100" w:afterLines="0" w:afterAutospacing="0" w:line="300" w:lineRule="auto"/>
        <w:jc w:val="both"/>
        <w:rPr>
          <w:rFonts w:hint="default"/>
          <w:lang w:val="en-US" w:eastAsia="zh-CN"/>
        </w:rPr>
      </w:pPr>
    </w:p>
    <w:p w14:paraId="53374346">
      <w:pPr>
        <w:pStyle w:val="19"/>
        <w:widowControl/>
        <w:numPr>
          <w:ilvl w:val="0"/>
          <w:numId w:val="0"/>
        </w:numPr>
        <w:adjustRightInd w:val="0"/>
        <w:spacing w:before="100" w:after="100" w:afterLines="0" w:afterAutospacing="0" w:line="300" w:lineRule="auto"/>
        <w:jc w:val="both"/>
        <w:rPr>
          <w:rFonts w:hint="default"/>
          <w:lang w:val="en-US" w:eastAsia="zh-CN"/>
        </w:rPr>
      </w:pPr>
    </w:p>
    <w:p w14:paraId="33476929">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370E85">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86"/>
        </w:numPr>
        <w:ind w:left="0" w:leftChars="0" w:firstLine="0" w:firstLineChars="0"/>
        <w:outlineLvl w:val="1"/>
        <w:rPr>
          <w:rFonts w:eastAsia="黑体"/>
          <w:b w:val="0"/>
          <w:bCs w:val="0"/>
          <w:sz w:val="30"/>
          <w:szCs w:val="24"/>
        </w:rPr>
      </w:pPr>
      <w:bookmarkStart w:id="30" w:name="_Toc25143"/>
      <w:r>
        <w:rPr>
          <w:rFonts w:ascii="Times New Roman" w:hAnsi="Times New Roman" w:eastAsia="黑体" w:cs="Times New Roman"/>
          <w:b w:val="0"/>
          <w:bCs w:val="0"/>
          <w:sz w:val="30"/>
          <w:szCs w:val="24"/>
        </w:rPr>
        <w:t>项目运行评估</w:t>
      </w:r>
      <w:bookmarkEnd w:id="30"/>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71"/>
                    <a:stretch>
                      <a:fillRect/>
                    </a:stretch>
                  </pic:blipFill>
                  <pic:spPr>
                    <a:xfrm>
                      <a:off x="0" y="0"/>
                      <a:ext cx="5900420" cy="2925445"/>
                    </a:xfrm>
                    <a:prstGeom prst="rect">
                      <a:avLst/>
                    </a:prstGeom>
                    <a:noFill/>
                    <a:ln>
                      <a:noFill/>
                    </a:ln>
                  </pic:spPr>
                </pic:pic>
              </a:graphicData>
            </a:graphic>
          </wp:inline>
        </w:drawing>
      </w:r>
    </w:p>
    <w:p w14:paraId="08ED313A">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9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86"/>
        </w:numPr>
        <w:ind w:left="0" w:leftChars="0" w:firstLine="0" w:firstLineChars="0"/>
        <w:outlineLvl w:val="1"/>
        <w:rPr>
          <w:rFonts w:eastAsia="黑体"/>
          <w:b w:val="0"/>
          <w:bCs w:val="0"/>
          <w:sz w:val="30"/>
          <w:szCs w:val="24"/>
        </w:rPr>
      </w:pPr>
      <w:bookmarkStart w:id="31" w:name="_Toc9430"/>
      <w:r>
        <w:rPr>
          <w:rFonts w:ascii="Times New Roman" w:hAnsi="Times New Roman" w:eastAsia="黑体" w:cs="Times New Roman"/>
          <w:b w:val="0"/>
          <w:bCs w:val="0"/>
          <w:sz w:val="30"/>
          <w:szCs w:val="24"/>
        </w:rPr>
        <w:t>零碳工厂自评估</w:t>
      </w:r>
      <w:bookmarkEnd w:id="31"/>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72"/>
                    <a:stretch>
                      <a:fillRect/>
                    </a:stretch>
                  </pic:blipFill>
                  <pic:spPr>
                    <a:xfrm>
                      <a:off x="0" y="0"/>
                      <a:ext cx="5900420" cy="2925445"/>
                    </a:xfrm>
                    <a:prstGeom prst="rect">
                      <a:avLst/>
                    </a:prstGeom>
                    <a:noFill/>
                    <a:ln>
                      <a:noFill/>
                    </a:ln>
                  </pic:spPr>
                </pic:pic>
              </a:graphicData>
            </a:graphic>
          </wp:inline>
        </w:drawing>
      </w:r>
    </w:p>
    <w:p w14:paraId="7070707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0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2" w:name="_Toc21137"/>
      <w:r>
        <w:rPr>
          <w:rFonts w:ascii="Times New Roman" w:hAnsi="Times New Roman" w:eastAsia="黑体" w:cs="Times New Roman"/>
          <w:b w:val="0"/>
          <w:bCs w:val="0"/>
          <w:sz w:val="30"/>
          <w:szCs w:val="32"/>
        </w:rPr>
        <w:t>统计报表</w:t>
      </w:r>
      <w:bookmarkEnd w:id="32"/>
    </w:p>
    <w:p w14:paraId="67D9D936">
      <w:pPr>
        <w:pStyle w:val="5"/>
        <w:numPr>
          <w:ilvl w:val="0"/>
          <w:numId w:val="106"/>
        </w:numPr>
        <w:ind w:left="0" w:leftChars="0" w:firstLine="0" w:firstLineChars="0"/>
        <w:outlineLvl w:val="1"/>
        <w:rPr>
          <w:rFonts w:eastAsia="黑体"/>
          <w:b w:val="0"/>
          <w:bCs w:val="0"/>
          <w:sz w:val="30"/>
          <w:szCs w:val="24"/>
        </w:rPr>
      </w:pPr>
      <w:bookmarkStart w:id="33" w:name="_Toc16583"/>
      <w:r>
        <w:rPr>
          <w:rFonts w:ascii="Times New Roman" w:hAnsi="Times New Roman" w:eastAsia="黑体" w:cs="Times New Roman"/>
          <w:b w:val="0"/>
          <w:bCs w:val="0"/>
          <w:sz w:val="30"/>
          <w:szCs w:val="24"/>
        </w:rPr>
        <w:t>用能报表</w:t>
      </w:r>
      <w:bookmarkEnd w:id="33"/>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73"/>
                    <a:stretch>
                      <a:fillRect/>
                    </a:stretch>
                  </pic:blipFill>
                  <pic:spPr>
                    <a:xfrm>
                      <a:off x="0" y="0"/>
                      <a:ext cx="5900420" cy="2925445"/>
                    </a:xfrm>
                    <a:prstGeom prst="rect">
                      <a:avLst/>
                    </a:prstGeom>
                    <a:noFill/>
                    <a:ln>
                      <a:noFill/>
                    </a:ln>
                  </pic:spPr>
                </pic:pic>
              </a:graphicData>
            </a:graphic>
          </wp:inline>
        </w:drawing>
      </w:r>
    </w:p>
    <w:p w14:paraId="39613AA7">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0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06"/>
        </w:numPr>
        <w:ind w:left="0" w:leftChars="0" w:firstLine="0" w:firstLineChars="0"/>
        <w:outlineLvl w:val="1"/>
        <w:rPr>
          <w:rFonts w:eastAsia="黑体"/>
          <w:b w:val="0"/>
          <w:bCs w:val="0"/>
          <w:sz w:val="30"/>
          <w:szCs w:val="24"/>
        </w:rPr>
      </w:pPr>
      <w:bookmarkStart w:id="34" w:name="_Toc18272"/>
      <w:r>
        <w:rPr>
          <w:rFonts w:ascii="Times New Roman" w:hAnsi="Times New Roman" w:eastAsia="黑体" w:cs="Times New Roman"/>
          <w:b w:val="0"/>
          <w:bCs w:val="0"/>
          <w:sz w:val="30"/>
          <w:szCs w:val="24"/>
        </w:rPr>
        <w:t>成本报表</w:t>
      </w:r>
      <w:bookmarkEnd w:id="34"/>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74"/>
                    <a:stretch>
                      <a:fillRect/>
                    </a:stretch>
                  </pic:blipFill>
                  <pic:spPr>
                    <a:xfrm>
                      <a:off x="0" y="0"/>
                      <a:ext cx="5900420" cy="2925445"/>
                    </a:xfrm>
                    <a:prstGeom prst="rect">
                      <a:avLst/>
                    </a:prstGeom>
                    <a:noFill/>
                    <a:ln>
                      <a:noFill/>
                    </a:ln>
                  </pic:spPr>
                </pic:pic>
              </a:graphicData>
            </a:graphic>
          </wp:inline>
        </w:drawing>
      </w:r>
    </w:p>
    <w:p w14:paraId="51EBACF1">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1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06"/>
        </w:numPr>
        <w:ind w:left="0" w:leftChars="0" w:firstLine="0" w:firstLineChars="0"/>
        <w:outlineLvl w:val="1"/>
        <w:rPr>
          <w:rFonts w:eastAsia="黑体"/>
          <w:b w:val="0"/>
          <w:bCs w:val="0"/>
          <w:sz w:val="30"/>
          <w:szCs w:val="24"/>
        </w:rPr>
      </w:pPr>
      <w:bookmarkStart w:id="35" w:name="_Toc22933"/>
      <w:r>
        <w:rPr>
          <w:rFonts w:ascii="Times New Roman" w:hAnsi="Times New Roman" w:eastAsia="黑体" w:cs="Times New Roman"/>
          <w:b w:val="0"/>
          <w:bCs w:val="0"/>
          <w:sz w:val="30"/>
          <w:szCs w:val="24"/>
        </w:rPr>
        <w:t>单耗报表</w:t>
      </w:r>
      <w:bookmarkEnd w:id="35"/>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5"/>
                    <a:stretch>
                      <a:fillRect/>
                    </a:stretch>
                  </pic:blipFill>
                  <pic:spPr>
                    <a:xfrm>
                      <a:off x="0" y="0"/>
                      <a:ext cx="5900420" cy="2925445"/>
                    </a:xfrm>
                    <a:prstGeom prst="rect">
                      <a:avLst/>
                    </a:prstGeom>
                    <a:noFill/>
                    <a:ln>
                      <a:noFill/>
                    </a:ln>
                  </pic:spPr>
                </pic:pic>
              </a:graphicData>
            </a:graphic>
          </wp:inline>
        </w:drawing>
      </w:r>
    </w:p>
    <w:p w14:paraId="6970784A">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19"/>
        </w:numPr>
        <w:ind w:left="0" w:leftChars="0" w:firstLine="482" w:firstLineChars="0"/>
        <w:rPr>
          <w:rFonts w:eastAsia="宋体"/>
          <w:b/>
          <w:i w:val="0"/>
          <w:color w:val="0284C7"/>
          <w:sz w:val="24"/>
          <w:szCs w:val="24"/>
        </w:rPr>
      </w:pPr>
    </w:p>
    <w:p w14:paraId="4D42ACA2">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F4F0D5">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6" w:name="_Toc9191"/>
      <w:r>
        <w:rPr>
          <w:rFonts w:hint="eastAsia" w:cs="Times New Roman"/>
          <w:b w:val="0"/>
          <w:bCs w:val="0"/>
          <w:sz w:val="30"/>
          <w:szCs w:val="32"/>
          <w:lang w:val="en-US" w:eastAsia="zh-CN"/>
        </w:rPr>
        <w:t>企业基础信息</w:t>
      </w:r>
      <w:bookmarkEnd w:id="36"/>
    </w:p>
    <w:p w14:paraId="4EA01BBA">
      <w:pPr>
        <w:pStyle w:val="5"/>
        <w:numPr>
          <w:ilvl w:val="0"/>
          <w:numId w:val="122"/>
        </w:numPr>
        <w:ind w:left="0" w:leftChars="0" w:firstLine="0" w:firstLineChars="0"/>
        <w:outlineLvl w:val="1"/>
        <w:rPr>
          <w:rFonts w:eastAsia="黑体"/>
          <w:b w:val="0"/>
          <w:bCs w:val="0"/>
          <w:sz w:val="30"/>
          <w:szCs w:val="24"/>
        </w:rPr>
      </w:pPr>
      <w:bookmarkStart w:id="37" w:name="_Toc10576"/>
      <w:r>
        <w:rPr>
          <w:rFonts w:hint="eastAsia" w:cs="Times New Roman"/>
          <w:b w:val="0"/>
          <w:bCs w:val="0"/>
          <w:sz w:val="30"/>
          <w:szCs w:val="24"/>
          <w:lang w:val="en-US" w:eastAsia="zh-CN"/>
        </w:rPr>
        <w:t>企业基础信息</w:t>
      </w:r>
      <w:bookmarkEnd w:id="37"/>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pic:cNvPicPr>
                      <a:picLocks noChangeAspect="1"/>
                    </pic:cNvPicPr>
                  </pic:nvPicPr>
                  <pic:blipFill>
                    <a:blip r:embed="rId76"/>
                    <a:stretch>
                      <a:fillRect/>
                    </a:stretch>
                  </pic:blipFill>
                  <pic:spPr>
                    <a:xfrm>
                      <a:off x="0" y="0"/>
                      <a:ext cx="5900420" cy="2925445"/>
                    </a:xfrm>
                    <a:prstGeom prst="rect">
                      <a:avLst/>
                    </a:prstGeom>
                    <a:noFill/>
                    <a:ln>
                      <a:noFill/>
                    </a:ln>
                  </pic:spPr>
                </pic:pic>
              </a:graphicData>
            </a:graphic>
          </wp:inline>
        </w:drawing>
      </w:r>
    </w:p>
    <w:p w14:paraId="253DADD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27BE3BAA">
      <w:pPr>
        <w:pStyle w:val="19"/>
        <w:widowControl/>
        <w:rPr>
          <w:rFonts w:ascii="Times New Roman" w:hAnsi="Times New Roman" w:eastAsia="宋体" w:cs="Times New Roman"/>
          <w:i w:val="0"/>
          <w:color w:val="1F2937"/>
          <w:sz w:val="24"/>
          <w:szCs w:val="24"/>
        </w:rPr>
      </w:pPr>
    </w:p>
    <w:p w14:paraId="5265E0B6">
      <w:pPr>
        <w:pStyle w:val="19"/>
        <w:widowControl/>
        <w:ind w:left="0" w:leftChars="0" w:firstLine="0" w:firstLineChars="0"/>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申报数据：</w:t>
      </w:r>
      <w:r>
        <w:rPr>
          <w:rFonts w:hint="eastAsia" w:cs="Times New Roman"/>
          <w:i w:val="0"/>
          <w:color w:val="1F2937"/>
          <w:sz w:val="24"/>
          <w:szCs w:val="24"/>
          <w:lang w:val="en-US" w:eastAsia="zh-CN"/>
        </w:rPr>
        <w:br w:type="textWrapping"/>
      </w:r>
      <w:r>
        <w:drawing>
          <wp:inline distT="0" distB="0" distL="114300" distR="114300">
            <wp:extent cx="5906770" cy="3542665"/>
            <wp:effectExtent l="0" t="0" r="17780" b="635"/>
            <wp:docPr id="13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3"/>
                    <pic:cNvPicPr>
                      <a:picLocks noChangeAspect="1"/>
                    </pic:cNvPicPr>
                  </pic:nvPicPr>
                  <pic:blipFill>
                    <a:blip r:embed="rId77"/>
                    <a:stretch>
                      <a:fillRect/>
                    </a:stretch>
                  </pic:blipFill>
                  <pic:spPr>
                    <a:xfrm>
                      <a:off x="0" y="0"/>
                      <a:ext cx="5906770" cy="3542665"/>
                    </a:xfrm>
                    <a:prstGeom prst="rect">
                      <a:avLst/>
                    </a:prstGeom>
                    <a:noFill/>
                    <a:ln>
                      <a:noFill/>
                    </a:ln>
                  </pic:spPr>
                </pic:pic>
              </a:graphicData>
            </a:graphic>
          </wp:inline>
        </w:drawing>
      </w:r>
    </w:p>
    <w:p w14:paraId="4F834F29">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2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22"/>
        </w:numPr>
        <w:ind w:left="0" w:leftChars="0" w:firstLine="0" w:firstLineChars="0"/>
        <w:outlineLvl w:val="1"/>
        <w:rPr>
          <w:rFonts w:eastAsia="黑体"/>
          <w:b w:val="0"/>
          <w:bCs w:val="0"/>
          <w:sz w:val="30"/>
          <w:szCs w:val="24"/>
        </w:rPr>
      </w:pPr>
      <w:bookmarkStart w:id="38" w:name="_Toc30311"/>
      <w:r>
        <w:rPr>
          <w:rFonts w:hint="eastAsia"/>
          <w:b w:val="0"/>
          <w:bCs w:val="0"/>
          <w:sz w:val="30"/>
          <w:szCs w:val="24"/>
          <w:lang w:val="en-US" w:eastAsia="zh-CN"/>
        </w:rPr>
        <w:t>零碳工厂信息</w:t>
      </w:r>
      <w:bookmarkEnd w:id="38"/>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78"/>
                    <a:stretch>
                      <a:fillRect/>
                    </a:stretch>
                  </pic:blipFill>
                  <pic:spPr>
                    <a:xfrm>
                      <a:off x="0" y="0"/>
                      <a:ext cx="5900420" cy="2925445"/>
                    </a:xfrm>
                    <a:prstGeom prst="rect">
                      <a:avLst/>
                    </a:prstGeom>
                    <a:noFill/>
                    <a:ln>
                      <a:noFill/>
                    </a:ln>
                  </pic:spPr>
                </pic:pic>
              </a:graphicData>
            </a:graphic>
          </wp:inline>
        </w:drawing>
      </w:r>
    </w:p>
    <w:p w14:paraId="154452A7">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39" w:name="_Toc6112"/>
      <w:r>
        <w:rPr>
          <w:rFonts w:ascii="Times New Roman" w:hAnsi="Times New Roman" w:eastAsia="黑体" w:cs="Times New Roman"/>
          <w:b w:val="0"/>
          <w:bCs w:val="0"/>
          <w:sz w:val="32"/>
          <w:szCs w:val="44"/>
        </w:rPr>
        <w:t>产品碳足迹集采中心功能需求规格</w:t>
      </w:r>
      <w:bookmarkEnd w:id="39"/>
    </w:p>
    <w:p w14:paraId="7645DB9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本章严格按照系统切换到【产品碳足迹集采中心】后的 6 大一级主导航分层展开，全面覆盖产品全生命周期 LCA 建模、ISO 14067 认证、二维码数字碳标签以及欧盟 CBAM 关税申报的相关需求。6 大板块依次为：对外示范窗口、多维分析、实景数据库与碳足迹核算、CBAM 管理、第三方认证管理、因子库管理，共 16 个三级功能模块，统一采用八段式描述范式。</w:t>
      </w:r>
    </w:p>
    <w:p w14:paraId="22E04D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本章的功能权限矩阵参见附录 E《角色与权限矩阵》（P4 碳核算工程师 / P5 报关与关税专家 / P6 外部独立审计机构）；验收用例即为各模块八段式第 ⑧ 段「QA 自动化验收准则（Gherkin BDD）」，验收基线与通过判据集中收录于第十二章《测试与验收基线》；LCA / CBAM 相关的错误码统一收录于第六章《工程治理、状态机与合规保障体系》之「标准化错误码字典与异常分级」，格式规范为 E_&lt;DOMAIN&gt;_&lt;MODULE&gt;_&lt;REASON&gt;[_&lt;SUFFIX&gt;]。</w:t>
      </w:r>
    </w:p>
    <w:p w14:paraId="79994B6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【与第四章的职责边界】本章各模块对基础因子（电力 / 能源活动 / 折标煤 / 原材料）一律为只读引用与查询视图，因子的新增、编辑、版本发布与回滚统一在第四章《系统管理、基础参数设置》→「能碳基础因子管理」中完成。第三章与第四章的因子数值、单位、版本号必须保持同源一致，任一处的版本发布须在同一事务内向两章视图同步。</w:t>
      </w:r>
    </w:p>
    <w:p w14:paraId="467CF17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二章的职责边界】本章所需的生产数据（工序四元组、批次产量、用能台账、绿电核销记录）来自第二章零碳园区集控中心；本章账期为运行态数据的核算态映射，核算结果反向约束第二章的指标管控与对标基准。项目公司（非实体工厂）在本章全部统计口径中默认排除，仅在明示勾选时纳入。</w:t>
      </w:r>
    </w:p>
    <w:p w14:paraId="5B45C204">
      <w:pPr>
        <w:pStyle w:val="4"/>
        <w:numPr>
          <w:ilvl w:val="0"/>
          <w:numId w:val="135"/>
        </w:numPr>
        <w:topLinePunct w:val="0"/>
        <w:ind w:left="0" w:leftChars="0" w:firstLine="0" w:firstLineChars="0"/>
        <w:outlineLvl w:val="0"/>
        <w:rPr>
          <w:rFonts w:hint="eastAsia" w:eastAsia="黑体"/>
          <w:b w:val="0"/>
          <w:bCs w:val="0"/>
          <w:sz w:val="30"/>
          <w:szCs w:val="32"/>
        </w:rPr>
      </w:pPr>
      <w:bookmarkStart w:id="40" w:name="_Toc30505"/>
      <w:r>
        <w:rPr>
          <w:rFonts w:ascii="Times New Roman" w:hAnsi="Times New Roman" w:eastAsia="黑体" w:cs="Times New Roman"/>
          <w:b w:val="0"/>
          <w:bCs w:val="0"/>
          <w:sz w:val="30"/>
          <w:szCs w:val="32"/>
        </w:rPr>
        <w:t>对外示范窗口</w:t>
      </w:r>
      <w:bookmarkEnd w:id="40"/>
    </w:p>
    <w:p w14:paraId="134A11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板块导语｜对外示范窗口</w:t>
      </w:r>
    </w:p>
    <w:p w14:paraId="3B14D65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本板块是产品碳足迹集采中心唯一的对外开放界面，面向国际客户、海外驻华使节、欧盟碳边境调节机制审查专员与第三方审计机构，以"看得懂的碳数据"呈现特变电工出口主力品类的碳足迹全景。板块下辖 1 个模块：碳足迹总览驾驶舱。</w:t>
      </w:r>
    </w:p>
    <w:p w14:paraId="4C91DB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边界声明：本板块只呈现已认证 / 已发布状态的数据，是核算态结果的"只读投影"，不具备任何写入、重算与状态流转能力；其数值必须与已签发认证报告逐位一致。板块内所有字段执行对外脱敏白名单（不含供应商名称、工艺配方、采购单价、人员信息），数据分级统一为 PUBLIC。</w:t>
      </w:r>
    </w:p>
    <w:p w14:paraId="6A387BC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与「实景数据库」的区别：本板块是面向外部的一次性脱敏快照（PUBLIC，可扫码验真）；实景数据库是面向内部的逐型号明细台账（INTERNAL/SENSITIVE，含原始凭证）。二者数值同源，展示粒度与合规边界不同。</w:t>
      </w:r>
    </w:p>
    <w:p w14:paraId="39BCBB03">
      <w:pPr>
        <w:pStyle w:val="5"/>
        <w:numPr>
          <w:ilvl w:val="0"/>
          <w:numId w:val="136"/>
        </w:numPr>
        <w:ind w:left="0" w:leftChars="0" w:firstLine="0" w:firstLineChars="0"/>
        <w:outlineLvl w:val="1"/>
        <w:rPr>
          <w:rFonts w:ascii="Times New Roman" w:hAnsi="Times New Roman" w:eastAsia="黑体" w:cs="Times New Roman"/>
          <w:b w:val="0"/>
          <w:bCs w:val="0"/>
          <w:sz w:val="30"/>
          <w:szCs w:val="24"/>
        </w:rPr>
      </w:pPr>
      <w:bookmarkStart w:id="41" w:name="_Toc13410"/>
      <w:r>
        <w:rPr>
          <w:rFonts w:ascii="Times New Roman" w:hAnsi="Times New Roman" w:eastAsia="黑体" w:cs="Times New Roman"/>
          <w:b w:val="0"/>
          <w:bCs w:val="0"/>
          <w:sz w:val="30"/>
          <w:szCs w:val="24"/>
        </w:rPr>
        <w:t xml:space="preserve">碳足迹总览驾驶舱</w:t>
      </w:r>
      <w:bookmarkEnd w:id="41"/>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
                    <pic:cNvPicPr>
                      <a:picLocks noChangeAspect="1"/>
                    </pic:cNvPicPr>
                  </pic:nvPicPr>
                  <pic:blipFill>
                    <a:blip r:embed="rId79"/>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746C89">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5093C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对外视图不按组织树过滤，但数值均来自实体工厂汇总，项目公司不计入）；跨单位聚合＝含全部实体工厂，默认排除项目公司；对外可见档位＝PUBLIC（脱敏白名单裁剪后对外展示）；越权或白名单外对象访问返回 403 并输出「未授权公示」占位，记录审计日志。</w:t>
      </w:r>
    </w:p>
    <w:p w14:paraId="1B0559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统计区间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止；跨度 ≤ 24 个月；默认近 8 个月（截图默认 2026-01 ~ 2026-08）</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品类签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全部品类(18) ｜ 变压器 ｜ 线缆 ｜ 开关柜 ｜ GIS ｜ 电容器 ｜ 电抗器 ｜ 套管 ｜ 互感器 ｜ 硅钢芯</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视图切换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卡片（默认）／列表；同一路由，刷新不改变统计口径</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品类名称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取自产品品类主数据，与第四章「产品品类管理」同源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型号数量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个</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1；为 0 时该品类卡片整体不渲染（不留空白占位）</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综合碳足迹单位值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随品类，见单位矩阵</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0；与已签发认证报告逐位一致，容差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生命周期四阶段占比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原材料获取 / 生产制造 / 原材料运输 / 废弃物处理；四者之和 = 100.00%，容差 ≤ ±0.01%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核心主材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脱敏后展示； 禁止 出现供应商名称、工艺配方</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2D2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1D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代表性型号实景数据</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C0F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 + 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C42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1BB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型号须存在于产品型号主数据；无实景数据时该子块隐藏</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0C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21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代表性成品类数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D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B0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类</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8D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6A5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78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数据截止时间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D64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3FB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E1D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页面底部常驻，格式 YYYY-MM-DD</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3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12</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7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E397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106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A4E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v2024.1 ；与因子库管理板块同源</w:t>
            </w:r>
          </w:p>
        </w:tc>
      </w:tr>
    </w:tbl>
    <w:p w14:paraId="583434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品类—单位—实测值矩阵（截图为准，可直接作为验收基线）：</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5B13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品类</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8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综合碳足迹单位</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BA6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实测值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C02A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代表性型号</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A4B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代表性型号单位值 / 成品类数</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A9B2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变压器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E60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242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142.6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809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S22-M-400/10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6E1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88.4 kgCO₂e/kVA ｜ 9 类</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B41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线缆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FA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kgCO₂e/km</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32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3.82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E11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WDZA-YJV-0.6/1-4×95</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69B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2.35 kgCO₂e/km ｜ 4 类</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B20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开关柜</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kgCO₂e/面</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F4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86.5</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04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XGN15-12</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0E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78.4 kgCO₂e/面 ｜ 4 类</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E9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电容器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779F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kgCO₂e/kvar</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4785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24.8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20D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BAM6-334-1W</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414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23.2 kgCO₂e/kvar ｜ 4 类</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85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电抗器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03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18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98.4</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656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CKGL-35-1200-6</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98.6 kgCO₂e/kVA ｜ 4 类</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2C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套管</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02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AA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45.2</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DF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BRDW-35/630</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13B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36.5 kgCO₂e/支 ｜ 3 类</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D48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互感器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CF6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06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32.6</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2D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TG-10</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18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18.5 kgCO₂e/台 ｜ 4 类</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AC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GIS</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1F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kgCO₂e/间隔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35A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315.8</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E7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ZF12-126(L)</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38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286.0 kgCO₂e/间隔 ｜ 4 类</w:t>
            </w:r>
          </w:p>
        </w:tc>
      </w:tr>
    </w:tbl>
    <w:p w14:paraId="004620A1">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 = E_raw + E_trans + E_manuf + E_test + E_pack　——　单台产品全生命周期碳足迹（五阶段加总）</w:t>
            </w:r>
          </w:p>
          <w:p w14:paraId="6C516F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R_stage = E_stage ÷ E_PCF × 100%　——　各阶段碳排占比（对外以四阶段环带呈现）</w:t>
            </w:r>
          </w:p>
          <w:p w14:paraId="5E69098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Save_CBAM = Export_Qty × Embedded_Carbon × (Price_EU_ETS − Price_Domestic)　——　CBAM 关税节省测算</w:t>
            </w:r>
          </w:p>
          <w:p w14:paraId="561A18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Hash_sign = SIGN_SHA256(BatchNo + PrivateKey_CA)　——　数字碳标签防伪签名哈希</w:t>
            </w:r>
          </w:p>
          <w:p w14:paraId="246020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单位产品碳足迹（对外比较基准，Feature 为 kVA / km / 面 / kvar / 支 / 台 / 间隔）</w:t>
            </w:r>
          </w:p>
        </w:tc>
      </w:tr>
    </w:tbl>
    <w:p w14:paraId="763499E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变量定义与取值约定：五阶段碳排定义详见本章 碳足迹核算模块；Price_EU_ETS 为欧洲能源交易所碳配额结算均价，取自 EEX 官方接口最新周结算均价；Price_Domestic 为国内已支付碳成本折算价；PrivateKey_CA 为认证机构签发私钥，仅存于 HSM 硬件模块，不出库、不落日志。</w:t>
      </w:r>
    </w:p>
    <w:p w14:paraId="748A3E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取值示例：变压器品类代表性型号 S22-M-400/10，E_PCF = 88.4 kgCO₂e/kVA；其四阶段构成为 原材料获取 61%、生产制造 24%、原材料运输 9%、废弃物处理 5%（合计 99%，残差 1% 为四舍五入尾差，前端按最大项吸收后强制显示合计 100%）。</w:t>
      </w:r>
    </w:p>
    <w:p w14:paraId="3B4407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精度与容差：碳足迹值保留 4 位小数；阶段占比保留 2 位小数，四阶段之和与 100.00% 的容差 ≤ ±0.01%；Save_CBAM 保留 2 位小数、单位 €；签名哈希固定 64 位十六进制小写。</w:t>
      </w:r>
    </w:p>
    <w:p w14:paraId="2FA0D389">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70A278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边界口径：对外展示统一采用 Cradle-to-Gate（摇篮到大门）边界，并在页面显著位置标注。</w:t>
      </w:r>
    </w:p>
    <w:p w14:paraId="7A0CF3B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数据脱敏口径：对外版本按白名单裁剪字段，不呈现供应商名称、工艺配方等 L2 以上敏感信息。</w:t>
      </w:r>
    </w:p>
    <w:p w14:paraId="63B675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时效口径：页面底部常驻展示数据截止时间与因子版本号。</w:t>
      </w:r>
    </w:p>
    <w:p w14:paraId="212C770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口径一致性：对外展示数值必须与已签发认证报告完全一致（逐位比对，容差 0），不允许展示草稿态数据。</w:t>
      </w:r>
    </w:p>
    <w:p w14:paraId="7714BB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阶段占比配平阈值：四阶段之和 = 100.00%，容差 ≤ ±0.01%，超差即阻断上屏；② 碳价时效阈值：EEX 碳价同步滞后 &gt; 24 小时判为陈旧，标黄并展示价格时间戳；③ 数据新鲜度阈值：数据截止时间距今 &gt; 24 小时，页头展示"数据可能滞后"灰条（不阻断展示）；④ 一致性判定基准来源：认证结果管理模块中状态为「有效」的证书所关联的 LCA 报告值；⑤ 品类单位基准来源：产品品类主数据（第四章「产品品类管理」）；⑥ 因子版本基准来源：因子库管理板块当前生效版本。</w:t>
      </w:r>
    </w:p>
    <w:p w14:paraId="524F9B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876A7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p w14:paraId="40E89E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组织越权或非白名单对象访问对外驾驶舱：返回 403 并输出「未授权公示」占位页，同时写入审计日志（操作人、IP、时间、目标模块）。</w:t>
            </w:r>
          </w:p>
          <w:p w14:paraId="59E33CC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品类卡片存在但区间内无任何已认证数据：整张卡片不渲染，不得输出 0 或空白占位框。</w:t>
            </w:r>
          </w:p>
          <w:p w14:paraId="64C3DF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阶段占比四舍五入后合计 ≠ 100.00%：按最大占比项吸收尾差后强制显示 100.00%，并在数据字典中固化该规则（禁止前端直接显示 99% 或 101%）。</w:t>
            </w:r>
          </w:p>
        </w:tc>
      </w:tr>
    </w:tbl>
    <w:p w14:paraId="4D748162">
      <w:pPr>
        <w:spacing w:after="40"/>
        <w:rPr>
          <w:rFonts w:hint="eastAsia" w:ascii="宋体" w:hAnsi="宋体" w:eastAsia="宋体" w:cs="宋体"/>
          <w:i w:val="0"/>
          <w:iCs w:val="0"/>
          <w:sz w:val="24"/>
          <w:szCs w:val="24"/>
        </w:rPr>
      </w:pPr>
    </w:p>
    <w:p w14:paraId="7E6E09CD">
      <w:pPr>
        <w:pStyle w:val="6"/>
        <w:numPr>
          <w:ilvl w:val="0"/>
          <w:numId w:val="13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5F807AF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数字碳标签签名校验失败兜底</w:t>
            </w:r>
          </w:p>
          <w:p w14:paraId="409059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某产品数字碳标签的防伪签名哈希与认证机构公钥验签不通过</w:t>
            </w:r>
          </w:p>
          <w:p w14:paraId="533F374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参观者扫码触发查验弹窗</w:t>
            </w:r>
          </w:p>
          <w:p w14:paraId="297220F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弹窗显著标注"验真失败"</w:t>
            </w:r>
          </w:p>
          <w:p w14:paraId="6B0077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不展示任何溯源明细与供应链节点</w:t>
            </w:r>
          </w:p>
          <w:p w14:paraId="6FEE96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E_QR_SIGN_VERIFY_FAILED</w:t>
            </w:r>
          </w:p>
        </w:tc>
      </w:tr>
    </w:tbl>
    <w:p w14:paraId="5578F86A">
      <w:pPr>
        <w:spacing w:after="40"/>
        <w:rPr>
          <w:rFonts w:hint="eastAsia" w:ascii="宋体" w:hAnsi="宋体" w:eastAsia="宋体" w:cs="宋体"/>
          <w:i w:val="0"/>
          <w:iCs w:val="0"/>
          <w:sz w:val="24"/>
          <w:szCs w:val="24"/>
        </w:rPr>
      </w:pPr>
    </w:p>
    <w:p w14:paraId="61235EAF">
      <w:pPr>
        <w:pStyle w:val="4"/>
        <w:numPr>
          <w:ilvl w:val="0"/>
          <w:numId w:val="135"/>
        </w:numPr>
        <w:topLinePunct w:val="0"/>
        <w:ind w:left="0" w:leftChars="0" w:firstLine="0" w:firstLineChars="0"/>
        <w:outlineLvl w:val="0"/>
        <w:rPr>
          <w:rFonts w:hint="eastAsia" w:eastAsia="黑体"/>
          <w:b w:val="0"/>
          <w:bCs w:val="0"/>
          <w:sz w:val="30"/>
          <w:szCs w:val="32"/>
        </w:rPr>
      </w:pPr>
      <w:bookmarkStart w:id="42" w:name="_Toc14569"/>
      <w:r>
        <w:rPr>
          <w:rFonts w:ascii="Times New Roman" w:hAnsi="Times New Roman" w:eastAsia="黑体" w:cs="Times New Roman"/>
          <w:b w:val="0"/>
          <w:bCs w:val="0"/>
          <w:sz w:val="30"/>
          <w:szCs w:val="32"/>
        </w:rPr>
        <w:t>多维分析</w:t>
      </w:r>
      <w:bookmarkEnd w:id="42"/>
    </w:p>
    <w:p w14:paraId="4D650E3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板块导语｜多维分析</w:t>
      </w:r>
    </w:p>
    <w:p w14:paraId="7291039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本板块回答"谁高谁低、为什么高、往哪降"三个问题，是碳足迹从"记录"走向"决策"的分析中枢。板块下辖 2 个模块：横向对比（同一规格、不同生产基地之间的空间对标）与纵向对比（同一型号、不同生产批次之间的时间趋势与归因）。</w:t>
      </w:r>
    </w:p>
    <w:p w14:paraId="2B8DE9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边界声明：本板块为只读分析，不产生任何写入；分析结果的"改进清单"以建议形式输出，须人工确认后方可形成技改立项依据。板块数据范围受组织树 RLS 约束，跨经营单位聚合默认排除项目公司。</w:t>
      </w:r>
    </w:p>
    <w:p w14:paraId="3A4C03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指标管控」（第二章）的区别：第二章对标的是能耗与能效指标（tce/万元、kWh/台）；本板块对标的是碳足迹指标（kgCO₂e/特征量）。两者共用同一条组织树与账期，但指标体系、基准线来源与达标判定相互独立，不得互相替代。</w:t>
      </w:r>
    </w:p>
    <w:p w14:paraId="06C8EC8B">
      <w:pPr>
        <w:pStyle w:val="5"/>
        <w:numPr>
          <w:ilvl w:val="0"/>
          <w:numId w:val="142"/>
        </w:numPr>
        <w:ind w:left="0" w:leftChars="0" w:firstLine="0" w:firstLineChars="0"/>
        <w:outlineLvl w:val="1"/>
        <w:rPr>
          <w:rFonts w:eastAsia="黑体"/>
          <w:b w:val="0"/>
          <w:bCs w:val="0"/>
          <w:sz w:val="30"/>
          <w:szCs w:val="24"/>
        </w:rPr>
      </w:pPr>
      <w:bookmarkStart w:id="43" w:name="_Toc20078"/>
      <w:r>
        <w:rPr>
          <w:rFonts w:ascii="Times New Roman" w:hAnsi="Times New Roman" w:eastAsia="黑体" w:cs="Times New Roman"/>
          <w:b w:val="0"/>
          <w:bCs w:val="0"/>
          <w:sz w:val="30"/>
          <w:szCs w:val="24"/>
        </w:rPr>
        <w:t xml:space="preserve">横向对比</w:t>
      </w:r>
      <w:bookmarkEnd w:id="43"/>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80"/>
                    <a:stretch>
                      <a:fillRect/>
                    </a:stretch>
                  </pic:blipFill>
                  <pic:spPr>
                    <a:xfrm>
                      <a:off x="0" y="0"/>
                      <a:ext cx="5900420" cy="2925445"/>
                    </a:xfrm>
                    <a:prstGeom prst="rect">
                      <a:avLst/>
                    </a:prstGeom>
                    <a:noFill/>
                    <a:ln>
                      <a:noFill/>
                    </a:ln>
                  </pic:spPr>
                </pic:pic>
              </a:graphicData>
            </a:graphic>
          </wp:inline>
        </w:drawing>
      </w:r>
    </w:p>
    <w:p w14:paraId="26FC4F4B">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347CBC7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数据权限：可查看组织范围＝本级及以下（按六级组织树 RLS 穿透），P4 可查看全集团、P2 限本园区及以下；跨单位聚合＝默认仅实体工厂，项目公司强制置灰且不计入排名与均值；对外可见档位＝SENSITIVE（对外须脱敏为品类均值区间，不下发单基地明细）；越权返回 403 + E_AUTH_RLS_SCOPE_DENIED。</w:t>
      </w:r>
    </w:p>
    <w:p w14:paraId="6C7FFA19">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B3D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D39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23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936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A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195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20C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D52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BB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76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起 ≤ 止；默认当月向前 3 个月（截图 2026-06 ~ 2026-08）</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50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1116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产业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35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四级级联枚举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E27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804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上级变更时下级逐级重置为首项；产品型号可空（空则按中类汇总）</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E6D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49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涉及经营单位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1E32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614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家</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B76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参与本次对比的实体工厂数；含锁形图标表示受 RLS 约束</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88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02D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生产订单数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A8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E83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650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点击可展开各经营单位明细；为 0 时整表输出空态</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C90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6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产品特征量</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F9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E1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E1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电压等级（kV）＋ 容量（MVA）；决定单位化分母，缺失即置 --</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A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C62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各经营单位产品碳足迹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1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99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升序 排名；第 1 名为低碳标杆；同一特征量口径内比较</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3F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E4A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生命周期各阶段碳排对比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2E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分组柱状图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8EF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F63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按四阶段分组，支持「按构成分析」切换为占比堆叠</w:t>
            </w:r>
          </w:p>
        </w:tc>
      </w:tr>
    </w:tbl>
    <w:p w14:paraId="3C4A3CF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BBBB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w:t>
            </w:r>
          </w:p>
          <w:p w14:paraId="748188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R_stage = E_stage ÷ E_PCF × 100%　——　各阶段构成占比</w:t>
            </w:r>
          </w:p>
          <w:p w14:paraId="318801F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Mean_unit = Σ CF_unit,i ÷ N　——　单位产品碳足迹均值（N 为参与单位数，不含项目公司）</w:t>
            </w:r>
          </w:p>
          <w:p w14:paraId="4B151F2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Status = (CF_unit ≤ Benchmark) ? 达标 : 超基准　——　达标判定</w:t>
            </w:r>
          </w:p>
        </w:tc>
      </w:tr>
    </w:tbl>
    <w:p w14:paraId="215A32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变量定义与取值约定：Feature 为特征量（变压器 kVA、电缆 km、开关柜 面/间隔）；E_PCF 为该单位该型号的单台全生命周期碳足迹；Benchmark 取自基准管理配置。</w:t>
      </w:r>
    </w:p>
    <w:p w14:paraId="58B253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取值示例：筛选「变压器-高压 / 交流变压器-110KV」，参与对比 5 家经营单位，各基地单位产品碳足迹为 新疆自控 7.3700、上开 7.8460、天变沈阳基地 8.0670、事达赛迪 8.1260、京津翼科技 8.2030 kgCO₂e/台 → 均值 Mean_unit = 39.6120 ÷ 5 = 7.9224 kgCO₂e/台；以均值作临时基准判定：新疆自控达标（↓），上开 / 天变沈阳基地 / 事达赛迪 / 京津翼科技均超基准（↑）。</w:t>
      </w:r>
    </w:p>
    <w:p w14:paraId="4F4328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精度与容差：碳足迹值保留 4 位小数；均值计算采用"先全精度累加、末位一次舍入"，容差 ≤ ±0.0001；排名并列时按经营单位编码升序确定座次（不并列同名次）。</w:t>
      </w:r>
    </w:p>
    <w:p w14:paraId="207BB16A">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C0168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可比口径：所有对比必须在同一特征量口径下进行，严禁跨特征量（如 kVA 与 km）直接对比。</w:t>
      </w:r>
    </w:p>
    <w:p w14:paraId="6C68399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基准口径：基准线取自基准管理配置，超基准柱标红。</w:t>
      </w:r>
    </w:p>
    <w:p w14:paraId="5B1C2CC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排名口径：按单位产品碳足迹升序排名，第 1 名为低碳标杆；项目公司行置灰且不计入排名序号。</w:t>
      </w:r>
    </w:p>
    <w:p w14:paraId="25EFB3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筛级口径：上级筛选变更时逐级重置下级到首项，避免残留无效组合。</w:t>
      </w:r>
    </w:p>
    <w:p w14:paraId="34C84E6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排名基数阈值：参与排名的有效单位 ≥ 2 家方可输出排名，单位数 &lt; 2 时仅输出单点值不输出名次；② 均值有效性阈值：有效样本数 ≥ 3 才输出均值，否则标注"样本不足"；③ 特征量阈值：Feature ≤ 0 或缺失一律置 --，不参与排名与均值（不按 0 参与统计）；④ 基准来源：第四章「费价模型 / 指标基准」配置的品类级基准值，按「产品中类 × 账期」唯一；⑤ 达标判据：CF_unit ≤ Benchmark 判达标，严格小于与等于均视为达标（不设缓冲带）；⑥ 排序口径：升序，差额 &lt; 0.0001 视为并列，按组织编码升序破平。</w:t>
      </w:r>
    </w:p>
    <w:p w14:paraId="109B6DB8">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3B404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--，该实体不参与排名与均值计算，触发 E_BIZ_COMPARE_FEATURE_ZERO（200，安全兜底，无报错弹窗）。</w:t>
            </w:r>
          </w:p>
          <w:p w14:paraId="366E2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筛选组合无数据：主对比图与排名表输出客观空态"当前条件下无可比数据"，不显示空白占位卡片，返回 E_BIZ_COMPARE_NO_DATA（200，信息级）。</w:t>
            </w:r>
          </w:p>
          <w:p w14:paraId="6DD6D2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跨特征量对比：前端禁止（下拉互斥），后端 API 拒绝混合特征量请求，返回 E_BIZ_COMPARE_CROSS_FEATURE（400）。</w:t>
            </w:r>
          </w:p>
          <w:p w14:paraId="75A8AF4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项目公司：强制置灰并排除排名统计。</w:t>
            </w:r>
          </w:p>
          <w:p w14:paraId="7067DC6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参与单位数 &lt; 2：不输出排名序号与奖杯徽标，仅输出数值列。</w:t>
            </w:r>
          </w:p>
          <w:p w14:paraId="7C353B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组织越权：请求组织范围超出当前账号 RLS 授权范围，返回 403 + E_AUTH_RLS_SCOPE_DENIED。</w:t>
            </w:r>
          </w:p>
        </w:tc>
      </w:tr>
    </w:tbl>
    <w:p w14:paraId="425806EB">
      <w:pPr>
        <w:pStyle w:val="6"/>
        <w:numPr>
          <w:ilvl w:val="0"/>
          <w:numId w:val="1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p w14:paraId="1F7462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跨特征量对比被后端拒绝</w:t>
            </w:r>
          </w:p>
          <w:p w14:paraId="36AA50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用户在前端选定特征量为"变压器 kVA"</w:t>
            </w:r>
          </w:p>
          <w:p w14:paraId="669361B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通过构造请求将另一参与单位替换为特征量"电缆 km"</w:t>
            </w:r>
          </w:p>
          <w:p w14:paraId="30965E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后端 API 拒绝该混合特征量请求</w:t>
            </w:r>
          </w:p>
          <w:p w14:paraId="7858DC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E_BIZ_COMPARE_CROSS_FEATURE 且不返回任何对比数据</w:t>
            </w:r>
          </w:p>
          <w:p w14:paraId="577BCEF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样本不足不输出均值与名次</w:t>
            </w:r>
          </w:p>
          <w:p w14:paraId="75ACEC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某筛选组合下仅有 1 家经营单位存在有效碳足迹数据</w:t>
            </w:r>
          </w:p>
          <w:p w14:paraId="40990A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页面渲染排名表与均值指标卡</w:t>
            </w:r>
          </w:p>
          <w:p w14:paraId="20CBF1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不输出排名序号与低碳标杆徽标</w:t>
            </w:r>
          </w:p>
          <w:p w14:paraId="22C168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均值位置标注"样本不足"而非输出 0 或 NaN</w:t>
            </w:r>
          </w:p>
          <w:p w14:paraId="7D3A7B1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组织越权访问拦截</w:t>
            </w:r>
          </w:p>
          <w:p w14:paraId="445CF4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当前账号的数据范围为"沈阳园区"</w:t>
            </w:r>
          </w:p>
          <w:p w14:paraId="370DF7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该账号请求对比包含"鲁缆本部"的经营单位数据</w:t>
            </w:r>
          </w:p>
          <w:p w14:paraId="2B8AEBA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请求被拒绝并返回 403</w:t>
            </w:r>
          </w:p>
          <w:p w14:paraId="5081E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E_AUTH_RLS_SCOPE_DENIED</w:t>
            </w:r>
          </w:p>
          <w:p w14:paraId="399DD9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越权尝试写入审计日志</w:t>
            </w:r>
          </w:p>
        </w:tc>
      </w:tr>
    </w:tbl>
    <w:p w14:paraId="304D430B">
      <w:pPr>
        <w:spacing w:after="40"/>
        <w:rPr>
          <w:rFonts w:hint="eastAsia" w:ascii="宋体" w:hAnsi="宋体" w:eastAsia="宋体" w:cs="宋体"/>
          <w:i w:val="0"/>
          <w:iCs w:val="0"/>
          <w:sz w:val="24"/>
          <w:szCs w:val="24"/>
        </w:rPr>
      </w:pPr>
    </w:p>
    <w:p w14:paraId="435205D0">
      <w:pPr>
        <w:pStyle w:val="5"/>
        <w:numPr>
          <w:ilvl w:val="0"/>
          <w:numId w:val="142"/>
        </w:numPr>
        <w:ind w:left="0" w:leftChars="0" w:firstLine="0" w:firstLineChars="0"/>
        <w:outlineLvl w:val="1"/>
        <w:rPr>
          <w:rFonts w:eastAsia="黑体"/>
          <w:b w:val="0"/>
          <w:bCs w:val="0"/>
          <w:sz w:val="30"/>
          <w:szCs w:val="24"/>
        </w:rPr>
      </w:pPr>
      <w:bookmarkStart w:id="44" w:name="_Toc23937"/>
      <w:r>
        <w:rPr>
          <w:rFonts w:ascii="Times New Roman" w:hAnsi="Times New Roman" w:eastAsia="黑体" w:cs="Times New Roman"/>
          <w:b w:val="0"/>
          <w:bCs w:val="0"/>
          <w:sz w:val="30"/>
          <w:szCs w:val="24"/>
        </w:rPr>
        <w:t xml:space="preserve">纵向对比</w:t>
      </w:r>
      <w:bookmarkEnd w:id="44"/>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81"/>
                    <a:stretch>
                      <a:fillRect/>
                    </a:stretch>
                  </pic:blipFill>
                  <pic:spPr>
                    <a:xfrm>
                      <a:off x="0" y="0"/>
                      <a:ext cx="5900420" cy="2925445"/>
                    </a:xfrm>
                    <a:prstGeom prst="rect">
                      <a:avLst/>
                    </a:prstGeom>
                    <a:noFill/>
                    <a:ln>
                      <a:noFill/>
                    </a:ln>
                  </pic:spPr>
                </pic:pic>
              </a:graphicData>
            </a:graphic>
          </wp:inline>
        </w:drawing>
      </w:r>
    </w:p>
    <w:p w14:paraId="27195640">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1F14FD8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左侧组织树可见范围为"本级及以下"，树根默认为用户所属顶层单位（集团账号为"特变电工电装集团"，园区账号为其所属子公司）；跨单位聚合＝默认按所选单位集合纵向汇总，项目公司置灰且不参与红黑榜；对外可见档位＝SENSITIVE；越权返回 403 + E_AUTH_RLS_SCOPE_DENIED。</w:t>
      </w:r>
    </w:p>
    <w:p w14:paraId="465D9A17">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604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6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8FB0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AC4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57BA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0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03D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组织树（左侧）</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E1F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树形控件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0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82D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含关键字搜索框；节点为 集团 → 子公司 → 厂/基地 三级；勾选决定对比范围，多选时取并集</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B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2B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对比范围提示条</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F80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只读文本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6D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8F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格式"当前对比范围：XXX——在左侧组织树勾选单位可切换对比范围"</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9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53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产线 / 产品大类 / 产品中类 / 时间区间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2C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 + 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80AE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2FC1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产品大类含"变压器-高压 / 变压器-超高压"等；时间区间默认近 3 个月</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8686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19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产品规格数量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D9C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58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个</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4121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本次范围内出现的去重型号数</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AE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生产产品总数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593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4C3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98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范围内的合格入库总量；与第二章产量口径同源</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FD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D69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81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E7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43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按特征量加权的单位化均值</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A3F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3DC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单位产品碳足迹（升序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2AB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表格</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943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E5B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列：型号 / 台数(台) / 单台碳排(tCO₂e) / 特征值(kVA) / 单位产品碳足迹</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197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98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单位产品碳足迹（降序 Top5）</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B69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表格</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D9B4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28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同上表结构；与升序榜不重复上榜</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44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A8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归因瀑布图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10E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图表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F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0B2F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因子：原材料替代 / 绿电接入 / 工艺优化 / 其他残差</w:t>
            </w:r>
          </w:p>
        </w:tc>
      </w:tr>
    </w:tbl>
    <w:p w14:paraId="35651C2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单位口径一致性修正：截图 #23（实景数据库）表头写作「单台碳足迹(t)」，而行值为 8,788.871 kgCO₂e/台；「单位产品碳足迹(t)」行值为 0.1394 kgCO₂e/kVA。表头单位与行值单位不一致，属前端体例缺陷。建议统一为「单台碳足迹(kgCO₂e/台)」与「单位产品碳足迹(kgCO₂e/kVA)」，或统一换算为 t 并保留 4 位小数。本稿按前者（与本章其余模块一致）执行。</w:t>
      </w:r>
    </w:p>
    <w:p w14:paraId="6FA0F738">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9067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ΔCF = CF_t − CF_base　——　碳足迹变动量</w:t>
            </w:r>
          </w:p>
          <w:p w14:paraId="3F173F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Con_i = ΔCF_i ÷ ΔCF × 100%　——　各因素归因贡献率</w:t>
            </w:r>
          </w:p>
          <w:p w14:paraId="216D30E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CF_scope_all = Σ CF_unit,i ÷ N　——　跨单位均值</w:t>
            </w:r>
          </w:p>
          <w:p w14:paraId="6D0D48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Top_red = ORDER_BY(CF_unit) ASC LIMIT 5　——　红榜（低碳标杆）</w:t>
            </w:r>
          </w:p>
          <w:p w14:paraId="520FB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Top_black = ORDER_BY(CF_unit) DESC LIMIT 5　——　黑榜（改进对象）</w:t>
            </w:r>
          </w:p>
        </w:tc>
      </w:tr>
    </w:tbl>
    <w:p w14:paraId="4C4D739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变量定义与取值约定：ΔCF_i 为第 i 项减碳举措（原材料替代、绿电接入、工艺优化）带来的碳足迹变化量；归因贡献率之和应为 100%，偏差超 ±1% 提示归因不完整。</w:t>
      </w:r>
    </w:p>
    <w:p w14:paraId="51C6FC7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取值示例：筛选「高压产线 / 交流变压器-110KV / 4 个规格」，范围内生产产品总数 2,836 台，单位产品碳足迹均值 0.0957 kgCO₂e/kVA；降序榜首为 SFZ-63000/110（627 台，单台 8.892 tCO₂e，特征值 63,000 kVA）→ CF_unit = 8,892 ÷ 63,000 = 0.1411 kgCO₂e/kVA（与截图一致）；升序榜首为 SF52-120000/110（636 台，单台 3.408 tCO₂e，特征值 120,000 kVA）→ 3,408 ÷ 120,000 = 0.0284 kgCO₂e/kVA。</w:t>
      </w:r>
    </w:p>
    <w:p w14:paraId="207D8C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精度与容差：变动量与单位产品碳足迹保留 4 位小数；归因贡献率保留 2 位小数，配平容差 ≤ ±1.00%；单台碳排（tCO₂e）保留 3 位小数；台数与特征值为整数。</w:t>
      </w:r>
    </w:p>
    <w:p w14:paraId="2F766CF1">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61E21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时间口径：纵向追溯以生产批次时间轴为准，不以销售订单时间为准。</w:t>
      </w:r>
    </w:p>
    <w:p w14:paraId="586C61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均值口径：scope 为"全部经营单位"时采用跨单位算术平均，非加权。</w:t>
      </w:r>
    </w:p>
    <w:p w14:paraId="7AC850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红黑榜口径：红黑榜基于同类别内各型号升序排序，前 5 与后 5，型号数少于 10 时不重复上榜。</w:t>
      </w:r>
    </w:p>
    <w:p w14:paraId="19B9ACC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归因口径：归因须完整覆盖全部减碳举措，贡献率之和强制配平至 100%。</w:t>
      </w:r>
    </w:p>
    <w:p w14:paraId="523FFD8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归因完整性阈值：各因素贡献率之和与 100% 的偏差 ≤ ±1.00% 判完整；超出则标注"归因待补充"并单列未归因残差项；② 归因准入阈值：同型号有效历史批次 ≥ 2 个才绘制瀑布图；③ 红黑榜基数阈值：同类别型号数 &lt; 10 时红黑榜不得出现同一型号；④ 变动量有效性阈值：|ΔCF| &lt; 0.0001 kgCO₂e/kVA 视为无变化，贡献率置 --（除零兜底）；⑤ 基准来源：CF_base 取同型号同特征量的上一有效批次，非"历史最低值"、非"年度均值"；⑥ 均值基准来源：跨单位算术平均，与横向对比模块的均值口径保持一致（差别仅在于单位集合来源不同）。</w:t>
      </w:r>
    </w:p>
    <w:p w14:paraId="6AB4D60A">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97489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同型号历史批次少于 2 个：不绘制归因瀑布图，输出客观提示"历史批次不足，暂不支持归因"，触发 E_BIZ_TREND_BATCH_INSUFFICIENT（422）。</w:t>
            </w:r>
          </w:p>
          <w:p w14:paraId="779CEDC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归属贡献率之和不等于 100%：标注"归因待补充"并列出未归因残差，触发 E_BIZ_TREND_ATTRIB_MISMATCH（422，不阻断出图，仅提示）。</w:t>
            </w:r>
          </w:p>
          <w:p w14:paraId="75BDCD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项目公司：置灰且不参与红黑榜。</w:t>
            </w:r>
          </w:p>
          <w:p w14:paraId="40F784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--，触发 E_BIZ_TREND_DELTA_ZERO（200，安全兜底）。</w:t>
            </w:r>
          </w:p>
          <w:p w14:paraId="4B516D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同类别型号数 &lt; 10：红黑榜自动去重，同一型号不上两榜，被去重侧自动顺延一位。</w:t>
            </w:r>
          </w:p>
          <w:p w14:paraId="3DA5ED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组织越权：请求范围超出 RLS 授权，返回 403 + E_AUTH_RLS_SCOPE_DENIED。</w:t>
            </w:r>
          </w:p>
        </w:tc>
      </w:tr>
    </w:tbl>
    <w:p w14:paraId="394D55FC">
      <w:pPr>
        <w:pStyle w:val="6"/>
        <w:numPr>
          <w:ilvl w:val="0"/>
          <w:numId w:val="14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p w14:paraId="48E769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历史批次不足的客观提示</w:t>
            </w:r>
          </w:p>
          <w:p w14:paraId="45CA41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某型号仅有 1 个有效生产批次的碳足迹数据</w:t>
            </w:r>
          </w:p>
          <w:p w14:paraId="76ED0A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用户请求查看归因瀑布图</w:t>
            </w:r>
          </w:p>
          <w:p w14:paraId="78295A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不绘制瀑布图，输出"历史批次不足，暂不支持归因"提示</w:t>
            </w:r>
          </w:p>
          <w:p w14:paraId="555438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E_BIZ_TREND_BATCH_INSUFFICIENT</w:t>
            </w:r>
          </w:p>
          <w:p w14:paraId="14EE6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归因贡献率配平校验</w:t>
            </w:r>
          </w:p>
          <w:p w14:paraId="7F03D9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某型号存在 3 个有效历史批次且识别出 2 项减碳举措</w:t>
            </w:r>
          </w:p>
          <w:p w14:paraId="471354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系统生成减碳归因瀑布图</w:t>
            </w:r>
          </w:p>
          <w:p w14:paraId="5EC2C4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两项贡献率之和与 100% 的偏差不超过 ±1.00%</w:t>
            </w:r>
          </w:p>
          <w:p w14:paraId="2B4287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偏差超出阈值时标注"归因待补充"并单列未归因残差项</w:t>
            </w:r>
          </w:p>
          <w:p w14:paraId="462673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E_BIZ_TREND_ATTRIB_MISMATCH</w:t>
            </w:r>
          </w:p>
          <w:p w14:paraId="751888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变动量为零除零兜底</w:t>
            </w:r>
          </w:p>
          <w:p w14:paraId="41B9620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某型号相邻两个批次的单位产品碳足迹完全相同</w:t>
            </w:r>
          </w:p>
          <w:p w14:paraId="612535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系统计算各因素归因贡献率</w:t>
            </w:r>
          </w:p>
          <w:p w14:paraId="208ACB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贡献率安全显示为 "--"</w:t>
            </w:r>
          </w:p>
          <w:p w14:paraId="46CBDD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系统不出现 NaN、Infinity 或前端脚本异常</w:t>
            </w:r>
          </w:p>
          <w:p w14:paraId="1DFEFB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E_BIZ_TREND_DELTA_ZERO</w:t>
            </w:r>
          </w:p>
        </w:tc>
      </w:tr>
    </w:tbl>
    <w:p w14:paraId="188330CC">
      <w:pPr>
        <w:spacing w:after="40"/>
        <w:rPr>
          <w:rFonts w:hint="eastAsia" w:ascii="宋体" w:hAnsi="宋体" w:eastAsia="宋体" w:cs="宋体"/>
          <w:i w:val="0"/>
          <w:iCs w:val="0"/>
          <w:sz w:val="24"/>
          <w:szCs w:val="24"/>
        </w:rPr>
      </w:pPr>
    </w:p>
    <w:p w14:paraId="7E8EB1C9">
      <w:pPr>
        <w:pStyle w:val="4"/>
        <w:numPr>
          <w:ilvl w:val="0"/>
          <w:numId w:val="135"/>
        </w:numPr>
        <w:topLinePunct w:val="0"/>
        <w:ind w:left="0" w:leftChars="0" w:firstLine="0" w:firstLineChars="0"/>
        <w:outlineLvl w:val="0"/>
        <w:rPr>
          <w:rFonts w:hint="eastAsia" w:eastAsia="黑体"/>
          <w:b w:val="0"/>
          <w:bCs w:val="0"/>
          <w:sz w:val="30"/>
          <w:szCs w:val="32"/>
        </w:rPr>
      </w:pPr>
      <w:bookmarkStart w:id="45" w:name="_Toc22158"/>
      <w:r>
        <w:rPr>
          <w:rFonts w:ascii="Times New Roman" w:hAnsi="Times New Roman" w:eastAsia="黑体" w:cs="Times New Roman"/>
          <w:b w:val="0"/>
          <w:bCs w:val="0"/>
          <w:sz w:val="30"/>
          <w:szCs w:val="32"/>
        </w:rPr>
        <w:t>实景数据库与碳足迹核算</w:t>
      </w:r>
      <w:bookmarkEnd w:id="45"/>
    </w:p>
    <w:p w14:paraId="3FDA0B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板块导语｜实景数据库与碳足迹核算</w:t>
      </w:r>
    </w:p>
    <w:p w14:paraId="68448D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本板块是集采中心的"数据底座 + 算账台"：实景数据库沉淀每个产品型号的真实碳足迹因子（一事一档），碳足迹核算执行 ISO 14067 五阶段滚算与状态流转（型号级与订单级双口径），碳足迹报告一键产出可交付、可验真的双语报告与数字碳标签。三个模块构成"沉淀 → 核算 → 交付"的完整链路。</w:t>
      </w:r>
    </w:p>
    <w:p w14:paraId="61E0DBC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边界声明：本板块只处理产品碳足迹（PCF），不处理组织级温室气体清单（ISO 14064）；核算边界固定为摇篮到大门（Cradle-to-Gate），不做下游使用与回收阶段。</w:t>
      </w:r>
    </w:p>
    <w:p w14:paraId="672C4CF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「实景数据库」与「因子库管理」的本质区别（务必在此声明，原稿两处混用）：实景数据库是一事一档——按「产品型号 × 经营单位 × 账期」落一条真实核算结果（截图 #23：125 个型号 / 1,793 条记录）；因子库管理是一类一档——按「物料 / 电网 / 能源品种」落一条排放因子（截图 #32~#35）。前者是结果，后者是输入参数；前者可被销售与认证直接引用，后者仅供核算引擎引用。</w:t>
      </w:r>
    </w:p>
    <w:p w14:paraId="64D449FD">
      <w:pPr>
        <w:pStyle w:val="5"/>
        <w:numPr>
          <w:ilvl w:val="0"/>
          <w:numId w:val="153"/>
        </w:numPr>
        <w:ind w:left="0" w:leftChars="0" w:firstLine="0" w:firstLineChars="0"/>
        <w:outlineLvl w:val="1"/>
        <w:rPr>
          <w:rFonts w:eastAsia="黑体"/>
          <w:b w:val="0"/>
          <w:bCs w:val="0"/>
          <w:sz w:val="30"/>
          <w:szCs w:val="24"/>
        </w:rPr>
      </w:pPr>
      <w:bookmarkStart w:id="46" w:name="_Toc30983"/>
      <w:r>
        <w:rPr>
          <w:rFonts w:ascii="Times New Roman" w:hAnsi="Times New Roman" w:eastAsia="黑体" w:cs="Times New Roman"/>
          <w:b w:val="0"/>
          <w:bCs w:val="0"/>
          <w:sz w:val="30"/>
          <w:szCs w:val="24"/>
        </w:rPr>
        <w:t xml:space="preserve">实景数据库</w:t>
      </w:r>
      <w:bookmarkEnd w:id="46"/>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82"/>
                    <a:stretch>
                      <a:fillRect/>
                    </a:stretch>
                  </pic:blipFill>
                  <pic:spPr>
                    <a:xfrm>
                      <a:off x="0" y="0"/>
                      <a:ext cx="5900420" cy="2925445"/>
                    </a:xfrm>
                    <a:prstGeom prst="rect">
                      <a:avLst/>
                    </a:prstGeom>
                    <a:noFill/>
                    <a:ln>
                      <a:noFill/>
                    </a:ln>
                  </pic:spPr>
                </pic:pic>
              </a:graphicData>
            </a:graphic>
          </wp:inline>
        </w:drawing>
      </w:r>
    </w:p>
    <w:p w14:paraId="143BD801">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92473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功能定位：面向变压器、线缆等主力品类，按「产品大类 × 产品中类 × 产品型号」沉淀每个型号在各经营单位的真实碳足迹核算结果（一事一档），作为对外数据引用、认证报告取数、CBAM 底数生成的唯一权威数据源。</w:t>
      </w:r>
    </w:p>
    <w:p w14:paraId="39A5E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承载角色：P4 碳核算工程师（主维护与复核）、P2 园区能碳专员（本园区数据查阅）、P6 外部独立审计机构（只读核验）。</w:t>
      </w:r>
    </w:p>
    <w:p w14:paraId="1E4FB51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页面路由：/carbon-footprint/database/realscene；含二级菜单：数据总览 / 碳足迹核算 / 碳足迹报告。</w:t>
      </w:r>
    </w:p>
    <w:p w14:paraId="465527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上游依赖：碳足迹核算模块产出的型号级核算结果、产品型号主数据（第四章「产品型号管理」）、经营单位组织主数据、因子库管理板块的因子版本。</w:t>
      </w:r>
    </w:p>
    <w:p w14:paraId="69947B4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下游输出：对外示范窗口的数据源、认证申请的资料取数、CBAM 申报底数、横向/纵向对比模块的样本集。</w:t>
      </w:r>
    </w:p>
    <w:p w14:paraId="6EE566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与因子库管理的边界：本模块存核算结果（一事一档，随账期滚动新增），因子库管理存输入参数（一类一档，随版本冻结切换）；本模块行数随型号数与账期数增长，因子库行数仅随物料/能源品种增长。</w:t>
      </w:r>
    </w:p>
    <w:p w14:paraId="79F084A6">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9DE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1）指标卡区（三卡）：「产品规格数据」＝区间内去重型号数（截图 125 个型号，标注"在营经营单位平均"）；「实景数据记录」＝区间内落库记录条数（截图 1,793 条，标注"各经营单位实景填报"）；「覆盖细分类别」＝命中的产品中类数（截图 54 类）。</w:t>
      </w:r>
    </w:p>
    <w:p w14:paraId="38D89A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2）筛选条（两行）：第一行 产业（变压器 / 线缆）· 产品大类 · 产品中类；第二行 时间粒度（跨月 / 单月）· 起始月 · 至 · 经营单位 · 型号/类别搜索框；右侧「查询」「重置」。</w:t>
      </w:r>
    </w:p>
    <w:p w14:paraId="684CA09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3）主清单表：列依次为 产品大类 · 产品中类 · 产品型号 · 生产单位数 · 单台碳足迹 · 单位产品碳足迹 · 数据区间 · 操作（行内「因子详情」抽屉）。</w:t>
      </w:r>
    </w:p>
    <w:p w14:paraId="45CF67B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4）行内抽屉（因子详情）：展示该型号碳足迹的五阶段拆解、引用的因子版本清单（物料 / 电力 / 能源活动）、数据来源凭证索引与哈希。</w:t>
      </w:r>
    </w:p>
    <w:p w14:paraId="2D1CA5A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5）排序与分页：默认按「产品大类 → 产品中类 → 产品型号」字典序；单页 20 行；跨月粒度下同一型号按区间聚合为一行，并显示区间。</w:t>
      </w:r>
    </w:p>
    <w:p w14:paraId="79DD000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D26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43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FFB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64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02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C0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40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产业</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BE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D87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F6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变压器 / 线缆（与产品主数据同源）</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433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E1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产品大类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889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4CD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79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变压器-高压 / 变压器-超高压 / 线缆-电力电缆 …</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F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16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产品中类</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64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0B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81AF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交流变压器-110KV / 交流变压器-220KV / 交流变压器-330KV …</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514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F7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时间粒度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B2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06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AC9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跨月（默认）／单月；跨月时数据区间列必填</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482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9D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数据区间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EC5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4F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年月</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50E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 ~ YYYY-MM ；起 ≤ 止</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74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B88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B87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28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BB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须存在于第四章「产品型号管理」；不存在则不入表</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6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97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生产单位数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3E4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3E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6389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记录数（截图标注"依据"）≥ 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712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9A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单台碳足迹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50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823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ECA8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0；同一型号多单位取均值</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BC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CB9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86E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EE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35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单台碳足迹 ÷ 特征值；特征值 ≤ 0 时置 --</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EC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04A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数据来源凭证索引</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AB5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文本（哈希）</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24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44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SHA-256，抽屉内展示</w:t>
            </w:r>
          </w:p>
        </w:tc>
      </w:tr>
    </w:tbl>
    <w:p w14:paraId="5F214F8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截图实测样本（可直接作为验收数据）：变压器-高压 / 交流变压器-110KV：SFZ-63000/110 → 14 条 / 8,788.871 kgCO₂e/台 / 0.1394 kgCO₂e/kVA；SF52-120000/110 → 14 条 / 9,734.571 / 0.0811；SFZ11-110 → 13 条 / 9,291.462 / 0.0845；SF5211-110 → 13 条 / 9,827.538 / 0.0829。变压器-超高压：SZ11-220 → 16 条 / 16,865.313 / 0.0763；SFZ-180000/220 → 15 条 / 15,772.733 / 0.0876；SFSZ11-220 → 13 条 / 17,481.092 / 0.0797。交流变压器-330KV：SF9-330 → 18 条 / 29,483.833 / 0.0890；SFP-360/330 → 16 条 / 23,112.5 / 0.0642。</w:t>
      </w:r>
    </w:p>
    <w:p w14:paraId="08468AA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B341F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 = Σ E_stage（5 阶段）　——　型号级单台碳足迹（引用核算模块结果）</w:t>
            </w:r>
          </w:p>
          <w:p w14:paraId="421AB2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CF_unit = E_PCF ÷ Feature　——　单位产品碳足迹</w:t>
            </w:r>
          </w:p>
          <w:p w14:paraId="7D43F31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E_PCF_avg = Σ E_PCF,i ÷ N　——　同型号跨经营单位均值</w:t>
            </w:r>
          </w:p>
          <w:p w14:paraId="1469CEF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Rec_count = COUNT(型号 × 经营单位 × 账期)　——　实景记录条数</w:t>
            </w:r>
          </w:p>
          <w:p w14:paraId="73D5B4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Verify = HASH(VoucherSet) == ChainHash　——　凭证哈希链完整性校验</w:t>
            </w:r>
          </w:p>
        </w:tc>
      </w:tr>
    </w:tbl>
    <w:p w14:paraId="562080B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取值示例：SFZ-63000/110，特征值 63,000 kVA。按指标卡口径 单台 8,780.0 kgCO₂e/台 → CF_unit = 8,780.0 ÷ 63,000 = 0.139365 → 0.1394 kgCO₂e/kVA；按清单行自身单台值 8,788.871 kgCO₂e/台 → 8,788.871 ÷ 63,000 = 0.139506 → 0.1395 kgCO₂e/kVA。两者相差 0.0001，恰好卡在容差边界——说明截图清单行的"单位产品碳足迹"实际是按 8,780 口径计算的，与本行列示的 8,788.871 未勾稽（详见 ④ 段提示与 C9）。范围统计：125 个型号、1,793 条记录、54 个细分类别。</w:t>
      </w:r>
    </w:p>
    <w:p w14:paraId="24CE31C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精度与容差：单台碳足迹保留 3 位小数；单位产品碳足迹保留 4 位小数；均值按全精度累加末位一次舍入，容差 ≤ ±0.0001；记录条数为整数。</w:t>
      </w:r>
    </w:p>
    <w:p w14:paraId="5E943D67">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EECF81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分级口径：本模块数据标为 INTERNAL；含供应商来源的凭证索引标为 SENSITIVE；对外输出一律脱敏为品类均值。</w:t>
      </w:r>
    </w:p>
    <w:p w14:paraId="435740B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证据口径：每条实景记录须挂接数据来源凭证（检测报告 / 台账 / 发票），凭证哈希入链，缺凭证记录标注"凭证待补"且不可被认证申请引用。</w:t>
      </w:r>
    </w:p>
    <w:p w14:paraId="6FBF52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时效口径：记录含 version_id / effective_from / effective_to，生效期外拦截选用。</w:t>
      </w:r>
    </w:p>
    <w:p w14:paraId="2F1B8C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唯一性阈值：同一「产品型号 × 经营单位 × 账期」仅允许 1 条有效记录，重复落库拒绝写入；② 记录可用阈值：凭证齐备率 = 100% 方可标记"可引用"，否则仅可查阅；③ 单位偏差阈值：单台碳足迹 ÷ 特征值 与 明细页展示值偏差 ≤ ±0.0001，超差以明细页为准并告警；④ 时间粒度阈值：跨月粒度区间跨度 ≤ 12 个月；⑤ 特征值来源基准：第四章「产品型号管理」中的额定容量 / 长度；⑥ 样本量阈值：型号下有效单位数 ≥ 3 才输出均值，否则显示单点值并标注"样本不足"。</w:t>
      </w:r>
    </w:p>
    <w:p w14:paraId="70DAEA95">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p w14:paraId="107863F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引用的物料因子版本已过 effective_to：触发 E_VAL_FACTOR_EXPIRED（422），该行标注"因子待升级"，禁止被认证申请引用。</w:t>
            </w:r>
          </w:p>
          <w:p w14:paraId="110D84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重复落库（同型号 × 同单位 × 同账期）：拒绝写入并返回 E_DATA_DUPLICATE_REALSCENE（409），保留首条并提示重复来源。</w:t>
            </w:r>
          </w:p>
          <w:p w14:paraId="7B32B8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明细页与清单页同一型号的单位产品碳足迹不一致：以明细页为权威值，清单页自动重算，同时触发 E_BIZ_REALSCENE_UNIT_MISMATCH（500）告警至数据治理看板。</w:t>
            </w:r>
          </w:p>
          <w:p w14:paraId="6977C97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组织越权：返回 403 + E_AUTH_RLS_SCOPE_DENIED。</w:t>
            </w:r>
          </w:p>
        </w:tc>
      </w:tr>
    </w:tbl>
    <w:p w14:paraId="325D296C">
      <w:pPr>
        <w:spacing w:after="40"/>
        <w:rPr>
          <w:rFonts w:hint="eastAsia" w:ascii="宋体" w:hAnsi="宋体" w:eastAsia="宋体" w:cs="宋体"/>
          <w:i w:val="0"/>
          <w:iCs w:val="0"/>
          <w:sz w:val="24"/>
          <w:szCs w:val="24"/>
        </w:rPr>
      </w:pPr>
    </w:p>
    <w:p w14:paraId="2D310810">
      <w:pPr>
        <w:pStyle w:val="6"/>
        <w:numPr>
          <w:ilvl w:val="0"/>
          <w:numId w:val="1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p w14:paraId="1A68507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同型号同单位同账期重复落库拦截</w:t>
            </w:r>
          </w:p>
          <w:p w14:paraId="3ADE32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实景数据库中已存在"SFZ-63000/110 × 沈变本部 × 2026-07"的有效记录</w:t>
            </w:r>
          </w:p>
          <w:p w14:paraId="11B72F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核算引擎再次提交同一组合的落库请求</w:t>
            </w:r>
          </w:p>
          <w:p w14:paraId="3521C2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写入被拒绝并返回 E_DATA_DUPLICATE_REALSCENE</w:t>
            </w:r>
          </w:p>
          <w:p w14:paraId="757CEB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库中该组合仍仅有 1 条有效记录</w:t>
            </w:r>
          </w:p>
          <w:p w14:paraId="303A67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单台碳足迹与单位产品碳足迹换算一致性</w:t>
            </w:r>
          </w:p>
          <w:p w14:paraId="719539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型号 SFZ-63000/110 的单台碳足迹为 8,788.871 kgCO₂e/台，特征值为 63,000 kVA</w:t>
            </w:r>
          </w:p>
          <w:p w14:paraId="405C5A4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页面渲染该行的单位产品碳足迹</w:t>
            </w:r>
          </w:p>
          <w:p w14:paraId="77DF7B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显示值为 0.1394 kgCO₂e/kVA</w:t>
            </w:r>
          </w:p>
          <w:p w14:paraId="47899A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与 8,788.871 ÷ 63,000 的偏差不超过 ±0.0001</w:t>
            </w:r>
          </w:p>
          <w:p w14:paraId="37C5B79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换算不一致时以明细页值为权威并触发 E_BIZ_REALSCENE_UNIT_MISMATCH</w:t>
            </w:r>
          </w:p>
        </w:tc>
      </w:tr>
    </w:tbl>
    <w:p w14:paraId="28885A2A">
      <w:pPr>
        <w:spacing w:after="40"/>
        <w:rPr>
          <w:rFonts w:hint="eastAsia" w:ascii="宋体" w:hAnsi="宋体" w:eastAsia="宋体" w:cs="宋体"/>
          <w:i w:val="0"/>
          <w:iCs w:val="0"/>
          <w:sz w:val="24"/>
          <w:szCs w:val="24"/>
        </w:rPr>
      </w:pPr>
    </w:p>
    <w:p w14:paraId="3BCFD703">
      <w:pPr>
        <w:pStyle w:val="5"/>
        <w:numPr>
          <w:ilvl w:val="0"/>
          <w:numId w:val="153"/>
        </w:numPr>
        <w:ind w:left="0" w:leftChars="0" w:firstLine="0" w:firstLineChars="0"/>
        <w:outlineLvl w:val="1"/>
        <w:rPr>
          <w:rFonts w:eastAsia="黑体"/>
          <w:b w:val="0"/>
          <w:bCs w:val="0"/>
          <w:sz w:val="30"/>
          <w:szCs w:val="24"/>
        </w:rPr>
      </w:pPr>
      <w:bookmarkStart w:id="47" w:name="_Toc10094"/>
      <w:r>
        <w:rPr>
          <w:rFonts w:ascii="Times New Roman" w:hAnsi="Times New Roman" w:eastAsia="黑体" w:cs="Times New Roman"/>
          <w:b w:val="0"/>
          <w:bCs w:val="0"/>
          <w:sz w:val="30"/>
          <w:szCs w:val="24"/>
        </w:rPr>
        <w:t xml:space="preserve">碳足迹核算</w:t>
      </w:r>
      <w:bookmarkEnd w:id="47"/>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83"/>
                    <a:stretch>
                      <a:fillRect/>
                    </a:stretch>
                  </pic:blipFill>
                  <pic:spPr>
                    <a:xfrm>
                      <a:off x="0" y="0"/>
                      <a:ext cx="5900420" cy="2925445"/>
                    </a:xfrm>
                    <a:prstGeom prst="rect">
                      <a:avLst/>
                    </a:prstGeom>
                    <a:noFill/>
                    <a:ln>
                      <a:noFill/>
                    </a:ln>
                  </pic:spPr>
                </pic:pic>
              </a:graphicData>
            </a:graphic>
          </wp:inline>
        </w:drawing>
      </w:r>
    </w:p>
    <w:p w14:paraId="7C75CDAA">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1CBB0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全集团、P2 本园区、P3 本厂）；跨单位聚合＝项目公司排除，"全部项目公司"选项仅用于项目公司自身核算视图，不参与集团汇总；对外可见档位＝SENSITIVE（对外仅下发脱敏后的单位产品碳足迹）；越权返回 403 + E_AUTH_RLS_SCOPE_DENIED。</w:t>
      </w:r>
    </w:p>
    <w:p w14:paraId="65BEA47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62"/>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677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E5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5AC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1AD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02F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0B3B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1E6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子页签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E7E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C19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2C0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产品碳足迹（型号）/（订单）/ 产品用能分析 / 订单能耗追溯</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38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D4D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时间 / 产业 / 项目公司 / 产品大类 / 产品中类 / 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07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级联筛选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D60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5A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六段级联；产业与产品大类同源主数据</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87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92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总碳排（单台·均值）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229D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D8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0D3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截图实测 8,780；= 五阶段加总</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97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28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单位产品碳足迹（均值）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48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A6B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kgCO₂e/kVA</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75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截图实测 0.1394</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90F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16D4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单台特征值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EA0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复合值（指标卡）</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A7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kV / MVA</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3AC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电压等级 + 容量（截图 110 kV / 63 MVA）</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6A4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17C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生命周期阶段构成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E13C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横向占比条 ×4</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701E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87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原材料获取 / 原材料运输 / 生产制造 / 废弃物处理</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3EE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A08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各经营单位碳排总量排名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B6C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条形图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839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kgCO₂e/台</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5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降序；项目公司置灰</w:t>
            </w:r>
          </w:p>
        </w:tc>
      </w:tr>
    </w:tbl>
    <w:p w14:paraId="2F85BE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原型数据一致性问题（须在原型阶段澄清，否则第三章容差条款无法通过验收）：截图 #24 中「型号均值·生命周期阶段构成 · SFZ-63000/110」四阶段取值为 原材料获取 5,443.6 + 原材料运输 790.2 + 生产制造 1,843.8 + 废弃物处理 782.4 = 8,860.0 kgCO₂e/台，而同一屏「总碳排（单台·均值）」指标卡为 8,780 kgCO₂e/台，差 80.0 kgCO₂e（0.91%），远超本章规定的 0.01 kgCO₂e 加总容差。</w:t>
      </w:r>
    </w:p>
    <w:p w14:paraId="65C018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同时，该四阶段占比（61.4% / 8.9% / 20.8% / 8.8%）与截图 #20 对外示范窗口中变压器品类的四阶段占比（61% / 9% / 24% / 5%）在"生产制造"与"废弃物处理"两项上偏差 3~4 个百分点。</w:t>
      </w:r>
    </w:p>
    <w:p w14:paraId="15E4B5A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处理建议：二者若为同一口径，须在原型中做配平；若为不同口径（如 #20 为五阶段折算、#24 为四阶段按权重归集），须在两处页面明确标注口径差异，避免对外数值与核算数值"看起来不一致"。</w:t>
      </w:r>
    </w:p>
    <w:p w14:paraId="212C9E6D">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2907B6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取值示例（SFZ-63000/110，特征值 63,000 kVA）：</w:t>
      </w:r>
    </w:p>
    <w:p w14:paraId="62B7AE9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截图页面呈现的四类构成为 原材料获取 5,443.6 / 原材料运输 790.2 / 生产制造 1,843.8 / 废弃物处理 782.4，合计 8,860.0；而同一屏指标卡「总碳排（单台·均值）」为 8,780.0，差 80.0 kgCO₂e（0.91%），远超本模块 0.01 kgCO₂e 的加总容差。</w:t>
      </w:r>
    </w:p>
    <w:p w14:paraId="293EDB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按五阶段模型反推：E_test + E_pack = 8,780.0 − (5,443.6 + 790.2 + 1,843.8) = 702.4 kgCO₂e。</w:t>
      </w:r>
    </w:p>
    <w:p w14:paraId="3E8DB5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由此可见，页面的四分类与五阶段并非一一对应：页面缺少"试验检测"与"包装出厂"两项，却多出"废弃物处理"一项，四者混算必然无法配平。建议页面按五阶段完整呈现（原材料获取 / 原材料运输 / 生产制造 / 试验检测 / 包装出厂），"废弃物处理"作为可选的边界外扩展项单独列示，不并入五阶段合计。</w:t>
      </w:r>
    </w:p>
    <w:p w14:paraId="6488DB0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CF_unit = 8,780.0 ÷ 63,000 = 0.1394 kgCO₂e/kVA　（与截图指标卡一致）</w:t>
      </w:r>
    </w:p>
    <w:p w14:paraId="5AE33D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一致性自检（按五阶段口径）：ABS(C_total − Σ C_stage) = 0 ≤ 0.01 kgCO₂e ✔</w:t>
      </w:r>
    </w:p>
    <w:p w14:paraId="7F9C072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精度与容差（固化条款）：① 各阶段与总量保留 3 位小数（kgCO₂e）；② 单位产品碳足迹保留 4 位小数；③ 加总一致性容差上限 0.01 kgCO₂e，超差即阻断证书签发；④ 分配权重（工时/产量）保留 4 位小数，同一报告内权重之和 = 1.0000，容差 ≤ ±0.0001；⑤ 损耗率 R_loss 保留 2 位小数（%）。</w:t>
      </w:r>
    </w:p>
    <w:p w14:paraId="76FDE32E">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17BD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边界口径：严格 Cradle-to-Gate 五阶段，阶段定义不可增减。</w:t>
      </w:r>
    </w:p>
    <w:p w14:paraId="75A7FA3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分配口径：公共工序（真空干燥、退火炉）水电气能耗按工时或产量权重分摊，分配方法须在报告中声明。</w:t>
      </w:r>
    </w:p>
    <w:p w14:paraId="4E93D0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容差口径：总碳足迹与五阶段加总的容差上限 0.01 kgCO₂e，超差即阻断证书签发。</w:t>
      </w:r>
    </w:p>
    <w:p w14:paraId="24AE12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状态口径：认证中状态不可编辑；发布须 P4 + PM 联合签字。</w:t>
      </w:r>
    </w:p>
    <w:p w14:paraId="2859CE5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加总容差 = 0.01 kgCO₂e（硬阈值，超差阻断签发）；② 负值阈值：总量 &lt; 0 一律阻断保存；③ 分母安全阈值：试验工时 T_m ≤ 0 阻断算式生成；工序四元组缺任一项阻断保存；④ 分配权重阈值：单工序分摊比例 ≤ 50% 时方可用单一权重法，超过则须双权重交叉校验；⑤ 责任量阈值：BOM 层级展开深度 ≤ 10 层，超出拒绝展开并提示人工核对；⑥ 基准来源：特征量取第四章「产品型号管理」额定值；因子版本取因子库管理板块当前生效版本；BOM 取 ERP/PLM 当日快照（超时降级用本地缓存快照，须标注降级来源）。</w:t>
      </w:r>
    </w:p>
    <w:p w14:paraId="40F05193">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p w14:paraId="72B4A2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Scenario: 负碳与阶段缺项的强阻断</w:t>
            </w:r>
          </w:p>
          <w:p w14:paraId="18519F0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Given 某型号 BOM 展开后残余物料冲抵导致五阶段加总为负值</w:t>
            </w:r>
          </w:p>
          <w:p w14:paraId="505068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When 系统执行 ISO 14067 五阶段滚算</w:t>
            </w:r>
          </w:p>
          <w:p w14:paraId="3B14531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Then 阻断保存并返回 E_VAL_LCA_TOTAL_NEGATIVE</w:t>
            </w:r>
          </w:p>
          <w:p w14:paraId="13962AB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And 页面提示"产品生命周期碳足迹不可小于零"</w:t>
            </w:r>
          </w:p>
          <w:p w14:paraId="52AAE7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When 该型号任一阶段的工序四元组（产量/电/汽/水）缺项</w:t>
            </w:r>
          </w:p>
          <w:p w14:paraId="3467AF9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Then 阻断保存并返回 E_VAL_LCA_STAGE_INCOMPLETE</w:t>
            </w:r>
          </w:p>
          <w:p w14:paraId="21A7070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And 不做零值或空值补齐</w:t>
            </w:r>
          </w:p>
        </w:tc>
      </w:tr>
    </w:tbl>
    <w:p w14:paraId="0C3B6364">
      <w:pPr>
        <w:spacing w:after="40"/>
        <w:rPr>
          <w:rFonts w:hint="eastAsia" w:ascii="宋体" w:hAnsi="宋体" w:eastAsia="宋体" w:cs="宋体"/>
          <w:i w:val="0"/>
          <w:iCs w:val="0"/>
          <w:sz w:val="24"/>
          <w:szCs w:val="24"/>
        </w:rPr>
      </w:pPr>
    </w:p>
    <w:p w14:paraId="66341356">
      <w:pPr>
        <w:pStyle w:val="5"/>
        <w:numPr>
          <w:ilvl w:val="0"/>
          <w:numId w:val="153"/>
        </w:numPr>
        <w:ind w:left="0" w:leftChars="0" w:firstLine="0" w:firstLineChars="0"/>
        <w:outlineLvl w:val="1"/>
        <w:rPr>
          <w:rFonts w:eastAsia="黑体"/>
          <w:b w:val="0"/>
          <w:bCs w:val="0"/>
          <w:sz w:val="30"/>
          <w:szCs w:val="24"/>
        </w:rPr>
      </w:pPr>
      <w:bookmarkStart w:id="48" w:name="_Toc24248"/>
      <w:r>
        <w:rPr>
          <w:rFonts w:ascii="Times New Roman" w:hAnsi="Times New Roman" w:eastAsia="黑体" w:cs="Times New Roman"/>
          <w:b w:val="0"/>
          <w:bCs w:val="0"/>
          <w:sz w:val="30"/>
          <w:szCs w:val="24"/>
        </w:rPr>
        <w:t xml:space="preserve">碳足迹报告</w:t>
      </w:r>
      <w:bookmarkEnd w:id="48"/>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6"/>
                    <pic:cNvPicPr>
                      <a:picLocks noChangeAspect="1"/>
                    </pic:cNvPicPr>
                  </pic:nvPicPr>
                  <pic:blipFill>
                    <a:blip r:embed="rId84"/>
                    <a:stretch>
                      <a:fillRect/>
                    </a:stretch>
                  </pic:blipFill>
                  <pic:spPr>
                    <a:xfrm>
                      <a:off x="0" y="0"/>
                      <a:ext cx="5900420" cy="2925445"/>
                    </a:xfrm>
                    <a:prstGeom prst="rect">
                      <a:avLst/>
                    </a:prstGeom>
                    <a:noFill/>
                    <a:ln>
                      <a:noFill/>
                    </a:ln>
                  </pic:spPr>
                </pic:pic>
              </a:graphicData>
            </a:graphic>
          </wp:inline>
        </w:drawing>
      </w:r>
    </w:p>
    <w:p w14:paraId="5660250F">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F1526C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全集团可发起，P3 仅本厂且须 P4 复核）；跨单位聚合＝本模块不做聚合，按报告单条管理；对外可见档位＝SENSITIVE（导出件经水印与哈希绑定后方可对外交付，交付对象限定认证机构与欧盟客户白名单）；越权导出返回 403 + E_AUTH_RLS_SCOPE_DENIED。</w:t>
      </w:r>
    </w:p>
    <w:p w14:paraId="2E8AC537">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92743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1）筛选条：经营单位 · 时间区间（起止月）· 产品型号 · 「报告查询」「重置」。</w:t>
      </w:r>
    </w:p>
    <w:p w14:paraId="3264A8B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2）右上主操作：「报告生成」（生成新报告，源数据须为"已认证"状态的核算结果）。</w:t>
      </w:r>
    </w:p>
    <w:p w14:paraId="5B4B21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3）报告清单表：列依次为 报告编号 · 经营单位 · 产品型号 · 标准 · 核算时间 · 操作。</w:t>
      </w:r>
    </w:p>
    <w:p w14:paraId="1B8848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4）行操作：预览（在线预览）· Word（下载）· PDF（下载）· 删除（仅"未签发"态可删，"已签发"态置灰）。</w:t>
      </w:r>
    </w:p>
    <w:p w14:paraId="3CE25A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5）报告编号规则：CFR-{年份}-{4 位流水}，如 CFR-2026-0451；流水按集团内年度递增，删除不回收号段。</w:t>
      </w:r>
    </w:p>
    <w:p w14:paraId="509B150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6）默认排序：按核算时间降序。</w:t>
      </w:r>
    </w:p>
    <w:p w14:paraId="051A82C1">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DCBF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2B38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D3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47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5068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C55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AE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报告编号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8E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52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34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CFR-d{4}-d{4}$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4C5C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D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713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CFE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509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取自组织主数据（沈变本部 / 衡变本部 / 超高压公司 / 鲁缆本部 …）</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29E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EA9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73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11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72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116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509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2CA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3DD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默认 ISO 14067 ；可扩展 PAS 2050 / GHG Protocol</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0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16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核算时间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9489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BE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035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 报告生成日</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710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92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报告哈希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24E6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DC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4E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SHA-256（64 位小写）；与内容绑定</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8D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79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水印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FDA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文本（自动注入）</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70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77A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含操作员工号 + 导出时间戳， 无豁免通道</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3E6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A1A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EPC 编码 / 签名哈希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C7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6246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79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数字碳标签载荷：EPC + Hash_sign + CertNo + ValidUntil</w:t>
            </w:r>
          </w:p>
        </w:tc>
      </w:tr>
    </w:tbl>
    <w:p w14:paraId="37EDF2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截图实测样本：CFR-2026-0451 / 衡变本部 / SZ11-1600/10 / ISO 14067 / 2026-08-12；CFR-2026-0448 / 鲁缆本部 / YJV-8.7/15 / 2026-08-10；CFR-2026-0442 / 沈变本部 / ZW32-12 / 2026-08-06；CFR-2026-0438 / 超高压公司 / SFZ11-110 / 2026-07-22；CFR-2026-0433 / 衡变本部 / SFZ11-110 / 2026-07-15。</w:t>
      </w:r>
    </w:p>
    <w:p w14:paraId="617FF1E0">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113A642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取值示例：报告 CFR-2026-0451（SZ11-1600/10，衡变本部，ISO 14067），报告内容哈希 H = SHA256(ReportContent) = 3f9a…c1；导出 PDF 时注入水印"工号 P4-2087 | 2026-08-12 14:26"；标签载荷 QR = ENCODE(EPC 8486000000001 + Hash_sign + CertNo CERT-2026-0091 + ValidUntil 2029-07-28)。</w:t>
      </w:r>
    </w:p>
    <w:p w14:paraId="4E642A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精度与容差：哈希为定长 64 位十六进制；报告内碳足迹值保留 4 位小数、单位随品类；Word / PDF 两份导出件的正文数值必须逐位一致（容差 0），差异即判为导出异常并阻断交付。</w:t>
      </w:r>
    </w:p>
    <w:p w14:paraId="29A347E6">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5C837F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报告口径：仅状态为"已认证 / 已发布"的报告可导出，草稿与送审态禁止导出。</w:t>
      </w:r>
    </w:p>
    <w:p w14:paraId="61282D2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水印口径：任何导出行为强制注入水印，无豁免通道。</w:t>
      </w:r>
    </w:p>
    <w:p w14:paraId="3C2FBE3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标签口径：证书过期后标签自动标记"已过期"并暂停对应产品碳标签发布。</w:t>
      </w:r>
    </w:p>
    <w:p w14:paraId="34EA52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存证口径：导出报告须包含报告哈希，支持事后完整性校验。</w:t>
      </w:r>
    </w:p>
    <w:p w14:paraId="1F232A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可导出状态集合 = {已认证, 已发布}，其余 0 例外；② 哈希校验为二值判定（相等/不等），无容差；③ 标签有效期 = 证书 ValidUntil，到期日当天 23:59:59 前仍有效；④ 证书到期预警阈值 90 / 30 / 7 天（来源：认证结果管理模块固定铁律）；⑤ 报告编号唯一性：同「型号 × 经营单位 × 核算日」允许并存历史版本，但编号不重复；⑥ 基准来源：报告数与排放值均引自实景数据库同一型号同一账期记录，不允许报告自行重算。</w:t>
      </w:r>
    </w:p>
    <w:p w14:paraId="2402F5E8">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BE74F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草稿或送审态报告：导出按钮置灰，强制阻断并返回 E_CERT_EXPORT_DRAFT_DENIED（403）。</w:t>
            </w:r>
          </w:p>
          <w:p w14:paraId="1B6CE76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E_AUDIT_HASH_BROKEN（500），强制阻断导出并标记数据篡改、锁定单据。</w:t>
            </w:r>
          </w:p>
          <w:p w14:paraId="280DC72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证书已过期：标签生成按钮置灰，提示需先完成证书续期（到期前 90/30/7 天分级预警）。</w:t>
            </w:r>
          </w:p>
          <w:p w14:paraId="6C9A199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二维码签名密钥（HSM）不可用：标签生成失败并告警，返回 E_CERT_LABEL_KEY_UNAVAILABLE（500），不输出无签名标签。</w:t>
            </w:r>
          </w:p>
          <w:p w14:paraId="11E8D7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报告内含未脱敏供应商名称：导出前脱敏校验不通过，阻断导出并列出命中字段。</w:t>
            </w:r>
          </w:p>
          <w:p w14:paraId="732219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组织越权导出他人组织报告：返回 403 + E_AUTH_RLS_SCOPE_DENIED。</w:t>
            </w:r>
          </w:p>
        </w:tc>
      </w:tr>
    </w:tbl>
    <w:p w14:paraId="0E73562B">
      <w:pPr>
        <w:pStyle w:val="6"/>
        <w:numPr>
          <w:ilvl w:val="0"/>
          <w:numId w:val="16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p w14:paraId="1E1AD1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草稿态报告导出被阻断</w:t>
            </w:r>
          </w:p>
          <w:p w14:paraId="49F5946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 LCA 报告状态为 DRAFT</w:t>
            </w:r>
          </w:p>
          <w:p w14:paraId="15BA28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用户点击导出 Word 或 PDF</w:t>
            </w:r>
          </w:p>
          <w:p w14:paraId="6EEC22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导出按钮置灰不可点击</w:t>
            </w:r>
          </w:p>
          <w:p w14:paraId="659BCA4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后端同时拒绝该导出请求并返回 E_CERT_EXPORT_DRAFT_DENIED</w:t>
            </w:r>
          </w:p>
          <w:p w14:paraId="2004F5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签名密钥不可用时不输出无签名标签</w:t>
            </w:r>
          </w:p>
          <w:p w14:paraId="2AFDA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数字碳标签签名所用的 HSM 密钥服务不可用</w:t>
            </w:r>
          </w:p>
          <w:p w14:paraId="6FBB2A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P4 尝试生成某产品的数字碳标签</w:t>
            </w:r>
          </w:p>
          <w:p w14:paraId="395655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标签生成失败并返回 E_CERT_LABEL_KEY_UNAVAILABLE</w:t>
            </w:r>
          </w:p>
          <w:p w14:paraId="5B41A3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系统不输出任何未附带签名哈希的标签文件</w:t>
            </w:r>
          </w:p>
          <w:p w14:paraId="753CD3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生成失败事件推送至运维告警</w:t>
            </w:r>
          </w:p>
        </w:tc>
      </w:tr>
    </w:tbl>
    <w:p w14:paraId="4FD04470">
      <w:pPr>
        <w:spacing w:after="40"/>
        <w:rPr>
          <w:rFonts w:hint="eastAsia" w:ascii="宋体" w:hAnsi="宋体" w:eastAsia="宋体" w:cs="宋体"/>
          <w:i w:val="0"/>
          <w:iCs w:val="0"/>
          <w:sz w:val="24"/>
          <w:szCs w:val="24"/>
        </w:rPr>
      </w:pPr>
    </w:p>
    <w:p w14:paraId="2B21B588">
      <w:pPr>
        <w:pStyle w:val="4"/>
        <w:numPr>
          <w:ilvl w:val="0"/>
          <w:numId w:val="135"/>
        </w:numPr>
        <w:topLinePunct w:val="0"/>
        <w:ind w:left="0" w:leftChars="0" w:firstLine="0" w:firstLineChars="0"/>
        <w:outlineLvl w:val="0"/>
        <w:rPr>
          <w:rFonts w:hint="eastAsia" w:eastAsia="黑体"/>
          <w:b w:val="0"/>
          <w:bCs w:val="0"/>
          <w:sz w:val="30"/>
          <w:szCs w:val="32"/>
        </w:rPr>
      </w:pPr>
      <w:bookmarkStart w:id="49" w:name="_Toc9612"/>
      <w:r>
        <w:rPr>
          <w:rFonts w:ascii="Times New Roman" w:hAnsi="Times New Roman" w:eastAsia="黑体" w:cs="Times New Roman"/>
          <w:b w:val="0"/>
          <w:bCs w:val="0"/>
          <w:sz w:val="30"/>
          <w:szCs w:val="32"/>
        </w:rPr>
        <w:t>CBAM 管理</w:t>
      </w:r>
      <w:bookmarkEnd w:id="49"/>
    </w:p>
    <w:p w14:paraId="1FF425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板块导语｜CBAM 管理</w:t>
      </w:r>
    </w:p>
    <w:p w14:paraId="4D8316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本板块是面向欧盟碳边境调节机制（CBAM，法规 EU 2023/956）的合规作业台，覆盖"范围判定 → 关税测算 → 申报材料组织 → 法规知识支撑"四步闭环。板块下辖 3 个模块：台账管理（管控范围判定与豁免资格预评估）、申报模拟（嵌入碳排放测算、多情景关税模拟、申报包组织）、知识库（法规、CN 清单、填报指引进出口）。</w:t>
      </w:r>
    </w:p>
    <w:p w14:paraId="738D29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边界声明（数据出境）：本板块产出的申报材料与 XML 申报包含出口欧盟产品的工艺与能耗信息，属于敏感数据出境场景。跨境传输路径未经信息安全合规组审批前，导出功能保持关闭；欧盟客户与审查专员仅可通过"对外示范窗口"查看脱敏后的单位产品碳足迹。</w:t>
      </w:r>
    </w:p>
    <w:p w14:paraId="71008C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与「第三方认证管理」的衔接：CBAM 申报所需的实测排放数据必须取自已签发认证的 LCA 报告；无认证数据时允许套用 CBAM 官方默认值估算，但须显著标注"默认值估算"，不得与实测数据混列。</w:t>
      </w:r>
    </w:p>
    <w:p w14:paraId="6B198EB8">
      <w:pPr>
        <w:pStyle w:val="5"/>
        <w:numPr>
          <w:ilvl w:val="0"/>
          <w:numId w:val="169"/>
        </w:numPr>
        <w:ind w:left="0" w:leftChars="0" w:firstLine="0" w:firstLineChars="0"/>
        <w:outlineLvl w:val="1"/>
        <w:rPr>
          <w:rFonts w:eastAsia="黑体"/>
          <w:b w:val="0"/>
          <w:bCs w:val="0"/>
          <w:sz w:val="30"/>
          <w:szCs w:val="24"/>
        </w:rPr>
      </w:pPr>
      <w:bookmarkStart w:id="50" w:name="_Toc11881"/>
      <w:r>
        <w:rPr>
          <w:rFonts w:ascii="Times New Roman" w:hAnsi="Times New Roman" w:eastAsia="黑体" w:cs="Times New Roman"/>
          <w:b w:val="0"/>
          <w:bCs w:val="0"/>
          <w:sz w:val="30"/>
          <w:szCs w:val="24"/>
        </w:rPr>
        <w:t xml:space="preserve">台账管理</w:t>
      </w:r>
      <w:bookmarkEnd w:id="50"/>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85"/>
                    <a:stretch>
                      <a:fillRect/>
                    </a:stretch>
                  </pic:blipFill>
                  <pic:spPr>
                    <a:xfrm>
                      <a:off x="0" y="0"/>
                      <a:ext cx="5900420" cy="2925445"/>
                    </a:xfrm>
                    <a:prstGeom prst="rect">
                      <a:avLst/>
                    </a:prstGeom>
                    <a:noFill/>
                    <a:ln>
                      <a:noFill/>
                    </a:ln>
                  </pic:spPr>
                </pic:pic>
              </a:graphicData>
            </a:graphic>
          </wp:inline>
        </w:drawing>
      </w:r>
    </w:p>
    <w:p w14:paraId="4ED66580">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FB7AA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功能定位：维护出口欧盟电气装备的海关 HS 码 / CN 编码映射与管控范围判定规则，执行豁免资格预评估与出口批次资质校验，明确直接排放与前驱物隐含间接排放的法定边界。</w:t>
      </w:r>
    </w:p>
    <w:p w14:paraId="5328C9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承载角色：P5 报关与关税专家（主操作）、P4 碳核算工程师（排放边界核验）、P1 集团决策层（终审双签）。</w:t>
      </w:r>
    </w:p>
    <w:p w14:paraId="49C2FA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页面路由：/carbon-footprint/cbam/ledger；含两个页签：管控范围判定 / 资质管理。</w:t>
      </w:r>
    </w:p>
    <w:p w14:paraId="128C789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上游依赖：已认证 LCA 报告、海关 HS / CN 编码库、CBAM 法规知识库、「第三方认证管理」的有效资质记录。</w:t>
      </w:r>
    </w:p>
    <w:p w14:paraId="572CE48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下游输出：CN 编码匹配结果与管控范围判定结论 → 作为「申报模拟」的任务准入依据；机构资质状态 → 决定申报材料是否可被接受。</w:t>
      </w:r>
    </w:p>
    <w:p w14:paraId="4905E2B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数据权限：可查看组织范围＝集团级（P5 与 P1 全网可见，P4 仅本园区）；跨单位聚合＝含项目公司（出口主体可能是项目公司，与第二章统计口径相反，须在本模块豁免该排除规则）；对外可见档位＝SENSITIVE（HS / CN 映射与豁免结论涉及商业信息，不对外）；越权返回 403 + E_AUTH_RLS_SCOPE_DENIED。数据出境另受本板块导言所述审批闸门约束。</w:t>
      </w:r>
    </w:p>
    <w:p w14:paraId="3642F735">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3052F2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1）指标卡区（四卡）：纳入管控产品（项）· 有效资质（项）· 贸易主体（家）· 已校验出口批次（批）。截图实测：3 / 2 / 3 / 48。</w:t>
      </w:r>
    </w:p>
    <w:p w14:paraId="7387CF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2）页签一「管控范围判定」：</w:t>
      </w:r>
    </w:p>
    <w:p w14:paraId="1CA78B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CN 编码精准匹配器：输入 HS 码 + 产品名称 + 生产工艺（下拉，如"炼钢-转炉（钢铁）"），点「+ 匹配 CN 编码」返回唯一 8 位 CN 编码；匹配失败时给出"无对应 CN 编码"并列入待人工判定队列。</w:t>
      </w:r>
    </w:p>
    <w:p w14:paraId="6B1A395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豁免资格预评估器：输入"单批次进口量（吨）"与"单位内含碳排放（tCO₂e/t）"，点「+ 评估豁免资格」输出"符合豁免 / 不符合"结论与依据条款。</w:t>
      </w:r>
    </w:p>
    <w:p w14:paraId="2A79E3B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判定结果表：列依次为 产品名称 · HS 码 · CN 码 · 行业 · 管控范围 · 豁免评估 · 资质状态 · 操作（编辑 / 删除）；右上「+ 新增产品」。</w:t>
      </w:r>
    </w:p>
    <w:p w14:paraId="74C1A45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3）页签二「资质管理」：维护贸易主体与出口批次资质，记录资质有效期与校验结果。</w:t>
      </w:r>
    </w:p>
    <w:p w14:paraId="519B353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4）状态色规：管控范围与资质状态用绿（有效/符合豁免）；豁免评估不适用红（不符合）；不管控用绿底浅标签。</w:t>
      </w:r>
    </w:p>
    <w:p w14:paraId="667F539E">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F585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5BA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617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492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4462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96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620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78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74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95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自由录入，须与出口报关品名一致</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9EA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48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HS 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3A92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1FB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0E72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6 位 数字，正则 ^d{6}$ ；示例 8544.23 / 8544.60 / 7308.90 / 3926.90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FE4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DA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CN 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265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521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F9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8 位 数字，正则 ^d{8}$ ；由 HS 码 + 2 位细分位构成；示例 85424230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1DC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4F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行业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335E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E9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94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钢铁 / 铝 / 水泥 / 化肥 / 电力 / 氢 / 化医（CBAM 六大覆盖行业 + 归类项）</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4A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4DEE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管控范围</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30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DD4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15A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管控（橙）／ 不管控（绿）</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AB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26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豁免评估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783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80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C8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符合豁免（绿）／ 不符合（红）／ 不适用</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AA5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A952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资质状态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506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2C79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CAD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有效（绿）／ 失效（灰）</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8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8F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生产工艺</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4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级联枚举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CB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EC4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如"炼钢-转炉（钢铁）"；用于 CN 编码精准匹配</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FD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2E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单批次进口量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7A7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7B3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098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&gt; 0；豁免评估输入</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E0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8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单位内含碳排放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D1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C01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tCO₂e/t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140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0；豁免评估输入</w:t>
            </w:r>
          </w:p>
        </w:tc>
      </w:tr>
    </w:tbl>
    <w:p w14:paraId="304F113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截图实测样本：电力变压器 / 8544.23 / 85424230 / 钢铁 / 管控 / 不符合 / 有效；电磁导体 / 8544.60 / 85446000 / 铝 / 管控 / 不符合 / 有效；钢结构件 / 7308.90 / 73089000 / 钢铁 / 管控 / 不符合 / 有效；塑料绝缘件 / 3926.90 / 39269097 / 化医 / 不管控 / 符合豁免 / 有效。</w:t>
      </w:r>
    </w:p>
    <w:p w14:paraId="5EDB2B0A">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0645D3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In_Scope = (CN_Code ∈ CBAM_Whitelist)　——　税号涵盖判定</w:t>
            </w:r>
          </w:p>
          <w:p w14:paraId="6B948D3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CN_Code = MATCH(HS_Code, Product, Process)　——　CN 编码精准匹配</w:t>
            </w:r>
          </w:p>
          <w:p w14:paraId="26441B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Exempt = (Import_Qty ≤ Threshold) OR (Embedded_Carbon ≤ Default_Value)　——　豁免资格判定</w:t>
            </w:r>
          </w:p>
          <w:p w14:paraId="6AA46EE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Boundary = f(CN_Code)　——　排放边界映射（直接排放 / 前驱物间接排放）</w:t>
            </w:r>
          </w:p>
          <w:p w14:paraId="4EAF22F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Gate_Submit = (Sign_P5 == true) AND (Sign_P1 == true)　——　双签门禁</w:t>
            </w:r>
          </w:p>
        </w:tc>
      </w:tr>
    </w:tbl>
    <w:p w14:paraId="1C82185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取值示例：输入 HS 码 8544.23 + 产品"电力变压器" + 工艺"炼钢-转炉（钢铁）" → 匹配得 CN 码 85424230；查白名单命中"钢铁"行业管控项 → In_Scope = true；豁免评估输入单批次进口量 0.8 吨、单位内含碳排放 0.4210 tCO₂e/t → 低于豁免阈值 → Exempt = false（未达豁免条件），结论"不符合"。</w:t>
      </w:r>
    </w:p>
    <w:p w14:paraId="37AC43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精度与容差：HS 码 / CN 码为定长数字串，无容差；单批次进口量保留 3 位小数；单位内含碳排放保留 4 位小数；阈值比较为"≤"闭区间（等于阈值即判符合豁免）。</w:t>
      </w:r>
    </w:p>
    <w:p w14:paraId="6D848AE1">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3F631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范围口径：仅白名单税号产品可发起申报，非白名单产品入口不出现。</w:t>
      </w:r>
    </w:p>
    <w:p w14:paraId="6B4B8C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边界口径：排放边界按税号固定映射，不允许逐单自定义。</w:t>
      </w:r>
    </w:p>
    <w:p w14:paraId="2925C69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签批口径：提交必须经 P5 报关专家与 P1 集团决策层双重电子签章。</w:t>
      </w:r>
    </w:p>
    <w:p w14:paraId="6DC5A1F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回退口径：海关质询时转入"海关反馈"，补正后重新提交并生成新修订流水号。</w:t>
      </w:r>
    </w:p>
    <w:p w14:paraId="30B62AE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CN 编码唯一性：同一「HS 码 × 生产工艺」组合仅允许映射 1 个 CN 码，多候选时强制人工裁定并留痕；② 豁免阈值来源：CBAM 法规 EU 2023/956 附件中的最小豁免吨位与欧委会发布的默认排放值清单（知识库「CN 管控清单」当前生效版本），不得由业务自行填写；③ 双签阈值：2/2，缺任一签章不可提交；④ 资质有效期：贸易主体 / 认证机构资质有效期截止日 &lt; 当前日期即判失效，对应申报包不可提交；⑤ 已归档申报单一律只读（0 例外）；⑥ 批次校验基准：已校验出口批次计数以"海关回执到达"为唯一计入口径。</w:t>
      </w:r>
    </w:p>
    <w:p w14:paraId="2987E91D">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03190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非白名单税号：申报入口拦截并提示不在 CBAM 涵盖范围，返回 E_CBAM_CN_OUT_OF_SCOPE（403）。</w:t>
            </w:r>
          </w:p>
          <w:p w14:paraId="3715DB2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HS 码 / CN 码格式不合规（非 6 位 / 8 位）：表单即时拦截，返回 E_VAL_CODE_FORMAT_INVALID（400）。</w:t>
            </w:r>
          </w:p>
          <w:p w14:paraId="67440D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CN 编码匹配出现多候选：不自动选取，转人工裁定队列，返回 E_CBAM_CN_AMBIGUOUS（422）。</w:t>
            </w:r>
          </w:p>
          <w:p w14:paraId="629BFC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关联 LCA 报告非已认证状态：申报按钮置灰。</w:t>
            </w:r>
          </w:p>
          <w:p w14:paraId="4870D6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双签不完整：提交动作不可执行，页面明确标注缺失签章方，返回 E_CBAM_SIGN_INCOMPLETE（422）。</w:t>
            </w:r>
          </w:p>
          <w:p w14:paraId="159797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已归档申报：只读锁定，不允许再流转，返回 E_CBAM_DECL_ARCHIVED_READONLY（423）。</w:t>
            </w:r>
          </w:p>
          <w:p w14:paraId="3AF338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机构资质过期：申报包不可提交并提示资质失效日期。</w:t>
            </w:r>
          </w:p>
          <w:p w14:paraId="395B27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数据出境未审批：导出按钮关闭并提示审批中。</w:t>
            </w:r>
          </w:p>
        </w:tc>
      </w:tr>
    </w:tbl>
    <w:p w14:paraId="52E3C63C">
      <w:pPr>
        <w:pStyle w:val="6"/>
        <w:numPr>
          <w:ilvl w:val="0"/>
          <w:numId w:val="1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p w14:paraId="186A3E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CN 编码精准匹配与多候选转人工</w:t>
            </w:r>
          </w:p>
          <w:p w14:paraId="32ECC11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录入 HS 码 8544.23 与生产工艺"炼钢-转炉（钢铁）"</w:t>
            </w:r>
          </w:p>
          <w:p w14:paraId="67004AA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点击"+ 匹配 CN 编码"</w:t>
            </w:r>
          </w:p>
          <w:p w14:paraId="37FA488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返回唯一 CN 码 85424230 并写入判定表</w:t>
            </w:r>
          </w:p>
          <w:p w14:paraId="37A5279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 HS 码与工艺组合命中 2 个及以上候选 CN 码</w:t>
            </w:r>
          </w:p>
          <w:p w14:paraId="5563B1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系统不自动选取，转入人工裁定队列并返回 E_CBAM_CN_AMBIGUOUS</w:t>
            </w:r>
          </w:p>
          <w:p w14:paraId="2F0AE0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非白名单税号申报拦截</w:t>
            </w:r>
          </w:p>
          <w:p w14:paraId="393B4C4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某产品的 CN 码未包含在 CBAM 管控白名单内</w:t>
            </w:r>
          </w:p>
          <w:p w14:paraId="1212CB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P5 尝试对该产品发起 CBAM 申报</w:t>
            </w:r>
          </w:p>
          <w:p w14:paraId="7177CF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申报入口被拦截并提示该产品不在 CBAM 涵盖范围</w:t>
            </w:r>
          </w:p>
          <w:p w14:paraId="4501F0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E_CBAM_CN_OUT_OF_SCOPE 且不生成任何申报单据</w:t>
            </w:r>
          </w:p>
          <w:p w14:paraId="27C668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已归档申报单只读锁定</w:t>
            </w:r>
          </w:p>
          <w:p w14:paraId="209FB4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 CBAM 申报单状态为"已归档"</w:t>
            </w:r>
          </w:p>
          <w:p w14:paraId="79950A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任意角色尝试修改其管控范围或重新提交流转</w:t>
            </w:r>
          </w:p>
          <w:p w14:paraId="4DB65A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写入被拒绝并返回 E_CBAM_DECL_ARCHIVED_READONLY</w:t>
            </w:r>
          </w:p>
          <w:p w14:paraId="363CC1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界面所有编辑控件置灰</w:t>
            </w:r>
          </w:p>
        </w:tc>
      </w:tr>
    </w:tbl>
    <w:p w14:paraId="79D7FBBF">
      <w:pPr>
        <w:spacing w:after="40"/>
        <w:rPr>
          <w:rFonts w:hint="eastAsia" w:ascii="宋体" w:hAnsi="宋体" w:eastAsia="宋体" w:cs="宋体"/>
          <w:i w:val="0"/>
          <w:iCs w:val="0"/>
          <w:sz w:val="24"/>
          <w:szCs w:val="24"/>
        </w:rPr>
      </w:pPr>
    </w:p>
    <w:p w14:paraId="164E7AC9">
      <w:pPr>
        <w:pStyle w:val="5"/>
        <w:numPr>
          <w:ilvl w:val="0"/>
          <w:numId w:val="169"/>
        </w:numPr>
        <w:ind w:left="0" w:leftChars="0" w:firstLine="0" w:firstLineChars="0"/>
        <w:outlineLvl w:val="1"/>
        <w:rPr>
          <w:rFonts w:eastAsia="黑体"/>
          <w:b w:val="0"/>
          <w:bCs w:val="0"/>
          <w:sz w:val="30"/>
          <w:szCs w:val="24"/>
        </w:rPr>
      </w:pPr>
      <w:bookmarkStart w:id="51" w:name="_Toc20854"/>
      <w:r>
        <w:rPr>
          <w:rFonts w:ascii="Times New Roman" w:hAnsi="Times New Roman" w:eastAsia="黑体" w:cs="Times New Roman"/>
          <w:b w:val="0"/>
          <w:bCs w:val="0"/>
          <w:sz w:val="30"/>
          <w:szCs w:val="24"/>
        </w:rPr>
        <w:t xml:space="preserve">申报模拟</w:t>
      </w:r>
      <w:bookmarkEnd w:id="51"/>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8"/>
                    <pic:cNvPicPr>
                      <a:picLocks noChangeAspect="1"/>
                    </pic:cNvPicPr>
                  </pic:nvPicPr>
                  <pic:blipFill>
                    <a:blip r:embed="rId86"/>
                    <a:stretch>
                      <a:fillRect/>
                    </a:stretch>
                  </pic:blipFill>
                  <pic:spPr>
                    <a:xfrm>
                      <a:off x="0" y="0"/>
                      <a:ext cx="5900420" cy="2925445"/>
                    </a:xfrm>
                    <a:prstGeom prst="rect">
                      <a:avLst/>
                    </a:prstGeom>
                    <a:noFill/>
                    <a:ln>
                      <a:noFill/>
                    </a:ln>
                  </pic:spPr>
                </pic:pic>
              </a:graphicData>
            </a:graphic>
          </wp:inline>
        </w:drawing>
      </w:r>
    </w:p>
    <w:p w14:paraId="4952D40F">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33380F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数据权限：可查看组织范围＝P5 全网、P4 本园区、P1 集团全量只读；跨单位聚合＝按模拟任务逐条管理，不聚合；对外可见档位＝SENSITIVE（申报材料与 XML 申报包涉及出口商业信息，仅对欧盟主管机关与进口商在授权后可见）；越权返回 403 + E_AUTH_RLS_SCOPE_DENIED；数据出境受本板块审批闸门约束，未审批前导出接口返回"功能未开放"。</w:t>
      </w:r>
    </w:p>
    <w:p w14:paraId="2C5F1259">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5C34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1）提示条：常驻说明"CBAM 申报模拟：出口欧盟的碳边境调节机制模拟。先在模拟任务列表中新建任务，进入任务后上传对应申报材料；循环环节为进口商 / 主管税务机关，无需我方提供资料。"右上「CBAM 申报要求详解」入口（跳知识库）。</w:t>
      </w:r>
    </w:p>
    <w:p w14:paraId="5D64ECB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2）模拟任务管理表：列依次为 模拟编号 · 模拟场景 · 操作人 · 申报季度 · 嵌入碳排放 · 资料（份数）· 完成度（进度条）· 状态 · 操作（→ 进入 / 查看 / 编辑 / 删除）；右上「+ 新建模拟任务」。</w:t>
      </w:r>
    </w:p>
    <w:p w14:paraId="399817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3）模拟编号规则：SIM-{年份}-{3 位流水}，如 SIM-2026-004。</w:t>
      </w:r>
    </w:p>
    <w:p w14:paraId="44414F8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4）状态与色规：草稿（灰）→ 模拟中（橙）→ 已完成（绿）；仅"草稿"态可删除。</w:t>
      </w:r>
    </w:p>
    <w:p w14:paraId="639294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5）空态：未进入任务时，右侧面板输出"尚未进入模拟任务：申报材料上传需先在「模拟任务管理」中新建并进入一个模拟任务，进入任务后即可查看申报流程说明并上传任务对应的申报材料"，并给出「+ 新建模拟任务」主按钮。</w:t>
      </w:r>
    </w:p>
    <w:p w14:paraId="489A2B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6）任务内页：按"资料上传 → 嵌入碳排放核算 → 多情景关税测算 → 申报包生成与校验 → 导出"五步向导推进。</w:t>
      </w:r>
    </w:p>
    <w:p w14:paraId="7AA52E63">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2FB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0E0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258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E48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4C5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65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6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模拟编号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ED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93A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BC01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SIM-d{4}-d{3}$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7C7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8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模拟场景</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263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5CD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C0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"经营单位 · 产品型号"（如 衡变本部·SZ11-2500/10）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C64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6F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操作人</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3D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15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C9C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姓名（岗位），如 李工（天源）</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3EA7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4B7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申报季度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AC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季度枚举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1A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62F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 Qn （2026 Q1~Q4）；不得晚于当前季度 +1</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62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744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嵌入碳排放</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69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517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tCO₂e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EDD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 (直接排放 + 间接排放) ÷ 产量 × 出口量</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87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1782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0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41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份</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A1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已上传材料份数 ≥ 0</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F96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C33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完成度</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41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DF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3E02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已上传份数 ÷ 应上传份数 × 100%；= 100% 才可置"已完成"</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08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7F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507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8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3DC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草稿 / 模拟中 / 已完成</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74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357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碳价情景系数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1E4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FC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C75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乐观 0.85 / 基准 1.00 / 悲观 1.15</w:t>
            </w:r>
          </w:p>
        </w:tc>
      </w:tr>
    </w:tbl>
    <w:p w14:paraId="577187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截图实测样本：SIM-2026-004 / 衡变本部·SZ11-2500/10 / 李工（天源）/ 2026 Q3 / 1,842 tCO₂e / 4 份 / 60% / 模拟中；SIM-2026-003 / 鲁缆本部·YJV-8.7/15 / 王工（碳管理）/ 2026 Q2 / 964 tCO₂e / 6 份 / 100% / 已完成；SIM-2026-002 / 沈变本部·ZW32-12 / 赵工（外贸）/ 2026 Q2 / 912 tCO₂e / 2 份 / 33% / 草稿；SIM-2026-001 / 超高压公司·SFZ11-110 / 李工（天源）/ 2026 Q1 / 2,238 tCO₂e / 6 份 / 100% / 已完成。</w:t>
      </w:r>
    </w:p>
    <w:p w14:paraId="5C24594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原型勾稽提示：上表"资料 4 份"对应"完成度 60%"，反推应上传份数为 6.67 份（非整数）；"资料 2 份"对应"33%"，反推应上传 6.06 份。说明完成度并非按"份数 ÷ 份数"计算，或原型示例数据未做勾稽。建议前端明确取整规则（四舍五入至整数）并保证"份数 ÷ 总份数 = 显示百分比 ±1%"。</w:t>
      </w:r>
    </w:p>
    <w:p w14:paraId="0497D3B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784A80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取值示例：任务 SIM-2026-004（衡变本部·SZ11-2500/10，2026 Q3）</w:t>
      </w:r>
    </w:p>
    <w:p w14:paraId="58D323F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直接排放 Direct_Em = 1,244 tCO₂e，间接排放 Indirect_Em = 598 tCO₂e，产量 Output = 120 台，出口量 Export_Qty = 100 台</w:t>
      </w:r>
    </w:p>
    <w:p w14:paraId="1DA44F4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Embedded_Carbon = (1,244 + 598) ÷ 120 = 15.3500 tCO₂e/台</w:t>
      </w:r>
    </w:p>
    <w:p w14:paraId="61901AA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Cert_Count = 100 × 15.3500 = 1,535 份凭证（界面显示嵌入碳排放合计 1,842 tCO₂e，为按出口量口径的直接值）</w:t>
      </w:r>
    </w:p>
    <w:p w14:paraId="336B26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若 Price_EU_ETS = 78.50 €/t，Price_Domestic_Paid = 62.00 €/t → Duty_payable = MAX(0, 1,535 × (78.50 − 62.00)) = 25,327.50 €</w:t>
      </w:r>
    </w:p>
    <w:p w14:paraId="1636702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若 Price_Domestic_Paid ≥ Price_EU_ETS → Duty_payable = 0.00 €（零关税入欧，不产生退税）</w:t>
      </w:r>
    </w:p>
    <w:p w14:paraId="4EB9B43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精度与容差：嵌入碳排放保留 3 位小数（tCO₂e）；单位产品嵌入碳排放保留 4 位小数（tCO₂e/台）；关税金额保留 2 位小数（€）；情景系数固定 2 位小数（0.85 / 1.00 / 1.15）；碳价比较容差 ≤ ±0.01 €/t。</w:t>
      </w:r>
    </w:p>
    <w:p w14:paraId="00F76F5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DCE548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碳价口径：ETS 碳价以 EEX 官方接口最新周结算均价为准；碳价滞后超 24h 须标注时间戳。</w:t>
      </w:r>
    </w:p>
    <w:p w14:paraId="656C6B6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抵扣口径：国内已付碳成本须为可凭证明的全国碳市场配额费用或绿电附加成本。</w:t>
      </w:r>
    </w:p>
    <w:p w14:paraId="16ACA2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零关税口径：国内已付成本 ≥ 欧盟 ETS 碳价时应缴金额为 0，不允许出现负值退税。</w:t>
      </w:r>
    </w:p>
    <w:p w14:paraId="127A7F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情景口径：情景碳价以当期价为基准按固定系数上下浮动，系数须在页面明示。</w:t>
      </w:r>
    </w:p>
    <w:p w14:paraId="5853EB1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碳价时效阈值 24 小时（超时标黄并展示时间戳，允许基于最近有效历史均价测算）；② 情景系数固定 0.85 / 1.00 / 1.15，不可配置；③ 零关税判定：Price_Domestic_Paid ≥ Price_EU_ETS 即应缴 0（闭区间，相等即为 0）；④ 完成度阈值：100% 方可置"已完成"，&lt; 100% 一律为"模拟中"或"草稿"；⑤ Schema 校验阈值：0 容错——XML 任一节点不符合欧盟 XSD 即全量阻断导出；⑥ 基准来源：Price_EU_ETS 取 EEX 官方接口；Price_Domestic_Paid 取全国碳市场当季配额结算价；默认排放值取知识库「CN 管控清单」当前生效版本。</w:t>
      </w:r>
    </w:p>
    <w:p w14:paraId="2EB3DAC4">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p w14:paraId="3E8E090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完成度未达 100% 不可置为已完成</w:t>
            </w:r>
          </w:p>
          <w:p w14:paraId="60EDA9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某模拟任务应上传申报材料 10 份，当前已上传 6 份</w:t>
            </w:r>
          </w:p>
          <w:p w14:paraId="4118B9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操作人尝试将该任务状态置为"已完成"</w:t>
            </w:r>
          </w:p>
          <w:p w14:paraId="68FD63A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状态置位被拒绝</w:t>
            </w:r>
          </w:p>
          <w:p w14:paraId="25A9B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完成度显示为 60% 且提示尚缺 4 份材料</w:t>
            </w:r>
          </w:p>
          <w:p w14:paraId="2FFBD1E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数据出境未审批时导出关闭</w:t>
            </w:r>
          </w:p>
          <w:p w14:paraId="302B1A0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面向欧盟的跨境传输路径尚未取得信息安全合规组审批</w:t>
            </w:r>
          </w:p>
          <w:p w14:paraId="75D109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P5 在模拟任务内点击"导出申报包"</w:t>
            </w:r>
          </w:p>
          <w:p w14:paraId="1F3ABDF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导出功能保持关闭并提示审批中</w:t>
            </w:r>
          </w:p>
          <w:p w14:paraId="444EEA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不生成任何 XML 文件、不产生任何外发流量</w:t>
            </w:r>
          </w:p>
        </w:tc>
      </w:tr>
    </w:tbl>
    <w:p w14:paraId="22AD017B">
      <w:pPr>
        <w:spacing w:after="40"/>
        <w:rPr>
          <w:rFonts w:hint="eastAsia" w:ascii="宋体" w:hAnsi="宋体" w:eastAsia="宋体" w:cs="宋体"/>
          <w:i w:val="0"/>
          <w:iCs w:val="0"/>
          <w:sz w:val="24"/>
          <w:szCs w:val="24"/>
        </w:rPr>
      </w:pPr>
    </w:p>
    <w:p w14:paraId="452F02D7">
      <w:pPr>
        <w:pStyle w:val="5"/>
        <w:numPr>
          <w:ilvl w:val="0"/>
          <w:numId w:val="169"/>
        </w:numPr>
        <w:ind w:left="0" w:leftChars="0" w:firstLine="0" w:firstLineChars="0"/>
        <w:outlineLvl w:val="1"/>
        <w:rPr>
          <w:rFonts w:eastAsia="黑体"/>
          <w:b w:val="0"/>
          <w:bCs w:val="0"/>
          <w:sz w:val="30"/>
          <w:szCs w:val="24"/>
        </w:rPr>
      </w:pPr>
      <w:bookmarkStart w:id="52" w:name="_Toc28246"/>
      <w:r>
        <w:rPr>
          <w:rFonts w:ascii="Times New Roman" w:hAnsi="Times New Roman" w:eastAsia="黑体" w:cs="Times New Roman"/>
          <w:b w:val="0"/>
          <w:bCs w:val="0"/>
          <w:sz w:val="30"/>
          <w:szCs w:val="24"/>
        </w:rPr>
        <w:t xml:space="preserve">知识库</w:t>
      </w:r>
      <w:bookmarkEnd w:id="52"/>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9"/>
                    <pic:cNvPicPr>
                      <a:picLocks noChangeAspect="1"/>
                    </pic:cNvPicPr>
                  </pic:nvPicPr>
                  <pic:blipFill>
                    <a:blip r:embed="rId87"/>
                    <a:stretch>
                      <a:fillRect/>
                    </a:stretch>
                  </pic:blipFill>
                  <pic:spPr>
                    <a:xfrm>
                      <a:off x="0" y="0"/>
                      <a:ext cx="5900420" cy="2925445"/>
                    </a:xfrm>
                    <a:prstGeom prst="rect">
                      <a:avLst/>
                    </a:prstGeom>
                    <a:noFill/>
                    <a:ln>
                      <a:noFill/>
                    </a:ln>
                  </pic:spPr>
                </pic:pic>
              </a:graphicData>
            </a:graphic>
          </wp:inline>
        </w:drawing>
      </w:r>
    </w:p>
    <w:p w14:paraId="0C78B61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71C4815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数据权限：可查看组织范围＝集团全量（法规知识为公共资产，不做组织隔离）；跨单位聚合＝不适用；对外可见档位＝INTERNAL（法规原文可对认证机构开放，内部释义与裁定案例仅限内部）；越权返回 403 + E_AUTH_RLS_SCOPE_DENIED；新建 / 编辑 / 删除条目权限仅限 P5 与 P4。</w:t>
      </w:r>
    </w:p>
    <w:p w14:paraId="1824E87C">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83995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1）顶栏：关键词检索框 · 「+ 新建」主按钮。</w:t>
      </w:r>
    </w:p>
    <w:p w14:paraId="35A46C0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2）分类签：全部 · 法规 · 清单 · 指南 · 案例 · 模板（六项，单选）。</w:t>
      </w:r>
    </w:p>
    <w:p w14:paraId="3C7C5D4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3）条目卡列表：每条含 标题 · 摘要（1~2 行）· 分类标签 · 来源 · 发布日期 · 附件图标（有附件时显示）· 行操作（编辑 / 删除）。</w:t>
      </w:r>
    </w:p>
    <w:p w14:paraId="215E8B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4）右侧「CBAM 智能助手」：常驻对话面板，首屏欢迎语"您好，我是 CBAM 知识智能助手，可询问法规条款、CN 编码归类、申报材料要求、季度申报流程等问题。"，底部输入框「输入合规问题…」+ 发送；应答必须给出所依据的知识库条目引用链接，不得无来源作答。</w:t>
      </w:r>
    </w:p>
    <w:p w14:paraId="1A5048C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5）截图实测条目：「CBAM 法规原文 (EU 2023/956)」法规 · 来源 欧盟委员会 · 2023/05/10；「CN 管控清单 2026 版」清单 · 来源 欧委会 · 2025/12/01；「季度申报操作指南」指南 · 来源 海关总署 · 2023/08/01；「BTI 分类裁定典型案例」案例 · 2023/08/01。</w:t>
      </w:r>
    </w:p>
    <w:p w14:paraId="3C2303E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9BE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8D1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FD9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C5C9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6B8C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7E8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E164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标题</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BDC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7C81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1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120 字符，必填</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BD6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A94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分类</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F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枚举单选</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3B3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A8B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法规 / 清单 / 指南 / 案例 / 模板</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2396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D5C2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摘要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F0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C1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2C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 200 字符，列表页展示</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E8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5F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FE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B0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61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欧委会 / 海关总署 / 行业协会 …</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E2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A2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发布日期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2AA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64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69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YYYY-MM-DD；不可晚于当前日期</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F51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49A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生效区间</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40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日期区间</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117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756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effective_from ≤ effective_to ； 跨同分类条目不可重叠</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36F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附件</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A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文件</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69A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06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单文件 ≤ 50 MB；格式 pdf / docx / xlsx / xml；文件名不含路径分隔符</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FF6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62F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引用日志</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1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只读列表</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682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56D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记录被核算引擎 / 申报模块引用的时间、条目版本、引用方</w:t>
            </w:r>
          </w:p>
        </w:tc>
      </w:tr>
    </w:tbl>
    <w:p w14:paraId="0320C0F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544949D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取值示例：检索「关键词＝CN 编码，分类＝清单，时间＝2025-12-01 起」→ 命中「CN 管控清单 2026 版」（生效区间 2026-01-01 ~ 2026-12-31）；某申报任务于 2026-03 引用该版本 → 引用日志写入（引用方＝申报模拟 SIM-2026-004，版本 v2026.1，时间 2026-03-04）。</w:t>
      </w:r>
    </w:p>
    <w:p w14:paraId="34E4A1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精度与容差：版本生效区间为日期闭区间，端点相等视为同一天有效（不产生重叠判定）；检索结果为集合运算，无容差；条目摘要截断长度 200 字符（按字符计，不按字节）。</w:t>
      </w:r>
    </w:p>
    <w:p w14:paraId="699E9769">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293F86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版本口径：申报核算默认引用当前生效版本，可手动指定历史版本做追溯核验。</w:t>
      </w:r>
    </w:p>
    <w:p w14:paraId="658BA52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变更口径：法规与默认值变更全程留痕，可追溯变更内容、时间与录入人。</w:t>
      </w:r>
    </w:p>
    <w:p w14:paraId="127A886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引用口径：知识库条目被核算引擎引用时记录引用日志，保证口径可追溯。</w:t>
      </w:r>
    </w:p>
    <w:p w14:paraId="5A066B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版本重叠判定：同分类下任意两条条目的 [effective_from, effective_to] 交集非空即判重叠，前端即时阻断保存；② 缺失阈值：任一分类下不存在"当前生效版本"时，核算引擎标注"适用法规版本缺失"并阻断该分类默认值的使用；③ 附件阈值：单文件 ≤ 50 MB，超限即时拒绝；④ 检索排序：按生效日期倒序，同一生效日期按发布日期倒序；⑤ 基准来源：CN 管控清单与默认排放值以欧委会官方发布为唯一权威来源，内部不得自行修订数值；⑥ 智能助手应答基线：必须命中至少 1 条知识库条目并给出引用，命中 0 条时输出"未检索到依据"而非推测作答。</w:t>
      </w:r>
    </w:p>
    <w:p w14:paraId="1DF4227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866B8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版本生效区间重叠：前端即时拦截并阻断保存，返回 E_KB_VERSION_RANGE_OVERLAP（409）。</w:t>
            </w:r>
          </w:p>
          <w:p w14:paraId="2CC78E1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无当前生效版本：核算引擎提示"适用法规版本缺失"，阻断使用默认值，返回 E_KB_ACTIVE_VERSION_MISSING（422）。</w:t>
            </w:r>
          </w:p>
          <w:p w14:paraId="6AE3549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附件超限或格式不符：上传即时拒绝，返回 E_KB_ATTACHMENT_INVALID（400）。</w:t>
            </w:r>
          </w:p>
          <w:p w14:paraId="73AD85E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已废止版本被引用：标注"已废止法规"并提示核对最新版本，不阻断引用但记录告警。</w:t>
            </w:r>
          </w:p>
          <w:p w14:paraId="5CE40F3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智能助手应答未命中任何条目：输出"未检索到依据，请咨询 P5 报关与关税专家"，末尾附 P5 联系入口；禁止生成无出处结论。</w:t>
            </w:r>
          </w:p>
          <w:p w14:paraId="20B2FD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删除被引用条目：拒绝物理删除，仅允许"标记废止"，返回 E_KB_ITEM_IN_USE_DELETE_DENIED（409）。</w:t>
            </w:r>
          </w:p>
        </w:tc>
      </w:tr>
    </w:tbl>
    <w:p w14:paraId="51F08793">
      <w:pPr>
        <w:pStyle w:val="6"/>
        <w:numPr>
          <w:ilvl w:val="0"/>
          <w:numId w:val="1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p w14:paraId="28EE108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版本生效区间重叠阻断保存</w:t>
            </w:r>
          </w:p>
          <w:p w14:paraId="1DCF3DA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知识库"清单"分类下已存在生效区间 2026-01-01 至 2026-12-31 的 CN 管控清单</w:t>
            </w:r>
          </w:p>
          <w:p w14:paraId="3C548A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录入人员新增生效区间为 2026-06-01 至 2026-12-31 的清单版本</w:t>
            </w:r>
          </w:p>
          <w:p w14:paraId="2B0C1B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前端即时拦截并阻断保存</w:t>
            </w:r>
          </w:p>
          <w:p w14:paraId="2B5AF2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E_KB_VERSION_RANGE_OVERLAP</w:t>
            </w:r>
          </w:p>
          <w:p w14:paraId="5676D0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无当前生效版本阻断默认值使用</w:t>
            </w:r>
          </w:p>
          <w:p w14:paraId="66AE7D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某分类下全部条目的生效区间均不覆盖当前日期</w:t>
            </w:r>
          </w:p>
          <w:p w14:paraId="2B2114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核算引擎请求该分类的默认排放值</w:t>
            </w:r>
          </w:p>
          <w:p w14:paraId="189100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提示"适用法规版本缺失"并阻断默认值的使用</w:t>
            </w:r>
          </w:p>
          <w:p w14:paraId="6D4DA2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返回错误码 E_KB_ACTIVE_VERSION_MISSING</w:t>
            </w:r>
          </w:p>
          <w:p w14:paraId="75718B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智能助手无依据不作答</w:t>
            </w:r>
          </w:p>
          <w:p w14:paraId="47347C6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用户向 CBAM 智能助手提问一个知识库中不存在相关条目的问题</w:t>
            </w:r>
          </w:p>
          <w:p w14:paraId="55359F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助手完成检索</w:t>
            </w:r>
          </w:p>
          <w:p w14:paraId="44F7049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输出"未检索到依据，请咨询 P5 报关与关税专家"</w:t>
            </w:r>
          </w:p>
          <w:p w14:paraId="5BF09BE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不生成任何无引用来源的结论性回答</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35"/>
        </w:numPr>
        <w:topLinePunct w:val="0"/>
        <w:ind w:left="0" w:leftChars="0" w:firstLine="0" w:firstLineChars="0"/>
        <w:outlineLvl w:val="0"/>
        <w:rPr>
          <w:rFonts w:hint="eastAsia" w:eastAsia="黑体"/>
          <w:b w:val="0"/>
          <w:bCs w:val="0"/>
          <w:sz w:val="30"/>
          <w:szCs w:val="32"/>
        </w:rPr>
      </w:pPr>
      <w:bookmarkStart w:id="53" w:name="_Toc2256"/>
      <w:r>
        <w:rPr>
          <w:rFonts w:ascii="Times New Roman" w:hAnsi="Times New Roman" w:eastAsia="黑体" w:cs="Times New Roman"/>
          <w:b w:val="0"/>
          <w:bCs w:val="0"/>
          <w:sz w:val="30"/>
          <w:szCs w:val="32"/>
        </w:rPr>
        <w:t>第三方认证管理</w:t>
      </w:r>
      <w:bookmarkEnd w:id="53"/>
    </w:p>
    <w:p w14:paraId="568CFE2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板块导语｜第三方认证管理</w:t>
      </w:r>
    </w:p>
    <w:p w14:paraId="4A719D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本板块是产品碳足迹"对外可信"的最后一道关口，管理"资料准备 → 机构申请 → 结果归档与熔断"的完整外部协作闭环。板块下辖 3 个模块：认证资料维护（材料包组装与锁定）、认证申请（询价、排期、补正、进度跟踪）、认证结果管理（证书登记、验真、到期熔断）。</w:t>
      </w:r>
    </w:p>
    <w:p w14:paraId="5D1382C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边界声明：本板块管理的是过程与凭证，不产生碳足迹数值；认证机构（SGS / TÜV 莱茵 / BV 必维 等）为外部主体，其出具的审核结论为权威结论，系统只做结构化登记与状态跟随，任何角色不得人工改写机构结论。</w:t>
      </w:r>
    </w:p>
    <w:p w14:paraId="3FF755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三模块的输入输出链：认证资料维护产出「已锁定资料包」→ 认证申请以其为唯一输入版本发起委托 → 认证结果管理以申请流水为「来源申请」登记证书，并反向驱动数字碳标签发布开关。三者构成不可跳跃的单向链，任一环节状态不满足即阻断下游入口。</w:t>
      </w:r>
    </w:p>
    <w:p w14:paraId="5123E682">
      <w:pPr>
        <w:pStyle w:val="5"/>
        <w:numPr>
          <w:ilvl w:val="0"/>
          <w:numId w:val="186"/>
        </w:numPr>
        <w:ind w:left="0" w:leftChars="0" w:firstLine="0" w:firstLineChars="0"/>
        <w:outlineLvl w:val="1"/>
        <w:rPr>
          <w:rFonts w:ascii="Times New Roman" w:hAnsi="Times New Roman" w:eastAsia="黑体" w:cs="Times New Roman"/>
          <w:b w:val="0"/>
          <w:bCs w:val="0"/>
          <w:sz w:val="30"/>
          <w:szCs w:val="24"/>
        </w:rPr>
      </w:pPr>
      <w:bookmarkStart w:id="54" w:name="_Toc7298"/>
      <w:r>
        <w:rPr>
          <w:rFonts w:ascii="Times New Roman" w:hAnsi="Times New Roman" w:eastAsia="黑体" w:cs="Times New Roman"/>
          <w:b w:val="0"/>
          <w:bCs w:val="0"/>
          <w:sz w:val="30"/>
          <w:szCs w:val="24"/>
        </w:rPr>
        <w:t xml:space="preserve">认证资料维护</w:t>
      </w:r>
      <w:bookmarkEnd w:id="54"/>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0"/>
                    <pic:cNvPicPr>
                      <a:picLocks noChangeAspect="1"/>
                    </pic:cNvPicPr>
                  </pic:nvPicPr>
                  <pic:blipFill>
                    <a:blip r:embed="rId88"/>
                    <a:stretch>
                      <a:fillRect/>
                    </a:stretch>
                  </pic:blipFill>
                  <pic:spPr>
                    <a:xfrm>
                      <a:off x="0" y="0"/>
                      <a:ext cx="5900420" cy="2925445"/>
                    </a:xfrm>
                    <a:prstGeom prst="rect">
                      <a:avLst/>
                    </a:prstGeom>
                    <a:noFill/>
                    <a:ln>
                      <a:noFill/>
                    </a:ln>
                  </pic:spPr>
                </pic:pic>
              </a:graphicData>
            </a:graphic>
          </wp:inline>
        </w:drawing>
      </w:r>
    </w:p>
    <w:p w14:paraId="3465176A">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6DF2D0D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本园区全部型号、P3 仅本人上传凭证、PM 本园区全部）；跨单位聚合＝按"产品型号 × 认证标准"成包，不做跨单位聚合；对外可见档位＝INTERNAL（资料包内含原始凭证与供应商信息，对外仅可向认证机构在委托关系成立后按需开放）；越权写入返回 403 + E_AUTH_RLS_SCOPE_DENIED。</w:t>
      </w:r>
    </w:p>
    <w:p w14:paraId="25B0AF48">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7BC6D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本模块页面以「认证机构工作台」形态组织：</w:t>
      </w:r>
    </w:p>
    <w:p w14:paraId="7A609A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1）筛选条：合作机构 · 办理事项（评价 / 认证）。</w:t>
      </w:r>
    </w:p>
    <w:p w14:paraId="5B1BE17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2）机构卡片（每机构一卡）：机构名（合作中 / 待评估标签）· 可办理标准（如 ISO 14067 产品碳足迹 / EPD 环境产品声明）· 出证周期（约 X-Y 周）· 合作次数 · 认可资质项数；当前事项下的材料按三个桶归集：+ 系统自动出 N 项（黄）· 线下自查 N 项（灰）· 共享模板 N 项（绿），并给出"共提供 N 项材料"合计。</w:t>
      </w:r>
    </w:p>
    <w:p w14:paraId="5B530F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3）材料行：材料名称（如 产品 BOM 明细材料运距表 / 工厂近 12 个月连续能碳实采台账 / 碳足迹核算模型与 LCA 数据清单）· 提供方式（系统自动输出 / 线下上传）· 模板下载入口。</w:t>
      </w:r>
    </w:p>
    <w:p w14:paraId="4A48CF2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4）底部操作："支持一键发起询价申请与模板下载" + 「查看完整材料清单与模板 →」。</w:t>
      </w:r>
    </w:p>
    <w:p w14:paraId="69B377A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截图实测：TÜV 莱茵 出证周期约 6-8 周 / 合作 12 次 / 认可资质 4 项 / 材料 8+4+6 = 共 7 项；SGS 约 4-6 周 / 9 次 / 4 项；BV 必维 约 8-10 周 / 5 次 / 4 项。</w:t>
      </w:r>
    </w:p>
    <w:p w14:paraId="55D9DF4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F2D0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8C3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920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58A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864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59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528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0E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4226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D53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取自机构白名单（TÜV 莱茵 / SGS / BV 必维 / 方圆 CQM …）</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0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01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可办理标准</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76C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751A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37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ISO 14067 / ISO 14064 / PAS 2050 / GHG Protocol / LCI / EPD</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007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2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出证周期</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12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区间（整数周）</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092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周</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ED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下限 &lt; 上限；仅可引用机构历史数据，不手工填写</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29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合作次数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C4A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FFF6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次</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E6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0；系统累计，不可编辑</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F44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AF6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认可资质</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AA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5D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项</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4A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132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34C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材料提供方式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AC0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3EB9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C50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系统自动输出 / 线下上传</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D51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0EE5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资料包齐备率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2E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2B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已上传必传项 ÷ 必传项 × 100%；分母 0 时置 --</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121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D017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BOM 物料凭证覆盖率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E8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10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C40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按 金额加权 ；与核算模块金额口径绝对一致</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8C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18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凭证哈希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05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6EC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F48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SHA-256（64 位小写）</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EA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2D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资料包锁定状态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FC8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6164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F6E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草稿 / 待锁定校验 / 已锁定</w:t>
            </w:r>
          </w:p>
        </w:tc>
      </w:tr>
    </w:tbl>
    <w:p w14:paraId="285D52B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48A6A4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取值示例：某资料包必传资料 10 项，已上传 9 项（缺"绿电发票"）→ 资料包齐备率 = 9 ÷ 10 = 90.00%；BOM 物料凭证覆盖率按金额加权 = 96.40% → Lock_Allowed = (90.00% == 100%) AND (96.40% == 100%) AND (绿电发票 == 已核验) = false → 锁定按钮置灰，缺失清单列出"绿电发票"（责任角色 P3 基层填报员，来源模块 第二章能源台账）。</w:t>
      </w:r>
    </w:p>
    <w:p w14:paraId="64BBCB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精度与容差：齐备率与覆盖率保留 2 位小数；判定为"是否严格等于 100.00%"的二值判定，无容差（99.99% 视为不达标）；分子分母均按资料项 / 物料条目自然汇总（不取项均值）；分母为 0 时统一输出 -- 并提示"无可校验对象"，禁止 NaN / Infinity。</w:t>
      </w:r>
    </w:p>
    <w:p w14:paraId="1FCC03B9">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0F77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粒度口径：认证资料包按「产品型号 × 认证标准」唯一，同一产品不同标准各自独立成包，禁止跨标准复用资料包。</w:t>
      </w:r>
    </w:p>
    <w:p w14:paraId="6F055C5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覆盖率口径：BOM 物料凭证覆盖率按金额加权计算，其分子分母口径与碳足迹核算模块的物料金额口径保持绝对一致。</w:t>
      </w:r>
    </w:p>
    <w:p w14:paraId="2B890B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锁定口径：锁定后的资料包为认证申请的唯一输入版本；历史解锁版本仅存档留痕，不得被认证申请引用。</w:t>
      </w:r>
    </w:p>
    <w:p w14:paraId="7E0CA6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除零口径：齐备率与覆盖率的分母为 0 时统一输出 --，禁止输出 NaN / Infinity 或空白单元格。</w:t>
      </w:r>
    </w:p>
    <w:p w14:paraId="1C138FF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锁定准入三条件全部为 100% 硬阈值（齐备率 100%、凭证覆盖率 100%、绿电发票已核验），无一例外；② 哈希绑定算法固定 SHA-256，文件字节级比对，无容差；③ 机构资质有效期：机构框架协议到期日 &lt; 当前日期即置灰该机构；④ 机构历史数据基准：出证周期与合作次数取该机构在本系统内的历史成交记录，样本 &lt; 1 次时出证周期显示 --；⑤ 版本基准：资料包引用的因子版本须为因子库管理板块当前生效版本，过期即触发 E_VAL_FACTOR_EXPIRED。</w:t>
      </w:r>
    </w:p>
    <w:p w14:paraId="2152EEDC">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41ECA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认证资料维护</w:t>
            </w:r>
          </w:p>
          <w:p w14:paraId="643194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150A5EC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我希望系统对 LCA 报告原始凭证、物料平衡单、绿电发票与第三方检测报告进行数字化封装与哈希绑定</w:t>
            </w:r>
          </w:p>
          <w:p w14:paraId="4A3491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以便为对外认证申报提供可核验、可追溯、可防篡改的证据链底座</w:t>
            </w:r>
          </w:p>
          <w:p w14:paraId="1AD825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600D22C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或 P3 角色权限</w:t>
            </w:r>
          </w:p>
          <w:p w14:paraId="4753116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已存在至少一个处于"草稿"或"待锁定校验"状态的认证资料包</w:t>
            </w:r>
          </w:p>
          <w:p w14:paraId="362DFA7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追加 1 个场景：</w:t>
            </w:r>
          </w:p>
          <w:p w14:paraId="6182A6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绿电发票核验不通过冻结锁定</w:t>
            </w:r>
          </w:p>
          <w:p w14:paraId="5A087F5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某资料包内的绿电发票核验状态为"核验不通过"</w:t>
            </w:r>
          </w:p>
          <w:p w14:paraId="3B5AD65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P4 点击锁定资料包</w:t>
            </w:r>
          </w:p>
          <w:p w14:paraId="5D31B73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锁定入口被冻结并返回 E_CERT_GREEN_INVOICE_UNVERIFIED</w:t>
            </w:r>
          </w:p>
          <w:p w14:paraId="65030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页面提示补正该凭证或剔除其对应的绿电抵扣量</w:t>
            </w:r>
          </w:p>
        </w:tc>
      </w:tr>
    </w:tbl>
    <w:p w14:paraId="450C6CF4">
      <w:pPr>
        <w:pStyle w:val="5"/>
        <w:numPr>
          <w:ilvl w:val="0"/>
          <w:numId w:val="186"/>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5" w:name="_Toc21692"/>
      <w:r>
        <w:rPr>
          <w:rFonts w:hint="eastAsia" w:cs="Times New Roman"/>
          <w:b w:val="0"/>
          <w:bCs w:val="0"/>
          <w:sz w:val="30"/>
          <w:szCs w:val="24"/>
          <w:lang w:val="en-US" w:eastAsia="zh-CN"/>
        </w:rPr>
        <w:t xml:space="preserve">认证申请</w:t>
      </w:r>
      <w:bookmarkEnd w:id="55"/>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1"/>
                    <pic:cNvPicPr>
                      <a:picLocks noChangeAspect="1"/>
                    </pic:cNvPicPr>
                  </pic:nvPicPr>
                  <pic:blipFill>
                    <a:blip r:embed="rId89"/>
                    <a:stretch>
                      <a:fillRect/>
                    </a:stretch>
                  </pic:blipFill>
                  <pic:spPr>
                    <a:xfrm>
                      <a:off x="0" y="0"/>
                      <a:ext cx="5900420" cy="2925445"/>
                    </a:xfrm>
                    <a:prstGeom prst="rect">
                      <a:avLst/>
                    </a:prstGeom>
                    <a:noFill/>
                    <a:ln>
                      <a:noFill/>
                    </a:ln>
                  </pic:spPr>
                </pic:pic>
              </a:graphicData>
            </a:graphic>
          </wp:inline>
        </w:drawing>
      </w:r>
    </w:p>
    <w:p w14:paraId="3819448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7E42638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本园区全部申请、PM 本园区全部、P6 仅被授权申请只读）；跨单位聚合＝按申请单条管理；对外可见档位＝SENSITIVE（申请单与报价信息属商务敏感，仅对本机构开放；对外不展示任何申请流水）；越权返回 403 + E_AUTH_RLS_SCOPE_DENIED。</w:t>
      </w:r>
    </w:p>
    <w:p w14:paraId="1A8E39B7">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3D85936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1）顶部业务流程提示条（常驻）："认证申请业务流程：向导完成报（基础数据 → 线下自备材料 → 系统自动数据）→ 直接进入【线下认证中】→ 现场审核出证书【证书已上传】闭环"。</w:t>
      </w:r>
    </w:p>
    <w:p w14:paraId="5A2CDE2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2）右上筛选与主操作：「线下认证中」/「证书已上传」两个状态快捷筛选 + 「+ 发起认证申请（向导）」。</w:t>
      </w:r>
    </w:p>
    <w:p w14:paraId="3EC7641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3）筛选条：经营单位 · 认证状态 · 名称检索（编号 / 产品 / 机构）· 查询 / 重置。</w:t>
      </w:r>
    </w:p>
    <w:p w14:paraId="57177DD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4）申请台账表：列依次为 申请编号 · 产品型号 · 经营单位 · 合作认证机构 · 办理事项（评价 / 认证）· 申请日期 · 认证状态 · 操作（查看申报资料 / 上传证书出证 / 删除）。</w:t>
      </w:r>
    </w:p>
    <w:p w14:paraId="7ECA00A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5）申请编号规则：CA-{年份}-{3 位流水}，如 CA-2026-120。</w:t>
      </w:r>
    </w:p>
    <w:p w14:paraId="665384A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6）状态：线下认证中（橙）· 证书已上传（绿，并显示证书编号 CERT-YYYY-NNNN）。</w:t>
      </w:r>
    </w:p>
    <w:p w14:paraId="4BD8055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截图实测：CA-2026-120 / SZ11-2500/10 变压器 / 天宝公司 / TÜV 莱茵 / ISO 14067 产品碳足迹认证 / 2026-09-01 / 线下认证中；CA-2026-115 / YJV22-8.7/15 电缆 / 鲁缆本部 / SGS / 2026-07-28 / 证书已上传（CERT-2026-0091）；CA-2026-109 / KYN28A-12 开关柜 / 沈变本部 / 方圆 CQM / 绿色设计产品评价 / 2026-07-20 / 线下认证中。</w:t>
      </w:r>
    </w:p>
    <w:p w14:paraId="0E860BD2">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96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009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3771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4664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575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6D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663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申请编号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EA38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4C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FA1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CA-d{4}-d{3}$ ；全局唯一，重新提交生成新流水号</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ADF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DF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99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CB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F3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DE4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77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91C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42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取自组织主数据</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18E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77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合作认证机构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8A4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D32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23C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白名单机构；资质过期者置灰</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4F6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D5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办理事项</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EA9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枚举（两级）</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7B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D2A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一级：评价 / 认证；二级：ISO 14067 产品碳足迹认证 · EPD 环境产品声明 · 绿色设计产品评价 …</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B60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D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申请日期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16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2C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6B1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YYYY-MM-DD；不可晚于当前日期</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E6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BA3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认证状态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40C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枚举标签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616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4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线下认证中（橙）· 证书已上传（绿）</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9B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949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报价偏差率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C59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3A1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08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&gt; 10% 时强制填写偏差说明并经 PM 复核</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26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3F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审核进度</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B3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百分比(整数)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11F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58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已完成里程碑数 ÷ 里程碑总数 × 100%（等权）</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22A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EAB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认证处理时长</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CBC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337C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自然日</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2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签发时间 − 受理时间；不含资料包组装期</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8D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11</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86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预计发证周期修正值</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小数(2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4AC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周</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E5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修正系数 ∈ [ −0.20, +0.20 ]，超出拒绝保存</w:t>
            </w:r>
          </w:p>
        </w:tc>
      </w:tr>
    </w:tbl>
    <w:p w14:paraId="481AE1DA">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5FA51C4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取值示例：某机构对"ISO 14067 产品碳足迹认证"报价 ￥112,400，同标准最近一次成交基准报价 ￥100,000 → 报价偏差率 = ABS(112,400 − 100,000) ÷ 100,000 × 100% = 12.40% &gt; 10% → 强制填写偏差说明，未完成 PM 复核不得向机构报送。</w:t>
      </w:r>
    </w:p>
    <w:p w14:paraId="4C77B74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排期预估：机构历史平均发证周期 8 周，修正系数 +0.15 → 预计发证周期 = 8 × 1.15 = 9.20 周。</w:t>
      </w:r>
    </w:p>
    <w:p w14:paraId="7854F0F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进度：某申请里程碑总数 5（受理 / 资料核验 / 现场审核 / 出证 / 归档），已完成 3 → 审核进度 = 60%。</w:t>
      </w:r>
    </w:p>
    <w:p w14:paraId="34D7F4E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精度与容差：报价偏差率保留 2 位小数；进度为整数百分比（四舍五入，不做小数展示）；修正系数固定 2 位小数；认证处理时长为整数自然日；与基准报价比较为"&gt; 10%"严格大于，等于 10% 不触发强制说明。</w:t>
      </w:r>
    </w:p>
    <w:p w14:paraId="405CA444">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25A7EF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状态口径：审核状态以机构回传的正式文书为准，人工不得直接跳转状态；状态回退必须填写回退原因并留痕。</w:t>
      </w:r>
    </w:p>
    <w:p w14:paraId="5218841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里程碑口径：进度百分比按里程碑数量等权计算，不按停留时长加权，避免长停留环节放大进度。</w:t>
      </w:r>
    </w:p>
    <w:p w14:paraId="6B12F42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退回口径：机构退回须逐条结构化登记并指派补正责任人，未指派时退回动作不生效；同一资料包重新提交生成新流水号。</w:t>
      </w:r>
    </w:p>
    <w:p w14:paraId="5EDA74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时长口径：认证处理时长统一以自然日计，自受理时间起算至签发时间止，不含资料包组装阶段的耗时。</w:t>
      </w:r>
    </w:p>
    <w:p w14:paraId="2CAE30C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报价偏差阈值 10%（严格大于触发强制说明）；② 修正系数合法区间 [ −0.20, +0.20 ]，越界拒绝保存；③ 进度权重：里程碑等权，不用时长加权；④ 补正期限：以机构书面约定为准，系统默认 10 个自然日（可被机构约定覆盖）；⑤ 机构资质基准：以框架协议到期日为唯一判据，到期日 &lt; 当前日期即置灰；⑥ 基准报价来源：机构白名单中同认证标准最近一次成交价，无历史成交价时输出 -- 并跳过偏差校验。</w:t>
      </w:r>
    </w:p>
    <w:p w14:paraId="76867CD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1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22C96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认证申请</w:t>
            </w:r>
          </w:p>
          <w:p w14:paraId="336813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675729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我希望向 SGS / TÜV 莱茵 / 中国方圆等外部机构在线发起认证委托并跟踪审核进度</w:t>
            </w:r>
          </w:p>
          <w:p w14:paraId="408465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以便完成报价确认、排期协同与补正意见处理的全流程闭环</w:t>
            </w:r>
          </w:p>
          <w:p w14:paraId="7FE9D9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6CE39A2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或 PM 角色权限</w:t>
            </w:r>
          </w:p>
          <w:p w14:paraId="621AB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认证机构白名单与同标准基准报价库已配置</w:t>
            </w:r>
          </w:p>
        </w:tc>
      </w:tr>
    </w:tbl>
    <w:p w14:paraId="5EE86900">
      <w:pPr>
        <w:pStyle w:val="5"/>
        <w:numPr>
          <w:ilvl w:val="0"/>
          <w:numId w:val="186"/>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6" w:name="_Toc15371"/>
      <w:r>
        <w:rPr>
          <w:rFonts w:hint="eastAsia" w:cs="Times New Roman"/>
          <w:b w:val="0"/>
          <w:bCs w:val="0"/>
          <w:sz w:val="30"/>
          <w:szCs w:val="24"/>
          <w:lang w:val="en-US" w:eastAsia="zh-CN"/>
        </w:rPr>
        <w:t xml:space="preserve">认证结果管理</w:t>
      </w:r>
      <w:bookmarkEnd w:id="56"/>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2"/>
                    <pic:cNvPicPr>
                      <a:picLocks noChangeAspect="1"/>
                    </pic:cNvPicPr>
                  </pic:nvPicPr>
                  <pic:blipFill>
                    <a:blip r:embed="rId90"/>
                    <a:stretch>
                      <a:fillRect/>
                    </a:stretch>
                  </pic:blipFill>
                  <pic:spPr>
                    <a:xfrm>
                      <a:off x="0" y="0"/>
                      <a:ext cx="5900420" cy="2925445"/>
                    </a:xfrm>
                    <a:prstGeom prst="rect">
                      <a:avLst/>
                    </a:prstGeom>
                    <a:noFill/>
                    <a:ln>
                      <a:noFill/>
                    </a:ln>
                  </pic:spPr>
                </pic:pic>
              </a:graphicData>
            </a:graphic>
          </wp:inline>
        </w:drawing>
      </w:r>
    </w:p>
    <w:p w14:paraId="13EB1A78">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3541BED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数据权限：可查看组织范围＝本级及以下（P4 本园区、PM 本园区、P6 被授权只读）；跨单位聚合＝按证书单条管理；对外可见档位＝PUBLIC（公示内容须走白名单授权，仅含机构名、证书编号、有效期与产品型号，不含工艺配方、采购单价与人员信息）；越权或非白名单对象查询公示内容返回 403 + E_CERT_PUBLIC_UNAUTHORIZED。</w:t>
      </w:r>
    </w:p>
    <w:p w14:paraId="5ED1C095">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2EE4841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1）指标卡区（四卡）：有效证书（份，附"÷ 明年到期"说明）· 临期证书（份，附"需催办"）· 已过期（份，附"已禁用"）· 合作机构（家）。截图实测：1 / 1 / 1 / 3。</w:t>
      </w:r>
    </w:p>
    <w:p w14:paraId="5DD99F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2）归档表：右上「+ 新增证书」；列依次为 证书编号 · 来源申请（反查 CA-YYYY-NNN）· 产品型号 · 经营单位 · 认证机构 · 有效期至 · 状态 · 操作（预览 / 下载 / 编辑 / 删除）。</w:t>
      </w:r>
    </w:p>
    <w:p w14:paraId="49094F7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3）证书编号规则：CERT-{年份}-{4 位流水}，如 CERT-2026-0091。</w:t>
      </w:r>
    </w:p>
    <w:p w14:paraId="66D7953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4）状态色规：有效（绿）· 临期（橙）· 已过期（红）。</w:t>
      </w:r>
    </w:p>
    <w:p w14:paraId="2D1A52C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5）截图实测：CERT-2026-0091 ← CA-2026-115 / YJV-8.7/15 / 鲁缆本部 / SGS / 2029-07-28 / 有效；CERT-2025-0342 ← CA-2025-231 / SZ11-2500/10 / 天宝公司 / TÜV 莱茵 / 2026-09-15 / 临期；CERT-2024-0128 ← CA-2024-077 / LGJ-240 / 鲁缆本部 / BV 必维 / 2026-03-01 / 已过期。</w:t>
      </w:r>
    </w:p>
    <w:p w14:paraId="66DF411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原型状态判定错误（须修正，否则证书熔断条款无法通过验收）：截图 #31 中 CERT-2025-0342 的"有效期至"为 2026-09-15，而当前日期为 2026-09-27，剩余天数为 −12 天，按本模块既定的 Cert_State = 失效 if Days_left ≤ 0 应判为「已过期」，但原型显示为「临期（橙）」。同时指标卡"已过期 1 份"与表格中"已过期"行数（1 行）自洽，说明该行状态判定逻辑未接入剩余天数计算。修正要求：状态列必须由 Days_left 统一驱动，禁止人工置位；并补充回归用例（见 ⑧ 段）。</w:t>
      </w:r>
    </w:p>
    <w:p w14:paraId="7FEC6372">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EE6F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091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A8C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476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982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CFF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FDD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证书编号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C4A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BD32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41B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正则 CERT-d{4}-d{4}$ ；全局唯一</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A8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9F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来源申请</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53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文本（外键）</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643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A6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关联 CA-YYYY-NNN ；缺失时提示"非系统申报证书"</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36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F91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77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FF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80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须存在于产品型号主数据，否则拒绝登记</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3CE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43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经营单位</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8770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7C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取自组织主数据</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704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6FB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认证机构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9CB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8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705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白名单机构</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E1E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E8E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有效期至</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9F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4C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0F25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YYYY-MM-DD；须晚于签发日</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0B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2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剩余有效天数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B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整数（派生）</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E8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AC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有效期至 − 当前日期； 由系统计算，不可编辑</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96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16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状态</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988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枚举（派生）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896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0C9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 / 临期（≤ 90 天）/ 已过期（≤ 0 天）/ 吊销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AC1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9</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DF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PDF 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03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58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C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SHA-256；与证书 PDF 原件逐字节绑定</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509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A1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签名校验结果</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65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布尔</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1E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244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签发机构公钥验签；失败即判验真失败</w:t>
            </w:r>
          </w:p>
        </w:tc>
      </w:tr>
    </w:tbl>
    <w:p w14:paraId="6C0B942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1DBA286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取值示例：CERT-2026-0091（YJV-8.7/15，有效至 2029-07-28，今日 2026-09-27）→ Days_left = 1,035 天 → Warn_Level = 无 → Cert_State = 有效；PDF 哈希比对通过且机构签名验签通过 → Label_Allowed = true，可发布数字碳标签。</w:t>
      </w:r>
    </w:p>
    <w:p w14:paraId="384B77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CERT-2025-0342（有效至 2026-09-15）→ Days_left = −12 → Cert_State = 已过期（原型误判为"临期"，须修正）。</w:t>
      </w:r>
    </w:p>
    <w:p w14:paraId="3088343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CERT-2024-0128（有效至 2026-03-01）→ Days_left = −210 → 已过期，自动熔断并下架碳标签。</w:t>
      </w:r>
    </w:p>
    <w:p w14:paraId="477465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精度与容差：Days_left 为整数天（按自然日，不含时分秒；以服务器日期为准，不做时区换算）；90 / 30 / 7 为闭区间阈值（Days_left = 90 即触发 90 天级预警）；状态判定为互斥且完备：吊销 &gt; 已过期 &gt; 临期 &gt; 有效，优先级从高到低短路判定；哈希校验为二值判定，无容差。</w:t>
      </w:r>
    </w:p>
    <w:p w14:paraId="2C84ED44">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F04E9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预警口径：90 / 30 / 7 天三级预警阈值为固定铁律，预警只触发提醒不改变证书状态；证书状态仅由剩余有效天数与吊销标记决定。</w:t>
      </w:r>
    </w:p>
    <w:p w14:paraId="1E050F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熔断口径：证书失效或吊销即自动熔断，下架动作与状态变更在同一事务内完成，不允许出现「状态已失效但标签仍可发布」的中间态。</w:t>
      </w:r>
    </w:p>
    <w:p w14:paraId="77E6ED3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验真口径：验真须同时通过 PDF 哈希比对与签发机构签名校验，仅通过其一判定为验真失败。</w:t>
      </w:r>
    </w:p>
    <w:p w14:paraId="147941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公示口径：对外公示一律走白名单授权，白名单外对象返回「未授权公示」占位；公示内容不含工艺配方、采购单价与人员信息。</w:t>
      </w:r>
    </w:p>
    <w:p w14:paraId="59212A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预警阈值 90 / 30 / 7 天，固定不可配置（阈值写在代码常量中，不落配置表）；② 熔断阈值 Days_left ≤ 0，或收到吊销结论即刻；③ 验真为双条件与运算，任一失败即整体失败；④ 同型号多证：以最近签发生效者为权威（比较"签发日期"，而非"有效期至"），其余标记"历史版本"；⑤ 公示白名单来源：P4 登记 + PM 对外公示授权审批流；⑥ 指标卡计数口径：与归档表状态列同一数据源，二者必须自洽（当前原型该项自洽，但状态判定有误，见上文）。</w:t>
      </w:r>
    </w:p>
    <w:p w14:paraId="6871A47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p w14:paraId="27C027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覆盖产品型号不在产品主数据：拒绝登记并返回 E_CERT_MODEL_NOT_FOUND（422），提示型号不存在。</w:t>
            </w:r>
          </w:p>
          <w:p w14:paraId="504F508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未授权对象查询公示内容：输出拦截，返回 E_CERT_PUBLIC_UNAUTHORIZED（403），仅返回「未授权公示」占位。</w:t>
            </w:r>
          </w:p>
          <w:p w14:paraId="2D74BE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（强化原有）状态列与 Days_left 不一致：以 Days_left 计算结果为权威并自动纠正，同时写入数据质量告警（防止人工置位导致熔断漏判）。</w:t>
            </w:r>
          </w:p>
        </w:tc>
      </w:tr>
    </w:tbl>
    <w:p w14:paraId="419BF54E">
      <w:pPr>
        <w:spacing w:after="40"/>
        <w:rPr>
          <w:rFonts w:hint="eastAsia" w:ascii="宋体" w:hAnsi="宋体" w:eastAsia="宋体" w:cs="宋体"/>
          <w:i w:val="0"/>
          <w:iCs w:val="0"/>
          <w:sz w:val="24"/>
          <w:szCs w:val="24"/>
        </w:rPr>
      </w:pPr>
    </w:p>
    <w:p w14:paraId="18C8B562">
      <w:pPr>
        <w:pStyle w:val="6"/>
        <w:numPr>
          <w:ilvl w:val="0"/>
          <w:numId w:val="19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7A54DB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Feature: 认证结果管理</w:t>
            </w:r>
          </w:p>
          <w:p w14:paraId="27E849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作为 P4 碳核算与认证工程师</w:t>
            </w:r>
          </w:p>
          <w:p w14:paraId="6557E7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我希望官方认证声明被结构化存储、验真并监控有效期</w:t>
            </w:r>
          </w:p>
          <w:p w14:paraId="1EB1C98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以便在证书临期与失效时自动预警、熔断并下架数字碳标签</w:t>
            </w:r>
          </w:p>
          <w:p w14:paraId="11C8DED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Background:</w:t>
            </w:r>
          </w:p>
          <w:p w14:paraId="3E1FE5C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用户已登录且具备 P4 / PM / P6 角色权限</w:t>
            </w:r>
          </w:p>
          <w:p w14:paraId="7A6D053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认证机构签发的证书 PDF 原件与机构公钥证书已入库</w:t>
            </w:r>
          </w:p>
          <w:p w14:paraId="637291E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追加 2 个场景：</w:t>
            </w:r>
          </w:p>
          <w:p w14:paraId="27627E4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剩余天数为负必须判为已过期</w:t>
            </w:r>
          </w:p>
          <w:p w14:paraId="6A1CD1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某证书有效期至 2026-09-15，当前系统日期为 2026-09-27</w:t>
            </w:r>
          </w:p>
          <w:p w14:paraId="790EA8E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系统执行每日证书健康检查</w:t>
            </w:r>
          </w:p>
          <w:p w14:paraId="661EB04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该证书剩余有效天数计算为 −12 天</w:t>
            </w:r>
          </w:p>
          <w:p w14:paraId="58E1F00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证书状态判定为"已过期"而非"临期"</w:t>
            </w:r>
          </w:p>
          <w:p w14:paraId="10F17FB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自动熔断并下架其数字碳标签</w:t>
            </w:r>
          </w:p>
          <w:p w14:paraId="71792A2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Scenario: 未授权对象查询公示被拦截</w:t>
            </w:r>
          </w:p>
          <w:p w14:paraId="140D7CD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Given 某查询方不在对外公示白名单内</w:t>
            </w:r>
          </w:p>
          <w:p w14:paraId="502F38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When 该查询方请求查看某产品的认证公示内容</w:t>
            </w:r>
          </w:p>
          <w:p w14:paraId="6DB41A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Then 请求被拦截并返回 E_CERT_PUBLIC_UNAUTHORIZED</w:t>
            </w:r>
          </w:p>
          <w:p w14:paraId="67551EA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And 仅返回"未授权公示"占位，不回传机构名、证书编号以外的任何字段</w:t>
            </w:r>
          </w:p>
        </w:tc>
      </w:tr>
    </w:tbl>
    <w:p w14:paraId="50FD4253">
      <w:pPr>
        <w:pStyle w:val="4"/>
        <w:numPr>
          <w:ilvl w:val="0"/>
          <w:numId w:val="135"/>
        </w:numPr>
        <w:topLinePunct w:val="0"/>
        <w:ind w:left="0" w:leftChars="0" w:firstLine="0" w:firstLineChars="0"/>
        <w:outlineLvl w:val="0"/>
        <w:rPr>
          <w:rFonts w:hint="eastAsia" w:eastAsia="黑体"/>
          <w:b w:val="0"/>
          <w:bCs w:val="0"/>
          <w:sz w:val="30"/>
          <w:szCs w:val="32"/>
        </w:rPr>
      </w:pPr>
      <w:bookmarkStart w:id="57" w:name="_Toc22621"/>
      <w:r>
        <w:rPr>
          <w:rFonts w:ascii="Times New Roman" w:hAnsi="Times New Roman" w:eastAsia="黑体" w:cs="Times New Roman"/>
          <w:b w:val="0"/>
          <w:bCs w:val="0"/>
          <w:sz w:val="30"/>
          <w:szCs w:val="32"/>
        </w:rPr>
        <w:t>因子库管理</w:t>
      </w:r>
      <w:bookmarkEnd w:id="57"/>
    </w:p>
    <w:p w14:paraId="6B81ED8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板块导语｜因子库管理</w:t>
      </w:r>
    </w:p>
    <w:p w14:paraId="67251D2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本板块是集采中心的"参数底座"：把核算引擎所需的四类基础参数——原材料碳排因子、电力碳排因子、能源活动碳排因子、折标煤系数——以版本化的方式纳管，为 LCA 核算、Scope 1/2 排放计算与 CBAM 申报提供可追溯的输入。板块下辖 4 个模块，页面结构高度一致（筛选条 + 单表 + 版本记录）。</w:t>
      </w:r>
    </w:p>
    <w:p w14:paraId="705C631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边界声明（本板块最重要的一条）：本板块仅提供展示与查询。截图 #32~#35 顶部提示条原文为「……仅展示与查询，维护入口在 系统管理 &gt; 能碳基础因子管理」。因此：</w:t>
      </w:r>
    </w:p>
    <w:p w14:paraId="229D7EE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因子的新增、编辑、版本发布、回滚全部在第四章《系统管理、基础参数设置》→「能碳基础因子管理」完成；</w:t>
      </w:r>
    </w:p>
    <w:p w14:paraId="7A658D2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本板块只保留查看因子构成详情与查看版本记录两个只读动作；</w:t>
      </w:r>
    </w:p>
    <w:p w14:paraId="20C9EB1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原稿在本板块写入"新增因子 / 编辑 / 删除 / 回滚"等写操作，与截图不符，须一并删除或改注为"跳转第四章维护"。</w:t>
      </w:r>
    </w:p>
    <w:p w14:paraId="1544EAB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与「实景数据库」的区别：本板块是一类一档的输入参数（如"电解铜 3.42 kgCO₂e/kg"），实景数据库是一事一档的输出结果（如"SFZ-63000/110 在沈变本部 2026-07 的 8,788.871 kgCO₂e/台"）。前者行数随物料/能源品种增长，后者行数随型号 × 单位 × 账期增长。</w:t>
      </w:r>
    </w:p>
    <w:p w14:paraId="5DF00DA9">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8" w:name="_Toc17942"/>
      <w:r>
        <w:rPr>
          <w:rFonts w:ascii="Times New Roman" w:hAnsi="Times New Roman" w:eastAsia="黑体" w:cs="Times New Roman"/>
          <w:b w:val="0"/>
          <w:bCs w:val="0"/>
          <w:sz w:val="30"/>
          <w:szCs w:val="24"/>
        </w:rPr>
        <w:t xml:space="preserve">原材料碳排因子</w:t>
      </w:r>
      <w:bookmarkEnd w:id="58"/>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3"/>
                    <pic:cNvPicPr>
                      <a:picLocks noChangeAspect="1"/>
                    </pic:cNvPicPr>
                  </pic:nvPicPr>
                  <pic:blipFill>
                    <a:blip r:embed="rId91"/>
                    <a:stretch>
                      <a:fillRect/>
                    </a:stretch>
                  </pic:blipFill>
                  <pic:spPr>
                    <a:xfrm>
                      <a:off x="0" y="0"/>
                      <a:ext cx="5900420" cy="2925445"/>
                    </a:xfrm>
                    <a:prstGeom prst="rect">
                      <a:avLst/>
                    </a:prstGeom>
                    <a:noFill/>
                    <a:ln>
                      <a:noFill/>
                    </a:ln>
                  </pic:spPr>
                </pic:pic>
              </a:graphicData>
            </a:graphic>
          </wp:inline>
        </w:drawing>
      </w:r>
    </w:p>
    <w:p w14:paraId="4C54DA6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220CB3B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功能定位：作为产品生命周期核算与 CBAM 申报的核心物料参数基石，面向变压器与线缆两大产业的核心主材，提供因子建库查询、当前值与默认值双轨对比、摇篮到大门（Cradle-to-Gate）工序构成拆解、版本不可变冻结与可信回滚的只读视图。</w:t>
      </w:r>
    </w:p>
    <w:p w14:paraId="49BF1F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承载角色：P4 碳核算工程师（主查阅与构成核验）、P2 园区能碳专员（本园区相关物料查阅）、P6 外部独立审计机构（只读核验）。因子维护权限归第四章，本板块角色均为只读。</w:t>
      </w:r>
    </w:p>
    <w:p w14:paraId="73ABBE7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页面路由：/carbon-footprint/factor/material。</w:t>
      </w:r>
    </w:p>
    <w:p w14:paraId="3789AFC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上游依赖：第四章「能碳基础因子管理」的因子主数据（含版本表）、供应商实测报告与第三方核证声明、Ecoinvent / CLCD 外部数据库。</w:t>
      </w:r>
    </w:p>
    <w:p w14:paraId="55384DF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下游输出：实景数据库与碳足迹核算的物料因子输入、CBAM 隐含碳核算底数、数字碳标签报告中的因子版本引用清单。</w:t>
      </w:r>
    </w:p>
    <w:p w14:paraId="767EC06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数据权限：可查看组织范围＝集团全量（因子为公共参数，不做组织隔离）；跨单位聚合＝不适用；对外可见档位＝INTERNAL（因子的"数据来源"与"提供方"字段含供应商信息，对外须脱敏）；越权写入返回 403 + E_AUTH_RLS_SCOPE_DENIED。</w:t>
      </w:r>
    </w:p>
    <w:p w14:paraId="1DE9B02B">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3F2EE59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1）顶部提示条（常驻）："原材料碳排因子 仅展示与查询，维护入口在 系统管理 &gt; 能碳基础因子管理"。</w:t>
      </w:r>
    </w:p>
    <w:p w14:paraId="35BECBD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2）筛选条：产品（全部产品因子集）· 应用产业签（全部 / 变压器产业 / 线缆产业 / 开关产业 / 通用）· 名称检索框 · 右上「+ 新增因子」（点击后跳转第四章维护页，不在本页弹窗）。</w:t>
      </w:r>
    </w:p>
    <w:p w14:paraId="277DAAC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3）主表列：原材料名称 · 适用产业 · 因子值（当前 / 默认） · 单位 · 数据来源 · 版本 · 操作。</w:t>
      </w:r>
    </w:p>
    <w:p w14:paraId="5BE5DF7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4）行操作（只读三件套）：构成详情（抽屉，展示多供应商加权与工序构成）· 编辑（跳转第四章，并在本页置灰提示"维护入口在系统管理"）· 版本记录（抽屉）· 删除（跳转第四章）。</w:t>
      </w:r>
    </w:p>
    <w:p w14:paraId="55ABF0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5）双轨呈现："因子值"列上下两行，上行标注"当前"、下行标注"默认"；两者不同时当前值加粗并在版本号旁标 ▲。</w:t>
      </w:r>
    </w:p>
    <w:p w14:paraId="4AD54BD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5E2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0FE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45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641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61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5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C215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原材料名称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EB6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2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6ED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唯一；示例 取向硅钢片 / 电解铜 / 电工铝（铝锭）/ 环氧树脂 / 交联聚乙烯（XLPE）/ 绝缘纸板</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401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42E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适用产业</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BB3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21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43B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变压器产业 / 线缆产业 / 开关产业 / 通用</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C2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36D5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F9F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115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AD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&gt; 0 强制（≤ 0 阻断）</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6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1BAD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B6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47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kgCO₂e/kg</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102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无历史基准时置 -- ；严禁显示 0</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F5A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2B2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8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3A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34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供应商实测 / 第三方核证 / 行业标准 / 国家标准 / IPCC 缺省值</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2C0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1B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59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2EA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485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v3.2 ；只读</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68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AD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核验机构</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65A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830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D10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构成详情抽屉内展示</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D2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A09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有效截止期</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F3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日期</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F1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C1A7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构成详情抽屉内展示</w:t>
            </w:r>
          </w:p>
        </w:tc>
      </w:tr>
    </w:tbl>
    <w:p w14:paraId="65567BB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截图实测样本（可直接作为验收数据）：取向硅钢片 / 变压器产业 / 当前 2.8950、默认 2.3217 / kgCO₂e/kg / 供应商实测 / v3.2；电解铜 / 通用 / 3.4200 / 3.5397 / 第三方核证 / v3.2；电工铝（铝锭）/ 线缆产业 / 8.1000 / 8.1000 / 行业标准 / v2.6；环氧树脂 / 变压器产业 / 5.6800 / 5.6800 / 供应商实测 / v2.4；交联聚乙烯（XLPE）/ 线缆产业 / 2.3100 / 2.3100 / 国家标准 / v2.1；绝缘纸板 / 通用 / 1.1200 / 1.1200 / IPCC 缺省值 / v1.9。</w:t>
      </w:r>
    </w:p>
    <w:p w14:paraId="6877C008">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997E0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算式（Unicode 体例，与本章其余 12 个模块一致）：</w:t>
            </w:r>
          </w:p>
          <w:p w14:paraId="362094F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EF_mat = Σ(k=1→m) [ W_k ÷ Σ(j=1→m) W_j × EF_k ]　—— 多供应商混料加权综合因子</w:t>
            </w:r>
          </w:p>
          <w:p w14:paraId="37C15B1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ΔEF_pct = ( EF_current − EF_default ) ÷ EF_default × 100%　—— 因子版本变动偏离率</w:t>
            </w:r>
          </w:p>
          <w:p w14:paraId="2A820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DQR = ( TeR + GeR + TiR + ReR ) ÷ 4　—— 数据质量四维综合评级</w:t>
            </w:r>
          </w:p>
          <w:p w14:paraId="6FD8AD4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④ C_material = Σ(i=1→n) ( M_i × EF_mat,i )　—— 产品原材料阶段总碳足迹</w:t>
            </w:r>
          </w:p>
        </w:tc>
      </w:tr>
    </w:tbl>
    <w:p w14:paraId="51CD010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344E2B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W_k：向第 k 家供应商采购该物料的实际重量（kg 或 t）；EF_k：对应供应商核证因子（kgCO₂e/kg）；</w:t>
      </w:r>
    </w:p>
    <w:p w14:paraId="31050F3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TeR（技术代表性）、GeR（地理代表性）、TiR（时间代表性）、ReR（可靠性）分别按 1~5 档评分；</w:t>
      </w:r>
    </w:p>
    <w:p w14:paraId="225CD48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DQR 分级：DQR ≤ 1.6 判定为高质量（一级数据）；1.6 &lt; DQR ≤ 3.0 判定为中质量；DQR &gt; 3.0 判定为低质量并触发合规预警；</w:t>
      </w:r>
    </w:p>
    <w:p w14:paraId="6777677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M_i：第 i 种物料净重（kg）；n：物料种类数；</w:t>
      </w:r>
    </w:p>
    <w:p w14:paraId="506D927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ΔEF_pct 为负值代表物料绿色低碳化升级，正值代表碳排放强度上升。</w:t>
      </w:r>
    </w:p>
    <w:p w14:paraId="369852D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取值示例：某变压器物料由 3 家供应商混料：甲 60 t（EF 2.9000）、乙 30 t（EF 3.1000）、丙 10 t（EF 2.5000），ΣW = 100 t →</w:t>
      </w:r>
    </w:p>
    <w:p w14:paraId="697A397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EF_mat = (60÷100 × 2.9000) + (30÷100 × 3.1000) + (10÷100 × 2.5000) = 1.7400 + 0.9300 + 0.2500 = 2.9200 kgCO₂e/kg。</w:t>
      </w:r>
    </w:p>
    <w:p w14:paraId="59D6CFB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取向硅钢片：EF_current 2.8950、EF_default 2.3217 → ΔEF_pct = (2.8950 − 2.3217) ÷ 2.3217 × 100% = +24.69%（&gt; +5.00%，标黄提示）。</w:t>
      </w:r>
    </w:p>
    <w:p w14:paraId="40D3E897">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精度与容差：因子值保留 4 位小数；ΔEF_pct 保留 2 位小数；DQR 保留 2 位小数；四维评分为整数（1~5）；加权计算按全精度累加、末位一次舍入，与明细列示值容差 ≤ ±0.0001。</w:t>
      </w:r>
    </w:p>
    <w:p w14:paraId="256F21CF">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53A6319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双轨口径：因子列表常态展示当前值与默认值，默认值作为时序对标基准。</w:t>
      </w:r>
    </w:p>
    <w:p w14:paraId="5C2D421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偏离口径：ΔEF_pct ≤ −5.00% 标记绿色优化箭头；−5.00% &lt; ΔEF_pct ≤ +5.00% 标记灰色持平；ΔEF_pct &gt; +5.00% 标记黄色提示。</w:t>
      </w:r>
    </w:p>
    <w:p w14:paraId="14DDF6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锁定口径：凡被标记为 LCA_CERTIFIED 或 CBAM_DECLARED 报告所引用的因子版本强制锁定，仅允许通过发布新版本推进。</w:t>
      </w:r>
    </w:p>
    <w:p w14:paraId="3501D8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空值口径：新建因子无历史基准时默认值显示 --；缺失实测值时强制匹配公用数据库缺省值，严禁显示 0。</w:t>
      </w:r>
    </w:p>
    <w:p w14:paraId="2994917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溯源口径：每个因子卡片与行内明确展示版本号、核验机构、有效截止期与操作员工号，保障审计双向追溯。</w:t>
      </w:r>
    </w:p>
    <w:p w14:paraId="775BC4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偏离率三档阈值 ±5.00%（闭区间归属：−5.00% 计入绿色档，+5.00% 计入灰色档）；② DQR 阈值 1.6 / 3.0，分级为高质量 / 中质量 / 低质量；③ 因子值硬阈值 &gt; 0，等于 0 亦阻断（避免与"缺失"混淆）；④ 加权分母安全阈值：ΣW = 0 时兜底采用国家标准缺省值；⑤ 基准来源：默认值 = 该因子上一有效版本的当前值（首版时置 --），非行业均值、非全国均值；⑥ 数据来源优先级基准：供应商实测 &gt; 第三方核证 &gt; 行业标准 &gt; 国家标准 &gt; IPCC 缺省值。</w:t>
      </w:r>
    </w:p>
    <w:p w14:paraId="7719793E">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Σ W_j = 0 时，加权因子自动兜底采用国家标准缺省值，记录 E_CALC_FACTOR_WEIGHT_ZERO_FALLBACK ，系统不出现 NaN 或白屏。</w:t>
      </w:r>
    </w:p>
    <w:p w14:paraId="3574A199">
      <w:pPr>
        <w:pStyle w:val="175"/>
        <w:bidi w:val="0"/>
      </w:pPr>
      <w:r>
        <w:t>因子数值非正数强阻断：录入因子必须满足 EF_current &gt; 0，输入 ≤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p w14:paraId="1624CFA9">
            <w:pPr>
              <w:pStyle w:val="19"/>
              <w:bidi w:val="0"/>
            </w:pPr>
            <w:r>
              <w:t xml:space="preserve">Scenario: 本板块写入动作一律跳转第四章</w:t>
            </w:r>
          </w:p>
          <w:p w14:paraId="49BF300B">
            <w:pPr>
              <w:pStyle w:val="19"/>
              <w:bidi w:val="0"/>
            </w:pPr>
            <w:r>
              <w:t xml:space="preserve">Given P4 在"原材料碳排因子"页面查看因子列表</w:t>
            </w:r>
          </w:p>
          <w:p w14:paraId="32AB09FF">
            <w:pPr>
              <w:pStyle w:val="19"/>
              <w:bidi w:val="0"/>
            </w:pPr>
            <w:r>
              <w:t xml:space="preserve">When 点击行内"编辑"或"删除"或右上"+ 新增因子"</w:t>
            </w:r>
          </w:p>
          <w:p w14:paraId="6362A968">
            <w:pPr>
              <w:pStyle w:val="19"/>
              <w:bidi w:val="0"/>
            </w:pPr>
            <w:r>
              <w:t xml:space="preserve">Then 不弹出本页编辑表单</w:t>
            </w:r>
          </w:p>
          <w:p w14:paraId="4D0E217B">
            <w:pPr>
              <w:pStyle w:val="19"/>
              <w:bidi w:val="0"/>
            </w:pPr>
            <w:r>
              <w:t xml:space="preserve">And 跳转至"系统管理 &gt; 能碳基础因子管理"对应因子的维护页</w:t>
            </w:r>
          </w:p>
          <w:p w14:paraId="6093A2CB">
            <w:pPr>
              <w:pStyle w:val="19"/>
              <w:bidi w:val="0"/>
            </w:pPr>
            <w:r>
              <w:t xml:space="preserve">And 本页不产生任何写操作、不写入任何审计流水</w:t>
            </w:r>
          </w:p>
        </w:tc>
      </w:tr>
    </w:tbl>
    <w:p w14:paraId="5D4D83FF">
      <w:pPr>
        <w:rPr>
          <w:rFonts w:hint="eastAsia" w:ascii="宋体" w:hAnsi="宋体" w:eastAsia="宋体" w:cs="宋体"/>
          <w:i w:val="0"/>
          <w:iCs w:val="0"/>
          <w:sz w:val="24"/>
          <w:szCs w:val="24"/>
        </w:rPr>
      </w:pPr>
    </w:p>
    <w:p w14:paraId="59CD8406">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9" w:name="_Toc18568"/>
      <w:r>
        <w:rPr>
          <w:rFonts w:hint="eastAsia" w:cs="Times New Roman"/>
          <w:b w:val="0"/>
          <w:bCs w:val="0"/>
          <w:sz w:val="30"/>
          <w:szCs w:val="24"/>
          <w:lang w:val="en-US" w:eastAsia="zh-CN"/>
        </w:rPr>
        <w:t xml:space="preserve">电力碳排因子</w:t>
      </w:r>
      <w:bookmarkEnd w:id="59"/>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4"/>
                    <pic:cNvPicPr>
                      <a:picLocks noChangeAspect="1"/>
                    </pic:cNvPicPr>
                  </pic:nvPicPr>
                  <pic:blipFill>
                    <a:blip r:embed="rId92"/>
                    <a:stretch>
                      <a:fillRect/>
                    </a:stretch>
                  </pic:blipFill>
                  <pic:spPr>
                    <a:xfrm>
                      <a:off x="0" y="0"/>
                      <a:ext cx="5900420" cy="2925445"/>
                    </a:xfrm>
                    <a:prstGeom prst="rect">
                      <a:avLst/>
                    </a:prstGeom>
                    <a:noFill/>
                    <a:ln>
                      <a:noFill/>
                    </a:ln>
                  </pic:spPr>
                </pic:pic>
              </a:graphicData>
            </a:graphic>
          </wp:inline>
        </w:drawing>
      </w:r>
    </w:p>
    <w:p w14:paraId="0E183B19">
      <w:pPr>
        <w:pStyle w:val="6"/>
        <w:numPr>
          <w:ilvl w:val="0"/>
          <w:numId w:val="196"/>
        </w:numPr>
        <w:bidi w:val="0"/>
        <w:ind w:left="0" w:leftChars="0" w:firstLine="0" w:firstLineChars="0"/>
        <w:rPr>
          <w:b/>
          <w:bCs/>
          <w:sz w:val="28"/>
          <w:szCs w:val="28"/>
        </w:rPr>
      </w:pPr>
      <w:r>
        <w:rPr>
          <w:b/>
          <w:bCs/>
          <w:sz w:val="28"/>
          <w:szCs w:val="28"/>
        </w:rPr>
        <w:t>定位与架构角色</w:t>
      </w:r>
    </w:p>
    <w:p w14:paraId="616DE6F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功能定位：作为全集团范围二（Scope 2）外购电力间接温室气体排放核算、车间工序分时用电碳排分析与市场化绿电消纳抵扣的核心参数库，实现国家级、区域电网级、省域电网级以及特定清洁电源级因子的统一纳管与版本同步（只读视图）。</w:t>
      </w:r>
    </w:p>
    <w:p w14:paraId="5B1B10A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承载角色：P1 集团决策层（只读查验全网平均因子）、P2 园区能碳专员（属地电网因子查阅）、P4 碳核算工程师（绿电消纳核准与证书冲抵核验）。维护权限归第四章。</w:t>
      </w:r>
    </w:p>
    <w:p w14:paraId="1C7DECE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页面路由：/carbon-footprint/factor/electricity。</w:t>
      </w:r>
    </w:p>
    <w:p w14:paraId="115C854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上游依赖：第四章「能碳基础因子管理」的电力因子主数据、生态环境部发布的区域电网基准线排放因子、绿证核销台账、自备电厂 CEMS 在线监测数据。</w:t>
      </w:r>
    </w:p>
    <w:p w14:paraId="4C51B8C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下游输出：Scope 2 间接排放核算结果、绿电消纳占比指标、CBAM 间接排放（前驱物电耗）底数。</w:t>
      </w:r>
    </w:p>
    <w:p w14:paraId="27BF45D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4B63A99A">
      <w:pPr>
        <w:pStyle w:val="6"/>
        <w:numPr>
          <w:ilvl w:val="0"/>
          <w:numId w:val="196"/>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196"/>
        </w:numPr>
        <w:bidi w:val="0"/>
        <w:ind w:left="0" w:leftChars="0" w:firstLine="0" w:firstLineChars="0"/>
        <w:rPr>
          <w:b/>
          <w:bCs/>
          <w:sz w:val="28"/>
          <w:szCs w:val="28"/>
        </w:rPr>
      </w:pPr>
      <w:r>
        <w:rPr>
          <w:b/>
          <w:bCs/>
          <w:sz w:val="28"/>
          <w:szCs w:val="28"/>
        </w:rPr>
        <w:t>功能规格与交互契约</w:t>
      </w:r>
    </w:p>
    <w:p w14:paraId="27F3FD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1）顶部提示条（常驻）："电力碳排因子 仅展示与查询，维护入口在 系统管理 &gt; 能碳基础因子管理"。</w:t>
      </w:r>
    </w:p>
    <w:p w14:paraId="6D2CE1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2）筛选条：区域电网（全部区域电网）· 名称检索框。</w:t>
      </w:r>
    </w:p>
    <w:p w14:paraId="1218564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3）主表列：区域电网 · 电力来源 · 因子值（当前 / 默认） · 单位 · 数据来源 · 版本 · 操作。</w:t>
      </w:r>
    </w:p>
    <w:p w14:paraId="3F85AD0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4）行操作：版本记录（抽屉，展示各版本因子值、生效区间与发布时间）；编辑与删除跳转第四章。</w:t>
      </w:r>
    </w:p>
    <w:p w14:paraId="10F4184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5）配套区块（建议补入 ③ 段）：页面下方宜增设"区域电网—属地映射"只读区块，用于回答"某园区该用哪个电网因子"，避免业务误用（映射关系见 ④ 段）。</w:t>
      </w:r>
    </w:p>
    <w:p w14:paraId="0068270F">
      <w:pPr>
        <w:pStyle w:val="6"/>
        <w:numPr>
          <w:ilvl w:val="0"/>
          <w:numId w:val="196"/>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0C6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4E6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29AE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297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870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F2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E420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区域电网</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B9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2A31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DEBD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 / 华东 / 华中 / 西北 / 南方 / 东北 区域电网</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25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1C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88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4A27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0D0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电网平均 / 光伏发电 / 风力发电 / 水力发电 / 绿电（市场化交易）/ 燃煤自备电厂</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B0F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D1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942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593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kgCO₂e/kWh</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E4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 0（ 允许为 0 ：绿电按 0 计量）；无历史基准时默认值置 --</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9C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9D9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24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0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4F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 / 第三方核证 / 行业标准 / 供应商实测</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F2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E36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F0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AA0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487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v2024.1 / v1.3 （两类命名并存，见 ⑥ 段）</w:t>
            </w:r>
          </w:p>
        </w:tc>
      </w:tr>
    </w:tbl>
    <w:p w14:paraId="23DEDBB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截图实测样本（11 行，可直接作为验收基线）：</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77E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93E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电力来源</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F3C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因子值</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4B1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数据来源</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9A26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版本</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59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4E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A7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0.5703</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52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C32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05C5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华东区域电网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CA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74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0.5257</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363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04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v2024.1</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39E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西北区域电网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BC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CE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0.6127</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8925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87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v2024.1</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174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南方区域电网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A84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0.5271</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2EF4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48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C7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华中区域电网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D809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B0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0.5988</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50A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7DDA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05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东北区域电网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BB4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电网平均</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692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0.6540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8C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CA9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v2024.1</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B8D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B6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光伏发电</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81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0.0480</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8EAB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CAF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v1.3</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99F3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华东区域电网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C60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绿电（市场化交易）</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5A6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0.0000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247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F3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v1.2</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04E2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西北区域电网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1BE2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风力发电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452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0.0250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27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行业标准</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B0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v1.1</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22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华北区域电网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A499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燃煤自备电厂</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F64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0.8320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796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供应商实测</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15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v2.0</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26A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华中区域电网</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58F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水力发电</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F80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0.0110</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05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第三方核证</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9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v1.0</w:t>
            </w:r>
          </w:p>
        </w:tc>
      </w:tr>
    </w:tbl>
    <w:p w14:paraId="1C8C603D">
      <w:pPr>
        <w:pStyle w:val="6"/>
        <w:numPr>
          <w:ilvl w:val="0"/>
          <w:numId w:val="196"/>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BF7FA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71ADB1D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EF_grid_composite = Σ(i=1→p) ( Q_purchased,i × EF_grid,i ) ÷ Σ(i=1→p) Q_purchased,i　—— 全集团购网电力综合加权因子</w:t>
            </w:r>
          </w:p>
          <w:p w14:paraId="1A2519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C_Scope2,elec = ( Q_grid_total − Q_green_verified ) × EF_grid + Q_green_verified × 0　—— 电力间接排放净额（kWh × kgCO₂e/kWh = kgCO₂e）</w:t>
            </w:r>
          </w:p>
          <w:p w14:paraId="54FEB80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R_green_power = ( Q_pv_self + Q_green_market ) ÷ ( Q_grid_total + Q_pv_self ) × 100%　—— 绿电综合消纳占比</w:t>
            </w:r>
          </w:p>
        </w:tc>
      </w:tr>
    </w:tbl>
    <w:p w14:paraId="32B7101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5CCD5B8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Q_purchased,i：第 i 个园区购入市电量（kWh）；EF_grid,i：第 i 个园区所在地电网排放因子（kgCO₂e/kWh）；p：园区数；</w:t>
      </w:r>
    </w:p>
    <w:p w14:paraId="6493254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Q_grid_total：外购市电总量（kWh）；Q_green_verified：取得官方核销绿证对应的结算电量（kWh）；</w:t>
      </w:r>
    </w:p>
    <w:p w14:paraId="50075C6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Q_pv_self：分布式光伏自发自用电量（kWh）；Q_green_market：市场化交易绿电电量（kWh）；</w:t>
      </w:r>
    </w:p>
    <w:p w14:paraId="576A473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严禁出现负碳计算：当 Q_green_verified &gt; Q_grid_total 时，C_Scope2,elec 兜底锁定为 0.00 kgCO₂e，不得产生"负碳抵消外部化石燃料"。</w:t>
      </w:r>
    </w:p>
    <w:p w14:paraId="727669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取值示例：某车间当月市电消耗 Q_grid_total = 100,000 kWh，录入合规核销绿电 Q_green_verified = 40,000 kWh，属地电网因子 EF_grid = 0.5257 kgCO₂e/kWh（华东）→</w:t>
      </w:r>
    </w:p>
    <w:p w14:paraId="346257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C_Scope2,elec = (100,000 − 40,000) × 0.5257 + 40,000 × 0 = 31,542.00 kgCO₂e。</w:t>
      </w:r>
    </w:p>
    <w:p w14:paraId="3CC67D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综合加权因子示例：某集团三园区购电量分别为 50,000 / 30,000 / 20,000 kWh，因子 0.5703 / 0.5257 / 0.6127 → EF_grid_composite = (50,000×0.5703 + 30,000×0.5257 + 20,000×0.6127) ÷ 100,000 = (28,515.0 + 15,771.0 + 12,254.0) ÷ 100,000 = 0.56540 kgCO₂e/kWh。</w:t>
      </w:r>
    </w:p>
    <w:p w14:paraId="4759A55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精度与容差：因子值保留 4 位小数；排放量按 kgCO₂e，允许 2 位小数，内部计算按全精度、末位一次舍入，容差 ≤ ±0.01 kgCO₂e；消纳占比保留 2 位小数（%）；绿电凭证与用电量的比较为"≤"闭区间（相等即全额抵扣，不产生负值）。</w:t>
      </w:r>
    </w:p>
    <w:p w14:paraId="0F872FD4">
      <w:pPr>
        <w:pStyle w:val="6"/>
        <w:numPr>
          <w:ilvl w:val="0"/>
          <w:numId w:val="196"/>
        </w:numPr>
        <w:bidi w:val="0"/>
        <w:ind w:left="0" w:leftChars="0" w:firstLine="0" w:firstLineChars="0"/>
        <w:rPr>
          <w:b/>
          <w:bCs/>
          <w:sz w:val="28"/>
          <w:szCs w:val="28"/>
        </w:rPr>
      </w:pPr>
      <w:r>
        <w:rPr>
          <w:b/>
          <w:bCs/>
          <w:sz w:val="28"/>
          <w:szCs w:val="28"/>
        </w:rPr>
        <w:t>展示、对标与判定口径</w:t>
      </w:r>
    </w:p>
    <w:p w14:paraId="7197C83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分级对标口径：各园区电力排放因子常态与全国平均电网因子（全国基准线 0.5703）横向对齐。</w:t>
      </w:r>
    </w:p>
    <w:p w14:paraId="1289665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消纳认定口径：厂房屋顶分布式光伏自发自用电量，因子按 0.0000 kgCO₂e/kWh 认定；全生命周期 LCA 制造端分摊按 0.0480 kgCO₂e/kWh 认定。</w:t>
      </w:r>
    </w:p>
    <w:p w14:paraId="260BA9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空值口径：对于未联网的小微测点，因子默认继承所在地所属省级电网平均因子，严禁显示 -- 导致计算中断。</w:t>
      </w:r>
    </w:p>
    <w:p w14:paraId="289C50E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全国基准线 0.5703 kgCO₂e/kWh（来源：生态环境部 2024 年度全国电网平均排放因子，经第四章发布）；② 绿电抵扣为 0.0000，超量部分按 100% 截断并顺延下一周期；③ 自备电厂实测要求：未上传 CEMS 连续在线监测值即强制采用燃煤发电机组上限 0.8320 kgCO₂e/kWh；④ 版本命名规则冲突（须统一）：截图中国网平均因子用年度版号 v2024.1，清洁电源因子用序号版号 v1.0~v1.3，两类混排会造成"版本号不可比"。建议统一为「发布年 + 序号」格式（如 v2024.1 / v2026.2），并在版本记录中固定展示"生效区间 + 发布依据"；⑤ 比对基准来源：区域电网划分以国家发改委区域电网划分为准，禁止按行政省自行归类。⑥ 区域电网—属地映射（建议固化入 ④ 段）：新疆 → 西北电网；上海 / 江苏 → 华东电网；湖南 → 华中电网；辽宁 / 吉林 / 黑龙江 → 东北电网；广东 / 广西 / 云南 / 贵州 / 海南 → 南方电网；北京 / 天津 / 河北 / 山西 / 山东 → 华北电网。</w:t>
      </w:r>
    </w:p>
    <w:p w14:paraId="38FE526F">
      <w:pPr>
        <w:pStyle w:val="6"/>
        <w:numPr>
          <w:ilvl w:val="0"/>
          <w:numId w:val="196"/>
        </w:numPr>
        <w:bidi w:val="0"/>
        <w:ind w:left="0" w:leftChars="0" w:firstLine="0" w:firstLineChars="0"/>
        <w:rPr>
          <w:b/>
          <w:bCs/>
          <w:sz w:val="28"/>
          <w:szCs w:val="28"/>
        </w:rPr>
      </w:pPr>
      <w:r>
        <w:rPr>
          <w:b/>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7D645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历史关账月度强冻结：已完成财务锁账的月份，其核算所引用的电力因子版本自动固化，即便后续生态环境部补丁修正因子，历史月份禁止自动刷新，触发 E_SYS_FACTOR_LOCKED_HISTORIC（422）。</w:t>
            </w:r>
          </w:p>
          <w:p w14:paraId="1ED691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绿电超量抵扣截断：绿电核销申报量大于用电总量时，系统自动截断至总用电量，溢出部分自动流转至下一统计周期，记录告警 E_CALC_GREEN_OFFSET_OVERFLOW（200）。</w:t>
            </w:r>
          </w:p>
          <w:p w14:paraId="686ADD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自备电厂实测脱失拦截：自备电厂当月未上传 CEMS 烟气实测值时，阻断其提交"超低因子"，强制采用 0.8320 kgCO₂e/kWh，抛出 E_VAL_CEMS_OFFLINE_PENALTY（422）。</w:t>
            </w:r>
          </w:p>
          <w:p w14:paraId="336E8A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（新增）因子值为 0 的合法性区分：绿电类来源允许因子 = 0.0000（合法），国网平均类来源因子 = 0 视为异常并拦截，返回 E_VAL_FACTOR_ZERO_UNEXPECTED（422）。</w:t>
            </w:r>
          </w:p>
          <w:p w14:paraId="539327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（新增）区域电网缺失：园区属地无法映射到任一区域电网（如境外园区），因子置 -- 并要求人工指定，禁止默认取全国平均。</w:t>
            </w:r>
          </w:p>
        </w:tc>
      </w:tr>
    </w:tbl>
    <w:p w14:paraId="56464043">
      <w:pPr>
        <w:pStyle w:val="6"/>
        <w:numPr>
          <w:ilvl w:val="0"/>
          <w:numId w:val="196"/>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p w14:paraId="7E49430A">
            <w:pPr>
              <w:pStyle w:val="19"/>
              <w:bidi w:val="0"/>
            </w:pPr>
            <w:r>
              <w:t xml:space="preserve">Scenario: 历史关账月份因子强冻结</w:t>
            </w:r>
          </w:p>
          <w:p w14:paraId="6ED3E592">
            <w:pPr>
              <w:pStyle w:val="19"/>
              <w:bidi w:val="0"/>
            </w:pPr>
            <w:r>
              <w:t xml:space="preserve">Given 2026-06 已完成财务锁账并核算引用电力因子版本 v2024.1</w:t>
            </w:r>
          </w:p>
          <w:p w14:paraId="4D5EA4F1">
            <w:pPr>
              <w:pStyle w:val="19"/>
              <w:bidi w:val="0"/>
            </w:pPr>
            <w:r>
              <w:t xml:space="preserve">When 生态环境部发布 v2026.1 修正因子</w:t>
            </w:r>
          </w:p>
          <w:p w14:paraId="60A60CA9">
            <w:pPr>
              <w:pStyle w:val="19"/>
              <w:bidi w:val="0"/>
            </w:pPr>
            <w:r>
              <w:t xml:space="preserve">Then 2026-06 的核算结果保持引用 v2024.1 不自动刷新</w:t>
            </w:r>
          </w:p>
          <w:p w14:paraId="60B92368">
            <w:pPr>
              <w:pStyle w:val="19"/>
              <w:bidi w:val="0"/>
            </w:pPr>
            <w:r>
              <w:t xml:space="preserve">And 返回错误码 E_SYS_FACTOR_LOCKED_HISTORIC</w:t>
            </w:r>
          </w:p>
          <w:p w14:paraId="3FDF7080">
            <w:pPr>
              <w:pStyle w:val="19"/>
              <w:bidi w:val="0"/>
            </w:pPr>
            <w:r>
              <w:t xml:space="preserve">Scenario: 绿电超量抵扣自动截断并顺延</w:t>
            </w:r>
          </w:p>
          <w:p w14:paraId="15DB10C4">
            <w:pPr>
              <w:pStyle w:val="19"/>
              <w:bidi w:val="0"/>
            </w:pPr>
            <w:r>
              <w:t xml:space="preserve">Given 某车间当月总用电量 100,000 kWh，绿电核销申报量 120,000 kWh</w:t>
            </w:r>
          </w:p>
          <w:p w14:paraId="74BF4267">
            <w:pPr>
              <w:pStyle w:val="19"/>
              <w:bidi w:val="0"/>
            </w:pPr>
            <w:r>
              <w:t xml:space="preserve">When 系统核算该车间 Scope 2 间接排放</w:t>
            </w:r>
          </w:p>
          <w:p w14:paraId="475DE885">
            <w:pPr>
              <w:pStyle w:val="19"/>
              <w:bidi w:val="0"/>
            </w:pPr>
            <w:r>
              <w:t xml:space="preserve">Then 抵扣量被截断至 100,000 kWh，排放量为 0.00 kgCO₂e</w:t>
            </w:r>
          </w:p>
          <w:p w14:paraId="31F05887">
            <w:pPr>
              <w:pStyle w:val="19"/>
              <w:bidi w:val="0"/>
            </w:pPr>
            <w:r>
              <w:t xml:space="preserve">And 溢出的 20,000 kWh 自动流转至下一统计周期</w:t>
            </w:r>
          </w:p>
          <w:p w14:paraId="1AF90695">
            <w:pPr>
              <w:pStyle w:val="19"/>
              <w:bidi w:val="0"/>
            </w:pPr>
            <w:r>
              <w:t xml:space="preserve">And 记录告警 E_CALC_GREEN_OFFSET_OVERFLOW</w:t>
            </w:r>
          </w:p>
          <w:p w14:paraId="6280BF72">
            <w:pPr>
              <w:pStyle w:val="19"/>
              <w:bidi w:val="0"/>
            </w:pPr>
            <w:r>
              <w:t xml:space="preserve">Scenario: 自备电厂 CEMS 脱失强制上限因子</w:t>
            </w:r>
          </w:p>
          <w:p w14:paraId="2451C903">
            <w:pPr>
              <w:pStyle w:val="19"/>
              <w:bidi w:val="0"/>
            </w:pPr>
            <w:r>
              <w:t xml:space="preserve">Given 某自备电厂当月未上传 CEMS 烟气实测值</w:t>
            </w:r>
          </w:p>
          <w:p w14:paraId="2A45D6A3">
            <w:pPr>
              <w:pStyle w:val="19"/>
              <w:bidi w:val="0"/>
            </w:pPr>
            <w:r>
              <w:t xml:space="preserve">When 该电厂提交低于 0.8320 kgCO₂e/kWh 的"超低排放"因子</w:t>
            </w:r>
          </w:p>
          <w:p w14:paraId="3D56339E">
            <w:pPr>
              <w:pStyle w:val="19"/>
              <w:bidi w:val="0"/>
            </w:pPr>
            <w:r>
              <w:t xml:space="preserve">Then 提交被阻断并强制采用 0.8320 kgCO₂e/kWh</w:t>
            </w:r>
          </w:p>
          <w:p w14:paraId="5CAE91B4">
            <w:pPr>
              <w:pStyle w:val="19"/>
              <w:bidi w:val="0"/>
            </w:pPr>
            <w:r>
              <w:t xml:space="preserve">And 返回错误码 E_VAL_CEMS_OFFLINE_PENALTY</w:t>
            </w:r>
          </w:p>
        </w:tc>
      </w:tr>
    </w:tbl>
    <w:p w14:paraId="2327B818">
      <w:pPr>
        <w:pStyle w:val="19"/>
        <w:bidi w:val="0"/>
      </w:pPr>
    </w:p>
    <w:p w14:paraId="35D5EB07">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0" w:name="_Toc25421"/>
      <w:r>
        <w:rPr>
          <w:rFonts w:hint="eastAsia" w:cs="Times New Roman"/>
          <w:b w:val="0"/>
          <w:bCs w:val="0"/>
          <w:sz w:val="30"/>
          <w:szCs w:val="24"/>
          <w:lang w:val="en-US" w:eastAsia="zh-CN"/>
        </w:rPr>
        <w:t xml:space="preserve">能源活动碳排因子</w:t>
      </w:r>
      <w:bookmarkEnd w:id="60"/>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5"/>
                    <pic:cNvPicPr>
                      <a:picLocks noChangeAspect="1"/>
                    </pic:cNvPicPr>
                  </pic:nvPicPr>
                  <pic:blipFill>
                    <a:blip r:embed="rId93"/>
                    <a:stretch>
                      <a:fillRect/>
                    </a:stretch>
                  </pic:blipFill>
                  <pic:spPr>
                    <a:xfrm>
                      <a:off x="0" y="0"/>
                      <a:ext cx="5900420" cy="2925445"/>
                    </a:xfrm>
                    <a:prstGeom prst="rect">
                      <a:avLst/>
                    </a:prstGeom>
                    <a:noFill/>
                    <a:ln>
                      <a:noFill/>
                    </a:ln>
                  </pic:spPr>
                </pic:pic>
              </a:graphicData>
            </a:graphic>
          </wp:inline>
        </w:drawing>
      </w:r>
    </w:p>
    <w:p w14:paraId="7D02E7BF">
      <w:pPr>
        <w:pStyle w:val="6"/>
        <w:numPr>
          <w:ilvl w:val="0"/>
          <w:numId w:val="197"/>
        </w:numPr>
        <w:bidi w:val="0"/>
        <w:ind w:left="0" w:leftChars="0" w:firstLine="0" w:firstLineChars="0"/>
        <w:rPr>
          <w:b/>
          <w:bCs/>
          <w:sz w:val="28"/>
          <w:szCs w:val="28"/>
        </w:rPr>
      </w:pPr>
      <w:r>
        <w:rPr>
          <w:b/>
          <w:bCs/>
          <w:sz w:val="28"/>
          <w:szCs w:val="28"/>
        </w:rPr>
        <w:t>定位与架构角色</w:t>
      </w:r>
    </w:p>
    <w:p w14:paraId="26F51F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功能定位：作为全集团范围一（Scope 1）化石燃料直接燃烧排放及外购热力蒸汽排放的核算参数中枢，管理化石燃料（天然气、柴油、汽油、原煤、液化石油气）、外购工业蒸汽以及设备逸散制冷剂（如 R134a、R410A）的核心排放参数（只读视图）。</w:t>
      </w:r>
    </w:p>
    <w:p w14:paraId="3474B56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承载角色：P2 园区能碳专员（燃料消耗录入与检验单上传在第二章，本板块仅查阅）、P4 碳核算工程师（因子基线核准与低位发热量实测修正核验）。维护权限归第四章。</w:t>
      </w:r>
    </w:p>
    <w:p w14:paraId="3E78515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页面路由：/carbon-footprint/factor/energy-activity。</w:t>
      </w:r>
    </w:p>
    <w:p w14:paraId="32B2F57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上游依赖：第四章「能碳基础因子管理」的能源活动因子主数据、供应商燃料质检单（低位热值实测）、IPCC 国家温室气体清单指南缺省值、制冷剂 GWP 值表。</w:t>
      </w:r>
    </w:p>
    <w:p w14:paraId="6C95E7D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下游输出：Scope 1 直接排放核算结果、单位产品燃料单耗碳排、CBAM 直接排放底数。</w:t>
      </w:r>
    </w:p>
    <w:p w14:paraId="7AF286F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3DF26ED6">
      <w:pPr>
        <w:pStyle w:val="6"/>
        <w:numPr>
          <w:ilvl w:val="0"/>
          <w:numId w:val="197"/>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197"/>
        </w:numPr>
        <w:bidi w:val="0"/>
        <w:ind w:left="0" w:leftChars="0" w:firstLine="0" w:firstLineChars="0"/>
        <w:rPr>
          <w:b/>
          <w:bCs/>
          <w:sz w:val="28"/>
          <w:szCs w:val="28"/>
        </w:rPr>
      </w:pPr>
      <w:r>
        <w:rPr>
          <w:b/>
          <w:bCs/>
          <w:sz w:val="28"/>
          <w:szCs w:val="28"/>
        </w:rPr>
        <w:t>功能规格与交互契约</w:t>
      </w:r>
    </w:p>
    <w:p w14:paraId="6BF2CE9C">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1）顶部提示条（常驻）："能源活动碳排因子 仅展示与查询，维护入口在 系统管理 &gt; 能碳基础因子管理"。</w:t>
      </w:r>
    </w:p>
    <w:p w14:paraId="354E1FA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2）筛选条：能源类别（全部能源类别）· 名称检索框。</w:t>
      </w:r>
    </w:p>
    <w:p w14:paraId="61338DE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3）主表列：能源 / 活动名称 · 能源类别 · 因子值（当前 / 默认） · 单位 · 数据来源 · 版本 · 操作。</w:t>
      </w:r>
    </w:p>
    <w:p w14:paraId="3D00435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4）能源类别取值：化石燃料 / 热力·蒸汽 / 制冷剂。</w:t>
      </w:r>
    </w:p>
    <w:p w14:paraId="6512964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5）行操作：版本记录（抽屉）；编辑与删除跳转第四章。</w:t>
      </w:r>
    </w:p>
    <w:p w14:paraId="246E1509">
      <w:pPr>
        <w:pStyle w:val="6"/>
        <w:numPr>
          <w:ilvl w:val="0"/>
          <w:numId w:val="197"/>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9C91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C93D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F78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930B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075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A5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4C3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能源/活动名称</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413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75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EA5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天然气 / 原煤（烟煤）/ 柴油 / 汽油 / 液化石油气（LPG）/ 外购蒸汽 / R134a 制冷剂 …</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B4A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0EB3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能源类别</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21D4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E49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A7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化石燃料 / 热力·蒸汽 / 制冷剂</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758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F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3C43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9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随品种</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8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kgCO₂e/kg（固液）· kgCO₂e/m³（气）· kgCO₂e/MJ（热力）</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06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837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612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37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670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IPCC 缺省值 / 国家标准 / 供应商实测 / 协议下发</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4B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9A5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926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4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BA0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形如 v2023.2 / v2024.1 / v2026.1</w:t>
            </w:r>
          </w:p>
        </w:tc>
      </w:tr>
    </w:tbl>
    <w:p w14:paraId="664B793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截图实测样本（6 行，可直接作为验收基线）：天然气 / 化石燃料 / 2.1622 kgCO₂e/m³ / IPCC 缺省值 / v2023.2；原煤（烟煤）/ 化石燃料 / 1.9003 kgCO₂e/kg / IPCC 缺省值 / v2023.2；柴油 / 化石燃料 / 3.0959 kgCO₂e/kg / 国家标准 / v2024.1；外购蒸汽 / 热力·蒸汽 / 0.1100 kgCO₂e/MJ / 协议下发 / v2026.1；R134a 制冷剂 / 制冷剂 / 1430.0000 kgCO₂e/kg / IPCC 缺省值 / v2023.1；液化石油气（LPG）/ 化石燃料 / 3.1013 kgCO₂e/kg / 国家标准 / v2023.1。</w:t>
      </w:r>
    </w:p>
    <w:p w14:paraId="3A9BF347">
      <w:pPr>
        <w:pStyle w:val="6"/>
        <w:numPr>
          <w:ilvl w:val="0"/>
          <w:numId w:val="197"/>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560C1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59DA3FA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EF_fossil = NCV × CC × OF × (44 ÷ 12) × 10⁻³　—— 化石燃料直接燃烧排放因子（kgCO₂e/实物单位）</w:t>
            </w:r>
          </w:p>
          <w:p w14:paraId="59823ED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EF_steam = [ ( h_steam − h_water ) ÷ η_boiler ] × EF_fuel　—— 外购工业蒸汽折算因子（kgCO₂e/MJ）</w:t>
            </w:r>
          </w:p>
          <w:p w14:paraId="6451B3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C_Scope1,total = Σ(j=1→k) ( Q_fuel,j × EF_fossil,j ) + Σ(m=1→r) ( L_refrig,m × GWP_m )　—— 范围一直接排放总量</w:t>
            </w:r>
          </w:p>
        </w:tc>
      </w:tr>
    </w:tbl>
    <w:p w14:paraId="5E20DE4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57FBFFE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NCV：平均低位发热量（固体/液体为 kJ/kg，气体为 kJ/m³）；CC：单位热值含碳量（tC/TJ）；OF：碳氧化率（%）；</w:t>
      </w:r>
    </w:p>
    <w:p w14:paraId="1157DFF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44÷12：二氧化碳与碳的分子量比率（约等于 3.6667）；10⁻³：单位折算系数；</w:t>
      </w:r>
    </w:p>
    <w:p w14:paraId="68B458B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h_steam：蒸汽供汽比焓（kJ/kg）；h_water：锅炉给水温度比焓（kJ/kg）；η_boiler：供热锅炉综合热效率（系统缺省取 80.0%）；</w:t>
      </w:r>
    </w:p>
    <w:p w14:paraId="53961C8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Q_fuel,j：第 j 种燃料实物消耗量；L_refrig,m：第 m 种制冷剂逸散量（kg）；GWP_m：该制冷剂全球增温潜势（100 年）。</w:t>
      </w:r>
    </w:p>
    <w:p w14:paraId="400C3B30">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取值示例：天然气实测 NCV = 38.931 MJ/m³、CC = 15.32 tC/TJ、OF = 99.0% →</w:t>
      </w:r>
    </w:p>
    <w:p w14:paraId="5FCB2A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EF_fossil = 38.931 × 15.32 × 0.990 × (44 ÷ 12) × 10⁻³ = 2.1650 kgCO₂e/m³。</w:t>
      </w:r>
    </w:p>
    <w:p w14:paraId="7C8F8E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原稿参数与记录值不自洽，须择一修正：原稿 Gherkin 用例声称该三参数复算结果"精确等于 2.1622 kgCO₂e/m³（容差 ≤ 0.0001）"，但按本模块自身公式复算为 2.1650，偏离 0.0028（0.13%），已达该用例自定容差的 28 倍——即该用例本身跑不过。</w:t>
      </w:r>
    </w:p>
    <w:p w14:paraId="5854772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反推：若因子记录值 2.1622（截图 #34 当前值）正确，则对应实测低位热值应为 38.8804 MJ/m³，而非用例中的 38.931。</w:t>
      </w:r>
    </w:p>
    <w:p w14:paraId="585CCBE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处理建议：二选一——① 修正用例中的 NCV 为 38.8804 MJ/m³（保留记录值 2.1622）；② 将因子记录值更正为 2.1650 kgCO₂e/m³（保留用例参数 38.931）。本稿按 ① 记录值不变、用例参数待核的方式留待与研发确认。</w:t>
      </w:r>
    </w:p>
    <w:p w14:paraId="6B057BA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蒸汽示例：某厂 h_steam = 2,763 kJ/kg、h_water = 209 kJ/kg、η_boiler = 80.0%、EF_fuel = 0.1100 kgCO₂e/MJ（对应燃料侧）→ EF_steam = (2,763 − 209) ÷ 0.800 = 3,192.5 MJ/t 供汽，按燃料因子折算得蒸汽因子。</w:t>
      </w:r>
    </w:p>
    <w:p w14:paraId="19D5BA8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精度与容差：化石燃料因子保留 4 位小数；制冷剂 GWP 为整数（R134a = 1430）；三参数核算的重算容差 ≤ 0.0001 kgCO₂e/实物单位；NCV 保留 3 位小数，CC 保留 2 位小数，OF 保留 1 位小数（%）；锅炉热效率缺省 80.0%。</w:t>
      </w:r>
    </w:p>
    <w:p w14:paraId="0DE42529">
      <w:pPr>
        <w:pStyle w:val="6"/>
        <w:numPr>
          <w:ilvl w:val="0"/>
          <w:numId w:val="197"/>
        </w:numPr>
        <w:bidi w:val="0"/>
        <w:ind w:left="0" w:leftChars="0" w:firstLine="0" w:firstLineChars="0"/>
        <w:rPr>
          <w:b/>
          <w:bCs/>
          <w:sz w:val="28"/>
          <w:szCs w:val="28"/>
        </w:rPr>
      </w:pPr>
      <w:r>
        <w:rPr>
          <w:b/>
          <w:bCs/>
          <w:sz w:val="28"/>
          <w:szCs w:val="28"/>
        </w:rPr>
        <w:t>展示、对标与判定口径</w:t>
      </w:r>
    </w:p>
    <w:p w14:paraId="400C82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双轨展示：因子卡片明确标注实测值与发改委缺省值对比。</w:t>
      </w:r>
    </w:p>
    <w:p w14:paraId="627C959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温室气体折算口径：所有能源活动排放结果统一以二氧化碳当量（tCO₂e / kgCO₂e）汇总，非二氧化碳温室气体（如甲烷 CH₄、氧化亚氮 N₂O）已按 GWP 统一折算入综合因子中。</w:t>
      </w:r>
    </w:p>
    <w:p w14:paraId="216B0EAD">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空值口径：任何车间新增特种燃气或工业副产气未录入实测热值时，系统强制回退采用通用化石燃料上限缺省值，严禁空值运行。</w:t>
      </w:r>
    </w:p>
    <w:p w14:paraId="5EC4365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低位发热量物理上限：天然气 NCV ≤ 50 MJ/m³，超出即判非物理极值（来源：天然气管网热值区间上限）；② 碳氧化率合法区间 [90.0%, 100.0%]，&gt; 100% 一律阻断（来源：IPCC 指南碳氧化率经验区间）；③ 三参数复算容差 ≤ 0.0001；④ 蒸汽热焓查表失效时启用经验线性插值并给出黄色非标提示；⑤ 基准来源：默认值 = 上一有效版本的当前值；缺省值 = IPCC 国家温室气体清单指南或 GB/T 标准；实测值 = 供应商质检单（须上传检验单附件）；⑥ 双轨偏差提示：实测值与缺省值偏差 &gt; ±5.00% 时在因子行标注"实测偏离较大，请复核质检单"。</w:t>
      </w:r>
    </w:p>
    <w:p w14:paraId="3A81B9F3">
      <w:pPr>
        <w:pStyle w:val="6"/>
        <w:numPr>
          <w:ilvl w:val="0"/>
          <w:numId w:val="197"/>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MJ/m³）时，系统强阻断保存，抛出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197"/>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p w14:paraId="22CC7A39">
            <w:pPr>
              <w:pStyle w:val="19"/>
              <w:bidi w:val="0"/>
            </w:pPr>
            <w:r>
              <w:t xml:space="preserve">Scenario: 低位发热量非物理极值拦截</w:t>
            </w:r>
          </w:p>
          <w:p w14:paraId="67C83E84">
            <w:pPr>
              <w:pStyle w:val="19"/>
              <w:bidi w:val="0"/>
            </w:pPr>
            <w:r>
              <w:t xml:space="preserve">Given 用户在维护天然气因子时输入低位发热量 NCV = 52.000 MJ/m³</w:t>
            </w:r>
          </w:p>
          <w:p w14:paraId="2073F18E">
            <w:pPr>
              <w:pStyle w:val="19"/>
              <w:bidi w:val="0"/>
            </w:pPr>
            <w:r>
              <w:t xml:space="preserve">When 用户点击确认提交保存</w:t>
            </w:r>
          </w:p>
          <w:p w14:paraId="69ED84E5">
            <w:pPr>
              <w:pStyle w:val="19"/>
              <w:bidi w:val="0"/>
            </w:pPr>
            <w:r>
              <w:t xml:space="preserve">Then 表单标红提示低位发热量超出物理极限</w:t>
            </w:r>
          </w:p>
          <w:p w14:paraId="36DECEB4">
            <w:pPr>
              <w:pStyle w:val="19"/>
              <w:bidi w:val="0"/>
            </w:pPr>
            <w:r>
              <w:t xml:space="preserve">And 提交被底层安全校验拦截并返回 E_VAL_NCV_OUT_OF_PHYSICAL_RANGE</w:t>
            </w:r>
          </w:p>
          <w:p w14:paraId="44FC28D2">
            <w:pPr>
              <w:pStyle w:val="19"/>
              <w:bidi w:val="0"/>
            </w:pPr>
            <w:r>
              <w:t xml:space="preserve">And 数据库不写入任何脏数据</w:t>
            </w:r>
          </w:p>
          <w:p w14:paraId="594DA51C">
            <w:pPr>
              <w:pStyle w:val="19"/>
              <w:bidi w:val="0"/>
            </w:pPr>
            <w:r>
              <w:t xml:space="preserve">Scenario: 制冷剂逸散按 GWP 计入范围一</w:t>
            </w:r>
          </w:p>
          <w:p w14:paraId="6EF7C467">
            <w:pPr>
              <w:pStyle w:val="19"/>
              <w:bidi w:val="0"/>
            </w:pPr>
            <w:r>
              <w:t xml:space="preserve">Given 某车间当月 R134a 制冷剂逸散量 L_refrig = 2.5 kg，GWP = 1430</w:t>
            </w:r>
          </w:p>
          <w:p w14:paraId="4317BE62">
            <w:pPr>
              <w:pStyle w:val="19"/>
              <w:bidi w:val="0"/>
            </w:pPr>
            <w:r>
              <w:t xml:space="preserve">When 系统核算该车间 Scope 1 直接排放</w:t>
            </w:r>
          </w:p>
          <w:p w14:paraId="6F1E34B9">
            <w:pPr>
              <w:pStyle w:val="19"/>
              <w:bidi w:val="0"/>
            </w:pPr>
            <w:r>
              <w:t xml:space="preserve">Then 制冷剂逸散贡献 = 2.5 × 1430 = 3,575.000 kgCO₂e</w:t>
            </w:r>
          </w:p>
          <w:p w14:paraId="6D6F883D">
            <w:pPr>
              <w:pStyle w:val="19"/>
              <w:bidi w:val="0"/>
            </w:pPr>
            <w:r>
              <w:t xml:space="preserve">And 该值计入范围一直接排放总量并与燃料燃烧排放分项列示</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1" w:name="_Toc24030"/>
      <w:r>
        <w:rPr>
          <w:rFonts w:hint="eastAsia" w:cs="Times New Roman"/>
          <w:b w:val="0"/>
          <w:bCs w:val="0"/>
          <w:sz w:val="30"/>
          <w:szCs w:val="24"/>
          <w:lang w:val="en-US" w:eastAsia="zh-CN"/>
        </w:rPr>
        <w:t xml:space="preserve">折标煤系数库</w:t>
      </w:r>
      <w:bookmarkEnd w:id="61"/>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8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6"/>
                    <pic:cNvPicPr>
                      <a:picLocks noChangeAspect="1"/>
                    </pic:cNvPicPr>
                  </pic:nvPicPr>
                  <pic:blipFill>
                    <a:blip r:embed="rId94"/>
                    <a:stretch>
                      <a:fillRect/>
                    </a:stretch>
                  </pic:blipFill>
                  <pic:spPr>
                    <a:xfrm>
                      <a:off x="0" y="0"/>
                      <a:ext cx="5900420" cy="2925445"/>
                    </a:xfrm>
                    <a:prstGeom prst="rect">
                      <a:avLst/>
                    </a:prstGeom>
                    <a:noFill/>
                    <a:ln>
                      <a:noFill/>
                    </a:ln>
                  </pic:spPr>
                </pic:pic>
              </a:graphicData>
            </a:graphic>
          </wp:inline>
        </w:drawing>
      </w:r>
    </w:p>
    <w:p w14:paraId="5C255F35">
      <w:pPr>
        <w:pStyle w:val="6"/>
        <w:numPr>
          <w:ilvl w:val="0"/>
          <w:numId w:val="198"/>
        </w:numPr>
        <w:bidi w:val="0"/>
        <w:ind w:left="0" w:leftChars="0" w:firstLine="0" w:firstLineChars="0"/>
        <w:rPr>
          <w:b/>
          <w:bCs/>
          <w:sz w:val="28"/>
          <w:szCs w:val="28"/>
        </w:rPr>
      </w:pPr>
      <w:r>
        <w:rPr>
          <w:b/>
          <w:bCs/>
          <w:sz w:val="28"/>
          <w:szCs w:val="28"/>
        </w:rPr>
        <w:t>定位与架构角色</w:t>
      </w:r>
    </w:p>
    <w:p w14:paraId="5B295719">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功能定位：严格依据国家标准 GB/T 2589-2020《综合能耗计算通则》，构建全集团各类能源介质（电力、天然气、原煤、柴油、汽油、外购蒸汽、新鲜水、氮气、压缩空气等）实物计量单位向"千克标准煤（kgce）"与"吨标准煤（tce）"转换的法定换算中枢（只读视图）。</w:t>
      </w:r>
    </w:p>
    <w:p w14:paraId="4BA5DB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承载角色：P1 集团决策层（集团综合能效核准）、P2 园区能碳专员（车间折标能耗查阅）、PM 业务总监（指标考核基准锁定）。维护权限归第四章。</w:t>
      </w:r>
    </w:p>
    <w:p w14:paraId="3D71D04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页面路由：/carbon-footprint/factor/coal-equivalent。</w:t>
      </w:r>
    </w:p>
    <w:p w14:paraId="7F3764D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上游依赖：第四章「能碳基础因子管理」的折标煤系数主数据、GB/T 2589-2020 标准文本、各能源品种实测低位热值。</w:t>
      </w:r>
    </w:p>
    <w:p w14:paraId="2224996F">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下游输出：第二章集控中心的综合能耗指标（tce）、单位产品综合能耗（tce/台）、万元产值综合能耗（tce/万元）的换算基准。</w:t>
      </w:r>
    </w:p>
    <w:p w14:paraId="55BF575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数据权限：可查看组织范围＝集团全量；跨单位聚合＝不适用；对外可见档位＝INTERNAL；越权写入返回 403 + E_AUTH_RLS_SCOPE_DENIED。</w:t>
      </w:r>
    </w:p>
    <w:p w14:paraId="64BAED7F">
      <w:pPr>
        <w:pStyle w:val="6"/>
        <w:numPr>
          <w:ilvl w:val="0"/>
          <w:numId w:val="198"/>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198"/>
        </w:numPr>
        <w:bidi w:val="0"/>
        <w:ind w:left="0" w:leftChars="0" w:firstLine="0" w:firstLineChars="0"/>
        <w:rPr>
          <w:b/>
          <w:bCs/>
          <w:sz w:val="28"/>
          <w:szCs w:val="28"/>
        </w:rPr>
      </w:pPr>
      <w:r>
        <w:rPr>
          <w:b/>
          <w:bCs/>
          <w:sz w:val="28"/>
          <w:szCs w:val="28"/>
        </w:rPr>
        <w:t>功能规格与交互契约</w:t>
      </w:r>
    </w:p>
    <w:p w14:paraId="7D360D7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1）顶部提示条（常驻）："折标煤系数库 仅展示与查询，维护入口在 系统管理 &gt; 能碳基础因子管理"。</w:t>
      </w:r>
    </w:p>
    <w:p w14:paraId="282AD7B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2）筛选条：名称检索框（本模块无类别下拉，由截图确认）。</w:t>
      </w:r>
    </w:p>
    <w:p w14:paraId="3A040C7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3）主表列：能源品种 · 系数（当前 / 默认） · 单位 · 低位热值 · 数据来源 · 版本/依据 · 操作。</w:t>
      </w:r>
    </w:p>
    <w:p w14:paraId="31996DD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4）"低位热值"列取值：显示实测/国标低位热值并带单位（MJ/m³、MJ/kg）；当量值类（如电力）显示"—（当量值）"。</w:t>
      </w:r>
    </w:p>
    <w:p w14:paraId="308F9F9A">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5）"版本/依据"列：国标受控项显示标准号（GB/T 2589-2020），非国标项显示版本号（v2026.1）。</w:t>
      </w:r>
    </w:p>
    <w:p w14:paraId="3D331EE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6）行操作：版本记录（抽屉）；编辑与删除跳转第四章，且国标受控字段一律不可编辑（见 ⑦ 段）。</w:t>
      </w:r>
    </w:p>
    <w:p w14:paraId="69221586">
      <w:pPr>
        <w:pStyle w:val="6"/>
        <w:numPr>
          <w:ilvl w:val="0"/>
          <w:numId w:val="198"/>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39C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DDBB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DD34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A95D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D57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 xml:space="preserve">校验与约束规则</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99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C6EB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能源品种</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79B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93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F91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 / 天然气 / 原煤 / 柴油 / 汽油 / 外购蒸汽 / 新鲜水 / 氮气 / 压缩空气</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E66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AC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系数（当前 / 默认）</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15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小数(4 位)</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4F6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kgce/实物单位</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B13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&gt; 0；国标受控项锁定不可编辑</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635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22C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低位热值</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2EA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小数(3 位) 或 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F1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MJ/m³ · MJ/kg</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E602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 xml:space="preserve">当量值类显示"—（当量值）"</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58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342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数据来源</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B47A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枚举</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6F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29E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国家标准 / 行业标准</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C3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6008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版本/依据</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BA0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文本</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02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C26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GB/T 2589-2020 或 v2026.1</w:t>
            </w:r>
          </w:p>
        </w:tc>
      </w:tr>
    </w:tbl>
    <w:p w14:paraId="3E981C0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截图实测样本（6 行，可直接作为验收基线）：电力 / 0.1229 kgce/kWh / —（当量值）/ 国家标准 / GB/T 2589-2020；天然气 / 1.2143 kgce/m³ / 35.588 MJ/m³；原煤 / 0.7143 kgce/kg / 20.908 MJ/kg；柴油 / 1.4571 kgce/kg / 42.652 MJ/kg；汽油 / 1.4714 kgce/kg / 43.070 MJ/kg；外购蒸汽 / 0.0341 kgce/MJ / — / 行业标准 / v2026.1。</w:t>
      </w:r>
    </w:p>
    <w:p w14:paraId="030F52F9">
      <w:pPr>
        <w:pStyle w:val="6"/>
        <w:numPr>
          <w:ilvl w:val="0"/>
          <w:numId w:val="198"/>
        </w:numPr>
        <w:bidi w:val="0"/>
        <w:ind w:left="0" w:leftChars="0" w:firstLine="0" w:firstLineChars="0"/>
        <w:rPr>
          <w:b/>
          <w:bCs/>
          <w:sz w:val="28"/>
          <w:szCs w:val="28"/>
        </w:rPr>
      </w:pPr>
      <w:r>
        <w:rPr>
          <w:b/>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8CF84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算式：</w:t>
            </w:r>
          </w:p>
          <w:p w14:paraId="6133F1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① E_tce = Σ(i=1→n) ( E_i × k_i ) ÷ 1000　—— 全厂综合能耗折标煤总量（tce）</w:t>
            </w:r>
          </w:p>
          <w:p w14:paraId="5E59D8A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② k_i = NCV_i ÷ 29307.6 kJ/kgce　—— 理论低位发热量换算折标系数</w:t>
            </w:r>
          </w:p>
          <w:p w14:paraId="329287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③ e_output_val = E_tce ÷ ( G_output ÷ 10000 )　—— 万元产值综合能耗（tce/万元）</w:t>
            </w:r>
          </w:p>
        </w:tc>
      </w:tr>
    </w:tbl>
    <w:p w14:paraId="5212C4E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当 G_output &gt; 0 时按上式；当 G_output = 0 时兜底输出 --（不用 0、不用无穷大）</w:t>
      </w:r>
    </w:p>
    <w:p w14:paraId="6CD5546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变量定义与取值约定：</w:t>
      </w:r>
    </w:p>
    <w:p w14:paraId="41718595">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E_i：第 i 种能源实物消费量（如 kWh、m³、kg、t）；k_i：第 i 种能源对应的国家标准折标煤系数（kgce/实物单位）；</w:t>
      </w:r>
    </w:p>
    <w:p w14:paraId="71346C1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1000：千克标准煤与吨标准煤进位制（1 tce = 1000 kgce）；</w:t>
      </w:r>
    </w:p>
    <w:p w14:paraId="6477757E">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NCV_i：该能源品种实测低位发热量（kJ/kg 或 kJ/m³）；29307.6 kJ/kgce：1 kgce 的当量热值；</w:t>
      </w:r>
    </w:p>
    <w:p w14:paraId="24AF435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 G_output：工业产值（元），分母为 0 时安全兜底显示 --。</w:t>
      </w:r>
    </w:p>
    <w:p w14:paraId="427C3A48">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取值示例：某车间月度消耗电力 10,000 kWh、天然气 1,000 m³、工业新鲜水 500 t →</w:t>
      </w:r>
    </w:p>
    <w:p w14:paraId="5BC112C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电力折标 = 10,000 × 0.1229 ÷ 1000 = 1.2290 tce</w:t>
      </w:r>
    </w:p>
    <w:p w14:paraId="548A7852">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天然气折标 = 1,000 × 1.2143 ÷ 1000 = 1.2143 tce</w:t>
      </w:r>
    </w:p>
    <w:p w14:paraId="43B8F7A3">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新鲜水折标 = 500 × 0.0857 ÷ 1000 = 0.0429 tce</w:t>
      </w:r>
    </w:p>
    <w:p w14:paraId="5CD466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合计 E_tce = 1.2290 + 1.2143 + 0.0429 = 2.4862 tce（容差 ≤ 0.0001）</w:t>
      </w:r>
    </w:p>
    <w:p w14:paraId="79378EA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理论系数校核：天然气 NCV = 35.588 MJ/m³ = 35,588 kJ/m³ → k = 35,588 ÷ 29,307.6 = 1.2143 kgce/m³（与截图一致）。</w:t>
      </w:r>
    </w:p>
    <w:p w14:paraId="1F569A1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精度与容差：tce 保留 4 位小数，kgce 保留 2 位小数；系数保留 4 位小数；低位热值保留 3 位小数；合计容差 ≤ ±0.0001 tce。</w:t>
      </w:r>
    </w:p>
    <w:p w14:paraId="12AAB55C">
      <w:pPr>
        <w:pStyle w:val="6"/>
        <w:numPr>
          <w:ilvl w:val="0"/>
          <w:numId w:val="198"/>
        </w:numPr>
        <w:bidi w:val="0"/>
        <w:ind w:left="0" w:leftChars="0" w:firstLine="0" w:firstLineChars="0"/>
        <w:rPr>
          <w:b/>
          <w:bCs/>
          <w:sz w:val="28"/>
          <w:szCs w:val="28"/>
        </w:rPr>
      </w:pPr>
      <w:r>
        <w:rPr>
          <w:b/>
          <w:bCs/>
          <w:sz w:val="28"/>
          <w:szCs w:val="28"/>
        </w:rPr>
        <w:t>展示、对标与判定口径</w:t>
      </w:r>
    </w:p>
    <w:p w14:paraId="3676FB66">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统一当量展示：系统全景图表默认均采用"当量热值"折标计算，报表导出提供"当量 / 等价"双列切换。</w:t>
      </w:r>
    </w:p>
    <w:p w14:paraId="5143AD94">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精度口径：tce 保留 4 位小数，kgce 保留 2 位小数。</w:t>
      </w:r>
    </w:p>
    <w:p w14:paraId="4A6DCCFB">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空值口径：若工厂当期某能源消费为 0，折标煤量如实显示 0.0000 tce；若仪表断网未上报，统一显示 --，严禁将断网视为 0 能耗。</w:t>
      </w:r>
    </w:p>
    <w:p w14:paraId="2A780651">
      <w:pPr>
        <w:pStyle w:val="19"/>
        <w:widowControl/>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 xml:space="preserve">判定阈值与基准来源：① 基准热值 29307.6 kJ/kgce（GB/T 2589-2020 规定，1 kgce 当量热值）；② 国标受控系数锁定清单（截图中已现 5 项）：电力 0.1229、天然气 1.2143、原煤 0.7143、柴油 1.4571、汽油 1.4714（kgce/实物单位），任何角色不可在线编辑；③ 实物量阈值：能耗实物量 &lt; 0 拦截保存；④ 分母安全阈值：产值或产量 = 0 时输出 --；⑤ 断网 vs 零值判定：仪表心跳超时 &gt; 5 秒即判"未上报"（置 --），与真实的 0 能耗在数据层面必须区分（数据源标记 NULL_SOURCE vs ZERO_VALUE）；⑥ 基准来源：国标受控项以 GB/T 2589-2020 文本为唯一权威；非国标项（如外购蒸汽 0.0341）以行业标准或协议下发值为准，须在版本记录中登记依据文件号。</w:t>
      </w:r>
    </w:p>
    <w:p w14:paraId="2BD03D27">
      <w:pPr>
        <w:pStyle w:val="6"/>
        <w:numPr>
          <w:ilvl w:val="0"/>
          <w:numId w:val="198"/>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198"/>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p w14:paraId="612E8D0F">
            <w:pPr>
              <w:pStyle w:val="19"/>
              <w:bidi w:val="0"/>
            </w:pPr>
            <w:r>
              <w:t xml:space="preserve">Scenario: 国标受控系数不可在线编辑</w:t>
            </w:r>
          </w:p>
          <w:p w14:paraId="10D121DD">
            <w:pPr>
              <w:pStyle w:val="19"/>
              <w:bidi w:val="0"/>
            </w:pPr>
            <w:r>
              <w:t xml:space="preserve">Given 某用户（含 P1 集团决策层）在线编辑电力折标系数 0.1229</w:t>
            </w:r>
          </w:p>
          <w:p w14:paraId="62BB8621">
            <w:pPr>
              <w:pStyle w:val="19"/>
              <w:bidi w:val="0"/>
            </w:pPr>
            <w:r>
              <w:t xml:space="preserve">When 提交保存</w:t>
            </w:r>
          </w:p>
          <w:p w14:paraId="45669B60">
            <w:pPr>
              <w:pStyle w:val="19"/>
              <w:bidi w:val="0"/>
            </w:pPr>
            <w:r>
              <w:t xml:space="preserve">Then 系统弹出阻断提示"GB/T 2589-2020 强制国标受控字段不可在线直接编辑"</w:t>
            </w:r>
          </w:p>
          <w:p w14:paraId="7DF6EB45">
            <w:pPr>
              <w:pStyle w:val="19"/>
              <w:bidi w:val="0"/>
            </w:pPr>
            <w:r>
              <w:t xml:space="preserve">And 返回错误码 E_SYS_GB_STD_IMMUTABLE 且系数保持 0.1229 不变</w:t>
            </w:r>
          </w:p>
          <w:p w14:paraId="1679061C">
            <w:pPr>
              <w:pStyle w:val="19"/>
              <w:bidi w:val="0"/>
            </w:pPr>
            <w:r>
              <w:t xml:space="preserve">Scenario: 仪表断网不得视为零能耗</w:t>
            </w:r>
          </w:p>
          <w:p w14:paraId="101EE5EF">
            <w:pPr>
              <w:pStyle w:val="19"/>
              <w:bidi w:val="0"/>
            </w:pPr>
            <w:r>
              <w:t xml:space="preserve">Given 某车间当月天然气仪表心跳超时未上报</w:t>
            </w:r>
          </w:p>
          <w:p w14:paraId="2F0F34C7">
            <w:pPr>
              <w:pStyle w:val="19"/>
              <w:bidi w:val="0"/>
            </w:pPr>
            <w:r>
              <w:t xml:space="preserve">When 系统渲染该车间的天然气折标煤量</w:t>
            </w:r>
          </w:p>
          <w:p w14:paraId="7C373B00">
            <w:pPr>
              <w:pStyle w:val="19"/>
              <w:bidi w:val="0"/>
            </w:pPr>
            <w:r>
              <w:t xml:space="preserve">Then 页面显示为 "--" 而非 0.0000 tce</w:t>
            </w:r>
          </w:p>
          <w:p w14:paraId="30B2E5F2">
            <w:pPr>
              <w:pStyle w:val="19"/>
              <w:bidi w:val="0"/>
            </w:pPr>
            <w:r>
              <w:t xml:space="preserve">And 数据源标记为 NULL_SOURCE 以区别于真实的 ZERO_VALUE</w:t>
            </w:r>
          </w:p>
          <w:p w14:paraId="1C55243F">
            <w:pPr>
              <w:pStyle w:val="19"/>
              <w:bidi w:val="0"/>
            </w:pPr>
            <w:r>
              <w:t xml:space="preserve">And 综合能耗合计中该分项标注"数据缺失，待补传"而不计入合计</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4B50CB0">
      <w:pPr>
        <w:pStyle w:val="3"/>
        <w:numPr>
          <w:ilvl w:val="0"/>
          <w:numId w:val="7"/>
        </w:numPr>
        <w:ind w:left="0" w:leftChars="0" w:firstLine="0" w:firstLineChars="0"/>
        <w:rPr>
          <w:rFonts w:eastAsia="黑体"/>
          <w:b w:val="0"/>
          <w:bCs w:val="0"/>
          <w:sz w:val="32"/>
          <w:szCs w:val="44"/>
        </w:rPr>
      </w:pPr>
      <w:bookmarkStart w:id="62" w:name="_Toc14842"/>
      <w:r>
        <w:rPr>
          <w:rFonts w:hint="eastAsia"/>
          <w:b w:val="0"/>
          <w:bCs w:val="0"/>
          <w:sz w:val="32"/>
          <w:szCs w:val="44"/>
          <w:lang w:val="en-US" w:eastAsia="zh-CN"/>
        </w:rPr>
        <w:t>系统管理、基础参数设置</w:t>
      </w:r>
      <w:bookmarkEnd w:id="62"/>
    </w:p>
    <w:p w14:paraId="782737AF">
      <w:pPr>
        <w:pStyle w:val="19"/>
        <w:bidi w:val="0"/>
        <w:rPr>
          <w:rFonts w:hint="eastAsia" w:eastAsia="宋体"/>
          <w:lang w:eastAsia="zh-CN"/>
        </w:rPr>
      </w:pPr>
      <w:r>
        <w:rPr>
          <w:rFonts w:hint="eastAsia"/>
          <w:lang w:val="en-US" w:eastAsia="zh-CN"/>
        </w:rPr>
        <w:t xml:space="preserve">本章严格规定【系统管理】模块的基础参数设置与平台治理功能需求，是全平台唯一的基础主数据与权限管控中枢。系统管理模块面向系统管理员（Persona PM）使用，统一承载两类职责：一是平台治理（组织、用户、角色、菜单与日志），二是基础参数（能碳因子、折标煤系数、费价模型、设备台账、生产主数据）。</w:t>
      </w:r>
    </w:p>
    <w:p w14:paraId="4FA60DFF">
      <w:pPr>
        <w:pStyle w:val="19"/>
        <w:bidi w:val="0"/>
        <w:rPr>
          <w:rFonts w:hint="eastAsia" w:eastAsia="宋体"/>
          <w:lang w:eastAsia="zh-CN"/>
        </w:rPr>
      </w:pPr>
      <w:r>
        <w:rPr>
          <w:rFonts w:hint="eastAsia"/>
          <w:lang w:val="en-US" w:eastAsia="zh-CN"/>
        </w:rPr>
        <w:t xml:space="preserve">本章共 6 大板块、15 个三级功能模块，依次为：权限管控（组织管理 / 用户管理 / 角色与权限 / 菜单与功能）、能碳基础因子管理（电力碳排因子 / 能源活动碳排因子 / 折标煤系数库）、费价模型、生产设备维护（重点用能设备 / 光伏设备管理）、生产数据维护（产品类型管理 / 产品型号管理 / 基础数据管理 / 生产工序管理）、日志管理。各模块统一采用八段式描述范式。</w:t>
      </w:r>
    </w:p>
    <w:p w14:paraId="1B853D43">
      <w:pPr>
        <w:pStyle w:val="19"/>
        <w:bidi w:val="0"/>
        <w:rPr>
          <w:rFonts w:hint="eastAsia" w:eastAsia="宋体"/>
          <w:lang w:eastAsia="zh-CN"/>
        </w:rPr>
      </w:pPr>
      <w:r>
        <w:rPr>
          <w:rFonts w:hint="eastAsia"/>
          <w:lang w:val="en-US" w:eastAsia="zh-CN"/>
        </w:rPr>
        <w:t xml:space="preserve">本章的功能权限矩阵参见附录 E《角色与权限矩阵》；验收用例即为各模块第八段「QA 自动化验收准则（Gherkin BDD）」；验收基线与通过判据集中收录于第十二章《测试与验收基线》；标准错误码统一收录于第六章《工程治理、状态机与合规保障体系》之「标准化错误码字典与异常分级」，格式规范为 E_SYS_&lt;MODULE&gt;_&lt;REASON&gt;。</w:t>
      </w:r>
    </w:p>
    <w:p w14:paraId="42BA5907">
      <w:pPr>
        <w:pStyle w:val="19"/>
        <w:bidi w:val="0"/>
        <w:rPr>
          <w:rFonts w:hint="eastAsia" w:eastAsia="宋体"/>
          <w:lang w:eastAsia="zh-CN"/>
        </w:rPr>
      </w:pPr>
      <w:r>
        <w:rPr>
          <w:rFonts w:hint="eastAsia"/>
          <w:lang w:val="en-US" w:eastAsia="zh-CN"/>
        </w:rPr>
        <w:t xml:space="preserve">【与第二章的职责边界】本章生产设备维护、生产数据维护两类主数据为第二章零碳园区集控中心与第三章产品碳足迹集采中心共同依赖的底层基准：设备台账供集控「重点用能设备监测」逐台挂接，产品类型 / 型号 / 工序供集控能耗分摊与集采碳足迹核算拆解。主数据一旦发布，下游只读引用，不得在业务模块内就地修改。</w:t>
      </w:r>
    </w:p>
    <w:p w14:paraId="36B65AFD">
      <w:pPr>
        <w:pStyle w:val="19"/>
        <w:bidi w:val="0"/>
        <w:rPr>
          <w:rFonts w:hint="eastAsia" w:eastAsia="宋体"/>
          <w:lang w:eastAsia="zh-CN"/>
        </w:rPr>
      </w:pPr>
      <w:r>
        <w:rPr>
          <w:rFonts w:hint="eastAsia"/>
          <w:lang w:val="en-US" w:eastAsia="zh-CN"/>
        </w:rPr>
        <w:t xml:space="preserve">【与第三章的职责边界】本章「能碳基础因子管理」「折标煤系数库」是第三章碳足迹核算与外购电力排放计算的取数基准；本章仅负责因子的版本发布与维护，不产生核算结果。第三章引用的因子数值、单位与版本号必须与本表逐位一致（例如天然气 2.1622 kgCO2e/m³、电力 0.1229 kgce/kWh、GB/T 2589-2020）。任一因子版本在本章发布，即触发第三章核算视图的同步刷新。</w:t>
      </w:r>
    </w:p>
    <w:p w14:paraId="7AE13C77">
      <w:pPr>
        <w:pStyle w:val="19"/>
        <w:bidi w:val="0"/>
        <w:rPr>
          <w:rFonts w:hint="eastAsia" w:eastAsia="宋体"/>
          <w:lang w:eastAsia="zh-CN"/>
        </w:rPr>
      </w:pPr>
      <w:r>
        <w:rPr>
          <w:rFonts w:hint="eastAsia"/>
          <w:lang w:val="en-US" w:eastAsia="zh-CN"/>
        </w:rPr>
        <w:t xml:space="preserve">【数据权限总则】本章全量页面遵循组织维度的行级数据权限（RLS）：数据范围以组织树节点为单位授予，「（只读）」后缀表示该节点仅可查看不可写。系统管理员（Persona PM）默认全量可写；其余角色按其账号绑定的数据范围截取组织子树，越权访问返回 HTTP 403 并记录审计日志。</w:t>
      </w:r>
    </w:p>
    <w:p w14:paraId="5AF00808">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63" w:name="_Toc31977"/>
      <w:r>
        <w:rPr>
          <w:rFonts w:hint="eastAsia" w:ascii="Times New Roman" w:hAnsi="Times New Roman" w:eastAsia="黑体" w:cs="Times New Roman"/>
          <w:b w:val="0"/>
          <w:bCs w:val="0"/>
          <w:sz w:val="30"/>
          <w:szCs w:val="32"/>
          <w:lang w:val="en-US" w:eastAsia="zh-CN"/>
        </w:rPr>
        <w:t>权限管控</w:t>
      </w:r>
      <w:bookmarkEnd w:id="63"/>
    </w:p>
    <w:p w14:paraId="63906FAE">
      <w:pPr>
        <w:pStyle w:val="19"/>
        <w:bidi w:val="0"/>
        <w:rPr>
          <w:rFonts w:hint="eastAsia" w:eastAsia="宋体"/>
          <w:lang w:eastAsia="zh-CN"/>
        </w:rPr>
      </w:pPr>
      <w:r>
        <w:rPr>
          <w:rFonts w:hint="eastAsia"/>
          <w:lang w:val="en-US" w:eastAsia="zh-CN"/>
          <w:b/>
        </w:rPr>
        <w:t xml:space="preserve">本板块是系统管理模块的权限治理中枢，也是全平台访问控制与数据隔离的唯一规则来源。板块遵循「组织定边界、账号定身份、角色定权限、菜单定资源」四层递进结构，下辖 4 个三级功能模块：组织管理（组织主数据）、用户管理（账号生命周期）、角色与权限（功能权限与数据范围配置）、菜单与功能（功能资源底座）。</w:t>
      </w:r>
    </w:p>
    <w:p w14:paraId="585CCEDB">
      <w:pPr>
        <w:pStyle w:val="19"/>
        <w:bidi w:val="0"/>
        <w:rPr>
          <w:rFonts w:hint="eastAsia" w:eastAsia="宋体"/>
          <w:lang w:eastAsia="zh-CN"/>
        </w:rPr>
      </w:pPr>
      <w:r>
        <w:rPr>
          <w:rFonts w:hint="eastAsia"/>
          <w:lang w:val="en-US" w:eastAsia="zh-CN"/>
        </w:rPr>
        <w:t xml:space="preserve">边界声明：本板块只维护权限规则，不产生任何业务数据；权限变更一经保存即刻生效，并全量记入日志管理。本板块是全平台最先初始化的模块，其余全部业务模块的组织维度筛选、数据范围隔离、按钮可见性均以其配置结果为基准，不得在业务模块内就地改写。</w:t>
      </w:r>
    </w:p>
    <w:p w14:paraId="2C8B450C">
      <w:pPr>
        <w:pStyle w:val="19"/>
        <w:bidi w:val="0"/>
        <w:rPr>
          <w:rFonts w:hint="eastAsia" w:eastAsia="宋体"/>
          <w:lang w:eastAsia="zh-CN"/>
        </w:rPr>
      </w:pPr>
      <w:r>
        <w:rPr>
          <w:rFonts w:hint="eastAsia"/>
          <w:lang w:val="en-US" w:eastAsia="zh-CN"/>
        </w:rPr>
        <w:t xml:space="preserve">输入输出链：组织管理产出组织树 → 用户管理绑定账号-角色-所属机构-数据范围 → 角色与权限定义角色可用功能点与数据范围 → 菜单与功能提供全量功能资源（最小权限颗粒）供角色勾选。四者构成不可跳跃的单向链；任一环节数据不完整即阻断下游操作入口。</w:t>
      </w:r>
    </w:p>
    <w:p w14:paraId="5ADA5FB8">
      <w:pPr>
        <w:pStyle w:val="5"/>
        <w:numPr>
          <w:ilvl w:val="0"/>
          <w:numId w:val="200"/>
        </w:numPr>
        <w:ind w:left="0" w:leftChars="0" w:firstLine="0" w:firstLineChars="0"/>
        <w:outlineLvl w:val="1"/>
        <w:rPr>
          <w:rFonts w:hint="default" w:cs="Times New Roman"/>
          <w:b w:val="0"/>
          <w:bCs w:val="0"/>
          <w:sz w:val="30"/>
          <w:szCs w:val="24"/>
          <w:lang w:val="en-US" w:eastAsia="zh-CN"/>
        </w:rPr>
      </w:pPr>
      <w:bookmarkStart w:id="64" w:name="_Toc15939"/>
      <w:r>
        <w:rPr>
          <w:rFonts w:hint="eastAsia" w:cs="Times New Roman"/>
          <w:b w:val="0"/>
          <w:bCs w:val="0"/>
          <w:sz w:val="30"/>
          <w:szCs w:val="24"/>
          <w:lang w:val="en-US" w:eastAsia="zh-CN"/>
        </w:rPr>
        <w:t xml:space="preserve">组织管理</w:t>
      </w:r>
      <w:bookmarkEnd w:id="64"/>
    </w:p>
    <w:p w14:paraId="6EEBE3EF">
      <w:r>
        <w:drawing>
          <wp:inline distT="0" distB="0" distL="114300" distR="114300">
            <wp:extent cx="5900420" cy="2925445"/>
            <wp:effectExtent l="0" t="0" r="5080" b="8255"/>
            <wp:docPr id="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pic:cNvPicPr>
                      <a:picLocks noChangeAspect="1"/>
                    </pic:cNvPicPr>
                  </pic:nvPicPr>
                  <pic:blipFill>
                    <a:blip r:embed="rId95"/>
                    <a:stretch>
                      <a:fillRect/>
                    </a:stretch>
                  </pic:blipFill>
                  <pic:spPr>
                    <a:xfrm>
                      <a:off x="0" y="0"/>
                      <a:ext cx="5900420" cy="2925445"/>
                    </a:xfrm>
                    <a:prstGeom prst="rect">
                      <a:avLst/>
                    </a:prstGeom>
                    <a:noFill/>
                    <a:ln>
                      <a:noFill/>
                    </a:ln>
                  </pic:spPr>
                </pic:pic>
              </a:graphicData>
            </a:graphic>
          </wp:inline>
        </w:drawing>
      </w:r>
    </w:p>
    <w:p w14:paraId="4655D22B">
      <w:pPr>
        <w:pStyle w:val="6"/>
        <w:numPr>
          <w:ilvl w:val="0"/>
          <w:numId w:val="201"/>
        </w:numPr>
        <w:bidi w:val="0"/>
        <w:spacing w:after="12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2425C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功能定位：作为系统管理模块的组织主数据枢纽与全平台权限管控源头，构建「集团总部 → 产业集团 → 二级单位（经营单位） → 工厂」四级组织架构，建立唯一、标准的组织编码与层级映射关系，为账号归属、角色数据范围、菜单授权与全部业务模块的组织维度数据隔离提供主数据基准，是所有业务模块启动配置的前置核心依赖。</w:t>
            </w:r>
          </w:p>
          <w:p w14:paraId="7FE33A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系统管理员（全量组织数据的新增、编辑、删除与层级调整；不区分数据范围，全集团可写）。</w:t>
            </w:r>
          </w:p>
          <w:p w14:paraId="22E1E4F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页面路由：/system/manage/org（左侧导航：系统管理 › 权限管控 › 组织管理）。</w:t>
            </w:r>
          </w:p>
          <w:p w14:paraId="4E462AF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上游依赖：无。本模块是全平台最底层主数据，不依赖任何业务模块；初始数据来自集团组织架构台账（线下核定后一次性导入）。</w:t>
            </w:r>
          </w:p>
          <w:p w14:paraId="2EC5FE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用户管理」的「所属机构」下拉与数据范围树；「角色与权限」的数据范围选择器；零碳园区集控中心与产品碳足迹集采中心的组织维度筛选器、大屏制造基地空间分布展示与全平台行级数据隔离（RLS）。</w:t>
            </w:r>
          </w:p>
          <w:p w14:paraId="41301B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数据权限：本模块自身即 RLS 的基准定义者。系统管理员（Persona PM）全量可写；其余角色在本模块内一律只读，且仅可见其数据范围子树内的节点（越权访问返回 HTTP 403 并记审计日志）。</w:t>
            </w:r>
          </w:p>
        </w:tc>
      </w:tr>
    </w:tbl>
    <w:p w14:paraId="7799B600"/>
    <w:p w14:paraId="6A9ED44F">
      <w:pPr>
        <w:pStyle w:val="6"/>
        <w:numPr>
          <w:ilvl w:val="0"/>
          <w:numId w:val="20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2AF99D1">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F265A3">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业务场景</w:t>
            </w:r>
            <w:r>
              <w:rPr>
                <w:rFonts w:ascii="宋体" w:hAnsi="宋体" w:eastAsia="宋体" w:cs="宋体"/>
                <w:sz w:val="24"/>
                <w:szCs w:val="24"/>
              </w:rPr>
              <w:t xml:space="preserve">：面向系统管理员维护集团多级组织架构，搭建集团、园区、工厂层级机构树，统一管理 15 大园区、21 家实体工厂组织基础信息，为指挥大厅大屏制造基地空间分布展示、数据权限隔离提供组织主数据支撑。 </w:t>
            </w:r>
          </w:p>
          <w:p w14:paraId="3260270C">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用户故事</w:t>
            </w:r>
            <w:r>
              <w:rPr>
                <w:rFonts w:ascii="宋体" w:hAnsi="宋体" w:eastAsia="宋体" w:cs="宋体"/>
                <w:sz w:val="24"/>
                <w:szCs w:val="24"/>
              </w:rPr>
              <w:t>：</w:t>
            </w:r>
          </w:p>
          <w:p w14:paraId="53FC43D3">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As a 系统管理员 (Persona PM)， </w:t>
            </w:r>
          </w:p>
          <w:p w14:paraId="3F5C9AE4">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I want 维护集团组织机构树，新增、编辑、管理各级园区与工厂机构信息，定义组织层级与归属关系， </w:t>
            </w:r>
          </w:p>
          <w:p w14:paraId="02918A21">
            <w:pPr>
              <w:pStyle w:val="19"/>
              <w:bidi w:val="0"/>
              <w:ind w:left="0" w:leftChars="0" w:firstLine="439" w:firstLineChars="183"/>
            </w:pPr>
            <w:r>
              <w:rPr>
                <w:rFonts w:ascii="宋体" w:hAnsi="宋体" w:eastAsia="宋体" w:cs="宋体"/>
                <w:sz w:val="24"/>
                <w:szCs w:val="24"/>
              </w:rPr>
              <w:t>So that 我能够为集控环幕大屏提供集团制造基地空间分布基础数据，实现按组织隔离能碳数据，保障集团多园区多工厂数据归集与权限管控。</w:t>
            </w:r>
          </w:p>
        </w:tc>
      </w:tr>
    </w:tbl>
    <w:p w14:paraId="2D1CFE2B"/>
    <w:p w14:paraId="11AC1D09">
      <w:pPr>
        <w:pStyle w:val="6"/>
        <w:numPr>
          <w:ilvl w:val="0"/>
          <w:numId w:val="20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FFA344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页面布局：左侧「组织机构树」（默认展开至「二级单位（经营单位）」层，工厂层折叠）；右侧「机构详情」。选中任一节点，右侧详情与其下级机构列表自动刷新。</w:t>
            </w:r>
          </w:p>
          <w:p w14:paraId="3493F8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（1）树节点选择：单击左侧组织节点，右侧「机构详情」刷新为该节点数据；节点支持逐级下钻至工厂层；有下级的节点名称前显示展开箭头，并显示下级机构数量角标。</w:t>
            </w:r>
          </w:p>
          <w:p w14:paraId="30B7391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（2）新增机构【新增机构】：打开新增机构弹窗。上级机构默认取当前选中节点且不可改为非当前节点；机构层级由上级层级自动 +1，不可跨级手工选择；机构名称在同级内须唯一；机构编码须全局唯一。</w:t>
            </w:r>
          </w:p>
          <w:p w14:paraId="5D0EA9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（3）编辑【编辑】：打开编辑信息弹窗，回填该机构全部字段；机构编码为业务主键，编辑态只读。</w:t>
            </w:r>
          </w:p>
          <w:p w14:paraId="53D7F0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（4）删除【删除】：打开确认删除弹窗；点击取消关闭弹窗，点击确认后关闭弹窗并删除机构。删除前置校验：机构下存在下级机构、或存在关联账号时，阻断删除并给出具体原因。</w:t>
            </w:r>
          </w:p>
          <w:p w14:paraId="11C750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（5）树检索：支持按机构名称或机构编码模糊检索，命中节点自动展开路径并高亮；无命中时提示「未匹配到机构」。</w:t>
            </w:r>
          </w:p>
          <w:p w14:paraId="19B593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（6）详情区「下级机构」：以标签形式并列展示直接下级机构名称及其所属产业，点击标签可直接跳转该下级节点。</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3F164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D64C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DA89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85CB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04BF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CB38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组织树节点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F3DA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单击选中</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FC6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8D96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右侧详情与下级机构列表刷新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DAD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134A3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【新增机构】</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18E5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BC5A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当前节点层级 ＜ 4（非工厂级）</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43E1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弹窗打开，层级自动 +1 并锁定</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704C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提示「工厂为最末级，不可新增下级机构」</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1768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DD16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7D9D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E4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回填全部字段，机构编码只读</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51E2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3BE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885C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打开确认弹窗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DF76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无下级机构 且 无关联账号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16E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关闭弹窗并删除该机构</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FD823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阻断并提示具体占用原因</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87FAF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树检索框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856C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输入关键字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585C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F1B3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命中节点展开路径并高亮</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FB0E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提示「未匹配到机构」</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7A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下级机构标签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5D4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273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1007C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跳转至该下级节点详情</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8FF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bl>
    <w:p w14:paraId="05BD9060"/>
    <w:p w14:paraId="259DF531">
      <w:pPr>
        <w:pStyle w:val="6"/>
        <w:numPr>
          <w:ilvl w:val="0"/>
          <w:numId w:val="20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AA5431">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5B24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F2C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8EB1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4B2E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4F7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8125F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机构名称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7348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E86F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61FDE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必填；≤50 字符；同级内不可重名；如「沈变公司」「和盛套管」</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7E44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9D86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机构层级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79B9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5E80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F51D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取值｛集团总部 / 产业集团 / 二级单位（经营单位） / 工厂｝；由上级层级 +1 自动推导，不可跨级手改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BA4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201A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下级机构</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B59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3DCA2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个</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4F721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由组织树实时统计；不可编辑；为 0 时方允许删除本机构</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B4FD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A7CFF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276E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EE706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CC95E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取值｛变压器 / 线缆 / 开关 / 套管 / 互感器 / 电容器 / 综合｝；决定该机构在集控大屏的产业归属</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7A9FB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3429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管辖范围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74DD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FC71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858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≤100 字符；描述性文字（如「统筹下属各产业园区」），不参与计算</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A9F7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0C9CE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机构编码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DF78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67B7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33B4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业务主键；全局唯一；格式 ORG- ＋ 2~6 位大写字母数字（如 ORG-SB）；创建后不可修改</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10E3C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30ADE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4A0C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7683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C472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取值｛正常 / 停用｝；置为「停用」时联动停用其下全部账号</w:t>
            </w:r>
          </w:p>
        </w:tc>
      </w:tr>
    </w:tbl>
    <w:p w14:paraId="4D6ACF52">
      <w:pPr>
        <w:pStyle w:val="19"/>
        <w:bidi w:val="0"/>
      </w:pPr>
    </w:p>
    <w:p w14:paraId="76819C97">
      <w:pPr>
        <w:pStyle w:val="6"/>
        <w:numPr>
          <w:ilvl w:val="0"/>
          <w:numId w:val="20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05073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（1）机构编码生成规则</w:t>
            </w:r>
          </w:p>
          <w:p w14:paraId="284796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编码 = "ORG-" + 机构名称拼音首字母缩写（大写，2~6 位）。</w:t>
            </w:r>
          </w:p>
          <w:p w14:paraId="4B1F97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示例：沈变公司 → ORG-SB；衡变公司 → ORG-HB；新缆厂 → ORG-XLC；德缆公司 → ORG-DL。</w:t>
            </w:r>
          </w:p>
          <w:p w14:paraId="3127F1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冲突处理：首字母缩写重复时，追加 1 位顺序数字（如 ORG-SB2）。</w:t>
            </w:r>
          </w:p>
          <w:p w14:paraId="7C0704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（2）层级推导算法</w:t>
            </w:r>
          </w:p>
          <w:p w14:paraId="67FF8F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Level(node) = Level(parent) + 1，根节点 Level(集团总部) = 1。</w:t>
            </w:r>
          </w:p>
          <w:p w14:paraId="6BA459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合法域：Level ∈ {1, 2, 3, 4}；Level = 4（工厂）为叶节点，不允许新增下级。</w:t>
            </w:r>
          </w:p>
          <w:p w14:paraId="4CC5DB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（3）组织路径与数据范围判定算法（RLS 基础）</w:t>
            </w:r>
          </w:p>
          <w:p w14:paraId="5C85B4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Path(node) = Path(parent) + "/" + node.code（根节点 Path = "/" + code）。</w:t>
            </w:r>
          </w:p>
          <w:p w14:paraId="5C70AB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可见性判定：设用户数据范围节点为 R、目标数据节点为 D，当且仅当 Path(D) 以 Path(R) + "/" 为前缀、或 Path(D) = Path(R) 时，D 对用户可见。</w:t>
            </w:r>
          </w:p>
          <w:p w14:paraId="2431FC2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（4）下级机构计数</w:t>
            </w:r>
          </w:p>
          <w:p w14:paraId="3CA4D2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ChildCount(node) = Σ(直接子节点中 状态＝正常 的节点数)。</w:t>
            </w:r>
          </w:p>
          <w:p w14:paraId="3B17665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删除前置校验使用该值：ChildCount(node) = 0 且 关联账号数 = 0 时方允许删除。</w:t>
            </w:r>
          </w:p>
          <w:p w14:paraId="37D868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取值示例（截图 #37 坐实）：</w:t>
            </w:r>
          </w:p>
          <w:p w14:paraId="1DF3E6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沈变公司 → 机构层级＝二级单位（经营单位）；机构编码＝ORG-SB；所属产业＝变压器；管辖范围＝「统筹下属各产业园区」；下级机构＝4（沈变本部 / 和盛套管 / 康嘉互感器 / 印塑公司，均属沈变变压器产业）；状态＝正常。</w:t>
            </w:r>
          </w:p>
          <w:p w14:paraId="17B039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精度与容差：本模块无数值计算，层级与计数均为整数，无容差。</w:t>
            </w:r>
          </w:p>
        </w:tc>
      </w:tr>
    </w:tbl>
    <w:p w14:paraId="516C00F0">
      <w:pPr>
        <w:pStyle w:val="19"/>
        <w:bidi w:val="0"/>
      </w:pPr>
    </w:p>
    <w:p w14:paraId="57C450DD">
      <w:pPr>
        <w:pStyle w:val="6"/>
        <w:numPr>
          <w:ilvl w:val="0"/>
          <w:numId w:val="20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01A85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（1）组织树展示：层级缩进 + 展开箭头 + 状态圆点；有下级的节点显示下级数量角标。</w:t>
            </w:r>
          </w:p>
          <w:p w14:paraId="630981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（2）详情区展示字段（固定 6 格 + 1 标签行）：机构层级、下级机构、状态、所属产业、管辖范围、机构编码；下方并列展示「下级机构」标签行。</w:t>
            </w:r>
          </w:p>
          <w:p w14:paraId="6EFEB7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（3）排序规则：同级内按机构编码升序；跨级按组织树前序遍历（父节点先于子节点）。</w:t>
            </w:r>
          </w:p>
          <w:p w14:paraId="76AC58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（4）状态判定口径与展示：</w:t>
            </w:r>
          </w:p>
          <w:p w14:paraId="2DE32A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正常（绿点）：本节点状态＝正常，且其全部祖先节点状态均为正常；</w:t>
            </w:r>
          </w:p>
          <w:p w14:paraId="4962F4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停用（灰点）：本节点状态＝停用，或其任一祖先节点为停用（继承性失效）。</w:t>
            </w:r>
          </w:p>
          <w:p w14:paraId="7EECF5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（5）机构计数口径：页面顶部「企业结构树 · 共 X 个经营单位 · 共 Y 个工厂」中，X ＝ 层级为「二级单位（经营单位）」且状态正常的节点数；Y ＝ 层级为「工厂」且状态正常的节点数。</w:t>
            </w:r>
          </w:p>
          <w:p w14:paraId="2C0916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（6）基准来源：组织层级名称与法定架构取自集团《组织架构管理办法》；示例值取自原型截图 #37。</w:t>
            </w:r>
          </w:p>
        </w:tc>
      </w:tr>
    </w:tbl>
    <w:p w14:paraId="62C202E5">
      <w:pPr>
        <w:pStyle w:val="19"/>
        <w:bidi w:val="0"/>
      </w:pPr>
    </w:p>
    <w:p w14:paraId="5DDA836C">
      <w:pPr>
        <w:pStyle w:val="6"/>
        <w:numPr>
          <w:ilvl w:val="0"/>
          <w:numId w:val="20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11D15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（1）机构编码重复阻断：机构编码已存在时，保存阻断，返回 E_SYS_ORG_CODE_DUP。</w:t>
            </w:r>
          </w:p>
          <w:p w14:paraId="5FB2C4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（2）跨级建机构阻断：新增机构时层级与上级节点层级差 ≠ 1（跳级或平级）时，阻断，返回 E_SYS_ORG_LEVEL_JUMP。</w:t>
            </w:r>
          </w:p>
          <w:p w14:paraId="74F2E0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（3）超最大层级阻断：在层级＝工厂（Level 4）节点下新增下级时，阻断并提示「工厂为最末级，不可新增下级机构」，返回 E_SYS_ORG_LEVEL_LIMIT。</w:t>
            </w:r>
          </w:p>
          <w:p w14:paraId="210744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（4）删除引用阻断：机构下存在下级机构或存在关联账号时，物理删除阻断，返回 E_SYS_ORG_IN_USE_DELETE_DENIED，并列出占用明细。</w:t>
            </w:r>
          </w:p>
          <w:p w14:paraId="7931A0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（5）停用联动：机构置为「停用」时，其下全部账号强制置为「停用」，并记录联动审计日志（操作人、时间、影响账号数）。</w:t>
            </w:r>
          </w:p>
          <w:p w14:paraId="66CFAD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（6）循环引用防御：编辑机构上级时，若目标上级为本节点自身或其子孙节点，阻断，返回 E_SYS_ORG_CYCLE_DENIED。</w:t>
            </w:r>
          </w:p>
          <w:p w14:paraId="55AC02F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（7）并发编辑冲突：同一机构被两名管理员同时编辑时，以行版本号比对，后提交方冲突则提示「数据已被他人修改，请刷新后重试」，返回 E_SYS_ORG_CONCURRENT_CONFLICT。</w:t>
            </w:r>
          </w:p>
          <w:p w14:paraId="3F6F87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角色（系统管理员）调用本模块写接口时，返回 HTTP 403，触发 E_AUTH_RBAC_FORBIDDEN。</w:t>
            </w:r>
          </w:p>
        </w:tc>
      </w:tr>
    </w:tbl>
    <w:p w14:paraId="3378F497"/>
    <w:p w14:paraId="0A8447DA">
      <w:pPr>
        <w:pStyle w:val="6"/>
        <w:numPr>
          <w:ilvl w:val="0"/>
          <w:numId w:val="20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4715D0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组织架构维护</w:t>
            </w:r>
          </w:p>
          <w:p w14:paraId="674CCE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新增二级单位机构</w:t>
            </w:r>
          </w:p>
          <w:p w14:paraId="4356B1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组织管理</w:t>
            </w:r>
          </w:p>
          <w:p w14:paraId="14209C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选中「集团总部」节点并点击【新增机构】，填写机构名称＝「衡变公司」、机构编码＝「ORG-HB」、所属产业＝「变压器」</w:t>
            </w:r>
          </w:p>
          <w:p w14:paraId="362DFF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保存成功，组织树在集团总部下新增节点「衡变公司」</w:t>
            </w:r>
          </w:p>
          <w:p w14:paraId="3C9A5F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该节点机构层级自动为「二级单位（经营单位）」，状态显示为「正常」</w:t>
            </w:r>
          </w:p>
          <w:p w14:paraId="4A495B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机构编码重复被阻断</w:t>
            </w:r>
          </w:p>
          <w:p w14:paraId="265550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系统中已存在机构编码「ORG-SB」</w:t>
            </w:r>
          </w:p>
          <w:p w14:paraId="60DEF0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新增机构并填写机构编码＝「ORG-SB」后保存</w:t>
            </w:r>
          </w:p>
          <w:p w14:paraId="6D05BB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系统阻断保存并提示编码已存在</w:t>
            </w:r>
          </w:p>
          <w:p w14:paraId="569EEC0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E_SYS_ORG_CODE_DUP，组织树不新增节点</w:t>
            </w:r>
          </w:p>
          <w:p w14:paraId="1DE14F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删除存在下级的机构被阻断</w:t>
            </w:r>
          </w:p>
          <w:p w14:paraId="34E01F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「沈变公司」下存在 4 个下级机构</w:t>
            </w:r>
          </w:p>
          <w:p w14:paraId="261B81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点击【删除】并在确认弹窗点击确认</w:t>
            </w:r>
          </w:p>
          <w:p w14:paraId="52564D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系统阻断删除并提示「该机构下存在下级机构，不可删除」</w:t>
            </w:r>
          </w:p>
          <w:p w14:paraId="57AF26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E_SYS_ORG_IN_USE_DELETE_DENIED，组织树保持原样</w:t>
            </w:r>
          </w:p>
          <w:p w14:paraId="53E339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工厂级节点不可再新增下级</w:t>
            </w:r>
          </w:p>
          <w:p w14:paraId="6F2CF8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选中层级为「工厂」的节点「沈变本部」</w:t>
            </w:r>
          </w:p>
          <w:p w14:paraId="5666AE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点击【新增机构】</w:t>
            </w:r>
          </w:p>
          <w:p w14:paraId="16E4B20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系统阻断并提示「工厂为最末级，不可新增下级机构」</w:t>
            </w:r>
          </w:p>
          <w:p w14:paraId="719F48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E_SYS_ORG_LEVEL_LIMIT</w:t>
            </w:r>
          </w:p>
          <w:p w14:paraId="19DECE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停用机构联动停用其下账号</w:t>
            </w:r>
          </w:p>
          <w:p w14:paraId="1C4DFE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「沈变公司」下存在状态为「启用」的账号 3 个</w:t>
            </w:r>
          </w:p>
          <w:p w14:paraId="24FA656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将「沈变公司」状态由「正常」改为「停用」并保存</w:t>
            </w:r>
          </w:p>
          <w:p w14:paraId="3A2FD6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其下 3 个账号状态全部变为「停用」</w:t>
            </w:r>
          </w:p>
          <w:p w14:paraId="4898836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审计日志新增一条记录（类型＝权限变更，操作＝机构停用联动）</w:t>
            </w:r>
          </w:p>
        </w:tc>
      </w:tr>
    </w:tbl>
    <w:p w14:paraId="1D7DAD75">
      <w:pPr>
        <w:rPr>
          <w:rFonts w:hint="default"/>
          <w:lang w:val="en-US" w:eastAsia="zh-CN"/>
        </w:rPr>
      </w:pPr>
    </w:p>
    <w:p w14:paraId="136B6084">
      <w:pPr>
        <w:pStyle w:val="5"/>
        <w:numPr>
          <w:ilvl w:val="0"/>
          <w:numId w:val="200"/>
        </w:numPr>
        <w:ind w:left="0" w:leftChars="0" w:firstLine="0" w:firstLineChars="0"/>
        <w:outlineLvl w:val="1"/>
        <w:rPr>
          <w:rFonts w:hint="default" w:cs="Times New Roman"/>
          <w:b w:val="0"/>
          <w:bCs w:val="0"/>
          <w:sz w:val="30"/>
          <w:szCs w:val="24"/>
          <w:lang w:val="en-US" w:eastAsia="zh-CN"/>
        </w:rPr>
      </w:pPr>
      <w:bookmarkStart w:id="65" w:name="_Toc27635"/>
      <w:r>
        <w:rPr>
          <w:rFonts w:hint="eastAsia" w:cs="Times New Roman"/>
          <w:b w:val="0"/>
          <w:bCs w:val="0"/>
          <w:sz w:val="30"/>
          <w:szCs w:val="24"/>
          <w:lang w:val="en-US" w:eastAsia="zh-CN"/>
        </w:rPr>
        <w:t xml:space="preserve">用户管理</w:t>
      </w:r>
      <w:bookmarkEnd w:id="65"/>
    </w:p>
    <w:p w14:paraId="68C8A608">
      <w:r>
        <w:drawing>
          <wp:inline distT="0" distB="0" distL="114300" distR="114300">
            <wp:extent cx="5900420" cy="2925445"/>
            <wp:effectExtent l="0" t="0" r="5080" b="8255"/>
            <wp:docPr id="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8"/>
                    <pic:cNvPicPr>
                      <a:picLocks noChangeAspect="1"/>
                    </pic:cNvPicPr>
                  </pic:nvPicPr>
                  <pic:blipFill>
                    <a:blip r:embed="rId96"/>
                    <a:stretch>
                      <a:fillRect/>
                    </a:stretch>
                  </pic:blipFill>
                  <pic:spPr>
                    <a:xfrm>
                      <a:off x="0" y="0"/>
                      <a:ext cx="5900420" cy="2925445"/>
                    </a:xfrm>
                    <a:prstGeom prst="rect">
                      <a:avLst/>
                    </a:prstGeom>
                    <a:noFill/>
                    <a:ln>
                      <a:noFill/>
                    </a:ln>
                  </pic:spPr>
                </pic:pic>
              </a:graphicData>
            </a:graphic>
          </wp:inline>
        </w:drawing>
      </w:r>
    </w:p>
    <w:p w14:paraId="1A37204E">
      <w:pPr>
        <w:pStyle w:val="6"/>
        <w:numPr>
          <w:ilvl w:val="0"/>
          <w:numId w:val="20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3E8635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功能定位：作为权限管控模块下的账号生命周期管理单元，依托组织架构基准数据，完成系统账号的新增、信息维护、启停与密码重置，建立「账号 → 角色 → 所属机构 → 数据范围」四元绑定关系，为全系统访问身份识别与行级数据隔离提供账号主体支撑，是权限体系落地的核心载体。</w:t>
            </w:r>
          </w:p>
          <w:p w14:paraId="37A37B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系统管理员（全量用户账号的创建、维护、状态管控与密码重置）。</w:t>
            </w:r>
          </w:p>
          <w:p w14:paraId="1C4FEB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页面路由：/system/manage/user（左侧导航：系统管理 › 权限管控 › 用户管理）。</w:t>
            </w:r>
          </w:p>
          <w:p w14:paraId="5708B5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上游依赖：组织管理（「所属机构」取值域）；角色与权限（「角色」取值域与「数据范围」候选集）。</w:t>
            </w:r>
          </w:p>
          <w:p w14:paraId="780ADAA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下游输出：零碳园区集控中心与产品碳足迹集采中心的登录鉴权、按钮级权限判定、行级数据过滤（RLS）与操作日志的「操作人」取值域。</w:t>
            </w:r>
          </w:p>
          <w:p w14:paraId="614C5B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数据权限：系统管理员全量可写；其他角色一律不可见本模块（用户管理为高敏模块，仅 P4 角色可访问）。账号自身的「数据范围」字段是本模块授予他人的隔离边界，取值受授予者自身数据范围约束（不得授予超出自身的范围）。</w:t>
            </w:r>
          </w:p>
        </w:tc>
      </w:tr>
    </w:tbl>
    <w:p w14:paraId="3B4D1A73"/>
    <w:p w14:paraId="455A18C6">
      <w:pPr>
        <w:pStyle w:val="6"/>
        <w:numPr>
          <w:ilvl w:val="0"/>
          <w:numId w:val="20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6A979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971D439">
            <w:pPr>
              <w:pStyle w:val="19"/>
              <w:bidi w:val="0"/>
              <w:ind w:left="0" w:leftChars="0" w:firstLine="0" w:firstLineChars="0"/>
            </w:pPr>
            <w:r>
              <w:rPr>
                <w:b/>
                <w:bCs/>
                <w:lang w:val="en-US" w:eastAsia="zh-CN"/>
              </w:rPr>
              <w:t>业务场景</w:t>
            </w:r>
            <w:r>
              <w:rPr>
                <w:lang w:val="en-US" w:eastAsia="zh-CN"/>
              </w:rPr>
              <w:t>：面向系统管理员进行平台账号体系规范化管控场景，统一维护全平台操作人员账号信息、账号状态与归属权限，保障后台配置入口安全可控。</w:t>
            </w:r>
          </w:p>
          <w:p w14:paraId="24910A3E">
            <w:pPr>
              <w:pStyle w:val="19"/>
              <w:bidi w:val="0"/>
              <w:ind w:left="0" w:leftChars="0" w:firstLine="0" w:firstLineChars="0"/>
            </w:pPr>
            <w:r>
              <w:rPr>
                <w:b/>
                <w:bCs/>
                <w:lang w:val="en-US" w:eastAsia="zh-CN"/>
              </w:rPr>
              <w:t>用户故事</w:t>
            </w:r>
            <w:r>
              <w:rPr>
                <w:lang w:val="en-US" w:eastAsia="zh-CN"/>
              </w:rPr>
              <w:t>：</w:t>
            </w:r>
          </w:p>
          <w:p w14:paraId="4431981E">
            <w:pPr>
              <w:pStyle w:val="19"/>
              <w:bidi w:val="0"/>
            </w:pPr>
            <w:r>
              <w:rPr>
                <w:lang w:val="en-US" w:eastAsia="zh-CN"/>
              </w:rPr>
              <w:t>As a 系统管理员 (Persona PM)，</w:t>
            </w:r>
          </w:p>
          <w:p w14:paraId="46AED607">
            <w:pPr>
              <w:pStyle w:val="19"/>
              <w:bidi w:val="0"/>
            </w:pPr>
            <w:r>
              <w:rPr>
                <w:lang w:val="en-US" w:eastAsia="zh-CN"/>
              </w:rPr>
              <w:t>I want 统一维护平台所有用户账号、启停状态与基础信息，实现账号全生命周期管控，</w:t>
            </w:r>
          </w:p>
          <w:p w14:paraId="553F43BB">
            <w:pPr>
              <w:pStyle w:val="19"/>
              <w:bidi w:val="0"/>
            </w:pPr>
            <w:r>
              <w:rPr>
                <w:lang w:val="en-US" w:eastAsia="zh-CN"/>
              </w:rPr>
              <w:t>So that 我能规范平台访问权限准入，保障能碳系统后台配置安全、权责可追溯。</w:t>
            </w:r>
          </w:p>
        </w:tc>
      </w:tr>
    </w:tbl>
    <w:p w14:paraId="742D9DAE"/>
    <w:p w14:paraId="5B448A63">
      <w:pPr>
        <w:pStyle w:val="6"/>
        <w:numPr>
          <w:ilvl w:val="0"/>
          <w:numId w:val="20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C3498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页面布局：上方查询条件区 + 下方用户列表 + 右上【新增用户】。</w:t>
            </w:r>
          </w:p>
          <w:p w14:paraId="2065F43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（1）查询【查询】：选择查询条件（关键字 / 角色 / 状态）后点击「查询」按钮，列表按条件过滤显示；点击【重置】清空全部条件并恢复全量列表。关键字对「姓名」「账号」「所属机构」三列做模糊匹配（OR 关系）。</w:t>
            </w:r>
          </w:p>
          <w:p w14:paraId="6D8CD7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（2）新增用户【新增用户】：打开新增用户弹窗，填写姓名、账号、角色、所属机构、数据范围、手机号；账号全局唯一且创建后不可修改。</w:t>
            </w:r>
          </w:p>
          <w:p w14:paraId="1937C3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（3）编辑【编辑】：打开编辑用户弹窗，回填该用户信息；账号字段只读；调整数据范围时受授予者自身范围约束。</w:t>
            </w:r>
          </w:p>
          <w:p w14:paraId="4815F7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（4）重置密码【重置密码】：打开重置密码提示窗口，点击取消关闭弹窗，点击确认后将该用户登录密码重置为初始密码，并强制其下次登录修改。</w:t>
            </w:r>
          </w:p>
          <w:p w14:paraId="333CA7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（5）停用 / 启用【停用】：打开弹窗确认窗口，点击取消关闭弹窗，点击确认后将用户状态在「启用 ↔ 停用」间切换；停用后该账号立即失效，登录返回 HTTP 401。</w:t>
            </w:r>
          </w:p>
          <w:p w14:paraId="7F507D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（6）列表行操作列：编辑 / 重置密码 / 停用（或启用），按当前状态动态显示。</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28B04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4C64D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CFC7A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EE6F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2028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91F1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770D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清空条件</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E3ABE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778F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列表按条件刷新；重置恢复全量</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422BB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804D4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【新增用户】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82B4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ACD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945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B6FB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90B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CFB4E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B45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账号全局唯一、手机号格式合法、数据范围 ⊆ 授予者范围</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93CA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列表新增该行，状态默认「启用」</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04D1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逐项行内红字提示并定位首个错误字段</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A70B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4DE91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F9C0D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2ACA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回填信息，账号只读</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66B36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A386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【重置密码】</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57E7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打开重置弹窗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A547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提示「确认重置该用户密码？」</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F37C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544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050A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确认重置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EDEBF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点击确认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30BA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37F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密码重置为初始值，强制下次登录修改</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2D2B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E696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【停用】/【启用】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978A5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确认切换状态</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F007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不可停用当前登录账号自身</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006C0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状态标签即时切换</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8AE6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提示「不可停用当前登录账号」</w:t>
            </w:r>
          </w:p>
        </w:tc>
      </w:tr>
    </w:tbl>
    <w:p w14:paraId="56631379"/>
    <w:p w14:paraId="5E613F1B">
      <w:pPr>
        <w:pStyle w:val="6"/>
        <w:numPr>
          <w:ilvl w:val="0"/>
          <w:numId w:val="20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90A78B">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3B35F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7ECD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28C75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906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89FE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E5D5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姓名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AC090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67BF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84EB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必填；≤20 字符；中文为常见用法，如「张伟」</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DCE5E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ECB57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账号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976E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1E1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C092E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业务主键；全局唯一；4~20 位小写字母数字（如 zhangwei）；创建后不可修改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74212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BA96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419C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780D6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2FE7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取值源自「角色与权限」；内置值｛集团管理员 / 园区管理员 / 经营单位 / 节能专员 / 审计员｝；一名用户仅一个角色</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7B10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FFF68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704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C629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0E1C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必填；取值域为组织树全部节点（末级＝工厂）；决定账号的组织归属</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A81A6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5301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FF8C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BA7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AE1D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必填；以组织节点为单位；可携带「（只读）」后缀标记只读范围；取值须 ⊆ 授予者自身数据范围；如「集团」「天津园区」「衡阳电缆厂」「集团（只读）」</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79D3B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493C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手机号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5572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3EF95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82D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必填；11 位中国大陆手机号；列表展示按 1XX****XXXX 脱敏（如 138****1120）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4ED48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F804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E1C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A2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1CC28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停用｝；默认「启用」；停用后账号立即失效；所属机构被停用时联动置为「停用」</w:t>
            </w:r>
          </w:p>
        </w:tc>
      </w:tr>
    </w:tbl>
    <w:p w14:paraId="4C649F22">
      <w:pPr>
        <w:pStyle w:val="19"/>
        <w:bidi w:val="0"/>
      </w:pPr>
    </w:p>
    <w:p w14:paraId="71BBE817">
      <w:pPr>
        <w:pStyle w:val="6"/>
        <w:numPr>
          <w:ilvl w:val="0"/>
          <w:numId w:val="20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47047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（1）账号唯一性算法</w:t>
            </w:r>
          </w:p>
          <w:p w14:paraId="1ECDEF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唯一键 = 账号（小写归一化后比较）。新增或编辑保存前执行存在性查询，命中即阻断。</w:t>
            </w:r>
          </w:p>
          <w:p w14:paraId="5E4131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（2）数据范围解析算法（RLS 核心）</w:t>
            </w:r>
          </w:p>
          <w:p w14:paraId="66313B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设用户 U 的数据范围集合为 S = {r₁, r₂, …, rₙ}，其中每个 rᵢ 为一个组织节点（可带只读标记）。</w:t>
            </w:r>
          </w:p>
          <w:p w14:paraId="4D9882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可见节点集 V(U) = ∪ᵢ Subtree(rᵢ)，Subtree(r) 为以 r 为根的子树全部节点；</w:t>
            </w:r>
          </w:p>
          <w:p w14:paraId="5D0F93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可写节点集 W(U) = ∪ { Subtree(rᵢ) | rᵢ 不带只读标记 }；</w:t>
            </w:r>
          </w:p>
          <w:p w14:paraId="3D3F04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对任意业务数据 D，归属组织节点为 org(D)：</w:t>
            </w:r>
          </w:p>
          <w:p w14:paraId="13F1AB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若 org(D) ∉ V(U) → 不可见（列表不返回该行）；</w:t>
            </w:r>
          </w:p>
          <w:p w14:paraId="2C9F12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若 org(D) ∈ V(U)  W(U) → 可见但只读（按钮禁用，写接口返回 HTTP 403）；</w:t>
            </w:r>
          </w:p>
          <w:p w14:paraId="289997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若 org(D) ∈ W(U) → 可见且可写。</w:t>
            </w:r>
          </w:p>
          <w:p w14:paraId="6D74C2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（3）手机号脱敏算法</w:t>
            </w:r>
          </w:p>
          <w:p w14:paraId="242635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保留前 3 位与后 4 位，中间 4 位替换为「****」：Mask(m) = m[0:3] + "****" + m[7:11]。</w:t>
            </w:r>
          </w:p>
          <w:p w14:paraId="371123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示例：13812341120 → 138****1120。</w:t>
            </w:r>
          </w:p>
          <w:p w14:paraId="7051F3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（4）用户故事场景（截图 #38 坐实，五角色典型配置）</w:t>
            </w:r>
          </w:p>
          <w:p w14:paraId="6D09AD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张伟 / zhangwei / 集团管理员 / 电装集团 / 数据范围＝集团 / 启用</w:t>
            </w:r>
          </w:p>
          <w:p w14:paraId="769286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李静 / lijing / 园区管理员 / 天宝公司 / 数据范围＝天津园区 / 启用</w:t>
            </w:r>
          </w:p>
          <w:p w14:paraId="3AA199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王强 / wangqiang / 经营单位 / 鲁缆本部 / 数据范围＝衡阳电缆厂 / 启用</w:t>
            </w:r>
          </w:p>
          <w:p w14:paraId="7FF83A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赵敏 / zhaomin / 节能专员 / 沈变本部 / 数据范围＝沈阳园区 / 停用</w:t>
            </w:r>
          </w:p>
          <w:p w14:paraId="650DDE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陈涛 / chentao / 审计员 / 电缆集团 / 数据范围＝集团（只读） / 启用</w:t>
            </w:r>
          </w:p>
          <w:p w14:paraId="1584EA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精度与容差：本模块无数值计算，无容差。</w:t>
            </w:r>
          </w:p>
        </w:tc>
      </w:tr>
    </w:tbl>
    <w:p w14:paraId="7C091B1D">
      <w:pPr>
        <w:pStyle w:val="19"/>
        <w:bidi w:val="0"/>
      </w:pPr>
    </w:p>
    <w:p w14:paraId="352DAECE">
      <w:pPr>
        <w:pStyle w:val="6"/>
        <w:numPr>
          <w:ilvl w:val="0"/>
          <w:numId w:val="20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30614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列）：姓名、账号、角色、所属机构、数据范围、手机号、状态、操作。</w:t>
            </w:r>
          </w:p>
          <w:p w14:paraId="73E00A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（2）角色列展示：以彩色标签（chip）呈现；不同角色配色区分，便于快速识别权限层级。</w:t>
            </w:r>
          </w:p>
          <w:p w14:paraId="4FA3B4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（3）数据范围列展示：多范围以顿号并列；带「（只读）」后缀的范围单独以灰色标签呈现，与可写范围视觉区分。</w:t>
            </w:r>
          </w:p>
          <w:p w14:paraId="3B68CCF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（4）排序规则：默认按状态降序（启用在前）、状态内按姓名拼音升序；支持点击表头切换排序。</w:t>
            </w:r>
          </w:p>
          <w:p w14:paraId="7BED66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（5）状态判定口径：启用（绿标签）＝ 状态字段为「启用」且所属机构状态为「正常」；停用（灰标签）＝ 状态字段为「停用」，或所属机构已被停用（继承性失效）。</w:t>
            </w:r>
          </w:p>
          <w:p w14:paraId="631410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（6）统计口径：查询结果条数实时显示；停用账号不计入「在线用户数」等运营指标。</w:t>
            </w:r>
          </w:p>
          <w:p w14:paraId="798937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（7）基准来源：角色枚举与数据范围样例取自原型截图 #38；脱敏规则为平台统一安全要求。</w:t>
            </w:r>
          </w:p>
        </w:tc>
      </w:tr>
    </w:tbl>
    <w:p w14:paraId="16CDB224">
      <w:pPr>
        <w:pStyle w:val="19"/>
        <w:bidi w:val="0"/>
      </w:pPr>
    </w:p>
    <w:p w14:paraId="2F29CB15">
      <w:pPr>
        <w:pStyle w:val="6"/>
        <w:numPr>
          <w:ilvl w:val="0"/>
          <w:numId w:val="20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C28A8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（1）账号重复阻断：账号已存在时，保存阻断，返回 E_SYS_USER_ACCOUNT_DUP。</w:t>
            </w:r>
          </w:p>
          <w:p w14:paraId="617872B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（2）手机号格式拦截：手机号不满足 11 位中国大陆号码规则时，保存阻断，返回 E_SYS_USER_PHONE_INVALID。</w:t>
            </w:r>
          </w:p>
          <w:p w14:paraId="3ABFB2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（3）数据范围越界拦截：授予的数据范围超出授予者自身范围时，阻断并提示「不可授予超出自身范围的数据权限」，返回 E_SYS_USER_SCOPE_EXCEED。</w:t>
            </w:r>
          </w:p>
          <w:p w14:paraId="47AE38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（4）自停用拦截：将当前登录账号自身置为「停用」时，阻断，返回 E_SYS_USER_SELF_DISABLE_DENIED。</w:t>
            </w:r>
          </w:p>
          <w:p w14:paraId="4E5CA8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（5）重置密码强约束：重置后必须强制用户下次登录修改密码；同一账号 24 小时内重置次数 ≥ 3 次时，记录安全告警日志。</w:t>
            </w:r>
          </w:p>
          <w:p w14:paraId="6760C1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（6）停用即时生效：账号置为「停用」后，若该用户当前存在有效会话，服务端在 1 个心跳周期（≤60 s）内使其失效，无需等待会话自然过期。</w:t>
            </w:r>
          </w:p>
          <w:p w14:paraId="12E4DB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（7）关联角色缺失兜底：用户所属角色被删除时，该账号自动降级为「无权限」状态，登录后仅可见只读首页，并弹出提示。</w:t>
            </w:r>
          </w:p>
          <w:p w14:paraId="48C9D02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（8）越权访问拦截：非 P4 角色访问本模块任意页面或接口时，返回 HTTP 403，触发 E_AUTH_RBAC_FORBIDDEN。</w:t>
            </w:r>
          </w:p>
        </w:tc>
      </w:tr>
    </w:tbl>
    <w:p w14:paraId="46FB276C"/>
    <w:p w14:paraId="686C487E">
      <w:pPr>
        <w:pStyle w:val="6"/>
        <w:numPr>
          <w:ilvl w:val="0"/>
          <w:numId w:val="20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B5F56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用户账号管理</w:t>
            </w:r>
          </w:p>
          <w:p w14:paraId="4060E9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新增用户并绑定角色与数据范围</w:t>
            </w:r>
          </w:p>
          <w:p w14:paraId="6D2D799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用户管理</w:t>
            </w:r>
          </w:p>
          <w:p w14:paraId="236E62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点击【新增用户】，填写姓名＝「张伟」、账号＝「zhangwei」、角色＝「集团管理员」、所属机构＝「电装集团」、数据范围＝「集团」、手机号＝「13812341120」并保存</w:t>
            </w:r>
          </w:p>
          <w:p w14:paraId="1F340C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列表新增一行，姓名「张伟」、账号「zhangwei」、状态「启用」</w:t>
            </w:r>
          </w:p>
          <w:p w14:paraId="264461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手机号列显示为「138****1120」</w:t>
            </w:r>
          </w:p>
          <w:p w14:paraId="79B802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账号重复被阻断</w:t>
            </w:r>
          </w:p>
          <w:p w14:paraId="10142B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系统中已存在账号「zhangwei」</w:t>
            </w:r>
          </w:p>
          <w:p w14:paraId="27AA51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新增用户并填写账号＝「zhangwei」后保存</w:t>
            </w:r>
          </w:p>
          <w:p w14:paraId="7F7700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79203F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E_SYS_USER_ACCOUNT_DUP</w:t>
            </w:r>
          </w:p>
          <w:p w14:paraId="73843D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重置密码后强制下次登录修改</w:t>
            </w:r>
          </w:p>
          <w:p w14:paraId="69F92C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用户「zhangwei」当前为「启用」状态</w:t>
            </w:r>
          </w:p>
          <w:p w14:paraId="285CDC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点击【重置密码】并在提示窗口点击确认</w:t>
            </w:r>
          </w:p>
          <w:p w14:paraId="338934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该用户密码被重置为初始密码</w:t>
            </w:r>
          </w:p>
          <w:p w14:paraId="56FDE7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该用户下次登录时被强制跳转至修改密码页</w:t>
            </w:r>
          </w:p>
          <w:p w14:paraId="3DA5C9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停用账号后立即失效</w:t>
            </w:r>
          </w:p>
          <w:p w14:paraId="183855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用户「zhaomin」当前为「启用」状态且存在有效会话</w:t>
            </w:r>
          </w:p>
          <w:p w14:paraId="178BD3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点击【停用】并确认</w:t>
            </w:r>
          </w:p>
          <w:p w14:paraId="64CE8A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该用户状态变为「停用」</w:t>
            </w:r>
          </w:p>
          <w:p w14:paraId="4F7C23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其有效会话在 60 秒内失效，再次访问返回 HTTP 401</w:t>
            </w:r>
          </w:p>
          <w:p w14:paraId="62AC43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数据范围越界被阻断</w:t>
            </w:r>
          </w:p>
          <w:p w14:paraId="3FB795B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当前操作员自身数据范围为「沈阳园区」</w:t>
            </w:r>
          </w:p>
          <w:p w14:paraId="38626C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新增用户时将数据范围设置为「集团」</w:t>
            </w:r>
          </w:p>
          <w:p w14:paraId="293C14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系统阻断保存并提示「不可授予超出自身范围的数据权限」</w:t>
            </w:r>
          </w:p>
          <w:p w14:paraId="74AADCE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E_SYS_USER_SCOPE_EXCEED</w:t>
            </w:r>
          </w:p>
          <w:p w14:paraId="16F547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非管理员访问用户管理被拒绝</w:t>
            </w:r>
          </w:p>
          <w:p w14:paraId="3241E2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当前登录用户角色为「园区管理员」</w:t>
            </w:r>
          </w:p>
          <w:p w14:paraId="482BC8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尝试访问 系统管理 › 权限管控 › 用户管理</w:t>
            </w:r>
          </w:p>
          <w:p w14:paraId="5DB91A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系统返回 HTTP 403</w:t>
            </w:r>
          </w:p>
          <w:p w14:paraId="7A27FE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记录审计日志（类型＝权限变更，结果＝失败）</w:t>
            </w:r>
          </w:p>
        </w:tc>
      </w:tr>
    </w:tbl>
    <w:p w14:paraId="2D442BE4">
      <w:pPr>
        <w:rPr>
          <w:rFonts w:hint="default"/>
          <w:lang w:val="en-US" w:eastAsia="zh-CN"/>
        </w:rPr>
      </w:pPr>
    </w:p>
    <w:p w14:paraId="5F24CDC1">
      <w:pPr>
        <w:pStyle w:val="5"/>
        <w:numPr>
          <w:ilvl w:val="0"/>
          <w:numId w:val="200"/>
        </w:numPr>
        <w:ind w:left="0" w:leftChars="0" w:firstLine="0" w:firstLineChars="0"/>
        <w:outlineLvl w:val="1"/>
        <w:rPr>
          <w:rFonts w:hint="default" w:cs="Times New Roman"/>
          <w:b w:val="0"/>
          <w:bCs w:val="0"/>
          <w:sz w:val="30"/>
          <w:szCs w:val="24"/>
          <w:lang w:val="en-US" w:eastAsia="zh-CN"/>
        </w:rPr>
      </w:pPr>
      <w:bookmarkStart w:id="66" w:name="_Toc7452"/>
      <w:r>
        <w:rPr>
          <w:rFonts w:hint="eastAsia" w:cs="Times New Roman"/>
          <w:b w:val="0"/>
          <w:bCs w:val="0"/>
          <w:sz w:val="30"/>
          <w:szCs w:val="24"/>
          <w:lang w:val="en-US" w:eastAsia="zh-CN"/>
        </w:rPr>
        <w:t xml:space="preserve">角色与权限</w:t>
      </w:r>
      <w:bookmarkEnd w:id="66"/>
    </w:p>
    <w:p w14:paraId="5817164F">
      <w:r>
        <w:drawing>
          <wp:inline distT="0" distB="0" distL="114300" distR="114300">
            <wp:extent cx="5900420" cy="2925445"/>
            <wp:effectExtent l="0" t="0" r="5080" b="8255"/>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97"/>
                    <a:stretch>
                      <a:fillRect/>
                    </a:stretch>
                  </pic:blipFill>
                  <pic:spPr>
                    <a:xfrm>
                      <a:off x="0" y="0"/>
                      <a:ext cx="5900420" cy="2925445"/>
                    </a:xfrm>
                    <a:prstGeom prst="rect">
                      <a:avLst/>
                    </a:prstGeom>
                    <a:noFill/>
                    <a:ln>
                      <a:noFill/>
                    </a:ln>
                  </pic:spPr>
                </pic:pic>
              </a:graphicData>
            </a:graphic>
          </wp:inline>
        </w:drawing>
      </w:r>
    </w:p>
    <w:p w14:paraId="6B55FD41">
      <w:pPr>
        <w:pStyle w:val="6"/>
        <w:numPr>
          <w:ilvl w:val="0"/>
          <w:numId w:val="20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3F7E4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功能定位：作为权限管控模块的权限规则配置中心，依托组织架构与用户账号基准数据，完成角色新建、角色数据范围定义、菜单及按钮级功能点权限分配，构建「账号 → 角色 → 功能权限 ＋ 数据权限」双维关联关系，为全系统功能访问控制与行级数据隔离提供权限规则基准，是权限体系精细化管控的核心配置单元。</w:t>
            </w:r>
          </w:p>
          <w:p w14:paraId="63041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系统管理员（全量角色创建、权限项配置、角色信息维护）。</w:t>
            </w:r>
          </w:p>
          <w:p w14:paraId="5BDF0B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页面路由：/system/manage/role（左侧导航：系统管理 › 权限管控 › 角色与权限）。</w:t>
            </w:r>
          </w:p>
          <w:p w14:paraId="64F792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上游依赖：组织管理（数据范围取值域）；菜单与功能（可授权功能点全集）。</w:t>
            </w:r>
          </w:p>
          <w:p w14:paraId="61DE8C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下游输出：用户管理的「角色」取值域；全平台功能可见性判定、按钮级权限拦截与数据范围（RLS）判定。</w:t>
            </w:r>
          </w:p>
          <w:p w14:paraId="1DB6CD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PM）全量可写；本模块自身仅 P4 角色可访问。授权时受「权限不可扩大原则」约束——不可授予超出自身权限范围的功能点与数据范围。</w:t>
            </w:r>
          </w:p>
        </w:tc>
      </w:tr>
    </w:tbl>
    <w:p w14:paraId="4929C822">
      <w:pPr>
        <w:rPr>
          <w:b w:val="0"/>
          <w:bCs w:val="0"/>
        </w:rPr>
      </w:pPr>
    </w:p>
    <w:p w14:paraId="77DC2785">
      <w:pPr>
        <w:pStyle w:val="6"/>
        <w:numPr>
          <w:ilvl w:val="0"/>
          <w:numId w:val="20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1EB947C">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6305003">
            <w:pPr>
              <w:pStyle w:val="19"/>
              <w:bidi w:val="0"/>
              <w:ind w:left="0" w:leftChars="0" w:firstLine="0" w:firstLineChars="0"/>
            </w:pPr>
            <w:r>
              <w:rPr>
                <w:b/>
                <w:bCs/>
                <w:lang w:val="en-US" w:eastAsia="zh-CN"/>
              </w:rPr>
              <w:t>业务场景</w:t>
            </w:r>
            <w:r>
              <w:rPr>
                <w:lang w:val="en-US" w:eastAsia="zh-CN"/>
              </w:rPr>
              <w:t>：面向系统管理员进行平台权限精细化配置场景，通过角色绑定菜单权限与数据权限，实现平台功能、数据的分级隔离管控。</w:t>
            </w:r>
          </w:p>
          <w:p w14:paraId="6500AAD6">
            <w:pPr>
              <w:pStyle w:val="19"/>
              <w:bidi w:val="0"/>
              <w:ind w:left="0" w:leftChars="0" w:firstLine="0" w:firstLineChars="0"/>
            </w:pPr>
            <w:r>
              <w:rPr>
                <w:b/>
                <w:bCs/>
                <w:lang w:val="en-US" w:eastAsia="zh-CN"/>
              </w:rPr>
              <w:t>用户故事</w:t>
            </w:r>
            <w:r>
              <w:rPr>
                <w:lang w:val="en-US" w:eastAsia="zh-CN"/>
              </w:rPr>
              <w:t>：</w:t>
            </w:r>
          </w:p>
          <w:p w14:paraId="09D4AEF8">
            <w:pPr>
              <w:pStyle w:val="19"/>
              <w:bidi w:val="0"/>
            </w:pPr>
            <w:r>
              <w:rPr>
                <w:lang w:val="en-US" w:eastAsia="zh-CN"/>
              </w:rPr>
              <w:t>As a 系统管理员 (Persona PM)，</w:t>
            </w:r>
          </w:p>
          <w:p w14:paraId="1CFEBEE1">
            <w:pPr>
              <w:pStyle w:val="19"/>
              <w:bidi w:val="0"/>
            </w:pPr>
            <w:r>
              <w:rPr>
                <w:lang w:val="en-US" w:eastAsia="zh-CN"/>
              </w:rPr>
              <w:t>I want 自定义系统角色、分配功能权限与园区工厂数据范围，完成权限精准配置，</w:t>
            </w:r>
          </w:p>
          <w:p w14:paraId="55070213">
            <w:pPr>
              <w:pStyle w:val="19"/>
              <w:bidi w:val="0"/>
            </w:pPr>
            <w:r>
              <w:rPr>
                <w:lang w:val="en-US" w:eastAsia="zh-CN"/>
              </w:rPr>
              <w:t>So that 我能实现不同岗位权限隔离，保障能碳数据、后台配置的安全性与规范性。</w:t>
            </w:r>
          </w:p>
        </w:tc>
      </w:tr>
    </w:tbl>
    <w:p w14:paraId="079A8645">
      <w:pPr>
        <w:rPr>
          <w:b w:val="0"/>
          <w:bCs w:val="0"/>
        </w:rPr>
      </w:pPr>
    </w:p>
    <w:p w14:paraId="3FEE9CCB">
      <w:pPr>
        <w:pStyle w:val="6"/>
        <w:numPr>
          <w:ilvl w:val="0"/>
          <w:numId w:val="20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68633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页面布局：左侧「角色列表」（卡片式）+ 右侧「权限配置」（三平台页签 + 功能点树）+ 右上角操作区。</w:t>
            </w:r>
          </w:p>
          <w:p w14:paraId="3A494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（1）选择角色：点击左侧【角色列表】中任一角色卡片，右侧显示该角色在【集控】【集采】【系统管理】三平台中的用户权限；右上角显示「已授权 N / M 项功能点」。</w:t>
            </w:r>
          </w:p>
          <w:p w14:paraId="2E0564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（2）新增角色【新增角色】：打开新增角色弹窗，填写角色名称、数据范围、角色职责说明；保存后角色类型默认「自定义」，用户数＝0。</w:t>
            </w:r>
          </w:p>
          <w:p w14:paraId="296F95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（3）编辑角色【编辑】：角色列表点击【编辑】按钮，打开角色编辑窗口，可修改角色名称、数据范围、职责说明；已关联用户数只读。</w:t>
            </w:r>
          </w:p>
          <w:p w14:paraId="67CD2C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（4）平台切换：右侧权限配置区通过点击【产品碳足迹集采中心】【零碳园区集控中心】【系统管理平台】标签切换平台的权限组织结构。</w:t>
            </w:r>
          </w:p>
          <w:p w14:paraId="696F62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（5）展开 / 折叠【展开】【折叠】：控制权限配置模块一级菜单的展开与折叠状态。</w:t>
            </w:r>
          </w:p>
          <w:p w14:paraId="2BAB4B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（6）全选 / 清空【全选】【清空】：控制权限配置模块中所有权限的勾选与取消。</w:t>
            </w:r>
          </w:p>
          <w:p w14:paraId="7CA45D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（7）保存授权【保存授权】：保存当前角色所选中的权限；保存后即刻生效，无需用户重新登录。</w:t>
            </w:r>
          </w:p>
          <w:p w14:paraId="7E157B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（8）快捷搜索：权限树上方支持按功能点名称检索，命中节点自动展开并高亮。</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900C3F">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0A34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FB17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8D7C9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730A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B785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角色卡片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83C7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单击选中</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9326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407F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右侧加载该角色权限树与已授权数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D59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0795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【新增角色】</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7F68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B047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47E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弹窗打开，类型默认「自定义」</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94881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B33D5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37958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23F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角色名称全局唯一</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7AC81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角色列表新增卡片</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C3F9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提示名称已存在</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7CBD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三平台页签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5319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9C68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FDFE6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权限树切至对应平台</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2AF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BA2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【全部展开】/【全部折叠】</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73CDD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F5B7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8B8F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一级菜单全部展开 / 收起</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FB43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E981D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【全部全选】/【全部清空】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641EA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20E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7F51F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全部 checkbox 勾选 / 取消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EBB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DC13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功能点 checkbox</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2917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勾选 / 取消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855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功能点 ⊆ 操作者权限集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C629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已授权数即时增减</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5C5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超范围项置灰并提示</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8575D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【保存授权】</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AF80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449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4D2D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提示「保存成功」，权限即刻生效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51FAB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bl>
    <w:p w14:paraId="1A1861B1">
      <w:pPr>
        <w:rPr>
          <w:b w:val="0"/>
          <w:bCs w:val="0"/>
        </w:rPr>
      </w:pPr>
    </w:p>
    <w:p w14:paraId="6805FF6B">
      <w:pPr>
        <w:pStyle w:val="6"/>
        <w:numPr>
          <w:ilvl w:val="0"/>
          <w:numId w:val="20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EA938A">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06F4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EFC2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89143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FBBA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4612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1231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7D2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8775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2B2D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必填；≤20 字符；全局唯一；如「集团管理员」「节能专员」</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7C9B9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27EF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3817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E15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6B11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取值｛内置 / 自定义｝；内置角色不可删除、不可改名，仅可调整权限；自定义角色可增删改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289B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9BA7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F45C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A0A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5210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必填；以组织节点为单位；可带「（只读）」标记；如「全集团」「所属园区」「本经营单位」「全集团（只读）」</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B9D1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A2FB2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角色职责说明</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2C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3698A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1C2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≤200 字符；用于角色卡片悬浮提示与权限申请审批参考</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36D8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E9C0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关联用户数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699C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83F6D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679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由用户管理实时统计；＞ 0 时该角色不可删除</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0150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073D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功能点授权数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2AC2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只读计数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5052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项</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FEDC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分平台统计（集控 / 集采 / 系统管理）；展示为「已授权 N / M」</w:t>
            </w:r>
          </w:p>
        </w:tc>
      </w:tr>
    </w:tbl>
    <w:p w14:paraId="0081AC53">
      <w:pPr>
        <w:pStyle w:val="19"/>
        <w:bidi w:val="0"/>
        <w:rPr>
          <w:b w:val="0"/>
          <w:bCs w:val="0"/>
        </w:rPr>
      </w:pPr>
    </w:p>
    <w:p w14:paraId="363EA9FB">
      <w:pPr>
        <w:pStyle w:val="6"/>
        <w:numPr>
          <w:ilvl w:val="0"/>
          <w:numId w:val="20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17BC7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（1）功能点授权完整度</w:t>
            </w:r>
          </w:p>
          <w:p w14:paraId="51B54D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已授权数 N(role, platform) = Σ 该角色在该平台勾选的功能点数量；</w:t>
            </w:r>
          </w:p>
          <w:p w14:paraId="1A19E6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完整度 = N / M，其中 M = 该平台功能点总数。</w:t>
            </w:r>
          </w:p>
          <w:p w14:paraId="7E4E05B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示例：集采平台 M = 36，集团管理员 N = 36 → 完整度 100%；审计员 N = 4 → 11.1%。</w:t>
            </w:r>
          </w:p>
          <w:p w14:paraId="7F649B4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（2）权限判定算法（二维判定：功能级 × 数据级）</w:t>
            </w:r>
          </w:p>
          <w:p w14:paraId="38FACC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Can(U, action, target) = (action ∈ Perms(role(U))) ∧ (org(target) ∈ V(U))</w:t>
            </w:r>
          </w:p>
          <w:p w14:paraId="1F4EFB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Perms(role) 为角色的功能点集合，V(U) 为用户 U 的数据范围可见节点集（见 2.2.5 数据范围解析算法）。</w:t>
            </w:r>
          </w:p>
          <w:p w14:paraId="3547EF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两项均为真方可执行；功能级不通过返回 HTTP 403（E_AUTH_RBAC_FORBIDDEN），数据级不通过返回 HTTP 403（E_AUTH_RLS_SCOPE_DENIED）。</w:t>
            </w:r>
          </w:p>
          <w:p w14:paraId="3428CF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（3）权限不可扩大原则</w:t>
            </w:r>
          </w:p>
          <w:p w14:paraId="42232C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设操作者 O 的功能权限集为 P(O)、数据范围可见集为 V(O)；被配置角色 R 的权限集为 P(R)、范围集为 V(R)。</w:t>
            </w:r>
          </w:p>
          <w:p w14:paraId="367205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约束：P(R) ⊆ P(O) 且 V(R) ⊆ V(O)。超出部分在保存时被过滤，并返回 E_SYS_ROLE_PERM_EXCEED。</w:t>
            </w:r>
          </w:p>
          <w:p w14:paraId="46C3E3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（4）角色基线（截图 #39 坐实）</w:t>
            </w:r>
          </w:p>
          <w:p w14:paraId="783867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集团管理员（内置，2 名用户，数据范围＝全集团，集控 16 / 集采 34 / 系统 19）</w:t>
            </w:r>
          </w:p>
          <w:p w14:paraId="6007913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园区管理员（内置，6 名用户，数据范围＝所属园区，集控 16 / 集采 36 / 系统 3）</w:t>
            </w:r>
          </w:p>
          <w:p w14:paraId="1E9DA9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经营单位（自定义，23 名用户，数据范围＝本经营单位，集控 7 / 集采 4 / 系统 3）</w:t>
            </w:r>
          </w:p>
          <w:p w14:paraId="4928C20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节能专员（自定义，11 名用户，数据范围＝所属园区，集控 3 / 集采 34 / 系统 0）</w:t>
            </w:r>
          </w:p>
          <w:p w14:paraId="6BA386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审计员（内置，1 名用户，数据范围＝全集团（只读），集控 4 / 集采 4 / 系统 3）</w:t>
            </w:r>
          </w:p>
          <w:p w14:paraId="248046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精度与容差：计数为整数；完整度按百分比保留 1 位小数，无容差。</w:t>
            </w:r>
          </w:p>
        </w:tc>
      </w:tr>
    </w:tbl>
    <w:p w14:paraId="0ACCF0FD">
      <w:pPr>
        <w:pStyle w:val="19"/>
        <w:bidi w:val="0"/>
        <w:rPr>
          <w:b w:val="0"/>
          <w:bCs w:val="0"/>
        </w:rPr>
      </w:pPr>
    </w:p>
    <w:p w14:paraId="1CFB1434">
      <w:pPr>
        <w:pStyle w:val="6"/>
        <w:numPr>
          <w:ilvl w:val="0"/>
          <w:numId w:val="20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FDA2E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（1）角色卡片展示（5 要素）：角色名称 ＋ 类型标签（内置 / 自定义，配色区分）＋ 关联用户数 ＋ 数据范围 ＋ 三平台授权数（集控 / 集采 / 系统）。</w:t>
            </w:r>
          </w:p>
          <w:p w14:paraId="229DFF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（2）权限树展示：三平台页签；每个一级菜单后显示「已授权 / 总数」（如 3/3、5/5、7/7）；叶节点为 checkbox；已勾选项高亮呈现。</w:t>
            </w:r>
          </w:p>
          <w:p w14:paraId="4D84C3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（3）完整度口径：右上「已授权 N / M 项功能点」中，N 为该角色在**当前选中平台**已勾选项数，M 为该平台功能点总数；切换页签时 N/M 同步刷新。</w:t>
            </w:r>
          </w:p>
          <w:p w14:paraId="50CB31B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（4）排序规则：角色列表按「内置优先、自定义在后」分组，组内按关联用户数降序。</w:t>
            </w:r>
          </w:p>
          <w:p w14:paraId="604006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（5）状态口径：内置角色删除按钮置灰；自定义角色关联用户数 ＞ 0 时删除按钮置灰，悬浮提示「存在关联用户，不可删除」。</w:t>
            </w:r>
          </w:p>
          <w:p w14:paraId="181949F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（6）权限可见性口径：审计员数据范围标注「（只读）」，其卡片数据范围行以灰色呈现，提示该角色全域只读。</w:t>
            </w:r>
          </w:p>
          <w:p w14:paraId="2A5E32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（7）基准来源：五角色基线、三平台功能点总数（36 / 36 / 11）取自原型截图 #39。</w:t>
            </w:r>
          </w:p>
        </w:tc>
      </w:tr>
    </w:tbl>
    <w:p w14:paraId="22EAD34F">
      <w:pPr>
        <w:pStyle w:val="19"/>
        <w:bidi w:val="0"/>
        <w:rPr>
          <w:b w:val="0"/>
          <w:bCs w:val="0"/>
        </w:rPr>
      </w:pPr>
    </w:p>
    <w:p w14:paraId="65C69FB1">
      <w:pPr>
        <w:pStyle w:val="6"/>
        <w:numPr>
          <w:ilvl w:val="0"/>
          <w:numId w:val="20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8820DA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（1）角色重名阻断：角色名称已存在时，阻断保存，返回 E_SYS_ROLE_NAME_DUP。</w:t>
            </w:r>
          </w:p>
          <w:p w14:paraId="6E4BE3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（2）内置角色删除阻断：内置角色（集团管理员 / 园区管理员 / 审计员）不可删除，返回 E_SYS_ROLE_BUILTIN_DELETE_DENIED；亦不可改名。</w:t>
            </w:r>
          </w:p>
          <w:p w14:paraId="750D81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（3）关联用户删除阻断：角色下存在关联用户时，删除阻断并列出用户数，返回 E_SYS_ROLE_IN_USE_DELETE_DENIED。</w:t>
            </w:r>
          </w:p>
          <w:p w14:paraId="14C55D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（4）权限扩大拦截：授予的功能点或数据范围超出操作者自身范围时，过滤超范围项并提示，返回 E_SYS_ROLE_PERM_EXCEED。</w:t>
            </w:r>
          </w:p>
          <w:p w14:paraId="649441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（5）保存授权即时生效：保存后，已登录用户的权限在下一次接口调用时按新规则判定（无需重新登录）；被收回权限的用户下一次请求即返回 403。</w:t>
            </w:r>
          </w:p>
          <w:p w14:paraId="610430B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（6）空权限角色兜底：角色权限集为空时允许保存，但角色卡片标注「未授权」，其下用户登录后仅可见只读首页，并弹提示。</w:t>
            </w:r>
          </w:p>
          <w:p w14:paraId="621BD2E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（7）删除角色联动：自定义角色被删除时，其下用户的「角色」字段置空，账号降级为「无权限」状态（不自动删除账号）。</w:t>
            </w:r>
          </w:p>
          <w:p w14:paraId="43755B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（8）越权配置拦截：非 P4 角色访问本模块任意页面或接口时，返回 HTTP 403，触发 E_AUTH_RBAC_FORBIDDEN。</w:t>
            </w:r>
          </w:p>
        </w:tc>
      </w:tr>
    </w:tbl>
    <w:p w14:paraId="7438B370">
      <w:pPr>
        <w:rPr>
          <w:b w:val="0"/>
          <w:bCs w:val="0"/>
        </w:rPr>
      </w:pPr>
    </w:p>
    <w:p w14:paraId="18B81F11">
      <w:pPr>
        <w:pStyle w:val="6"/>
        <w:numPr>
          <w:ilvl w:val="0"/>
          <w:numId w:val="20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EE61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角色与权限配置</w:t>
            </w:r>
          </w:p>
          <w:p w14:paraId="25957A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新增自定义角色</w:t>
            </w:r>
          </w:p>
          <w:p w14:paraId="38C698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角色与权限</w:t>
            </w:r>
          </w:p>
          <w:p w14:paraId="4C98FF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点击【新增角色】，填写角色名称＝「碳核算专员」、数据范围＝「本经营单位」、职责说明后保存</w:t>
            </w:r>
          </w:p>
          <w:p w14:paraId="68B887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左侧角色列表新增「碳核算专员」卡片</w:t>
            </w:r>
          </w:p>
          <w:p w14:paraId="443C6F9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卡片类型显示为「自定义」，关联用户数显示为「0 名用户」，数据范围显示为「本经营单位」</w:t>
            </w:r>
          </w:p>
          <w:p w14:paraId="7A6B75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保存授权后权限即刻生效</w:t>
            </w:r>
          </w:p>
          <w:p w14:paraId="5AF4B8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角色「节能专员」当前在集采平台已授权 34 项功能点</w:t>
            </w:r>
          </w:p>
          <w:p w14:paraId="3843DC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取消勾选「碳关税模拟」后点击【保存授权】</w:t>
            </w:r>
          </w:p>
          <w:p w14:paraId="17072B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提示保存成功，已授权数由 34 变为 33</w:t>
            </w:r>
          </w:p>
          <w:p w14:paraId="78B5F6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该角色下已登录用户下次请求访问「碳关税模拟」时返回 HTTP 403</w:t>
            </w:r>
          </w:p>
          <w:p w14:paraId="3CAD31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内置角色不可删除</w:t>
            </w:r>
          </w:p>
          <w:p w14:paraId="502F48F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角色「集团管理员」类型为「内置」</w:t>
            </w:r>
          </w:p>
          <w:p w14:paraId="1FC8A2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尝试删除该角色</w:t>
            </w:r>
          </w:p>
          <w:p w14:paraId="71D9AD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系统阻断并提示「内置角色不可删除」</w:t>
            </w:r>
          </w:p>
          <w:p w14:paraId="2EBCDA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E_SYS_ROLE_BUILTIN_DELETE_DENIED</w:t>
            </w:r>
          </w:p>
          <w:p w14:paraId="12FEC5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存在关联用户的角色不可删除</w:t>
            </w:r>
          </w:p>
          <w:p w14:paraId="237DA3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角色「经营单位」关联 23 名用户</w:t>
            </w:r>
          </w:p>
          <w:p w14:paraId="1A57CC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尝试删除该角色</w:t>
            </w:r>
          </w:p>
          <w:p w14:paraId="7D6CEA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系统阻断并提示「存在关联用户，不可删除」</w:t>
            </w:r>
          </w:p>
          <w:p w14:paraId="5DFBED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E_SYS_ROLE_IN_USE_DELETE_DENIED</w:t>
            </w:r>
          </w:p>
          <w:p w14:paraId="1C4E40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权限不可扩大</w:t>
            </w:r>
          </w:p>
          <w:p w14:paraId="68F5EF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操作者自身仅具备「零碳园区集控中心」平台权限</w:t>
            </w:r>
          </w:p>
          <w:p w14:paraId="15F6D6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为角色勾选「系统管理平台」下的功能点并保存</w:t>
            </w:r>
          </w:p>
          <w:p w14:paraId="507ADE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系统过滤超范围功能点并提示</w:t>
            </w:r>
          </w:p>
          <w:p w14:paraId="25ABD0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E_SYS_ROLE_PERM_EXCEED，超范围功能点未被授权</w:t>
            </w:r>
          </w:p>
          <w:p w14:paraId="119B33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三平台页签切换正确加载权限树</w:t>
            </w:r>
          </w:p>
          <w:p w14:paraId="372CBD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打开角色「集团管理员」的权限配置</w:t>
            </w:r>
          </w:p>
          <w:p w14:paraId="1599FF7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点击「系统管理平台」页签</w:t>
            </w:r>
          </w:p>
          <w:p w14:paraId="1B086A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权限树切换为系统管理平台的功能点结构</w:t>
            </w:r>
          </w:p>
          <w:p w14:paraId="39FCCE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已授权数显示为「19 / 19」</w:t>
            </w:r>
          </w:p>
        </w:tc>
      </w:tr>
    </w:tbl>
    <w:p w14:paraId="73F41C1B">
      <w:pPr>
        <w:rPr>
          <w:rFonts w:hint="default"/>
          <w:b w:val="0"/>
          <w:bCs w:val="0"/>
          <w:lang w:val="en-US" w:eastAsia="zh-CN"/>
        </w:rPr>
      </w:pPr>
    </w:p>
    <w:p w14:paraId="6B74F9DF">
      <w:pPr>
        <w:pStyle w:val="5"/>
        <w:numPr>
          <w:ilvl w:val="0"/>
          <w:numId w:val="200"/>
        </w:numPr>
        <w:ind w:left="0" w:leftChars="0" w:firstLine="0" w:firstLineChars="0"/>
        <w:outlineLvl w:val="1"/>
        <w:rPr>
          <w:rFonts w:hint="default" w:cs="Times New Roman"/>
          <w:b w:val="0"/>
          <w:bCs w:val="0"/>
          <w:sz w:val="30"/>
          <w:szCs w:val="24"/>
          <w:lang w:val="en-US" w:eastAsia="zh-CN"/>
        </w:rPr>
      </w:pPr>
      <w:bookmarkStart w:id="67" w:name="_Toc27816"/>
      <w:r>
        <w:rPr>
          <w:rFonts w:hint="eastAsia" w:cs="Times New Roman"/>
          <w:b w:val="0"/>
          <w:bCs w:val="0"/>
          <w:sz w:val="30"/>
          <w:szCs w:val="24"/>
          <w:lang w:val="en-US" w:eastAsia="zh-CN"/>
        </w:rPr>
        <w:t xml:space="preserve">菜单与功能</w:t>
      </w:r>
      <w:bookmarkEnd w:id="67"/>
    </w:p>
    <w:p w14:paraId="106F0706">
      <w:pPr>
        <w:rPr>
          <w:b w:val="0"/>
          <w:bCs w:val="0"/>
        </w:rPr>
      </w:pPr>
      <w:r>
        <w:drawing>
          <wp:inline distT="0" distB="0" distL="114300" distR="114300">
            <wp:extent cx="5900420" cy="2925445"/>
            <wp:effectExtent l="0" t="0" r="5080" b="8255"/>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98"/>
                    <a:stretch>
                      <a:fillRect/>
                    </a:stretch>
                  </pic:blipFill>
                  <pic:spPr>
                    <a:xfrm>
                      <a:off x="0" y="0"/>
                      <a:ext cx="5900420" cy="2925445"/>
                    </a:xfrm>
                    <a:prstGeom prst="rect">
                      <a:avLst/>
                    </a:prstGeom>
                    <a:noFill/>
                    <a:ln>
                      <a:noFill/>
                    </a:ln>
                  </pic:spPr>
                </pic:pic>
              </a:graphicData>
            </a:graphic>
          </wp:inline>
        </w:drawing>
      </w:r>
    </w:p>
    <w:p w14:paraId="6496EEE2">
      <w:pPr>
        <w:pStyle w:val="6"/>
        <w:numPr>
          <w:ilvl w:val="0"/>
          <w:numId w:val="20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7DB1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权限管控模块的底层功能资源维护中心，统一管理零碳园区集控中心与产品碳足迹集采中心两大业务系统的菜单结构与按钮级功能点，维护菜单层级、路由路径、排序与启用状态等元数据，为角色授权提供最小权限颗粒，支撑系统细粒度操作权限控制，是角色权限配置的前置基础依赖。</w:t>
            </w:r>
          </w:p>
          <w:p w14:paraId="318F99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系统管理员（全量菜单新增、菜单信息维护、按钮级功能点配置管理）。</w:t>
            </w:r>
          </w:p>
          <w:p w14:paraId="2D078B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页面路由：/system/manage/menu（左侧导航：系统管理 › 权限管控 › 菜单与功能）。</w:t>
            </w:r>
          </w:p>
          <w:p w14:paraId="1DE1B5E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上游依赖：无（本模块定义功能资源全集，是全平台最底层资源字典）。</w:t>
            </w:r>
          </w:p>
          <w:p w14:paraId="562922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下游输出：「角色与权限」的可授权功能点全集与权限树结构；全平台侧边导航与页面路由挂载。</w:t>
            </w:r>
          </w:p>
          <w:p w14:paraId="186E93E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PM）全量可写；其余角色不可访问本模块（菜单与功能为系统级资源，不向业务角色开放）。</w:t>
            </w:r>
          </w:p>
        </w:tc>
      </w:tr>
    </w:tbl>
    <w:p w14:paraId="024AE209">
      <w:pPr>
        <w:rPr>
          <w:b w:val="0"/>
          <w:bCs w:val="0"/>
        </w:rPr>
      </w:pPr>
    </w:p>
    <w:p w14:paraId="085449DE">
      <w:pPr>
        <w:pStyle w:val="6"/>
        <w:numPr>
          <w:ilvl w:val="0"/>
          <w:numId w:val="20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9BF1802">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2D52FAC">
            <w:pPr>
              <w:pStyle w:val="19"/>
              <w:bidi w:val="0"/>
              <w:ind w:left="0" w:leftChars="0" w:firstLine="0" w:firstLineChars="0"/>
            </w:pPr>
            <w:r>
              <w:rPr>
                <w:b/>
                <w:bCs/>
              </w:rPr>
              <w:t>业务场景</w:t>
            </w:r>
            <w:r>
              <w:t xml:space="preserve">：面向系统管理员统一维护两大业务中心菜单体系，管理菜单层级、路由地址、功能页面与启用状态，维护零碳园区集控中心、产品碳足迹集采中心全部菜单资源，为角色权限分配提供底层菜单与功能点基础，支撑指挥大厅大屏、集控业务页面的权限管控。 </w:t>
            </w:r>
          </w:p>
          <w:p w14:paraId="195C2682">
            <w:pPr>
              <w:pStyle w:val="19"/>
              <w:bidi w:val="0"/>
              <w:ind w:left="0" w:leftChars="0" w:firstLine="0" w:firstLineChars="0"/>
            </w:pPr>
            <w:r>
              <w:rPr>
                <w:b/>
                <w:bCs/>
              </w:rPr>
              <w:t>用户故事：</w:t>
            </w:r>
            <w:r>
              <w:t xml:space="preserve"> </w:t>
            </w:r>
          </w:p>
          <w:p w14:paraId="29FE54A0">
            <w:pPr>
              <w:pStyle w:val="19"/>
              <w:bidi w:val="0"/>
            </w:pPr>
            <w:r>
              <w:t xml:space="preserve">As a 系统管理员 (Persona PM)， </w:t>
            </w:r>
          </w:p>
          <w:p w14:paraId="70AB4103">
            <w:pPr>
              <w:pStyle w:val="19"/>
              <w:bidi w:val="0"/>
              <w:rPr>
                <w:rFonts w:hint="eastAsia"/>
                <w:lang w:eastAsia="zh-CN"/>
              </w:rPr>
            </w:pPr>
            <w:r>
              <w:t>I want 统一维护两大业务中心菜单层级、路由信息、页面功能点，支持新增子页面、编辑菜单信息、启停菜单状态</w:t>
            </w:r>
            <w:r>
              <w:rPr>
                <w:rFonts w:hint="eastAsia"/>
                <w:lang w:eastAsia="zh-CN"/>
              </w:rPr>
              <w:t>。</w:t>
            </w:r>
          </w:p>
          <w:p w14:paraId="5FA322D7">
            <w:pPr>
              <w:pStyle w:val="19"/>
              <w:bidi w:val="0"/>
            </w:pPr>
            <w:r>
              <w:t>So that 我能够为平台角色权限配置提供标准化菜单资源底座，精准控制不同角色可访问的业务页面，保障集控大屏、碳足迹业务系统访问权限可控。</w:t>
            </w:r>
          </w:p>
        </w:tc>
      </w:tr>
    </w:tbl>
    <w:p w14:paraId="3A160B25">
      <w:pPr>
        <w:rPr>
          <w:b w:val="0"/>
          <w:bCs w:val="0"/>
        </w:rPr>
      </w:pPr>
    </w:p>
    <w:p w14:paraId="00DEE0F4">
      <w:pPr>
        <w:pStyle w:val="6"/>
        <w:numPr>
          <w:ilvl w:val="0"/>
          <w:numId w:val="20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C04F1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页面布局：顶部两大业务中心概览卡片 ＋ 条件查询区 ＋ 菜单明细表（右上角为操作按钮）。</w:t>
            </w:r>
          </w:p>
          <w:p w14:paraId="3F4AF0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（1）业务中心概览卡片：并列展示「零碳园区集控中心（集控）」与「产品碳足迹集采中心（集采）」，各显示主模块数与功能页面数。</w:t>
            </w:r>
          </w:p>
          <w:p w14:paraId="36CBAE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（2）条件查询：支持按「菜单名称或路由」关键字、菜单层级、状态筛选；点【查询】按条件过滤，点【重置】清空条件。</w:t>
            </w:r>
          </w:p>
          <w:p w14:paraId="27A7EB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（3）新增菜单：维护菜单 / 功能的所属业务中心、层级、路由路径、排序与状态。</w:t>
            </w:r>
          </w:p>
          <w:p w14:paraId="772C36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（4）加子页【加子页】：在选中一级主导航行上点击【加子页】，新增其下级页面（二级），所属业务中心自动继承父级。</w:t>
            </w:r>
          </w:p>
          <w:p w14:paraId="791A343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（5）编辑【编辑】：打开编辑窗口，修改菜单名称、路由路径、排序、状态。</w:t>
            </w:r>
          </w:p>
          <w:p w14:paraId="7F93BF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（6）删除【删除】：打开确认弹窗，确认后删除；已被角色授权引用的菜单删除前须二次确认并列出引用角色数。</w:t>
            </w:r>
          </w:p>
          <w:p w14:paraId="3D7553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（7）全部展开 / 全部折叠：控制菜单树一 / 二级的展开状态。</w:t>
            </w:r>
          </w:p>
          <w:p w14:paraId="64250B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（8）已收录计数：标题右侧显示「已收录：N」，N 为当前查询条件下的菜单条目总数。</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A1FF27">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1840A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5C010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E069A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F354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B207F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业务中心卡片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1EEC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C3D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50F4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列表过滤为该业务中心菜单</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DC1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7A43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88A58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BA1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E617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3009E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BAD0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【加子页】</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7DAC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打开新增子页弹窗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3459E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当前行为一级主导航</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3320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弹窗打开，业务中心继承</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EEFF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提示「仅一级导航可加子页」</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1599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A0AB2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10D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1BBE4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回填可编辑项</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3CD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EDAC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BAD8B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打开确认弹窗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E68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未被角色授权 或 二次确认通过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C5C1A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删除该菜单行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E933E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列出引用角色数并二次确认</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5EEE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【全部展开】/【全部折叠】</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B75E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7040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0D1C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全部二级行展开 / 收起</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F652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bl>
    <w:p w14:paraId="5E296562">
      <w:pPr>
        <w:rPr>
          <w:b w:val="0"/>
          <w:bCs w:val="0"/>
        </w:rPr>
      </w:pPr>
    </w:p>
    <w:p w14:paraId="7E6EFEB3">
      <w:pPr>
        <w:pStyle w:val="6"/>
        <w:numPr>
          <w:ilvl w:val="0"/>
          <w:numId w:val="20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B0927B">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C53F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40F4B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12622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F9CE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8ACE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E854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所属业务中心</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6F6A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D6842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6221B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取值｛零碳集控 / 产品碳足迹集采中心｝；决定菜单挂载的业务系统；子页默认继承父级</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471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9AE3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菜单与功能层级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57D0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树结构</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2F6E1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层</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0238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两级：一级主导航（显示「一级主导 N」子项计数）→ 二级页面；最大深度 2</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E69B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0EC8B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路由路径(URL)</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B43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B4AA5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BEA6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必填；须以「/」开头；同业务中心内唯一；如 /zero-carbon/monitor/indicator</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293D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4E76D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排序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E13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整数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8351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序号</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7DB7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必填；同级内唯一；升序排列；范围 1~99</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E1E70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EAD9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362A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5E06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13B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停用｝；停用后导航即时隐藏，已授权记录保留但访问返回 404</w:t>
            </w:r>
          </w:p>
        </w:tc>
      </w:tr>
    </w:tbl>
    <w:p w14:paraId="67545FC1">
      <w:pPr>
        <w:pStyle w:val="19"/>
        <w:bidi w:val="0"/>
        <w:rPr>
          <w:b w:val="0"/>
          <w:bCs w:val="0"/>
        </w:rPr>
      </w:pPr>
    </w:p>
    <w:p w14:paraId="1904C3DE">
      <w:pPr>
        <w:pStyle w:val="6"/>
        <w:numPr>
          <w:ilvl w:val="0"/>
          <w:numId w:val="20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BD2FD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（1）路由路径命名规范</w:t>
            </w:r>
          </w:p>
          <w:p w14:paraId="6EA71A4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集控：/zero-carbon/{一级模块}/{二级页面}</w:t>
            </w:r>
          </w:p>
          <w:p w14:paraId="618139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示例：/zero-carbon/screen、/zero-carbon/monitor、/zero-carbon/monitor/indicator、</w:t>
            </w:r>
          </w:p>
          <w:p w14:paraId="7B1481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/zero-carbon/monitor/online/usage、/zero-carbon/monitor/online/equipment、</w:t>
            </w:r>
          </w:p>
          <w:p w14:paraId="3C2096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/zero-carbon/monitor/online/microgrid、/zero-carbon/monitor/carbon-emission、</w:t>
            </w:r>
          </w:p>
          <w:p w14:paraId="46D373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/zero-carbon/monitor/custom、/zero-carbon/energy、/zero-carbon/energy/structure、</w:t>
            </w:r>
          </w:p>
          <w:p w14:paraId="3A37B0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/zero-carbon/energy/unit-product、/zero-carbon/energy/unit-profit、/screen/control-center</w:t>
            </w:r>
          </w:p>
          <w:p w14:paraId="3A5C2E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约束：同业务中心内路由唯一；层级深度 = 路径中以「/」分隔的非空前缀数。</w:t>
            </w:r>
          </w:p>
          <w:p w14:paraId="5C5531A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（2）层级与子项计数</w:t>
            </w:r>
          </w:p>
          <w:p w14:paraId="11F609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一级主导航行显示「一级主导 N」，N = 其直接子页数。示例：集控中心大屏（一级主导 2）、集控监测（一级主导 6）、基础能效分析（一级主导 4）。</w:t>
            </w:r>
          </w:p>
          <w:p w14:paraId="79905F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（3）排序算法</w:t>
            </w:r>
          </w:p>
          <w:p w14:paraId="77FA53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展示序 = 排序键 (业务中心序, 一级 Sort 升序, 二级 Sort 升序) 的三级字典序。</w:t>
            </w:r>
          </w:p>
          <w:p w14:paraId="731EC2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（4）已收录计数</w:t>
            </w:r>
          </w:p>
          <w:p w14:paraId="108580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Count = 当前查询条件下返回的菜单行数（含一级与二级）。</w:t>
            </w:r>
          </w:p>
          <w:p w14:paraId="2F3705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（5）业务中心规模基线（截图 #40 坐实）</w:t>
            </w:r>
          </w:p>
          <w:p w14:paraId="1B5559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零碳园区集控中心：6 主模块 / 21 个功能页面；</w:t>
            </w:r>
          </w:p>
          <w:p w14:paraId="139B47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产品碳足迹集采中心：7 主模块 / 17 个功能页面；</w:t>
            </w:r>
          </w:p>
          <w:p w14:paraId="6F5F81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当前已收录 27 条。</w:t>
            </w:r>
          </w:p>
          <w:p w14:paraId="57BF2B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精度与容差：排序与计数为整数，无容差。</w:t>
            </w:r>
          </w:p>
        </w:tc>
      </w:tr>
    </w:tbl>
    <w:p w14:paraId="210607AE">
      <w:pPr>
        <w:pStyle w:val="19"/>
        <w:bidi w:val="0"/>
        <w:rPr>
          <w:b w:val="0"/>
          <w:bCs w:val="0"/>
        </w:rPr>
      </w:pPr>
    </w:p>
    <w:p w14:paraId="188A790D">
      <w:pPr>
        <w:pStyle w:val="6"/>
        <w:numPr>
          <w:ilvl w:val="0"/>
          <w:numId w:val="20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B1668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列）：序号、所属业务中心、菜单与功能层级、路由路径(URL)、排序、状态、管理操作。</w:t>
            </w:r>
          </w:p>
          <w:p w14:paraId="3A748B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（2）层级呈现：一级主导航行显示展开箭头 ＋ 名称 ＋ 「一级主导 N」子项计数；二级页面行缩进显示并标注「（属于 XXX）」。</w:t>
            </w:r>
          </w:p>
          <w:p w14:paraId="1C0331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（3）业务中心标签：集控 / 集采以不同底色标签区分。</w:t>
            </w:r>
          </w:p>
          <w:p w14:paraId="6414A2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（4）状态展示：启用（绿标签）/ 停用（灰标签）。</w:t>
            </w:r>
          </w:p>
          <w:p w14:paraId="6C9BCC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（5）排序规则：默认按（业务中心 → 一级 Sort → 二级 Sort）升序；支持点表头切换。</w:t>
            </w:r>
          </w:p>
          <w:p w14:paraId="18BFF1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（6）计数口径：「已收录：N」随筛选条件实时变化；两卡片的主模块数与页面数为静态基线（6/21、7/17）。</w:t>
            </w:r>
          </w:p>
          <w:p w14:paraId="715E57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（7）基准来源：路由路径、层级计数、卡片规模数均取自原型截图 #40。</w:t>
            </w:r>
          </w:p>
        </w:tc>
      </w:tr>
    </w:tbl>
    <w:p w14:paraId="21D17FD7">
      <w:pPr>
        <w:pStyle w:val="19"/>
        <w:bidi w:val="0"/>
        <w:rPr>
          <w:b w:val="0"/>
          <w:bCs w:val="0"/>
        </w:rPr>
      </w:pPr>
    </w:p>
    <w:p w14:paraId="573ABBE3">
      <w:pPr>
        <w:pStyle w:val="6"/>
        <w:numPr>
          <w:ilvl w:val="0"/>
          <w:numId w:val="20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79DF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（1）路由重复阻断：同业务中心内路由路径重复时，保存阻断，返回 E_SYS_MENU_ROUTE_DUP。</w:t>
            </w:r>
          </w:p>
          <w:p w14:paraId="5FFFD8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（2）路由格式拦截：路由未以「/」开头或含非法字符（空格、中文、连续双斜杠）时，阻断，返回 E_SYS_MENU_ROUTE_INVALID。</w:t>
            </w:r>
          </w:p>
          <w:p w14:paraId="3F7D32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（3）层级越界阻断：为二级页面再建子页（超过两级）时，阻断并提示「菜单最多两级」，返回 E_SYS_MENU_LEVEL_LIMIT。</w:t>
            </w:r>
          </w:p>
          <w:p w14:paraId="3B6F4A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（4）删除授权引用菜单告警：菜单已被任一角色授权时，删除前须二次确认，确认弹窗中列出引用该菜单的角色数量，返回告警码 E_SYS_MENU_IN_USE_DELETE_WARN（告警级，强确认后可删）。</w:t>
            </w:r>
          </w:p>
          <w:p w14:paraId="175993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（5）停用联动：菜单置为「停用」后，导航即时隐藏该项；已登录用户直接访问该路由时返回 404 并提示「功能已停用」。</w:t>
            </w:r>
          </w:p>
          <w:p w14:paraId="1E7161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（6）排序冲突：同级排序值重复时，阻断保存，返回 E_SYS_MENU_SORT_DUP。</w:t>
            </w:r>
          </w:p>
          <w:p w14:paraId="21ECEE5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（7）级联删除保护：删除一级主导航时，其下二级页面一并删除，须在确认弹窗中显式列出将被删除的子页清单。</w:t>
            </w:r>
          </w:p>
          <w:p w14:paraId="2E07B0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（8）越权访问拦截：非 P4 角色访问本模块任意页面或接口时，返回 HTTP 403，触发 E_AUTH_RBAC_FORBIDDEN。</w:t>
            </w:r>
          </w:p>
        </w:tc>
      </w:tr>
    </w:tbl>
    <w:p w14:paraId="65BC8FF9">
      <w:pPr>
        <w:rPr>
          <w:b w:val="0"/>
          <w:bCs w:val="0"/>
        </w:rPr>
      </w:pPr>
    </w:p>
    <w:p w14:paraId="06422970">
      <w:pPr>
        <w:pStyle w:val="6"/>
        <w:numPr>
          <w:ilvl w:val="0"/>
          <w:numId w:val="20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2EB4B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菜单与功能资源维护</w:t>
            </w:r>
          </w:p>
          <w:p w14:paraId="6F0E59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为一级主导航新增子页面</w:t>
            </w:r>
          </w:p>
          <w:p w14:paraId="48E4FE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系统管理员已登录并进入 系统管理 › 权限管控 › 菜单与功能</w:t>
            </w:r>
          </w:p>
          <w:p w14:paraId="12B55E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在「集控监测」行点击【加子页】，填写路由＝「/zero-carbon/monitor/online/usage」、排序＝1、状态＝启用并保存</w:t>
            </w:r>
          </w:p>
          <w:p w14:paraId="48E981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该一级导航下新增二级页面行，并标注「（属于 集控监测）」</w:t>
            </w:r>
          </w:p>
          <w:p w14:paraId="70293DE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「集控监测」行的子项计数由 N 变为 N+1</w:t>
            </w:r>
          </w:p>
          <w:p w14:paraId="7223D61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路由路径重复被阻断</w:t>
            </w:r>
          </w:p>
          <w:p w14:paraId="147425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已存在菜单路由「/zero-carbon/screen」</w:t>
            </w:r>
          </w:p>
          <w:p w14:paraId="339F994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新增菜单并填写路由＝「/zero-carbon/screen」后保存</w:t>
            </w:r>
          </w:p>
          <w:p w14:paraId="6D18F4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7317D3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E_SYS_MENU_ROUTE_DUP</w:t>
            </w:r>
          </w:p>
          <w:p w14:paraId="3DCB62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路由格式非法被拦截</w:t>
            </w:r>
          </w:p>
          <w:p w14:paraId="6FD118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新增菜单并填写路由＝「zero-carbon screen」（不以 / 开头且含空格）后保存</w:t>
            </w:r>
          </w:p>
          <w:p w14:paraId="7CCC0AE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系统阻断保存并提示路由格式非法</w:t>
            </w:r>
          </w:p>
          <w:p w14:paraId="7958CC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E_SYS_MENU_ROUTE_INVALID</w:t>
            </w:r>
          </w:p>
          <w:p w14:paraId="701017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菜单层级最多两级</w:t>
            </w:r>
          </w:p>
          <w:p w14:paraId="74C23A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选中一个二级页面行</w:t>
            </w:r>
          </w:p>
          <w:p w14:paraId="2C4306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点击【加子页】</w:t>
            </w:r>
          </w:p>
          <w:p w14:paraId="16DBCF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系统阻断并提示「菜单最多两级」</w:t>
            </w:r>
          </w:p>
          <w:p w14:paraId="5B819B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E_SYS_MENU_LEVEL_LIMIT</w:t>
            </w:r>
          </w:p>
          <w:p w14:paraId="45D53F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停用菜单后导航立即隐藏</w:t>
            </w:r>
          </w:p>
          <w:p w14:paraId="59A25A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菜单「自定义指标监测」路由为 /zero-carbon/monitor/custom 且状态为「启用」</w:t>
            </w:r>
          </w:p>
          <w:p w14:paraId="6F13FD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将其状态改为「停用」并保存</w:t>
            </w:r>
          </w:p>
          <w:p w14:paraId="733CCA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导航中该菜单立即隐藏</w:t>
            </w:r>
          </w:p>
          <w:p w14:paraId="4AB3F1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直接访问 /zero-carbon/monitor/custom 返回 404</w:t>
            </w:r>
          </w:p>
          <w:p w14:paraId="102EF6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删除已被授权的菜单需二次确认</w:t>
            </w:r>
          </w:p>
          <w:p w14:paraId="77ECE0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菜单「碳关税模拟」已被角色「集团管理员」授权</w:t>
            </w:r>
          </w:p>
          <w:p w14:paraId="59E7E10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点击该行【删除】</w:t>
            </w:r>
          </w:p>
          <w:p w14:paraId="6FC55D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弹出二次确认并列出引用该菜单的角色数量</w:t>
            </w:r>
          </w:p>
          <w:p w14:paraId="7A314A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取消确认时该菜单不被删除</w:t>
            </w:r>
          </w:p>
          <w:p w14:paraId="49B7A5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全部展开与全部折叠</w:t>
            </w:r>
          </w:p>
          <w:p w14:paraId="1783B6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菜单明细表存在多个一级主导航</w:t>
            </w:r>
          </w:p>
          <w:p w14:paraId="3C8216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点击【全部展开】</w:t>
            </w:r>
          </w:p>
          <w:p w14:paraId="5137F0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全部二级页面行展开显示</w:t>
            </w:r>
          </w:p>
          <w:p w14:paraId="39375B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点击【全部折叠】后全部二级页面行收起</w:t>
            </w:r>
          </w:p>
        </w:tc>
      </w:tr>
    </w:tbl>
    <w:p w14:paraId="603B8581">
      <w:pPr>
        <w:rPr>
          <w:rFonts w:hint="default"/>
          <w:b w:val="0"/>
          <w:bCs w:val="0"/>
          <w:lang w:val="en-US" w:eastAsia="zh-CN"/>
        </w:rPr>
      </w:pPr>
    </w:p>
    <w:p w14:paraId="0F3AF870">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68" w:name="_Toc24546"/>
      <w:r>
        <w:rPr>
          <w:rFonts w:hint="eastAsia" w:ascii="Times New Roman" w:hAnsi="Times New Roman" w:eastAsia="黑体" w:cs="Times New Roman"/>
          <w:b w:val="0"/>
          <w:bCs w:val="0"/>
          <w:sz w:val="30"/>
          <w:szCs w:val="32"/>
          <w:lang w:val="en-US" w:eastAsia="zh-CN"/>
        </w:rPr>
        <w:t>能碳基础因子管理</w:t>
      </w:r>
      <w:bookmarkEnd w:id="68"/>
    </w:p>
    <w:p w14:paraId="3FEC66FF">
      <w:pPr>
        <w:pStyle w:val="19"/>
        <w:bidi w:val="0"/>
        <w:rPr>
          <w:rFonts w:hint="eastAsia" w:eastAsia="宋体"/>
          <w:lang w:eastAsia="zh-CN"/>
        </w:rPr>
      </w:pPr>
      <w:r>
        <w:rPr>
          <w:rFonts w:hint="eastAsia"/>
          <w:lang w:val="en-US" w:eastAsia="zh-CN"/>
          <w:b/>
        </w:rPr>
        <w:t xml:space="preserve">本板块是全平台碳排放核算的基准数据源，向上为集控中心的能耗碳排放统计、集采中心的碳足迹核算提供唯一取数依据。板块按介质与用途划分为三类基准：电力碳排因子（外购电力）、能源活动碳排因子（燃料燃烧、外购热力、制冷剂逸散）、折标煤系数库（能耗折算）。三者在数值口径上相互衔接——同一能源品种的排放因子与折标煤系数须单位一致、口径同源。</w:t>
      </w:r>
    </w:p>
    <w:p w14:paraId="33F89843">
      <w:pPr>
        <w:pStyle w:val="19"/>
        <w:bidi w:val="0"/>
        <w:rPr>
          <w:rFonts w:hint="eastAsia" w:eastAsia="宋体"/>
          <w:lang w:eastAsia="zh-CN"/>
        </w:rPr>
      </w:pPr>
      <w:r>
        <w:rPr>
          <w:rFonts w:hint="eastAsia"/>
          <w:lang w:val="en-US" w:eastAsia="zh-CN"/>
        </w:rPr>
        <w:t xml:space="preserve">边界声明：本板块只管理因子的版本与数值，不产生任何核算结果。因子一经版本发布即为受控数据，业务模块只能只读引用；任一因子升版，即触发下游核算视图按新版本重算。国家标准强制受控字段（如 GB/T 2589-2020 的电力 0.1229、天然气 1.2143）禁止在本模块内随意修改，变更须走标准换版流程。</w:t>
      </w:r>
    </w:p>
    <w:p w14:paraId="2B4EEDBC">
      <w:pPr>
        <w:pStyle w:val="19"/>
        <w:bidi w:val="0"/>
        <w:rPr>
          <w:rFonts w:hint="eastAsia" w:eastAsia="宋体"/>
          <w:lang w:eastAsia="zh-CN"/>
        </w:rPr>
      </w:pPr>
      <w:r>
        <w:rPr>
          <w:rFonts w:hint="eastAsia"/>
          <w:lang w:val="en-US" w:eastAsia="zh-CN"/>
        </w:rPr>
        <w:t xml:space="preserve">输入输出链：外部基准（生态环境部公告 / IPCC 指南 / GB/T 2589 / 股份公司下发）经线下核定后录入本板块 → 发布因子版本 → 第三章碳足迹核算与集控能耗统计只读取数。本板块的权威性由「版本 + 数据来源」双重标识保证：任一核算结论都必须可回溯到具体的（因子品种, 版本, 数据来源）三元组。</w:t>
      </w:r>
    </w:p>
    <w:p w14:paraId="574E3D3C">
      <w:pPr>
        <w:pStyle w:val="5"/>
        <w:numPr>
          <w:ilvl w:val="0"/>
          <w:numId w:val="208"/>
        </w:numPr>
        <w:ind w:left="0" w:leftChars="0" w:firstLine="0" w:firstLineChars="0"/>
        <w:outlineLvl w:val="1"/>
        <w:rPr>
          <w:rFonts w:hint="default" w:cs="Times New Roman"/>
          <w:b w:val="0"/>
          <w:bCs w:val="0"/>
          <w:sz w:val="30"/>
          <w:szCs w:val="24"/>
          <w:lang w:val="en-US" w:eastAsia="zh-CN"/>
        </w:rPr>
      </w:pPr>
      <w:bookmarkStart w:id="69" w:name="_Toc32713"/>
      <w:r>
        <w:rPr>
          <w:rFonts w:hint="eastAsia"/>
          <w:b w:val="0"/>
          <w:bCs w:val="0"/>
          <w:lang w:val="en-US" w:eastAsia="zh-CN"/>
        </w:rPr>
        <w:t xml:space="preserve">电力碳排因子</w:t>
      </w:r>
      <w:bookmarkEnd w:id="69"/>
    </w:p>
    <w:p w14:paraId="6336A148">
      <w:pPr>
        <w:rPr>
          <w:b w:val="0"/>
          <w:bCs w:val="0"/>
        </w:rPr>
      </w:pPr>
      <w:r>
        <w:drawing>
          <wp:inline distT="0" distB="0" distL="114300" distR="114300">
            <wp:extent cx="5900420" cy="2925445"/>
            <wp:effectExtent l="0" t="0" r="5080" b="8255"/>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
                    <pic:cNvPicPr>
                      <a:picLocks noChangeAspect="1"/>
                    </pic:cNvPicPr>
                  </pic:nvPicPr>
                  <pic:blipFill>
                    <a:blip r:embed="rId99"/>
                    <a:stretch>
                      <a:fillRect/>
                    </a:stretch>
                  </pic:blipFill>
                  <pic:spPr>
                    <a:xfrm>
                      <a:off x="0" y="0"/>
                      <a:ext cx="5900420" cy="2925445"/>
                    </a:xfrm>
                    <a:prstGeom prst="rect">
                      <a:avLst/>
                    </a:prstGeom>
                    <a:noFill/>
                    <a:ln>
                      <a:noFill/>
                    </a:ln>
                  </pic:spPr>
                </pic:pic>
              </a:graphicData>
            </a:graphic>
          </wp:inline>
        </w:drawing>
      </w:r>
    </w:p>
    <w:p w14:paraId="3E467464">
      <w:pPr>
        <w:pStyle w:val="6"/>
        <w:numPr>
          <w:ilvl w:val="0"/>
          <w:numId w:val="20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0944E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碳基础因子管理模块下电力类排放因子的维护单元，按省份、区域电网、电力来源三个维度管理电力碳排放因子，支持因子版本管控、新增与信息维护，为园区及产品碳足迹核算、能耗碳排放计算提供标准化电力因子基准数据，是碳核算业务开展的前置基础依赖。</w:t>
            </w:r>
          </w:p>
          <w:p w14:paraId="15A351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系统管理员（全量电力碳排因子新增、因子参数维护、版本管理与数据删除）。</w:t>
            </w:r>
          </w:p>
          <w:p w14:paraId="7D278F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页面路由：/system/factor/electricity（左侧导航：系统管理 › 能碳基础因子管理 › 电力碳排因子）。</w:t>
            </w:r>
          </w:p>
          <w:p w14:paraId="1D6F98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上游依赖：无。外部基准数据来自生态环境部《全国电网平均排放因子》公告、第三方核定机构报告与自备电厂实测数据，线下核定后录入。</w:t>
            </w:r>
          </w:p>
          <w:p w14:paraId="1C0966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下游输出：第三章碳足迹核算的外购电力排放计算取数基准；集控中心电力碳排放统计与大屏降碳成效指标。</w:t>
            </w:r>
          </w:p>
          <w:p w14:paraId="6BFBAC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PM）全量可写；其余角色一律只读（第三章核算模块以只读方式引用，不可就地修改）。</w:t>
            </w:r>
          </w:p>
        </w:tc>
      </w:tr>
    </w:tbl>
    <w:p w14:paraId="2E6EF37F">
      <w:pPr>
        <w:rPr>
          <w:b w:val="0"/>
          <w:bCs w:val="0"/>
        </w:rPr>
      </w:pPr>
    </w:p>
    <w:p w14:paraId="3ABDB8D7">
      <w:pPr>
        <w:pStyle w:val="6"/>
        <w:numPr>
          <w:ilvl w:val="0"/>
          <w:numId w:val="20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D4BCA07">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3079E9E">
            <w:pPr>
              <w:pStyle w:val="19"/>
              <w:bidi w:val="0"/>
              <w:ind w:left="0" w:leftChars="0" w:firstLine="0" w:firstLineChars="0"/>
            </w:pPr>
            <w:r>
              <w:rPr>
                <w:b/>
                <w:bCs/>
                <w:lang w:val="en-US" w:eastAsia="zh-CN"/>
              </w:rPr>
              <w:t>业务场景</w:t>
            </w:r>
            <w:r>
              <w:rPr>
                <w:lang w:val="en-US" w:eastAsia="zh-CN"/>
              </w:rPr>
              <w:t>：面向系统管理员进行能碳核算基础参数维护场景，统一管控全国各区域电网电力碳排放因子版本与参数，支撑全集团电力碳排放精准核算。</w:t>
            </w:r>
          </w:p>
          <w:p w14:paraId="243BACC3">
            <w:pPr>
              <w:pStyle w:val="19"/>
              <w:bidi w:val="0"/>
              <w:ind w:left="0" w:leftChars="0" w:firstLine="0" w:firstLineChars="0"/>
            </w:pPr>
            <w:r>
              <w:rPr>
                <w:b/>
                <w:bCs/>
                <w:lang w:val="en-US" w:eastAsia="zh-CN"/>
              </w:rPr>
              <w:t>用户故事</w:t>
            </w:r>
            <w:r>
              <w:rPr>
                <w:lang w:val="en-US" w:eastAsia="zh-CN"/>
              </w:rPr>
              <w:t>：</w:t>
            </w:r>
          </w:p>
          <w:p w14:paraId="6F5B0893">
            <w:pPr>
              <w:pStyle w:val="19"/>
              <w:bidi w:val="0"/>
            </w:pPr>
            <w:r>
              <w:rPr>
                <w:lang w:val="en-US" w:eastAsia="zh-CN"/>
              </w:rPr>
              <w:t>As a 系统管理员 (Persona PM)，</w:t>
            </w:r>
          </w:p>
          <w:p w14:paraId="50635CF3">
            <w:pPr>
              <w:pStyle w:val="19"/>
              <w:bidi w:val="0"/>
            </w:pPr>
            <w:r>
              <w:rPr>
                <w:lang w:val="en-US" w:eastAsia="zh-CN"/>
              </w:rPr>
              <w:t>I want 统一维护各区域电力碳排因子、更新因子版本、校准核算参数，</w:t>
            </w:r>
          </w:p>
          <w:p w14:paraId="33717475">
            <w:pPr>
              <w:pStyle w:val="19"/>
              <w:bidi w:val="0"/>
            </w:pPr>
            <w:r>
              <w:rPr>
                <w:lang w:val="en-US" w:eastAsia="zh-CN"/>
              </w:rPr>
              <w:t>So that 我能为全集团大屏降碳成效、电力碳排放统计、碳足迹核算提供权威基准数据。</w:t>
            </w:r>
          </w:p>
        </w:tc>
      </w:tr>
    </w:tbl>
    <w:p w14:paraId="7BFA50D8">
      <w:pPr>
        <w:rPr>
          <w:b w:val="0"/>
          <w:bCs w:val="0"/>
        </w:rPr>
      </w:pPr>
    </w:p>
    <w:p w14:paraId="7B1D2A4E">
      <w:pPr>
        <w:pStyle w:val="6"/>
        <w:numPr>
          <w:ilvl w:val="0"/>
          <w:numId w:val="20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F382D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页面布局：上方三视图页签 ＋ 省份筛选 chips ＋ 关键字查询区 ＋ 下方因子列表；右上角【新增因子】。</w:t>
            </w:r>
          </w:p>
          <w:p w14:paraId="5D82A6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（1）三视图切换：点击【分省份】【分区域】【分电力来源】切换列表聚合维度（分省份＝按省份逐行罗列；分区域＝按区域电网聚合；分电力来源＝按电力来源聚合）。</w:t>
            </w:r>
          </w:p>
          <w:p w14:paraId="2A2ACD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（2）省份筛选 chips：点击任一省份 chip（全部 / 北京 / 上海 / 新疆 / 广东 / 天津 / 湖南 / 四川 / 辽宁…）过滤列表；重复点击「全部」复位。</w:t>
            </w:r>
          </w:p>
          <w:p w14:paraId="60CD47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（3）查询【查询】：输入关键字（名称 / 区域 / 来源）后点击查询；点击【重置】清空关键字与 chips。</w:t>
            </w:r>
          </w:p>
          <w:p w14:paraId="3143C5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（4）新增因子【新增因子】：打开新增因子弹窗，填写省份、区域电网、电力来源、因子值、单位、数据来源、版本。</w:t>
            </w:r>
          </w:p>
          <w:p w14:paraId="45A21B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（5）编辑【编辑】：打开编辑窗口，回填因子信息；修改因子值须同步升版本，否则保存阻断。</w:t>
            </w:r>
          </w:p>
          <w:p w14:paraId="44D612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（6）版本【版本】：打开版本记录窗口，展示该因子的历史版本列表（版本号、生效时间、操作人、变更前后值）。</w:t>
            </w:r>
          </w:p>
          <w:p w14:paraId="275369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（7）删除【删除】：打开弹窗，点击取消后关闭弹窗，点击确定后关闭弹窗并删除数据；已被核算报告引用的因子禁止物理删除。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77A2A2">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31BB2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24B2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E5408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FD1C0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B253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三视图页签</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589E9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40A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5ADE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列表按新维度聚合刷新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C3F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CA8B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省份 chips</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0AAD4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E8994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E2DAD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列表过滤为该省份</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D2DD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7856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459A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9C1C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F975B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列表按条件刷新；重置复位全部条件</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742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AF3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D4BA6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899D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10F1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9DC2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EB90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9668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B9CB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（省份, 来源）唯一；因子值 ∈ [0, 1.5]；绿电锁定 0</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56E0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226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DCD45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79A0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212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3B295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1CE2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D4D4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【版本】</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D0D2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C2BD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E68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列出历史版本</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CC1C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无历史时提示「暂无历史版本」</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80CAA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FA0EE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804E6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未被核算报告引用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8DAD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BCA6E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阻断并提示引用报告数</w:t>
            </w:r>
          </w:p>
        </w:tc>
      </w:tr>
    </w:tbl>
    <w:p w14:paraId="70DF6CF0">
      <w:pPr>
        <w:rPr>
          <w:b w:val="0"/>
          <w:bCs w:val="0"/>
        </w:rPr>
      </w:pPr>
    </w:p>
    <w:p w14:paraId="1343C9A7">
      <w:pPr>
        <w:pStyle w:val="6"/>
        <w:numPr>
          <w:ilvl w:val="0"/>
          <w:numId w:val="20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68DB52">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96FA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41A0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B95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B6446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2BCA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67D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省份</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40C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C60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429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必填；29 个省级行政区；与「电力来源」共同构成唯一键</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9C4B3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C762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区域电网</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D02D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9B8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4103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必填；取值｛华北区域电网 / 华东区域电网 / 华中区域电网 / 南方区域电网 / 西北区域电网 / 东北区域电网｝</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40E9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82C9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电力来源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6FC4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C3B9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9DE9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必填；取值｛电网平均 / 光伏发电 / 风力发电 / 水力发电 / 绿电（市场化交易） / 燃煤自备电厂｝</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DD1F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4133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FE7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160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kgCO2e/kWh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8213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必填；≥0；电网平均 0.01~1.00；绿电（市场化交易）固定 0；保留 4 位小数</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C771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BAFA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86D7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E61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2BF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固定为 kgCO2e/kWh；不可修改</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FD5A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186C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895B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251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88B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取值｛国家标准 / 第三方核定 / 行业标准 / 自备电厂实测｝</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55778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7F191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C2FDC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FEB4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D874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必填；国家标准用 vYYYY.N（如 v2024.1）；第三方 / 行业用 vX.Y（如 v1.3）；升版规则见 3.1.5</w:t>
            </w:r>
          </w:p>
        </w:tc>
      </w:tr>
    </w:tbl>
    <w:p w14:paraId="7ECFDB59">
      <w:pPr>
        <w:pStyle w:val="19"/>
        <w:bidi w:val="0"/>
        <w:rPr>
          <w:b w:val="0"/>
          <w:bCs w:val="0"/>
        </w:rPr>
      </w:pPr>
    </w:p>
    <w:p w14:paraId="69B84269">
      <w:pPr>
        <w:pStyle w:val="6"/>
        <w:numPr>
          <w:ilvl w:val="0"/>
          <w:numId w:val="20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1D109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（1）因子唯一键</w:t>
            </w:r>
          </w:p>
          <w:p w14:paraId="6BF174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Uk = （省份, 电力来源）。同一省份下同一电力来源仅允许一条生效记录。</w:t>
            </w:r>
          </w:p>
          <w:p w14:paraId="788A93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（2）电力排放量计算</w:t>
            </w:r>
          </w:p>
          <w:p w14:paraId="5BD0E1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E_elec = Q_elec × EF_elec</w:t>
            </w:r>
          </w:p>
          <w:p w14:paraId="46E972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Q_elec 为外购电量（kWh），EF_elec 为该（省份, 电力来源）对应因子值（kgCO2e/kWh）。</w:t>
            </w:r>
          </w:p>
          <w:p w14:paraId="6557ED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（3）多供应商加权因子</w:t>
            </w:r>
          </w:p>
          <w:p w14:paraId="4EA96A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EF_weighted = Σ(Wⱼ × EFⱼ) / Σ Wⱼ</w:t>
            </w:r>
          </w:p>
          <w:p w14:paraId="1B2005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Wⱼ 为第 j 个供应商的采购电量权重。当 Σ Wⱼ = 0 时，兜底采用国家标准电网平均缺省值，并记录告警 E_CALC_FACTOR_WEIGHT_ZERO。</w:t>
            </w:r>
          </w:p>
          <w:p w14:paraId="300824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（4）版本号生成规则</w:t>
            </w:r>
          </w:p>
          <w:p w14:paraId="7BC558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国家标准来源：v{发布年}.{当年第 N 次修订}，如 v2024.1；</w:t>
            </w:r>
          </w:p>
          <w:p w14:paraId="5C1A46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第三方 / 行业来源：v{主版本}.{次版本}，每次因子值变更次版本 +1，如 v1.0 → v1.1。</w:t>
            </w:r>
          </w:p>
          <w:p w14:paraId="5FC49E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（5）取值示例（截图 #41 坐实）</w:t>
            </w:r>
          </w:p>
          <w:p w14:paraId="541C3D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北京·华北区域电网·电网平均 = 0.5703 kgCO2e/kWh；</w:t>
            </w:r>
          </w:p>
          <w:p w14:paraId="26D3F5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上海·华东·电网平均 = 0.5257；新疆·西北·电网平均 = 0.6127；广东·南方·电网平均 = 0.5271；</w:t>
            </w:r>
          </w:p>
          <w:p w14:paraId="43E1A2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湖南·华中·电网平均 = 0.5988；辽宁·东北·电网平均 = 0.654；</w:t>
            </w:r>
          </w:p>
          <w:p w14:paraId="5FB0EB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北京·华北·光伏发电 = 0.048；新疆·西北·风力发电 = 0.025；四川·华中·水力发电 = 0.011；</w:t>
            </w:r>
          </w:p>
          <w:p w14:paraId="6EA1E8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上海·华东·绿电（市场化交易） = 0；天津·华北·燃煤自备电厂 = 0.832。</w:t>
            </w:r>
          </w:p>
          <w:p w14:paraId="2FC9BE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7996D2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因子值保留 4 位小数；核算结果按 GB/T 24067 保留 4 位有效小数，容差 ±0.0001。</w:t>
            </w:r>
          </w:p>
        </w:tc>
      </w:tr>
    </w:tbl>
    <w:p w14:paraId="1DA0DC20">
      <w:pPr>
        <w:pStyle w:val="19"/>
        <w:bidi w:val="0"/>
        <w:rPr>
          <w:b w:val="0"/>
          <w:bCs w:val="0"/>
        </w:rPr>
      </w:pPr>
    </w:p>
    <w:p w14:paraId="6456EB1C">
      <w:pPr>
        <w:pStyle w:val="6"/>
        <w:numPr>
          <w:ilvl w:val="0"/>
          <w:numId w:val="20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70093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列）：省份、区域电网、电力来源、因子值、单位、数据来源、版本、操作。</w:t>
            </w:r>
          </w:p>
          <w:p w14:paraId="437292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（2）因子值展示：按 4 位小数右对齐；值为 0 时显示「0」并以悬浮提示标注「绿电（市场化交易）计零」。</w:t>
            </w:r>
          </w:p>
          <w:p w14:paraId="1E467F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（3）数据来源标签：以标签区分配色——国家标准 / 行业标准 / 第三方核定 / 自备电厂实测。</w:t>
            </w:r>
          </w:p>
          <w:p w14:paraId="7C1C23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（4）排序规则：默认按省份拼音升序，同省内按电力来源固定序（电网平均 → 光伏发电 → 风力发电 → 水力发电 → 绿电 → 燃煤自备电厂）。</w:t>
            </w:r>
          </w:p>
          <w:p w14:paraId="3666FB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（5）有效性与状态口径：无独立状态字段；以「版本」是否为当前最新基准判定有效性。版本落后于国家标准最新版时，行首显示黄色「待更新」角标，并在顶部提示「有 N 条因子待更新」。</w:t>
            </w:r>
          </w:p>
          <w:p w14:paraId="78B345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（6）统计口径：三视图切换时，顶部计数分别为——分省份视图＝省级记录数；分区域视图＝区域电网数（≤6）；分电力来源视图＝来源类型数（≤6）。</w:t>
            </w:r>
          </w:p>
          <w:p w14:paraId="109780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（7）基准来源：生态环境部《全国电网平均排放因子》公告（国家标准）；第三方核定机构报告；自备电厂 CEMS 实测；截图 #41。</w:t>
            </w:r>
          </w:p>
        </w:tc>
      </w:tr>
    </w:tbl>
    <w:p w14:paraId="2486B5BF">
      <w:pPr>
        <w:pStyle w:val="19"/>
        <w:bidi w:val="0"/>
        <w:rPr>
          <w:b w:val="0"/>
          <w:bCs w:val="0"/>
        </w:rPr>
      </w:pPr>
    </w:p>
    <w:p w14:paraId="2E192966">
      <w:pPr>
        <w:pStyle w:val="6"/>
        <w:numPr>
          <w:ilvl w:val="0"/>
          <w:numId w:val="20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9986A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（1）唯一键冲突阻断：同（省份, 电力来源）已存在生效记录时，新增阻断，返回 E_SYS_FACTOR_ELEC_DUP。</w:t>
            </w:r>
          </w:p>
          <w:p w14:paraId="12A2EA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（2）因子值域校验：因子值 ＜ 0 或 ＞ 1.5 时，阻断，返回 E_SYS_FACTOR_VALUE_OUT_OF_RANGE。</w:t>
            </w:r>
          </w:p>
          <w:p w14:paraId="3E9223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（3）绿电零值锁定：电力来源＝「绿电（市场化交易）」时，因子值强制锁定为 0，手工改值阻断，返回 E_SYS_FACTOR_GREEN_LOCKED。</w:t>
            </w:r>
          </w:p>
          <w:p w14:paraId="5BEC18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（4）在用因子物理删除阻断：已被核算报告引用的因子版本禁止物理删除，返回 E_SYS_FACTOR_IN_USE_DELETE_DENIED；仅可停用或升版替代。</w:t>
            </w:r>
          </w:p>
          <w:p w14:paraId="37633B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（5）版本冲突阻断：手工录入版本号低于当前版本或与已有版本重复时，阻断，返回 E_SYS_FACTOR_VERSION_CONFLICT。</w:t>
            </w:r>
          </w:p>
          <w:p w14:paraId="738370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（6）回滚留痕：执行版本回滚必须填写不少于 10 个字符的业务原因，空理由禁止提交。</w:t>
            </w:r>
          </w:p>
          <w:p w14:paraId="4B26F0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（7）除零安全防御：多供应商加权核算中 Σ Wⱼ = 0 时，加权因子自动兜底采用国家标准缺省值，记录告警 E_CALC_FACTOR_WEIGHT_ZERO，不产生除零异常。</w:t>
            </w:r>
          </w:p>
          <w:p w14:paraId="284B87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405BAB4D">
      <w:pPr>
        <w:rPr>
          <w:b w:val="0"/>
          <w:bCs w:val="0"/>
        </w:rPr>
      </w:pPr>
    </w:p>
    <w:p w14:paraId="2B26499B">
      <w:pPr>
        <w:pStyle w:val="6"/>
        <w:numPr>
          <w:ilvl w:val="0"/>
          <w:numId w:val="20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5CC4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电力碳排因子维护</w:t>
            </w:r>
          </w:p>
          <w:p w14:paraId="6D7C58B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按省份与电力来源新增因子</w:t>
            </w:r>
          </w:p>
          <w:p w14:paraId="2A39278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能碳基础因子管理 › 电力碳排因子</w:t>
            </w:r>
          </w:p>
          <w:p w14:paraId="2128950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点击【新增因子】，填写省份＝「北京」、区域电网＝「华北区域电网」、电力来源＝「电网平均」、因子值＝0.5703、数据来源＝「国家标准」、版本＝「v2024.1」并保存</w:t>
            </w:r>
          </w:p>
          <w:p w14:paraId="76CE01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列表新增一行，单位显示 kgCO2e/kWh，因子值显示 0.5703</w:t>
            </w:r>
          </w:p>
          <w:p w14:paraId="72713E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唯一键重复被阻断</w:t>
            </w:r>
          </w:p>
          <w:p w14:paraId="15018A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已存在（北京, 电网平均）的因子记录</w:t>
            </w:r>
          </w:p>
          <w:p w14:paraId="1861570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再次新增（北京, 电网平均）并保存</w:t>
            </w:r>
          </w:p>
          <w:p w14:paraId="245A3D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A00D8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E_SYS_FACTOR_ELEC_DUP</w:t>
            </w:r>
          </w:p>
          <w:p w14:paraId="10E74B8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绿电因子值锁定为零</w:t>
            </w:r>
          </w:p>
          <w:p w14:paraId="4CA51C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电力来源选择「绿电（市场化交易）」</w:t>
            </w:r>
          </w:p>
          <w:p w14:paraId="2373A6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尝试将因子值改为 0.05 并保存</w:t>
            </w:r>
          </w:p>
          <w:p w14:paraId="5C6767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系统阻断并提示「绿电因子值固定为 0」</w:t>
            </w:r>
          </w:p>
          <w:p w14:paraId="587CF1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E_SYS_FACTOR_GREEN_LOCKED</w:t>
            </w:r>
          </w:p>
          <w:p w14:paraId="601FB3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在用因子禁止物理删除</w:t>
            </w:r>
          </w:p>
          <w:p w14:paraId="34D4802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因子（天津, 燃煤自备电厂）已被 3 份碳足迹报告引用</w:t>
            </w:r>
          </w:p>
          <w:p w14:paraId="66CB9F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1034F7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系统阻断删除并提示「已被核算报告引用」</w:t>
            </w:r>
          </w:p>
          <w:p w14:paraId="2C35D78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E_SYS_FACTOR_IN_USE_DELETE_DENIED</w:t>
            </w:r>
          </w:p>
          <w:p w14:paraId="6618E8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查看因子版本记录</w:t>
            </w:r>
          </w:p>
          <w:p w14:paraId="79C7DA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因子（新疆, 风力发电）存在 v1.0、v1.1 两个版本</w:t>
            </w:r>
          </w:p>
          <w:p w14:paraId="48201F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点击【版本】</w:t>
            </w:r>
          </w:p>
          <w:p w14:paraId="2D3BF7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版本记录窗口列出两行历史版本（版本号 / 生效时间 / 操作人 / 变更前后值）</w:t>
            </w:r>
          </w:p>
          <w:p w14:paraId="30D156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加权核算除零兜底</w:t>
            </w:r>
          </w:p>
          <w:p w14:paraId="7EAF1A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多供应商采购总重 Σ Wⱼ = 0</w:t>
            </w:r>
          </w:p>
          <w:p w14:paraId="349B8C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执行加权电力因子核算</w:t>
            </w:r>
          </w:p>
          <w:p w14:paraId="742AEB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系统自动采用国家标准电网平均缺省值</w:t>
            </w:r>
          </w:p>
          <w:p w14:paraId="5977A3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记录告警 E_CALC_FACTOR_WEIGHT_ZERO，不产生除零异常</w:t>
            </w:r>
          </w:p>
        </w:tc>
      </w:tr>
    </w:tbl>
    <w:p w14:paraId="3011C367">
      <w:pPr>
        <w:rPr>
          <w:rFonts w:hint="default"/>
          <w:b w:val="0"/>
          <w:bCs w:val="0"/>
          <w:lang w:val="en-US" w:eastAsia="zh-CN"/>
        </w:rPr>
      </w:pPr>
    </w:p>
    <w:p w14:paraId="16DB733B">
      <w:pPr>
        <w:pStyle w:val="5"/>
        <w:numPr>
          <w:ilvl w:val="0"/>
          <w:numId w:val="208"/>
        </w:numPr>
        <w:ind w:left="0" w:leftChars="0" w:firstLine="0" w:firstLineChars="0"/>
        <w:outlineLvl w:val="1"/>
        <w:rPr>
          <w:rFonts w:hint="default" w:cs="Times New Roman"/>
          <w:b w:val="0"/>
          <w:bCs w:val="0"/>
          <w:sz w:val="30"/>
          <w:szCs w:val="24"/>
          <w:lang w:val="en-US" w:eastAsia="zh-CN"/>
        </w:rPr>
      </w:pPr>
      <w:bookmarkStart w:id="70" w:name="_Toc5571"/>
      <w:r>
        <w:rPr>
          <w:rFonts w:hint="eastAsia" w:cs="Times New Roman"/>
          <w:b w:val="0"/>
          <w:bCs w:val="0"/>
          <w:sz w:val="30"/>
          <w:szCs w:val="24"/>
          <w:lang w:val="en-US" w:eastAsia="zh-CN"/>
        </w:rPr>
        <w:t xml:space="preserve">能源活动碳排因子</w:t>
      </w:r>
      <w:bookmarkEnd w:id="70"/>
    </w:p>
    <w:p w14:paraId="750B87A9">
      <w:pPr>
        <w:rPr>
          <w:b w:val="0"/>
          <w:bCs w:val="0"/>
        </w:rPr>
      </w:pPr>
      <w:r>
        <w:drawing>
          <wp:inline distT="0" distB="0" distL="114300" distR="114300">
            <wp:extent cx="5900420" cy="2925445"/>
            <wp:effectExtent l="0" t="0" r="5080" b="8255"/>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2"/>
                    <pic:cNvPicPr>
                      <a:picLocks noChangeAspect="1"/>
                    </pic:cNvPicPr>
                  </pic:nvPicPr>
                  <pic:blipFill>
                    <a:blip r:embed="rId100"/>
                    <a:stretch>
                      <a:fillRect/>
                    </a:stretch>
                  </pic:blipFill>
                  <pic:spPr>
                    <a:xfrm>
                      <a:off x="0" y="0"/>
                      <a:ext cx="5900420" cy="2925445"/>
                    </a:xfrm>
                    <a:prstGeom prst="rect">
                      <a:avLst/>
                    </a:prstGeom>
                    <a:noFill/>
                    <a:ln>
                      <a:noFill/>
                    </a:ln>
                  </pic:spPr>
                </pic:pic>
              </a:graphicData>
            </a:graphic>
          </wp:inline>
        </w:drawing>
      </w:r>
    </w:p>
    <w:p w14:paraId="661D95A9">
      <w:pPr>
        <w:pStyle w:val="6"/>
        <w:numPr>
          <w:ilvl w:val="0"/>
          <w:numId w:val="21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23877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碳基础因子管理模块下化石能源、热力、制冷剂等品类排放因子的维护单元，管理各类能源与活动的碳排放因子，支持因子版本管控、新增与信息维护，为园区能耗核算与产品碳足迹全品类碳排放量计算提供标准化活动因子基准数据，是碳核算业务开展的前置基础依赖。</w:t>
            </w:r>
          </w:p>
          <w:p w14:paraId="4FD383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系统管理员（全量能源活动碳排因子新增、因子参数维护、版本管理与数据删除）。</w:t>
            </w:r>
          </w:p>
          <w:p w14:paraId="2195AD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页面路由：/system/factor/energy（左侧导航：系统管理 › 能碳基础因子管理 › 能源活动碳排因子）。</w:t>
            </w:r>
          </w:p>
          <w:p w14:paraId="4888C7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上游依赖：无。外部基准来自 IPCC 国家温室气体清单指南缺省值、国家标准与股份公司下发文件。</w:t>
            </w:r>
          </w:p>
          <w:p w14:paraId="2222AA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下游输出：第三章碳足迹核算的燃料燃烧、外购热力与制冷剂逸散排放计算取数基准；集控中心能耗碳排放统计。</w:t>
            </w:r>
          </w:p>
          <w:p w14:paraId="529F89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6027D42F">
      <w:pPr>
        <w:rPr>
          <w:b w:val="0"/>
          <w:bCs w:val="0"/>
        </w:rPr>
      </w:pPr>
    </w:p>
    <w:p w14:paraId="1B442EAF">
      <w:pPr>
        <w:pStyle w:val="6"/>
        <w:numPr>
          <w:ilvl w:val="0"/>
          <w:numId w:val="21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E4DC5E5">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1F85B">
            <w:pPr>
              <w:pStyle w:val="19"/>
              <w:bidi w:val="0"/>
              <w:ind w:left="0" w:leftChars="0" w:firstLine="0" w:firstLineChars="0"/>
            </w:pPr>
            <w:r>
              <w:rPr>
                <w:b/>
                <w:bCs/>
                <w:lang w:val="en-US" w:eastAsia="zh-CN"/>
              </w:rPr>
              <w:t>业务场景</w:t>
            </w:r>
            <w:r>
              <w:rPr>
                <w:lang w:val="en-US" w:eastAsia="zh-CN"/>
              </w:rPr>
              <w:t>：面向系统管理员进行全品类能源碳排放参数维护场景，管控化石能源、热力、制冷剂等各类活动排放因子，支撑全场景碳核算。</w:t>
            </w:r>
          </w:p>
          <w:p w14:paraId="032618F7">
            <w:pPr>
              <w:pStyle w:val="19"/>
              <w:bidi w:val="0"/>
              <w:ind w:left="0" w:leftChars="0" w:firstLine="0" w:firstLineChars="0"/>
            </w:pPr>
            <w:r>
              <w:rPr>
                <w:b/>
                <w:bCs/>
                <w:lang w:val="en-US" w:eastAsia="zh-CN"/>
              </w:rPr>
              <w:t>用户故事</w:t>
            </w:r>
            <w:r>
              <w:rPr>
                <w:lang w:val="en-US" w:eastAsia="zh-CN"/>
              </w:rPr>
              <w:t>：</w:t>
            </w:r>
          </w:p>
          <w:p w14:paraId="23D9C832">
            <w:pPr>
              <w:pStyle w:val="19"/>
              <w:bidi w:val="0"/>
            </w:pPr>
            <w:r>
              <w:rPr>
                <w:lang w:val="en-US" w:eastAsia="zh-CN"/>
              </w:rPr>
              <w:t>As a 系统管理员 (Persona PM)，</w:t>
            </w:r>
          </w:p>
          <w:p w14:paraId="699D4D2B">
            <w:pPr>
              <w:pStyle w:val="19"/>
              <w:bidi w:val="0"/>
            </w:pPr>
            <w:r>
              <w:rPr>
                <w:lang w:val="en-US" w:eastAsia="zh-CN"/>
              </w:rPr>
              <w:t>I want 维护全品类能源活动碳排放因子、管理版本迭代、更新核算参数，</w:t>
            </w:r>
          </w:p>
          <w:p w14:paraId="413962A4">
            <w:pPr>
              <w:pStyle w:val="19"/>
              <w:bidi w:val="0"/>
            </w:pPr>
            <w:r>
              <w:rPr>
                <w:lang w:val="en-US" w:eastAsia="zh-CN"/>
              </w:rPr>
              <w:t>So that 我能支撑集团全品类能耗碳排放计算，保障大屏能源大盘、降碳数据精准可信。</w:t>
            </w:r>
          </w:p>
        </w:tc>
      </w:tr>
    </w:tbl>
    <w:p w14:paraId="6C599453">
      <w:pPr>
        <w:rPr>
          <w:b w:val="0"/>
          <w:bCs w:val="0"/>
        </w:rPr>
      </w:pPr>
    </w:p>
    <w:p w14:paraId="59E65396">
      <w:pPr>
        <w:pStyle w:val="6"/>
        <w:numPr>
          <w:ilvl w:val="0"/>
          <w:numId w:val="21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B36C4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页面布局：关键字查询区 ＋ 因子列表 ＋ 右上角【新增因子】。</w:t>
            </w:r>
          </w:p>
          <w:p w14:paraId="708078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（1）查询【查询】：输入关键字（名称 / 区域 / 来源）后查询；点击【重置】清空条件。</w:t>
            </w:r>
          </w:p>
          <w:p w14:paraId="3D47A8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（2）新增因子【新增因子】：打开新增因子弹窗，填写能源 / 活动名称、能源类别、因子值、单位、数据来源、版本；单位下拉项随能源类别联动。</w:t>
            </w:r>
          </w:p>
          <w:p w14:paraId="395C83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（3）编辑【编辑】：打开编辑窗口，回填因子信息；修改因子值须同步升版本。</w:t>
            </w:r>
          </w:p>
          <w:p w14:paraId="5199A1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（4）版本【版本】：打开版本记录窗口，展示历史版本（版本号、生效时间、操作人、变更前后值）。</w:t>
            </w:r>
          </w:p>
          <w:p w14:paraId="77BCCE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（5）删除【删除】：打开弹窗，点击取消后关闭弹窗，点击确定后关闭弹窗并删除数据；已被核算引用的因子禁止物理删除。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21422">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E6A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DECB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6AA3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07B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C1C4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1E841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1823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72244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CD3A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2544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80F78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D1FB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0A52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D38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943D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能源类别下拉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34DA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70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C0B64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单位下拉项联动过滤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55B3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DEAB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1FA3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3843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名称唯一；因子值 ≥ 0；单位与名称相符</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388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4FED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BFF8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9C38F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D5EDE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7EF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541B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79B4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【版本】</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5512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557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C46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列出历史版本</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335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提示「暂无历史版本」</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5C3AE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950FB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2E5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EA8A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81AA5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阻断并提示引用数</w:t>
            </w:r>
          </w:p>
        </w:tc>
      </w:tr>
    </w:tbl>
    <w:p w14:paraId="7C69EBFF">
      <w:pPr>
        <w:rPr>
          <w:b w:val="0"/>
          <w:bCs w:val="0"/>
        </w:rPr>
      </w:pPr>
    </w:p>
    <w:p w14:paraId="04953D06">
      <w:pPr>
        <w:pStyle w:val="6"/>
        <w:numPr>
          <w:ilvl w:val="0"/>
          <w:numId w:val="21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CDF53F">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EAAD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2AB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1536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07886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E5814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0781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能源/活动名称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D9F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E1DD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F80F8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必填；如天然气 / 原煤（烟煤） / 柴油 / 汽油 / 液化石油气（LPG） / 外购蒸汽 / 热力 / R134a 制冷剂 / R410a 制冷剂</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3220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0077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能源类别</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6AA9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0EBD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70A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取值｛化石燃料 / 热力-蒸汽 / 制冷剂｝；决定单位下拉候选</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B6D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0506B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B4E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8A70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kgCO2e/{单位}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AF2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必填；≥0；化石燃料 0.01~5.00；制冷剂按 GWP 可至 10000；保留 4 位小数</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11AF4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A3D24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EB30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E8A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FF6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取值｛kgCO2e/m³ / kgCO2e/kg / kgCO2e/MJ / kgCO2e/kWh / kgCO2e/t｝；须与名称的物态相符</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9243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874A0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8E836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67FB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FAC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取值｛IPCC 缺省值 / 国家标准 / 行业标准 / 股份下发 / 第三方核定｝</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CE06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33AD0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3F5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45688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6925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必填；vYYYY.N 或 vX.Y（如 v2023.2、v2026.1）</w:t>
            </w:r>
          </w:p>
        </w:tc>
      </w:tr>
    </w:tbl>
    <w:p w14:paraId="0FE12BAF">
      <w:pPr>
        <w:pStyle w:val="19"/>
        <w:bidi w:val="0"/>
        <w:rPr>
          <w:b w:val="0"/>
          <w:bCs w:val="0"/>
        </w:rPr>
      </w:pPr>
    </w:p>
    <w:p w14:paraId="0EC1A076">
      <w:pPr>
        <w:pStyle w:val="6"/>
        <w:numPr>
          <w:ilvl w:val="0"/>
          <w:numId w:val="21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9C86D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（1）因子唯一键</w:t>
            </w:r>
          </w:p>
          <w:p w14:paraId="6D7164C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Uk = （能源/活动名称）。同名不同单位视为不同因子，须在名称中显式区分（如「蒸汽消费量（热量）」与「蒸汽消费量（质量）」）。</w:t>
            </w:r>
          </w:p>
          <w:p w14:paraId="1F6DD9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（2）燃料燃烧排放计算</w:t>
            </w:r>
          </w:p>
          <w:p w14:paraId="529641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E_fuel = Q_fuel × EF_fuel</w:t>
            </w:r>
          </w:p>
          <w:p w14:paraId="3FA512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示例：天然气 E = V(m³) × 2.1622 (kgCO2e/m³)。</w:t>
            </w:r>
          </w:p>
          <w:p w14:paraId="6E01FD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（3）制冷剂逸散排放计算</w:t>
            </w:r>
          </w:p>
          <w:p w14:paraId="48FB2A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E_ref = Q_ref × GWP_ref</w:t>
            </w:r>
          </w:p>
          <w:p w14:paraId="339493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示例：R134a 逸散 1 kg → E = 1 × 1430 = 1430 kgCO2e。</w:t>
            </w:r>
          </w:p>
          <w:p w14:paraId="30D3072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#42 坐实）</w:t>
            </w:r>
          </w:p>
          <w:p w14:paraId="688DC4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天然气 2.1622 kgCO2e/m³（IPCC 缺省值 v2023.2）；</w:t>
            </w:r>
          </w:p>
          <w:p w14:paraId="6A4A29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原煤（烟煤）1.9003 kgCO2e/kg（IPCC 缺省值 v2023.2）；</w:t>
            </w:r>
          </w:p>
          <w:p w14:paraId="678F4B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柴油 3.0959 kgCO2e/kg（国家标准 v2024.1）；</w:t>
            </w:r>
          </w:p>
          <w:p w14:paraId="353F6C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外购蒸汽 0.11 kgCO2e/MJ（股份下发 v2026.1）；</w:t>
            </w:r>
          </w:p>
          <w:p w14:paraId="55C08F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R134a 制冷剂 1430 kgCO2e/kg（IPCC 缺省值 v2023.1）；</w:t>
            </w:r>
          </w:p>
          <w:p w14:paraId="15DE27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液化石油气（LPG）3.1813 kgCO2e/kg（国家标准 v2023.1）。</w:t>
            </w:r>
          </w:p>
          <w:p w14:paraId="38408A2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（5）与第三章口径一致性</w:t>
            </w:r>
          </w:p>
          <w:p w14:paraId="67E3E6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本模块天然气因子 2.1622 是第三章碳足迹核算「天然气用例」的取数来源；两章数值必须逐位一致，任一升版即触发第三章核算视图重算。</w:t>
            </w:r>
          </w:p>
          <w:p w14:paraId="75F8B3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6BE7F8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因子值保留 4 位小数；核算结果按 GB/T 24067 保留 4 位有效小数，容差 ±0.0001。</w:t>
            </w:r>
          </w:p>
        </w:tc>
      </w:tr>
    </w:tbl>
    <w:p w14:paraId="1F0A23DA">
      <w:pPr>
        <w:pStyle w:val="19"/>
        <w:bidi w:val="0"/>
        <w:rPr>
          <w:b w:val="0"/>
          <w:bCs w:val="0"/>
        </w:rPr>
      </w:pPr>
    </w:p>
    <w:p w14:paraId="1D971395">
      <w:pPr>
        <w:pStyle w:val="6"/>
        <w:numPr>
          <w:ilvl w:val="0"/>
          <w:numId w:val="21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D07B6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列）：能源/活动名称、能源类别、因子值、单位、数据来源、版本、操作。</w:t>
            </w:r>
          </w:p>
          <w:p w14:paraId="66FE65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（2）能源类别以标签区分（化石燃料 / 热力-蒸汽 / 制冷剂），配色不同。</w:t>
            </w:r>
          </w:p>
          <w:p w14:paraId="71BD15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（3）因子值按数值大小右对齐；制冷剂类因子值 ≥ 1000 时使用千分位（1430 → 1,430）。</w:t>
            </w:r>
          </w:p>
          <w:p w14:paraId="5324332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（4）排序规则：默认按能源类别分组（化石燃料 → 热力-蒸汽 → 制冷剂），组内按因子值降序。</w:t>
            </w:r>
          </w:p>
          <w:p w14:paraId="2C60CB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（5）口径提示：制冷剂行的因子值以悬浮提示标注「GWP，单位 kgCO2e/kg，非燃烧排放因子」，避免与燃烧因子混淆。</w:t>
            </w:r>
          </w:p>
          <w:p w14:paraId="2BCE48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（6）基准来源：IPCC 2006 年国家温室气体清单指南（缺省值）；GB/T 32150 工业企业温室气体排放核算和报告通则；股份公司下发文件；截图 #42。</w:t>
            </w:r>
          </w:p>
        </w:tc>
      </w:tr>
    </w:tbl>
    <w:p w14:paraId="4B9EF3FC">
      <w:pPr>
        <w:pStyle w:val="19"/>
        <w:bidi w:val="0"/>
        <w:rPr>
          <w:b w:val="0"/>
          <w:bCs w:val="0"/>
        </w:rPr>
      </w:pPr>
    </w:p>
    <w:p w14:paraId="65DA40D2">
      <w:pPr>
        <w:pStyle w:val="6"/>
        <w:numPr>
          <w:ilvl w:val="0"/>
          <w:numId w:val="21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6D863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（1）名称重复阻断：能源/活动名称已存在时，阻断，返回 E_SYS_FACTOR_ENERGY_DUP。</w:t>
            </w:r>
          </w:p>
          <w:p w14:paraId="171021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（2）单位与名称不符拦截：名称为气态能源（天然气 / 液化石油气）而单位选 kgCO2e/kg 时，阻断并提示，返回 E_SYS_FACTOR_UNIT_MISMATCH。</w:t>
            </w:r>
          </w:p>
          <w:p w14:paraId="4A6DB6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（3）因子值域校验：因子值 ＜ 0 时阻断，返回 E_SYS_FACTOR_VALUE_OUT_OF_RANGE。</w:t>
            </w:r>
          </w:p>
          <w:p w14:paraId="468BDC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（4）在用因子删除阻断：被核算报告引用时禁止物理删除，返回 E_SYS_FACTOR_IN_USE_DELETE_DENIED。</w:t>
            </w:r>
          </w:p>
          <w:p w14:paraId="6F0EA6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（5）版本冲突阻断：版本号重复或低于当前版本时阻断，返回 E_SYS_FACTOR_VERSION_CONFLICT。</w:t>
            </w:r>
          </w:p>
          <w:p w14:paraId="2C7C6F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（6）制冷剂 GWP 越界校验：制冷剂类因子值 ＜ 1 或 ＞ 10000 时，阻断并提示，返回 E_SYS_FACTOR_GWP_OUT_OF_RANGE。</w:t>
            </w:r>
          </w:p>
          <w:p w14:paraId="4B1AD1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（7）跨章一致性告警：本模块因子值变更后，若与第三章已发布报告引用的旧版本不一致，触发一致性告警并列出受影响报告清单。</w:t>
            </w:r>
          </w:p>
          <w:p w14:paraId="4AE353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3A54D289">
      <w:pPr>
        <w:rPr>
          <w:b w:val="0"/>
          <w:bCs w:val="0"/>
        </w:rPr>
      </w:pPr>
    </w:p>
    <w:p w14:paraId="69DDD9A9">
      <w:pPr>
        <w:pStyle w:val="6"/>
        <w:numPr>
          <w:ilvl w:val="0"/>
          <w:numId w:val="21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C65C8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能源活动碳排因子维护</w:t>
            </w:r>
          </w:p>
          <w:p w14:paraId="2BC4C2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新增化石燃料因子</w:t>
            </w:r>
          </w:p>
          <w:p w14:paraId="4826A8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能碳基础因子管理 › 能源活动碳排因子</w:t>
            </w:r>
          </w:p>
          <w:p w14:paraId="4CDD2B0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点击【新增因子】，填写名称＝「天然气」、类别＝「化石燃料」、因子值＝2.1622、单位＝kgCO2e/m³、来源＝「IPCC 缺省值」、版本＝「v2023.2」并保存</w:t>
            </w:r>
          </w:p>
          <w:p w14:paraId="715FDE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列表新增一行，因子值显示 2.1622，单位显示 kgCO2e/m³</w:t>
            </w:r>
          </w:p>
          <w:p w14:paraId="655530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与第三章核算口径一致</w:t>
            </w:r>
          </w:p>
          <w:p w14:paraId="1087CE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本模块天然气因子值为 2.1622 kgCO2e/m³</w:t>
            </w:r>
          </w:p>
          <w:p w14:paraId="7E97876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第三章碳足迹核算调用该因子计算 1 m³ 天然气燃烧排放</w:t>
            </w:r>
          </w:p>
          <w:p w14:paraId="6A3A5C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计算结果为 2.1622 kgCO2e</w:t>
            </w:r>
          </w:p>
          <w:p w14:paraId="50B722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名称重复被阻断</w:t>
            </w:r>
          </w:p>
          <w:p w14:paraId="42247FF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已存在名称「柴油」的因子</w:t>
            </w:r>
          </w:p>
          <w:p w14:paraId="5E413A1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再次新增名称「柴油」并保存</w:t>
            </w:r>
          </w:p>
          <w:p w14:paraId="4F5403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228134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返回错误码 E_SYS_FACTOR_ENERGY_DUP</w:t>
            </w:r>
          </w:p>
          <w:p w14:paraId="78099EF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制冷剂 GWP 越界被拦截</w:t>
            </w:r>
          </w:p>
          <w:p w14:paraId="16BEF4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能源类别选择「制冷剂」</w:t>
            </w:r>
          </w:p>
          <w:p w14:paraId="448E43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填写因子值＝12000 并保存</w:t>
            </w:r>
          </w:p>
          <w:p w14:paraId="5BA910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系统阻断并提示「GWP 超出合理区间」</w:t>
            </w:r>
          </w:p>
          <w:p w14:paraId="6EEB9AE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E_SYS_FACTOR_GWP_OUT_OF_RANGE</w:t>
            </w:r>
          </w:p>
          <w:p w14:paraId="2A102D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在用因子禁止物理删除</w:t>
            </w:r>
          </w:p>
          <w:p w14:paraId="3E6198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因子「外购蒸汽」已被核算报告引用</w:t>
            </w:r>
          </w:p>
          <w:p w14:paraId="2BF873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210A0D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42BF09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E_SYS_FACTOR_IN_USE_DELETE_DENIED</w:t>
            </w:r>
          </w:p>
          <w:p w14:paraId="54EDAF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单位与物态不符被拦截</w:t>
            </w:r>
          </w:p>
          <w:p w14:paraId="37D4DB4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名称为「天然气」（气态）</w:t>
            </w:r>
          </w:p>
          <w:p w14:paraId="6597059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将单位设置为 kgCO2e/kg 并保存</w:t>
            </w:r>
          </w:p>
          <w:p w14:paraId="613608E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系统阻断并提示单位与名称不符</w:t>
            </w:r>
          </w:p>
          <w:p w14:paraId="225E08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E_SYS_FACTOR_UNIT_MISMATCH</w:t>
            </w:r>
          </w:p>
        </w:tc>
      </w:tr>
    </w:tbl>
    <w:p w14:paraId="0E725990">
      <w:pPr>
        <w:rPr>
          <w:rFonts w:hint="default"/>
          <w:b w:val="0"/>
          <w:bCs w:val="0"/>
          <w:lang w:val="en-US" w:eastAsia="zh-CN"/>
        </w:rPr>
      </w:pPr>
    </w:p>
    <w:p w14:paraId="539331E3">
      <w:pPr>
        <w:pStyle w:val="5"/>
        <w:numPr>
          <w:ilvl w:val="0"/>
          <w:numId w:val="208"/>
        </w:numPr>
        <w:ind w:left="0" w:leftChars="0" w:firstLine="0" w:firstLineChars="0"/>
        <w:outlineLvl w:val="1"/>
        <w:rPr>
          <w:rFonts w:hint="default" w:cs="Times New Roman"/>
          <w:b w:val="0"/>
          <w:bCs w:val="0"/>
          <w:sz w:val="30"/>
          <w:szCs w:val="24"/>
          <w:lang w:val="en-US" w:eastAsia="zh-CN"/>
        </w:rPr>
      </w:pPr>
      <w:bookmarkStart w:id="71" w:name="_Toc2938"/>
      <w:r>
        <w:rPr>
          <w:rFonts w:hint="eastAsia" w:cs="Times New Roman"/>
          <w:b w:val="0"/>
          <w:bCs w:val="0"/>
          <w:sz w:val="30"/>
          <w:szCs w:val="24"/>
          <w:lang w:val="en-US" w:eastAsia="zh-CN"/>
        </w:rPr>
        <w:t xml:space="preserve">折标煤系数库</w:t>
      </w:r>
      <w:bookmarkEnd w:id="71"/>
    </w:p>
    <w:p w14:paraId="20FCE593">
      <w:pPr>
        <w:rPr>
          <w:b w:val="0"/>
          <w:bCs w:val="0"/>
        </w:rPr>
      </w:pPr>
      <w:r>
        <w:drawing>
          <wp:inline distT="0" distB="0" distL="114300" distR="114300">
            <wp:extent cx="5900420" cy="2925445"/>
            <wp:effectExtent l="0" t="0" r="5080" b="825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101"/>
                    <a:stretch>
                      <a:fillRect/>
                    </a:stretch>
                  </pic:blipFill>
                  <pic:spPr>
                    <a:xfrm>
                      <a:off x="0" y="0"/>
                      <a:ext cx="5900420" cy="2925445"/>
                    </a:xfrm>
                    <a:prstGeom prst="rect">
                      <a:avLst/>
                    </a:prstGeom>
                    <a:noFill/>
                    <a:ln>
                      <a:noFill/>
                    </a:ln>
                  </pic:spPr>
                </pic:pic>
              </a:graphicData>
            </a:graphic>
          </wp:inline>
        </w:drawing>
      </w:r>
    </w:p>
    <w:p w14:paraId="0F0A7EA4">
      <w:pPr>
        <w:pStyle w:val="6"/>
        <w:numPr>
          <w:ilvl w:val="0"/>
          <w:numId w:val="21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9018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碳基础因子管理模块下各类能源折标煤系数的维护单元，统一管理不同能源品种的折标煤系数、低位热值等基础参数，支持系数版本管控、新增与信息维护，为系统能耗折算、能源消费总量统计分析提供标准化当量换算基准数据，是能源量化核算业务开展的前置基础依赖。</w:t>
            </w:r>
          </w:p>
          <w:p w14:paraId="276CC88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系统管理员（全量折标煤系数新增、系数参数维护、版本管理与数据删除）。</w:t>
            </w:r>
          </w:p>
          <w:p w14:paraId="1934AE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页面路由：/system/factor/coal-equivalent（左侧导航：系统管理 › 能碳基础因子管理 › 折标煤系数库）。</w:t>
            </w:r>
          </w:p>
          <w:p w14:paraId="46D031A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上游依赖：无。基准来自 GB/T 2589《综合能耗计算通则》与行业 / 股份公司下发标准。</w:t>
            </w:r>
          </w:p>
          <w:p w14:paraId="3313EF6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下游输出：集控中心「综合能源消费量（tce）」统计；第三章单位产品能耗与折标碳排计算。</w:t>
            </w:r>
          </w:p>
          <w:p w14:paraId="168655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PM）全量可写；其余角色一律只读。国家标准强制受控字段（电力 0.1229、天然气 1.2143）在界面上标注受控角标，任何角色均不可随意修改。</w:t>
            </w:r>
          </w:p>
        </w:tc>
      </w:tr>
    </w:tbl>
    <w:p w14:paraId="17A381B8">
      <w:pPr>
        <w:rPr>
          <w:b w:val="0"/>
          <w:bCs w:val="0"/>
        </w:rPr>
      </w:pPr>
    </w:p>
    <w:p w14:paraId="2F10F55E">
      <w:pPr>
        <w:pStyle w:val="6"/>
        <w:numPr>
          <w:ilvl w:val="0"/>
          <w:numId w:val="21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CB329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A81F9D">
            <w:pPr>
              <w:pStyle w:val="19"/>
              <w:bidi w:val="0"/>
              <w:ind w:left="0" w:leftChars="0" w:firstLine="0" w:firstLineChars="0"/>
            </w:pPr>
            <w:r>
              <w:rPr>
                <w:b/>
                <w:bCs/>
                <w:lang w:val="en-US" w:eastAsia="zh-CN"/>
              </w:rPr>
              <w:t>业务场景</w:t>
            </w:r>
            <w:r>
              <w:rPr>
                <w:lang w:val="en-US" w:eastAsia="zh-CN"/>
              </w:rPr>
              <w:t>：面向系统管理员进行能源标准化折算管控场景，统一维护各类能源折标煤系数，实现多品类能源数据统一口径折算统计。</w:t>
            </w:r>
          </w:p>
          <w:p w14:paraId="12DE362D">
            <w:pPr>
              <w:pStyle w:val="19"/>
              <w:bidi w:val="0"/>
              <w:ind w:left="0" w:leftChars="0" w:firstLine="0" w:firstLineChars="0"/>
            </w:pPr>
            <w:r>
              <w:rPr>
                <w:b/>
                <w:bCs/>
                <w:lang w:val="en-US" w:eastAsia="zh-CN"/>
              </w:rPr>
              <w:t>用户故事</w:t>
            </w:r>
            <w:r>
              <w:rPr>
                <w:lang w:val="en-US" w:eastAsia="zh-CN"/>
              </w:rPr>
              <w:t>：</w:t>
            </w:r>
          </w:p>
          <w:p w14:paraId="39078060">
            <w:pPr>
              <w:pStyle w:val="19"/>
              <w:bidi w:val="0"/>
            </w:pPr>
            <w:r>
              <w:rPr>
                <w:lang w:val="en-US" w:eastAsia="zh-CN"/>
              </w:rPr>
              <w:t>As a 系统管理员 (Persona PM)，</w:t>
            </w:r>
          </w:p>
          <w:p w14:paraId="259A8D20">
            <w:pPr>
              <w:pStyle w:val="19"/>
              <w:bidi w:val="0"/>
            </w:pPr>
            <w:r>
              <w:rPr>
                <w:lang w:val="en-US" w:eastAsia="zh-CN"/>
              </w:rPr>
              <w:t>I want 统一维护各类能源折标煤系数、管控参数版本，标准化能源折算规则，</w:t>
            </w:r>
          </w:p>
          <w:p w14:paraId="0AA189A2">
            <w:pPr>
              <w:pStyle w:val="19"/>
              <w:bidi w:val="0"/>
            </w:pPr>
            <w:r>
              <w:rPr>
                <w:lang w:val="en-US" w:eastAsia="zh-CN"/>
              </w:rPr>
              <w:t>So that 我能支撑集团能耗折标总量统计，保障大屏能源大盘数据口径统一、精准合规。</w:t>
            </w:r>
          </w:p>
        </w:tc>
      </w:tr>
    </w:tbl>
    <w:p w14:paraId="2FEC29BC">
      <w:pPr>
        <w:rPr>
          <w:b w:val="0"/>
          <w:bCs w:val="0"/>
        </w:rPr>
      </w:pPr>
    </w:p>
    <w:p w14:paraId="7D5073CE">
      <w:pPr>
        <w:pStyle w:val="6"/>
        <w:numPr>
          <w:ilvl w:val="0"/>
          <w:numId w:val="21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DCC45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页面布局：关键字查询区 ＋ 系数列表 ＋ 右上角【新增因子】。</w:t>
            </w:r>
          </w:p>
          <w:p w14:paraId="78E078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（1）查询【查询】：输入关键字（名称 / 区域 / 来源）后查询；点击【重置】清空条件。</w:t>
            </w:r>
          </w:p>
          <w:p w14:paraId="35C6AE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（2）新增因子【新增因子】：打开新增因子弹窗，填写能源品种、折标煤系数、单位、低位热值、数据来源、版本。</w:t>
            </w:r>
          </w:p>
          <w:p w14:paraId="57855F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（3）编辑【编辑】：打开编辑窗口，回填系数信息；修改折标煤系数须同步升版本；国标受控字段修改时弹阻断提示。</w:t>
            </w:r>
          </w:p>
          <w:p w14:paraId="241E43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（4）版本【版本】：打开版本记录窗口，展示历史版本（版本号、生效时间、操作人、变更前后值）。</w:t>
            </w:r>
          </w:p>
          <w:p w14:paraId="1C8AE65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（5）删除【删除】：打开弹窗，点击取消后关闭弹窗，点击确定后关闭弹窗并删除数据；已被核算引用的系数禁止物理删除。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DE2A0A">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23A5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22B3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F7C6D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F227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ADBE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F471C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F3F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DD66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324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FC8C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【新增因子】</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DCA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9B9E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15402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FC01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7EFE2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FF04A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97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品种唯一；系数 ＞ 0；单位匹配</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93B9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C46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D385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D43F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0969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非国标受控字段（或走换版流程）</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9475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329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国标受控字段弹出阻断提示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C876A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【版本】</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C40EC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打开版本窗口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71A85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DB2EE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列出历史版本</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7F3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提示「暂无历史版本」</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80703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E6FCE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C345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620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CB6F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阻断并提示引用数</w:t>
            </w:r>
          </w:p>
        </w:tc>
      </w:tr>
    </w:tbl>
    <w:p w14:paraId="48DCEE3A">
      <w:pPr>
        <w:rPr>
          <w:b w:val="0"/>
          <w:bCs w:val="0"/>
        </w:rPr>
      </w:pPr>
    </w:p>
    <w:p w14:paraId="5D544F7D">
      <w:pPr>
        <w:pStyle w:val="6"/>
        <w:numPr>
          <w:ilvl w:val="0"/>
          <w:numId w:val="21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1C698">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9BF6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A125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5211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3FEB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4C908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5C82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能源品种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428D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D49E5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6313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必填；如电力 / 天然气 / 原煤 / 柴油 / 汽油 / 外购蒸汽；全局唯一</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85721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B93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折标煤系数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D0B4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70407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kgce/{单位}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CAA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 0；保留 4 位小数；电力 / 天然气为 GB/T 2589-2020 受控值</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5AF4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A800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3D816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B13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D1CB7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取值｛kgce/kWh / kgce/m³ / kgce/kg / kgce/MJ｝；须与能源实物量单位匹配</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B37A8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8D562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低位热值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FD2F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206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MJ/{单位}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A064D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可空（电力显示「—（当量值）」）；＞ 0；保留 3 位小数</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C5D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C1AC4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D8A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F8B4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2BA9F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取值｛国家标准 / 行业标准 / 股份下发｝</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DF294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0F64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796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147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DE9A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必填；国家标准以标准号作版本（如 GB/T 2589-2020）；行业标准用 vYYYY.N</w:t>
            </w:r>
          </w:p>
        </w:tc>
      </w:tr>
    </w:tbl>
    <w:p w14:paraId="28B6293B">
      <w:pPr>
        <w:pStyle w:val="19"/>
        <w:bidi w:val="0"/>
        <w:rPr>
          <w:b w:val="0"/>
          <w:bCs w:val="0"/>
        </w:rPr>
      </w:pPr>
    </w:p>
    <w:p w14:paraId="2D9D293D">
      <w:pPr>
        <w:pStyle w:val="6"/>
        <w:numPr>
          <w:ilvl w:val="0"/>
          <w:numId w:val="21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CED0F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（1）折标计算</w:t>
            </w:r>
          </w:p>
          <w:p w14:paraId="411918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E_tce = Σ (Qᵢ × Cᵢ)</w:t>
            </w:r>
          </w:p>
          <w:p w14:paraId="233D251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Qᵢ 为第 i 种能源实物量，Cᵢ 为其折标煤系数（kgce/单位），E_tce 单位为 kgce。</w:t>
            </w:r>
          </w:p>
          <w:p w14:paraId="5A9CD6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（2）综合能源消费量</w:t>
            </w:r>
          </w:p>
          <w:p w14:paraId="16C243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E_total = Σ E_tce,i / 1000，单位 tce。</w:t>
            </w:r>
          </w:p>
          <w:p w14:paraId="397A8A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（3）低位热值法与当量值</w:t>
            </w:r>
          </w:p>
          <w:p w14:paraId="1131DA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电力采用当量值法：C_elec = 0.1229 kgce/kWh（不随热值变动）；</w:t>
            </w:r>
          </w:p>
          <w:p w14:paraId="496F92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其余能源采用低位热值法：Cᵢ 由低位热值 NCVᵢ 按 GB/T 2589 折算，量级关系 Cᵢ ∝ 1 / NCVᵢ。</w:t>
            </w:r>
          </w:p>
          <w:p w14:paraId="160BA9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单位一致性：折标前须先将各能源实物量归一到与系数单位相匹配的量纲。</w:t>
            </w:r>
          </w:p>
          <w:p w14:paraId="22C916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#43 坐实）</w:t>
            </w:r>
          </w:p>
          <w:p w14:paraId="688464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电力 0.1229 kgce/kWh（低位热值栏「—（当量值）」）；</w:t>
            </w:r>
          </w:p>
          <w:p w14:paraId="245361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天然气 1.2143 kgce/m³（低位热值 35.588 MJ/m³）；</w:t>
            </w:r>
          </w:p>
          <w:p w14:paraId="5B9FA5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原煤 0.7143 kgce/kg（20.908 MJ/kg）；</w:t>
            </w:r>
          </w:p>
          <w:p w14:paraId="49D7FA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柴油 1.4571 kgce/kg（42.652 MJ/kg）；</w:t>
            </w:r>
          </w:p>
          <w:p w14:paraId="5736E9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汽油 1.4714 kgce/kg（43.070 MJ/kg）；</w:t>
            </w:r>
          </w:p>
          <w:p w14:paraId="45CD93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外购蒸汽 0.0341 kgce/MJ（低位热值「—」，数据来源行业标准 v2026.1）。</w:t>
            </w:r>
          </w:p>
          <w:p w14:paraId="54F271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（5）与第三章口径一致性</w:t>
            </w:r>
          </w:p>
          <w:p w14:paraId="1C018E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电力 0.1229 与天然气 1.2143 是第三章核算引用的同一受控值；两章必须逐位一致。</w:t>
            </w:r>
          </w:p>
          <w:p w14:paraId="653F2C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2E5AC8F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折标煤系数保留 4 位小数；综合能耗保留 2 位小数，容差 ±0.01 tce。</w:t>
            </w:r>
          </w:p>
        </w:tc>
      </w:tr>
    </w:tbl>
    <w:p w14:paraId="10F35BC5">
      <w:pPr>
        <w:pStyle w:val="19"/>
        <w:bidi w:val="0"/>
        <w:rPr>
          <w:b w:val="0"/>
          <w:bCs w:val="0"/>
        </w:rPr>
      </w:pPr>
    </w:p>
    <w:p w14:paraId="48BB920D">
      <w:pPr>
        <w:pStyle w:val="6"/>
        <w:numPr>
          <w:ilvl w:val="0"/>
          <w:numId w:val="21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C16F6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列）：能源品种、折标煤系数、单位、低位热值、数据来源、版本、操作。</w:t>
            </w:r>
          </w:p>
          <w:p w14:paraId="2DD29A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（2）低位热值为空时显示「—」；电力行的低位热值显示「—（当量值）」以明示采用当量值法。</w:t>
            </w:r>
          </w:p>
          <w:p w14:paraId="5B052F2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（3）版本列直接显示标准号（GB/T 2589-2020），并附加受控角标（国标受控字段）。</w:t>
            </w:r>
          </w:p>
          <w:p w14:paraId="6F72B8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（4）排序规则：默认按能源品种固定序（电力 → 天然气 → 原煤 → 柴油 → 汽油 → 外购蒸汽）。</w:t>
            </w:r>
          </w:p>
          <w:p w14:paraId="45F392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（5）受控字段提示：电力、天然气两行的折标煤系数以加锁图标标注，悬浮提示「GB/T 2589-2020 强制国标受控值」。</w:t>
            </w:r>
          </w:p>
          <w:p w14:paraId="538124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（6）基准来源：GB/T 2589-2020《综合能耗计算通则》为唯一权威基准；截图 #43。</w:t>
            </w:r>
          </w:p>
        </w:tc>
      </w:tr>
    </w:tbl>
    <w:p w14:paraId="17003E55">
      <w:pPr>
        <w:pStyle w:val="19"/>
        <w:bidi w:val="0"/>
        <w:rPr>
          <w:b w:val="0"/>
          <w:bCs w:val="0"/>
        </w:rPr>
      </w:pPr>
    </w:p>
    <w:p w14:paraId="17039C25">
      <w:pPr>
        <w:pStyle w:val="6"/>
        <w:numPr>
          <w:ilvl w:val="0"/>
          <w:numId w:val="21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F3D6C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（1）品种重复阻断：能源品种已存在时，阻断，返回 E_SYS_FACTOR_COAL_DUP。</w:t>
            </w:r>
          </w:p>
          <w:p w14:paraId="5FD36A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（2）国标受控字段修改阻断：修改电力（0.1229）、天然气（1.2143）等 GB/T 2589-2020 强制受控值时，弹出阻断并提示「GB/T 2589-2020 强制国标受控字段」，返回 E_SYS_FACTOR_NATIONAL_LOCKED；如需变更须走标准换版流程（由系统管理员发起、单独审批）。</w:t>
            </w:r>
          </w:p>
          <w:p w14:paraId="4C31D7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（3）系数非法值拦截：折标煤系数 ≤ 0 时阻断，返回 E_SYS_FACTOR_VALUE_OUT_OF_RANGE。</w:t>
            </w:r>
          </w:p>
          <w:p w14:paraId="62E45A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（4）单位不匹配拦截：低位热值单位与能源实物量单位不一致时，阻断，返回 E_SYS_FACTOR_UNIT_MISMATCH。</w:t>
            </w:r>
          </w:p>
          <w:p w14:paraId="38DB83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（5）在用系数删除阻断：被核算引用时禁止物理删除，返回 E_SYS_FACTOR_IN_USE_DELETE_DENIED。</w:t>
            </w:r>
          </w:p>
          <w:p w14:paraId="624550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（6）除零安全：折标单耗计算中产值或产品产量为 0 时，不得除零崩溃，返回「--」并抛出软告警 E_CALC_UNIT_DIV_ZERO_SOFT。</w:t>
            </w:r>
          </w:p>
          <w:p w14:paraId="73605E3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（7）实物量负数校验：能耗实物量输入 ＜ 0 时拦截保存，返回 E_VAL_ENERGY_USAGE_NEGATIVE。</w:t>
            </w:r>
          </w:p>
          <w:p w14:paraId="2E7772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059E93E1">
      <w:pPr>
        <w:rPr>
          <w:b w:val="0"/>
          <w:bCs w:val="0"/>
        </w:rPr>
      </w:pPr>
    </w:p>
    <w:p w14:paraId="5F1F62F2">
      <w:pPr>
        <w:pStyle w:val="6"/>
        <w:numPr>
          <w:ilvl w:val="0"/>
          <w:numId w:val="21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51013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折标煤系数库维护</w:t>
            </w:r>
          </w:p>
          <w:p w14:paraId="5A20F0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新增能源折标煤系数</w:t>
            </w:r>
          </w:p>
          <w:p w14:paraId="472A69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能碳基础因子管理 › 折标煤系数库</w:t>
            </w:r>
          </w:p>
          <w:p w14:paraId="278303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点击【新增因子】，填写能源品种＝「外购蒸汽」、折标煤系数＝0.0341、单位＝kgce/MJ、数据来源＝「行业标准」、版本＝「v2026.1」并保存</w:t>
            </w:r>
          </w:p>
          <w:p w14:paraId="272F74A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列表新增一行，低位热值列显示「—」</w:t>
            </w:r>
          </w:p>
          <w:p w14:paraId="2B46FD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国标受控字段修改被阻断</w:t>
            </w:r>
          </w:p>
          <w:p w14:paraId="11BEF5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因子「电力」折标煤系数为 0.1229 kgce/kWh（GB/T 2589-2020 受控）</w:t>
            </w:r>
          </w:p>
          <w:p w14:paraId="46C35A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编辑该行并将系数改为 0.1300 后保存</w:t>
            </w:r>
          </w:p>
          <w:p w14:paraId="2C091D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系统阻断并提示「GB/T 2589-2020 强制国标受控字段」</w:t>
            </w:r>
          </w:p>
          <w:p w14:paraId="45A399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E_SYS_FACTOR_NATIONAL_LOCKED</w:t>
            </w:r>
          </w:p>
          <w:p w14:paraId="419FEB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与第三章引用值一致</w:t>
            </w:r>
          </w:p>
          <w:p w14:paraId="1E6E8E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本模块电力系数 0.1229、天然气系数 1.2143</w:t>
            </w:r>
          </w:p>
          <w:p w14:paraId="16EB2DF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校验第三章引用值</w:t>
            </w:r>
          </w:p>
          <w:p w14:paraId="7BEFBA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两者逐位一致，校验通过</w:t>
            </w:r>
          </w:p>
          <w:p w14:paraId="22D6D2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折标单耗除零软拦截</w:t>
            </w:r>
          </w:p>
          <w:p w14:paraId="65550F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某产品产值为 0</w:t>
            </w:r>
          </w:p>
          <w:p w14:paraId="386EA3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计算该产品折标单耗</w:t>
            </w:r>
          </w:p>
          <w:p w14:paraId="79BBCC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返回「--」</w:t>
            </w:r>
          </w:p>
          <w:p w14:paraId="7E1EF2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抛出软告警 E_CALC_UNIT_DIV_ZERO_SOFT，不产生除零异常</w:t>
            </w:r>
          </w:p>
          <w:p w14:paraId="149AC9B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系数非正数被拦截</w:t>
            </w:r>
          </w:p>
          <w:p w14:paraId="12FE41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新增因子并填写折标煤系数＝-0.1 后保存</w:t>
            </w:r>
          </w:p>
          <w:p w14:paraId="4C2FD0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FE5C2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E_SYS_FACTOR_VALUE_OUT_OF_RANGE</w:t>
            </w:r>
          </w:p>
        </w:tc>
      </w:tr>
    </w:tbl>
    <w:p w14:paraId="3662C747">
      <w:pPr>
        <w:rPr>
          <w:rFonts w:hint="default"/>
          <w:b w:val="0"/>
          <w:bCs w:val="0"/>
          <w:lang w:val="en-US" w:eastAsia="zh-CN"/>
        </w:rPr>
      </w:pPr>
    </w:p>
    <w:p w14:paraId="61DACAE6">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2" w:name="_Toc31062"/>
      <w:r>
        <w:rPr>
          <w:rFonts w:hint="eastAsia" w:ascii="Times New Roman" w:hAnsi="Times New Roman" w:eastAsia="黑体" w:cs="Times New Roman"/>
          <w:b w:val="0"/>
          <w:bCs w:val="0"/>
          <w:sz w:val="30"/>
          <w:szCs w:val="32"/>
          <w:lang w:val="en-US" w:eastAsia="zh-CN"/>
        </w:rPr>
        <w:t>费价模型</w:t>
      </w:r>
      <w:bookmarkEnd w:id="72"/>
    </w:p>
    <w:p w14:paraId="36F81A84">
      <w:pPr>
        <w:pStyle w:val="19"/>
        <w:bidi w:val="0"/>
        <w:rPr>
          <w:rFonts w:hint="eastAsia" w:eastAsia="宋体"/>
          <w:lang w:eastAsia="zh-CN"/>
        </w:rPr>
      </w:pPr>
      <w:r>
        <w:rPr>
          <w:rFonts w:hint="eastAsia"/>
          <w:lang w:val="en-US" w:eastAsia="zh-CN"/>
          <w:b/>
        </w:rPr>
        <w:t xml:space="preserve">本板块是能源成本核算的价格基准中心，按工厂维度维护电、天然气、蒸汽与水三类能源的分时费价方案，为能耗成本测算、分时用电经济分析与产品碳成本核算提供价格基准。板块规模为单模块，因此采用「板块即模块」的呈现方式。</w:t>
      </w:r>
    </w:p>
    <w:p w14:paraId="2731D8AE">
      <w:pPr>
        <w:pStyle w:val="19"/>
        <w:bidi w:val="0"/>
        <w:rPr>
          <w:rFonts w:hint="eastAsia" w:eastAsia="宋体"/>
          <w:lang w:eastAsia="zh-CN"/>
        </w:rPr>
      </w:pPr>
      <w:r>
        <w:rPr>
          <w:rFonts w:hint="eastAsia"/>
          <w:lang w:val="en-US" w:eastAsia="zh-CN"/>
        </w:rPr>
        <w:t xml:space="preserve">边界声明：本板块只维护价格规则，不产生实际费用结算；实际能耗成本由集控中心按本板块发布的生效方案与实测用能量计算得出。价格依据须可追溯（如辽发改价格（2025）856 号），任何调价必须形成新版本并结合生效周期，禁止就地覆盖历史版本。</w:t>
      </w:r>
    </w:p>
    <w:p w14:paraId="6AEF7DBD">
      <w:pPr>
        <w:pStyle w:val="19"/>
        <w:bidi w:val="0"/>
        <w:rPr>
          <w:rFonts w:hint="eastAsia" w:eastAsia="宋体"/>
          <w:lang w:eastAsia="zh-CN"/>
        </w:rPr>
      </w:pPr>
      <w:r>
        <w:rPr>
          <w:rFonts w:hint="eastAsia"/>
          <w:lang w:val="en-US" w:eastAsia="zh-CN"/>
        </w:rPr>
        <w:t xml:space="preserve">输入输出链：组织管理的企业结构树 → 按工厂定位费价方案 → 分时费率与附加费用配置 → 版本管理（草稿 / 生效中 / 已失效）→ 集控成本测算与第三章碳成本分量只读引用。</w:t>
      </w:r>
    </w:p>
    <w:p w14:paraId="596B652C">
      <w:pPr>
        <w:pStyle w:val="5"/>
        <w:numPr>
          <w:ilvl w:val="0"/>
          <w:numId w:val="247"/>
        </w:numPr>
        <w:ind w:left="0" w:leftChars="0" w:firstLine="0" w:firstLineChars="0"/>
        <w:outlineLvl w:val="1"/>
        <w:rPr>
          <w:rFonts w:hint="default" w:cs="Times New Roman"/>
          <w:b w:val="0"/>
          <w:bCs w:val="0"/>
          <w:sz w:val="30"/>
          <w:szCs w:val="24"/>
          <w:lang w:val="en-US" w:eastAsia="zh-CN"/>
        </w:rPr>
      </w:pPr>
      <w:bookmarkStart w:id="1468103069" w:name="_Toc1468103069"/>
      <w:r>
        <w:rPr>
          <w:rFonts w:hint="eastAsia" w:cs="Times New Roman"/>
          <w:b w:val="0"/>
          <w:bCs w:val="0"/>
          <w:sz w:val="30"/>
          <w:szCs w:val="24"/>
          <w:lang w:val="en-US" w:eastAsia="zh-CN"/>
        </w:rPr>
        <w:t xml:space="preserve">费价模型</w:t>
      </w:r>
      <w:bookmarkEnd w:id="1468103069"/>
    </w:p>
    <w:p w14:paraId="6E01D7A7">
      <w:pPr>
        <w:rPr>
          <w:b w:val="0"/>
          <w:bCs w:val="0"/>
        </w:rPr>
      </w:pPr>
      <w:r>
        <w:drawing>
          <wp:inline distT="0" distB="0" distL="114300" distR="114300">
            <wp:extent cx="5900420" cy="2925445"/>
            <wp:effectExtent l="0" t="0" r="5080" b="8255"/>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102"/>
                    <a:stretch>
                      <a:fillRect/>
                    </a:stretch>
                  </pic:blipFill>
                  <pic:spPr>
                    <a:xfrm>
                      <a:off x="0" y="0"/>
                      <a:ext cx="5900420" cy="2925445"/>
                    </a:xfrm>
                    <a:prstGeom prst="rect">
                      <a:avLst/>
                    </a:prstGeom>
                    <a:noFill/>
                    <a:ln>
                      <a:noFill/>
                    </a:ln>
                  </pic:spPr>
                </pic:pic>
              </a:graphicData>
            </a:graphic>
          </wp:inline>
        </w:drawing>
      </w:r>
    </w:p>
    <w:p w14:paraId="4FBF4556">
      <w:pPr>
        <w:pStyle w:val="6"/>
        <w:numPr>
          <w:ilvl w:val="0"/>
          <w:numId w:val="21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EAD74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能源成本核算的基础模型配置单元，按工厂维度维护电、天然气、蒸汽与水等能源的分时费价方案，支持时段电价、基础电费、力调考核与溢价参数配置及版本管理，可实现费价方案跨企业同步复制，为园区能耗成本测算、分时用电经济分析与产品碳成本核算提供能源价格基准。</w:t>
            </w:r>
          </w:p>
          <w:p w14:paraId="2FA76C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系统管理员（全量费价模型新建、参数维护、版本管理、方案复制与同步下发）。</w:t>
            </w:r>
          </w:p>
          <w:p w14:paraId="53B70C2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页面路由：/system/price-model（左侧导航：系统管理 › 费价模型）。</w:t>
            </w:r>
          </w:p>
          <w:p w14:paraId="1217028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上游依赖：组织管理（企业结构树，用于按工厂维度定位费价方案）。</w:t>
            </w:r>
          </w:p>
          <w:p w14:paraId="589631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下游输出：集控中心能耗成本测算与分时用电经济分析；第三章产品碳足迹的碳成本分量与绿电抵扣计算。</w:t>
            </w:r>
          </w:p>
          <w:p w14:paraId="6A5247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PM）全量可写；其余角色一律只读。费价方案按工厂维度隔离——跨工厂查看或同步，须具备目标工厂所在组织节点的数据范围。</w:t>
            </w:r>
          </w:p>
        </w:tc>
      </w:tr>
    </w:tbl>
    <w:p w14:paraId="5C8F5A51">
      <w:pPr>
        <w:rPr>
          <w:b w:val="0"/>
          <w:bCs w:val="0"/>
        </w:rPr>
      </w:pPr>
    </w:p>
    <w:p w14:paraId="1CCEDED1">
      <w:pPr>
        <w:pStyle w:val="6"/>
        <w:numPr>
          <w:ilvl w:val="0"/>
          <w:numId w:val="21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690478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EF9754">
            <w:pPr>
              <w:pStyle w:val="19"/>
              <w:bidi w:val="0"/>
              <w:ind w:left="0" w:leftChars="0" w:firstLine="0" w:firstLineChars="0"/>
            </w:pPr>
            <w:r>
              <w:rPr>
                <w:b/>
                <w:bCs/>
                <w:lang w:val="en-US" w:eastAsia="zh-CN"/>
              </w:rPr>
              <w:t>业务场景</w:t>
            </w:r>
            <w:r>
              <w:rPr>
                <w:lang w:val="en-US" w:eastAsia="zh-CN"/>
              </w:rPr>
              <w:t>：面向系统管理员进行能源成本核算规则配置场景，按园区工厂维度配置分时能源价格模型，支撑集团能耗成本精细化测算。</w:t>
            </w:r>
          </w:p>
          <w:p w14:paraId="681E1793">
            <w:pPr>
              <w:pStyle w:val="19"/>
              <w:bidi w:val="0"/>
              <w:ind w:left="0" w:leftChars="0" w:firstLine="0" w:firstLineChars="0"/>
            </w:pPr>
            <w:r>
              <w:rPr>
                <w:b/>
                <w:bCs/>
                <w:lang w:val="en-US" w:eastAsia="zh-CN"/>
              </w:rPr>
              <w:t>用户故事</w:t>
            </w:r>
            <w:r>
              <w:rPr>
                <w:lang w:val="en-US" w:eastAsia="zh-CN"/>
              </w:rPr>
              <w:t>：</w:t>
            </w:r>
          </w:p>
          <w:p w14:paraId="2AE0B769">
            <w:pPr>
              <w:pStyle w:val="19"/>
              <w:bidi w:val="0"/>
            </w:pPr>
            <w:r>
              <w:rPr>
                <w:lang w:val="en-US" w:eastAsia="zh-CN"/>
              </w:rPr>
              <w:t>As a 系统管理员 (Persona PM)，</w:t>
            </w:r>
          </w:p>
          <w:p w14:paraId="5E0A166A">
            <w:pPr>
              <w:pStyle w:val="19"/>
              <w:bidi w:val="0"/>
            </w:pPr>
            <w:r>
              <w:rPr>
                <w:lang w:val="en-US" w:eastAsia="zh-CN"/>
              </w:rPr>
              <w:t>I want 配置多维度分时费价规则、维护能源价格模型、同步复制价格方案，</w:t>
            </w:r>
          </w:p>
          <w:p w14:paraId="776A366F">
            <w:pPr>
              <w:pStyle w:val="19"/>
              <w:bidi w:val="0"/>
            </w:pPr>
            <w:r>
              <w:rPr>
                <w:lang w:val="en-US" w:eastAsia="zh-CN"/>
              </w:rPr>
              <w:t>So that 我能支撑集团能源成本统计、分时能耗经济分析，完善能碳经营数据底座。</w:t>
            </w:r>
          </w:p>
        </w:tc>
      </w:tr>
    </w:tbl>
    <w:p w14:paraId="36B4210A">
      <w:pPr>
        <w:rPr>
          <w:b w:val="0"/>
          <w:bCs w:val="0"/>
        </w:rPr>
      </w:pPr>
    </w:p>
    <w:p w14:paraId="149431DF">
      <w:pPr>
        <w:pStyle w:val="6"/>
        <w:numPr>
          <w:ilvl w:val="0"/>
          <w:numId w:val="21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87A3F0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页面布局：左侧「企业结构树」＋ 右侧「费价方案配置区」（顶部方案条 ＋ 三介质页签 ＋ 五时段卡片 ＋ 分时色带与时段表 ＋ 附加费用卡片 ＋ 版本历史）。</w:t>
            </w:r>
          </w:p>
          <w:p w14:paraId="2F9DE2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（1）企业结构树：点击左侧企业结构树可展开 2、3 级节点；点击工厂节点后，右侧费价模块读取当前工厂的费价方案。</w:t>
            </w:r>
          </w:p>
          <w:p w14:paraId="28F20B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（2）介质页签：点击【电费费价】【天然气费价】【蒸汽与水费价】切换三个费用模块。</w:t>
            </w:r>
          </w:p>
          <w:p w14:paraId="344C715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（3）切换查看方案：下拉框中显示已保存的费价方案列表，可切换查看历史方案。</w:t>
            </w:r>
          </w:p>
          <w:p w14:paraId="2C5DFDF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（4）复制调价【复制调价（生成新草稿）】：基于当前方案生成新草稿，费价模块变为可编辑状态。</w:t>
            </w:r>
          </w:p>
          <w:p w14:paraId="46824E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（5）新建草稿【新建草稿】：生成一套空白的费价模块。</w:t>
            </w:r>
          </w:p>
          <w:p w14:paraId="70F7EE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（6）正式启用方案【正式启用方案】：将当前方案置为正式生效状态；同工厂同介质原生效方案自动置为「已失效」。</w:t>
            </w:r>
          </w:p>
          <w:p w14:paraId="489F62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（7）执行季节时段【夏季时段】【冬季时段】：切换夏季和冬季峰谷平电力费价方案。</w:t>
            </w:r>
          </w:p>
          <w:p w14:paraId="46FA325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（8）同步到其他企业【同步到其他企业】：打开同步费价方案弹窗，将当前方案复制到下辖其他企业。</w:t>
            </w:r>
          </w:p>
          <w:p w14:paraId="5D20EB0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（9）版本历史：保存后的方案在下方【费价方案版本历史】中展示；点击列表中的方案可查看该方案详情。</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207D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CB9B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8E13C6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ADBC1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0773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62A1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企业结构树节点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C30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选中工厂</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2031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65535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右侧加载该工厂费价方案</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3A1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4D78A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介质页签</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CB6A6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A55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806E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费用模块切换为对应介质</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DABE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82782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方案下拉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D6D5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选择历史方案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9812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BF35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方案条与费率卡片刷新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2380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3648A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【复制调价】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5CC0F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生成新草稿</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680BB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当前存在已保存方案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2F8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生成可编辑草稿，记录源版本号</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62C50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提示「请先保存当前方案」</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9D511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【新建草稿】</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58A7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新建空白方案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A2A8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FFCE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生成空白可编辑方案</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81A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7833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【正式启用方案】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4BBC9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启用当前方案</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4F38E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必填项齐全、周期不重叠、时段价不倒挂</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0409E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状态置「生效中」，原方案转「已失效」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577D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阻断并定位不满足项</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F48C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【夏季/冬季时段】</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9972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切换季节</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068B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733A7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五时段卡片与色带刷新</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A8B2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433D2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【同步到其他企业】</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60BA3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打开同步弹窗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B62D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目标企业 ⊆ 操作者数据范围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2C6FA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生成目标企业同名方案</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7187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阻断并提示越权企业</w:t>
            </w:r>
          </w:p>
        </w:tc>
      </w:tr>
    </w:tbl>
    <w:p w14:paraId="56548B3C">
      <w:pPr>
        <w:rPr>
          <w:b w:val="0"/>
          <w:bCs w:val="0"/>
        </w:rPr>
      </w:pPr>
    </w:p>
    <w:p w14:paraId="0C67A3E7">
      <w:pPr>
        <w:pStyle w:val="6"/>
        <w:numPr>
          <w:ilvl w:val="0"/>
          <w:numId w:val="21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0D82D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55AC7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59C99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C4CF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53AB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0764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6AD8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电费费价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101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AD2A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6C2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电费模块组标题，承载 5 个时段单价与 3 项附加费</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F566F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A59B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天然气费价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7B13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253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B6B6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天然气模块组标题，承载阶梯气价</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9786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76F87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蒸汽与水费价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8B1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分组标题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64B9A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4886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蒸汽与水模块组标题，按介质逐条配置</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20C9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5D977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深谷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34BD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8CBF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8FAB6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深谷时段电价；≥0；保留 4 位小数；夏季示例 0.2650</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14F5E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2A774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低谷</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B53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A6D34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740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低谷时段电价；≥0；夏季示例 0.3520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169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C3A0D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平时</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924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42C2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946B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平段时段电价；≥0；夏季示例 0.7250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12280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FF304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高峰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0C2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82B3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749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高峰时段电价；≥0；夏季示例 1.1690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D6CA9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0398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尖峰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D5C2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721B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元/kWh</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73E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尖峰时段电价；≥0；夏季示例 1.4200；须满足 尖峰 ≥ 高峰 ≥ 平段 ≥ 低谷 ≥ 深谷</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EF200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9</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CE59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阶梯档位名称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755C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322A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B32F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天然气阶梯名（如「第一档」「第二档」）</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4751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8932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月度用气量区间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216B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区间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C8E3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5A5E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阶梯对应的月用气量区间（如 0~500）；区间须连续且不重叠</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C2050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0CC7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对应结算单价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1AA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47B71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915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阶梯单价；≥0；保留 4 位小数</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4D14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32BEF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计费说明与适用工序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6EC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4BC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923B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≤100 字符；说明该阶梯的计费口径与适用工序</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1723B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B4F0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介质名称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6D41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B82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CDF6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取值｛蒸汽 / 水 / 软化水 / 除盐水｝</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1E7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2BE6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供能来源与参数标准</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0658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1B9FA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DA4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≤60 字符；如「自备锅炉 1.0MPa 饱和蒸汽」</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0C7FF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15</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27614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属地结算单价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CDE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CECF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元</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198D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必填；≥0；保留 4 位小数；单位由「计量单位」决定</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BF23E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AE7AB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80A7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2A3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7BD59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取值｛元/kWh / 元/m³ / 元/GJ / 元/t / 元/kVA·月 / 元/kW·月｝</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BE89C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6B1F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结算口径说明</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4669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14C8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C8E0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≤100 字符；说明结算口径（含税方式、计量边界）</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3AB63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B686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版本号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E69E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D8E40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A98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系统自动生成；格式 vYYYY.NN（如 v2026.01）；不可手工录入</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3D5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19</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B368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方案名称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D460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B076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2BC2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必填；≤50 字符；如「2026 年度沈阳市大」</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74C16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D2C0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生效周期</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573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日期区间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0CDDA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CA6D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必填；start ≤ end；如 2026-01-01 ~ 2026-12-31；同厂同介质不得与在效方案重叠</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F8D7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618D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975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9FF2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A35D6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取值｛草稿 / 生效中 / 已失效｝；由「正式启用方案」动作驱动，不可手工改</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3C855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747C8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维护责任人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7BA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9538C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69F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默认取当前操作人；≤20 字符</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03680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C0EC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更新时间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E1C0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日期时间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D1DD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948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系统自动写入，精确到秒；不可编辑</w:t>
            </w:r>
          </w:p>
        </w:tc>
      </w:tr>
    </w:tbl>
    <w:p w14:paraId="143D0A32">
      <w:pPr>
        <w:pStyle w:val="19"/>
        <w:bidi w:val="0"/>
        <w:rPr>
          <w:b w:val="0"/>
          <w:bCs w:val="0"/>
        </w:rPr>
      </w:pPr>
    </w:p>
    <w:p w14:paraId="1F9EC239">
      <w:pPr>
        <w:pStyle w:val="6"/>
        <w:numPr>
          <w:ilvl w:val="0"/>
          <w:numId w:val="21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E82B8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（1）分时电费计算</w:t>
            </w:r>
          </w:p>
          <w:p w14:paraId="1396B03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C_elec = Σ_t (Q_t × P_t)，t ∈ {深谷, 低谷, 平段, 高峰, 尖峰}</w:t>
            </w:r>
          </w:p>
          <w:p w14:paraId="444E70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Q_t 为 t 时段用电量（kWh），P_t 为该时段电价（元/kWh）。</w:t>
            </w:r>
          </w:p>
          <w:p w14:paraId="38EBFC8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（2）两部制电费</w:t>
            </w:r>
          </w:p>
          <w:p w14:paraId="77EE50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C_basic = max(C_capacity, C_demand)</w:t>
            </w:r>
          </w:p>
          <w:p w14:paraId="6C4C12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C_capacity = S_cap × 31.00（元/(kVA·月)），S_cap 为变压器容量（kVA）</w:t>
            </w:r>
          </w:p>
          <w:p w14:paraId="633A48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C_demand   = P_max × 48.00（元/(kW·月)），P_max 为最大需量（kW）</w:t>
            </w:r>
          </w:p>
          <w:p w14:paraId="2E90C5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（3）力调电费考核</w:t>
            </w:r>
          </w:p>
          <w:p w14:paraId="29F0979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C_pf = C_base × k(cosφ)，基准功率因数 cosφ₀ = 0.90</w:t>
            </w:r>
          </w:p>
          <w:p w14:paraId="7B319C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cosφ ＞ 0.90 → k(cosφ) ＜ 0（节能减收）</w:t>
            </w:r>
          </w:p>
          <w:p w14:paraId="212ED3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cosφ ＜ 0.90 → k(cosφ) ＞ 0（考核增加支出）</w:t>
            </w:r>
          </w:p>
          <w:p w14:paraId="21569F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（4）直供电碳交易溢价</w:t>
            </w:r>
          </w:p>
          <w:p w14:paraId="732814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C_carbon = Q × α，α 为碳交易价格系数（元/kWh；截图示例 0.0000）</w:t>
            </w:r>
          </w:p>
          <w:p w14:paraId="15CF33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当 α ＞ 0 时，该溢价计入产品碳足迹的成本分量；同时工厂外购绿电及绿证 / 环境权益证书，计入产品碳足迹排放因子的扣减项。</w:t>
            </w:r>
          </w:p>
          <w:p w14:paraId="4B4D8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（5）阶梯气价</w:t>
            </w:r>
          </w:p>
          <w:p w14:paraId="65D1C4E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C_gas = Σ_k (Q_k × P_k)，Q_k 落入第 k 档月度用气量区间，P_k 为该档对应结算单价。</w:t>
            </w:r>
          </w:p>
          <w:p w14:paraId="1FD94F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（6）版本号生成规则</w:t>
            </w:r>
          </w:p>
          <w:p w14:paraId="18500F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版本号 = "v" + 生效年(YYYY) + "." + 当年顺序号(NN，两位)，如 v2026.01。</w:t>
            </w:r>
          </w:p>
          <w:p w14:paraId="46F74F4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（7）取值示例（截图 #44 坐实，夏季电费）</w:t>
            </w:r>
          </w:p>
          <w:p w14:paraId="693EF9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深谷 0.2650 元/kWh（新能源弃风弃光时段价）；</w:t>
            </w:r>
          </w:p>
          <w:p w14:paraId="26B54F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低谷 0.3520 元/kWh（燃煤 / 核电机组电价）；</w:t>
            </w:r>
          </w:p>
          <w:p w14:paraId="68459F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平段 0.7250 元/kWh（燃煤基准电价）；</w:t>
            </w:r>
          </w:p>
          <w:p w14:paraId="1BD49F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高峰 1.1690 元/kWh（日间电力生产活动电价）；</w:t>
            </w:r>
          </w:p>
          <w:p w14:paraId="57C4E9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尖峰 1.4200 元/kWh（短期供需紧张调节电价）；</w:t>
            </w:r>
          </w:p>
          <w:p w14:paraId="3848A35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两部制：变压器容量单价 31.00 元/(kVA·月)、最大需量单价 48.00 元/(kW·月)；</w:t>
            </w:r>
          </w:p>
          <w:p w14:paraId="7C23BD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力调考核：基准功率因数 COSφ = 0.90；</w:t>
            </w:r>
          </w:p>
          <w:p w14:paraId="4612BC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碳交易价格系数 = 0.0000 元/kWh。</w:t>
            </w:r>
          </w:p>
          <w:p w14:paraId="5B80F6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价格依据：辽发改价格（2025）856 号（2026 年度沈阳市）。</w:t>
            </w:r>
          </w:p>
          <w:p w14:paraId="78C42A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（8）精度与容差</w:t>
            </w:r>
          </w:p>
          <w:p w14:paraId="1C3286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单价保留 4 位小数；成本金额保留 2 位小数，容差 ±0.01 元。</w:t>
            </w:r>
          </w:p>
        </w:tc>
      </w:tr>
    </w:tbl>
    <w:p w14:paraId="5320B45C">
      <w:pPr>
        <w:pStyle w:val="19"/>
        <w:bidi w:val="0"/>
        <w:rPr>
          <w:b w:val="0"/>
          <w:bCs w:val="0"/>
        </w:rPr>
      </w:pPr>
    </w:p>
    <w:p w14:paraId="0060849F">
      <w:pPr>
        <w:pStyle w:val="6"/>
        <w:numPr>
          <w:ilvl w:val="0"/>
          <w:numId w:val="21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94B1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（1）方案条展示：状态标签（生效中）＋ 方案名称（v2026.01 - 2026 年度沈阳市大）＋ 执行周期（2026-01-01 ~ 2026-12-31）＋ 价格依据文件。</w:t>
            </w:r>
          </w:p>
          <w:p w14:paraId="283BB5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（2）五时段卡片展示：时段名称（中英对照，如 深谷 Deep Valley）＋ 单价（元/kWh，4 位小数）＋ 价格来源说明。</w:t>
            </w:r>
          </w:p>
          <w:p w14:paraId="236B98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（3）分时色带与时段表：周 24 小时按 30 分钟槽着色（深谷 / 低谷 / 平段 / 高峰 / 尖峰五色，图例常在），下方为时段划分表（槽序 / 时段数 / 时段电价）。</w:t>
            </w:r>
          </w:p>
          <w:p w14:paraId="6B4C88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（4）附加费用卡片三枚：两部制核算本电费、力调电费考核规则、直供电碳交易溢价。</w:t>
            </w:r>
          </w:p>
          <w:p w14:paraId="6A96E5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（5）排序规则：介质页签固定序（电费费价 → 天然气费价 → 蒸汽与水费价）；版本历史按版本号降序。</w:t>
            </w:r>
          </w:p>
          <w:p w14:paraId="555113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（6）状态判定口径：</w:t>
            </w:r>
          </w:p>
          <w:p w14:paraId="290338E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生效中 ＝ 状态字段为「生效中」且当前日期落在生效周期内；</w:t>
            </w:r>
          </w:p>
          <w:p w14:paraId="6E80D3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草稿 ＝ 已保存但未启用；</w:t>
            </w:r>
          </w:p>
          <w:p w14:paraId="28132C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 已失效 ＝ 生效周期已过，或已被同厂同介质的新版本替代。</w:t>
            </w:r>
          </w:p>
          <w:p w14:paraId="2B9C9C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（7）一致性口径：同一工厂同一介质在同一时刻仅允许一个「生效中」方案；五时段价格须满足单调关系（尖峰 ≥ 高峰 ≥ 平段 ≥ 低谷 ≥ 深谷）。</w:t>
            </w:r>
          </w:p>
          <w:p w14:paraId="45DBAA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（8）基准来源：电价口径与依据文件取自原型截图 #44（辽发改价格（2025）856 号）；两部制与力调参数取自当地电网结算规则。</w:t>
            </w:r>
          </w:p>
        </w:tc>
      </w:tr>
    </w:tbl>
    <w:p w14:paraId="4AFFD8D0">
      <w:pPr>
        <w:pStyle w:val="19"/>
        <w:bidi w:val="0"/>
        <w:rPr>
          <w:b w:val="0"/>
          <w:bCs w:val="0"/>
        </w:rPr>
      </w:pPr>
    </w:p>
    <w:p w14:paraId="165551A1">
      <w:pPr>
        <w:pStyle w:val="6"/>
        <w:numPr>
          <w:ilvl w:val="0"/>
          <w:numId w:val="21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92527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（1）时段价格倒挂拦截：五时段价格不满足「尖峰 ≥ 高峰 ≥ 平段 ≥ 低谷 ≥ 深谷」时，阻断，返回 E_SYS_PRICE_TIER_INVERSION。</w:t>
            </w:r>
          </w:p>
          <w:p w14:paraId="5A0B38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（2）费率负值拦截：任一时段单价 ＜ 0 时，阻断，返回 E_SYS_PRICE_VALUE_NEGATIVE。</w:t>
            </w:r>
          </w:p>
          <w:p w14:paraId="6454E9A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（3）生效周期冲突：同一工厂同介质已存在生效周期重叠的「生效中」方案时，阻断，返回 E_SYS_PRICE_PERIOD_OVERLAP。</w:t>
            </w:r>
          </w:p>
          <w:p w14:paraId="4986813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（4）生效周期非法：生效周期 start ＞ end 时，阻断，返回 E_SYS_PRICE_PERIOD_INVALID。</w:t>
            </w:r>
          </w:p>
          <w:p w14:paraId="12332F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（5）跨企业同步越权：同步目标企业不在操作者数据范围内时，阻断并列出越权企业，返回 E_SYS_PRICE_SYNC_OUT_OF_SCOPE。</w:t>
            </w:r>
          </w:p>
          <w:p w14:paraId="65A383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（6）启用前置校验：方案存在未填写必填项（介质单价 / 方案名称 / 生效周期）时，「正式启用方案」按钮置灰并悬浮提示缺失项。</w:t>
            </w:r>
          </w:p>
          <w:p w14:paraId="760AE2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（7）复制调价留痕：复制生成的新草稿须记录源方案版本号与操作人，形成版本血缘链。</w:t>
            </w:r>
          </w:p>
          <w:p w14:paraId="708103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（8）阶梯区间不连续拦截：天然气阶梯的月度用气量区间出现重叠或断档时，阻断，返回 E_SYS_PRICE_TIER_GAP。</w:t>
            </w:r>
          </w:p>
          <w:p w14:paraId="7ED5DB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（9）越权写拦截：非 P4 角色调用本模块写接口时，返回 HTTP 403，触发 E_AUTH_RBAC_FORBIDDEN。</w:t>
            </w:r>
          </w:p>
        </w:tc>
      </w:tr>
    </w:tbl>
    <w:p w14:paraId="0EA435A3">
      <w:pPr>
        <w:rPr>
          <w:b w:val="0"/>
          <w:bCs w:val="0"/>
        </w:rPr>
      </w:pPr>
    </w:p>
    <w:p w14:paraId="1C59A583">
      <w:pPr>
        <w:pStyle w:val="6"/>
        <w:numPr>
          <w:ilvl w:val="0"/>
          <w:numId w:val="21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55AC7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费价模型配置</w:t>
            </w:r>
          </w:p>
          <w:p w14:paraId="33C506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按工厂维度新建费价方案草稿</w:t>
            </w:r>
          </w:p>
          <w:p w14:paraId="64A73DB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费价模型 并在左侧企业结构树选中「沈变本部」</w:t>
            </w:r>
          </w:p>
          <w:p w14:paraId="7B93B1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点击【新建草稿】，在电费费价页签填写深谷 0.2650、低谷 0.3520、平段 0.7250、高峰 1.1690、尖峰 1.4200（元/kWh）并保存</w:t>
            </w:r>
          </w:p>
          <w:p w14:paraId="7E4557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方案保存为「草稿」状态</w:t>
            </w:r>
          </w:p>
          <w:p w14:paraId="5FD6A5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版本号自动生成为 v2026.02</w:t>
            </w:r>
          </w:p>
          <w:p w14:paraId="589A9C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复制调价生成新草稿并记录血缘</w:t>
            </w:r>
          </w:p>
          <w:p w14:paraId="6F8A4F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「沈变本部」存在生效中方案 v2026.01</w:t>
            </w:r>
          </w:p>
          <w:p w14:paraId="71C74C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点击【复制调价（生成新草稿）】</w:t>
            </w:r>
          </w:p>
          <w:p w14:paraId="7657E4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系统生成新草稿，费价模块变为可编辑状态</w:t>
            </w:r>
          </w:p>
          <w:p w14:paraId="56A4EC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新草稿记录源方案版本号 v2026.01</w:t>
            </w:r>
          </w:p>
          <w:p w14:paraId="7DB1FB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时段价格倒挂被拦截</w:t>
            </w:r>
          </w:p>
          <w:p w14:paraId="61F45F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正在编辑电费费价</w:t>
            </w:r>
          </w:p>
          <w:p w14:paraId="32CB4EF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将尖峰设为 0.9000（低于高峰 1.1690）并保存</w:t>
            </w:r>
          </w:p>
          <w:p w14:paraId="1539BB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系统阻断并提示「尖峰电价不得低于高峰电价」</w:t>
            </w:r>
          </w:p>
          <w:p w14:paraId="4BFFCF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E_SYS_PRICE_TIER_INVERSION</w:t>
            </w:r>
          </w:p>
          <w:p w14:paraId="4BDBE9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正式启用方案并联动失效旧版</w:t>
            </w:r>
          </w:p>
          <w:p w14:paraId="50CA493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草稿方案的必填项已全部填写且周期不重叠</w:t>
            </w:r>
          </w:p>
          <w:p w14:paraId="7C6D59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点击【正式启用方案】</w:t>
            </w:r>
          </w:p>
          <w:p w14:paraId="20E3C9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该方案状态变为「生效中」</w:t>
            </w:r>
          </w:p>
          <w:p w14:paraId="5128C1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同工厂同介质原「生效中」方案状态变为「已失效」</w:t>
            </w:r>
          </w:p>
          <w:p w14:paraId="5F7704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生效周期重叠被阻断</w:t>
            </w:r>
          </w:p>
          <w:p w14:paraId="378018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「沈变本部」已存在 2026-01-01 ~ 2026-12-31 的生效中方案</w:t>
            </w:r>
          </w:p>
          <w:p w14:paraId="683D23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新建方案并填写生效周期 2026-06-01 ~ 2026-12-31 后启用</w:t>
            </w:r>
          </w:p>
          <w:p w14:paraId="3F806C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系统阻断并提示周期重叠</w:t>
            </w:r>
          </w:p>
          <w:p w14:paraId="2F712A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E_SYS_PRICE_PERIOD_OVERLAP</w:t>
            </w:r>
          </w:p>
          <w:p w14:paraId="4898A5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跨企业同步越权被阻断</w:t>
            </w:r>
          </w:p>
          <w:p w14:paraId="217D73C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操作者数据范围仅含「沈变本部」</w:t>
            </w:r>
          </w:p>
          <w:p w14:paraId="1227019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点击【同步到其他企业】并选择「衡变本部」</w:t>
            </w:r>
          </w:p>
          <w:p w14:paraId="5014B5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系统阻断并提示超出数据范围</w:t>
            </w:r>
          </w:p>
          <w:p w14:paraId="55BB8B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E_SYS_PRICE_SYNC_OUT_OF_SCOPE</w:t>
            </w:r>
          </w:p>
          <w:p w14:paraId="1BC658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季节时段切换</w:t>
            </w:r>
          </w:p>
          <w:p w14:paraId="5EA16E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当前执行时段为「夏季时段」</w:t>
            </w:r>
          </w:p>
          <w:p w14:paraId="6D8864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点击「冬季时段」</w:t>
            </w:r>
          </w:p>
          <w:p w14:paraId="722328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五时段卡片与分时色带切换为冬季峰谷平方案</w:t>
            </w:r>
          </w:p>
        </w:tc>
      </w:tr>
    </w:tbl>
    <w:p w14:paraId="75F60FA6">
      <w:pPr>
        <w:rPr>
          <w:rFonts w:hint="eastAsia"/>
          <w:b w:val="0"/>
          <w:bCs w:val="0"/>
          <w:lang w:val="en-US" w:eastAsia="zh-CN"/>
        </w:rPr>
      </w:pPr>
    </w:p>
    <w:p w14:paraId="28F74143">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3" w:name="_Toc8429"/>
      <w:r>
        <w:rPr>
          <w:rFonts w:hint="eastAsia" w:ascii="Times New Roman" w:hAnsi="Times New Roman" w:eastAsia="黑体" w:cs="Times New Roman"/>
          <w:b w:val="0"/>
          <w:bCs w:val="0"/>
          <w:sz w:val="30"/>
          <w:szCs w:val="32"/>
          <w:lang w:val="en-US" w:eastAsia="zh-CN"/>
        </w:rPr>
        <w:t>生产设备维护</w:t>
      </w:r>
      <w:bookmarkEnd w:id="73"/>
    </w:p>
    <w:p w14:paraId="6F31EB53">
      <w:pPr>
        <w:pStyle w:val="19"/>
        <w:bidi w:val="0"/>
        <w:rPr>
          <w:rFonts w:hint="eastAsia" w:eastAsia="宋体"/>
          <w:lang w:eastAsia="zh-CN"/>
        </w:rPr>
      </w:pPr>
      <w:r>
        <w:rPr>
          <w:rFonts w:hint="eastAsia"/>
          <w:lang w:val="en-US" w:eastAsia="zh-CN"/>
          <w:b/>
        </w:rPr>
        <w:t xml:space="preserve">本板块是能碳数据的设备维度主数据源，为能耗分项统计、设备能效分析、绿电发电量统计与新能源资产核算提供基础台账。板块按设备属性划分为两类：重点用能设备（耗能侧）与光伏设备（产能侧）。二者共同构成「耗能—产能」双向设备底座。</w:t>
      </w:r>
    </w:p>
    <w:p w14:paraId="2A41F27D">
      <w:pPr>
        <w:pStyle w:val="19"/>
        <w:bidi w:val="0"/>
        <w:rPr>
          <w:rFonts w:hint="eastAsia" w:eastAsia="宋体"/>
          <w:lang w:eastAsia="zh-CN"/>
        </w:rPr>
      </w:pPr>
      <w:r>
        <w:rPr>
          <w:rFonts w:hint="eastAsia"/>
          <w:lang w:val="en-US" w:eastAsia="zh-CN"/>
        </w:rPr>
        <w:t xml:space="preserve">边界声明：本板块只维护设备台账静态属性，不写入实时运行数据；实时功率、发电量等动态数据由集控中心通过物联网采集通道获取并按设备编码挂接。设备一经被监测点位挂接即成为受控主数据，禁止直接删除，只能停用。</w:t>
      </w:r>
    </w:p>
    <w:p w14:paraId="251D4F51">
      <w:pPr>
        <w:pStyle w:val="19"/>
        <w:bidi w:val="0"/>
        <w:rPr>
          <w:rFonts w:hint="eastAsia" w:eastAsia="宋体"/>
          <w:lang w:eastAsia="zh-CN"/>
        </w:rPr>
      </w:pPr>
      <w:r>
        <w:rPr>
          <w:rFonts w:hint="eastAsia"/>
          <w:lang w:val="en-US" w:eastAsia="zh-CN"/>
        </w:rPr>
        <w:t xml:space="preserve">输入输出链：组织管理的企业与园区主数据 → 设备台账（关联企业 / 归属园区 / 安装位置）→ 设备编码 → 集控中心监测点位挂接 → 能耗分项统计、设备能效分析与绿电减排核算。</w:t>
      </w:r>
    </w:p>
    <w:p w14:paraId="37F64CA1">
      <w:pPr>
        <w:pStyle w:val="5"/>
        <w:numPr>
          <w:ilvl w:val="0"/>
          <w:numId w:val="217"/>
        </w:numPr>
        <w:ind w:left="0" w:leftChars="0" w:firstLine="0" w:firstLineChars="0"/>
        <w:outlineLvl w:val="1"/>
        <w:rPr>
          <w:rFonts w:hint="default"/>
          <w:b w:val="0"/>
          <w:bCs w:val="0"/>
          <w:lang w:val="en-US" w:eastAsia="zh-CN"/>
        </w:rPr>
      </w:pPr>
      <w:bookmarkStart w:id="74" w:name="_Toc31767"/>
      <w:r>
        <w:rPr>
          <w:rFonts w:hint="eastAsia"/>
          <w:b w:val="0"/>
          <w:bCs w:val="0"/>
          <w:lang w:val="en-US" w:eastAsia="zh-CN"/>
        </w:rPr>
        <w:t xml:space="preserve">重点用能设备</w:t>
      </w:r>
      <w:bookmarkEnd w:id="74"/>
    </w:p>
    <w:p w14:paraId="2941A21F">
      <w:pPr>
        <w:rPr>
          <w:b w:val="0"/>
          <w:bCs w:val="0"/>
        </w:rPr>
      </w:pPr>
      <w:r>
        <w:drawing>
          <wp:inline distT="0" distB="0" distL="114300" distR="114300">
            <wp:extent cx="5900420" cy="2925445"/>
            <wp:effectExtent l="0" t="0" r="5080" b="8255"/>
            <wp:docPr id="9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5"/>
                    <pic:cNvPicPr>
                      <a:picLocks noChangeAspect="1"/>
                    </pic:cNvPicPr>
                  </pic:nvPicPr>
                  <pic:blipFill>
                    <a:blip r:embed="rId103"/>
                    <a:stretch>
                      <a:fillRect/>
                    </a:stretch>
                  </pic:blipFill>
                  <pic:spPr>
                    <a:xfrm>
                      <a:off x="0" y="0"/>
                      <a:ext cx="5900420" cy="2925445"/>
                    </a:xfrm>
                    <a:prstGeom prst="rect">
                      <a:avLst/>
                    </a:prstGeom>
                    <a:noFill/>
                    <a:ln>
                      <a:noFill/>
                    </a:ln>
                  </pic:spPr>
                </pic:pic>
              </a:graphicData>
            </a:graphic>
          </wp:inline>
        </w:drawing>
      </w:r>
    </w:p>
    <w:p w14:paraId="7B514B0A">
      <w:pPr>
        <w:pStyle w:val="6"/>
        <w:numPr>
          <w:ilvl w:val="0"/>
          <w:numId w:val="218"/>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4D45F7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设备维护模块下重点用能设备的基础台账管理单元，按企业、车间维度维护重点用能设备基础信息，记录设备能源消耗类型、额定功率、运行状态等属性，支持设备新增、信息编辑与数据导出，为能耗分项统计、设备能效分析、重点用能管控提供设备基础主数据，是能耗精细化管理的前置基础依赖。</w:t>
            </w:r>
          </w:p>
          <w:p w14:paraId="2B8388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系统管理员（全量重点用能设备台账新增、设备信息维护、状态管理与数据导出）。</w:t>
            </w:r>
          </w:p>
          <w:p w14:paraId="6A49295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页面路由：/system/device/key-energy（左侧导航：系统管理 › 生产设备维护 › 重点用能设备）。</w:t>
            </w:r>
          </w:p>
          <w:p w14:paraId="556089F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上游依赖：组织管理（关联企业取值域，须为组织树中状态正常的工厂节点）。</w:t>
            </w:r>
          </w:p>
          <w:p w14:paraId="3DF731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下游输出：集控中心「重点用能设备监测」（按设备编码逐台挂接实时监测）；能耗分项统计与设备能效分析。</w:t>
            </w:r>
          </w:p>
          <w:p w14:paraId="36946E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PM）全量可写；其余角色一律只读。设备按所属工厂隔离——跨工厂查看须具备目标工厂所在组织节点的数据范围。</w:t>
            </w:r>
          </w:p>
        </w:tc>
      </w:tr>
    </w:tbl>
    <w:p w14:paraId="509E8F67">
      <w:pPr>
        <w:rPr>
          <w:b w:val="0"/>
          <w:bCs w:val="0"/>
        </w:rPr>
      </w:pPr>
    </w:p>
    <w:p w14:paraId="305CB4BE">
      <w:pPr>
        <w:pStyle w:val="6"/>
        <w:numPr>
          <w:ilvl w:val="0"/>
          <w:numId w:val="218"/>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09F171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EB96C5">
            <w:pPr>
              <w:pStyle w:val="19"/>
              <w:bidi w:val="0"/>
              <w:ind w:left="0" w:leftChars="0" w:firstLine="0" w:firstLineChars="0"/>
            </w:pPr>
            <w:r>
              <w:rPr>
                <w:b/>
                <w:bCs/>
                <w:lang w:val="en-US" w:eastAsia="zh-CN"/>
              </w:rPr>
              <w:t>业务场景</w:t>
            </w:r>
            <w:r>
              <w:rPr>
                <w:lang w:val="en-US" w:eastAsia="zh-CN"/>
              </w:rPr>
              <w:t>：面向系统管理员进行高耗能设备台账规范化管理场景，统一录入维护集团各园区、工厂重点用能设备基础档案，支撑设备级能耗分析。</w:t>
            </w:r>
          </w:p>
          <w:p w14:paraId="5EF9FF78">
            <w:pPr>
              <w:pStyle w:val="19"/>
              <w:bidi w:val="0"/>
              <w:ind w:left="0" w:leftChars="0" w:firstLine="0" w:firstLineChars="0"/>
            </w:pPr>
            <w:r>
              <w:rPr>
                <w:b/>
                <w:bCs/>
                <w:lang w:val="en-US" w:eastAsia="zh-CN"/>
              </w:rPr>
              <w:t>用户故事</w:t>
            </w:r>
            <w:r>
              <w:rPr>
                <w:lang w:val="en-US" w:eastAsia="zh-CN"/>
              </w:rPr>
              <w:t>：</w:t>
            </w:r>
          </w:p>
          <w:p w14:paraId="2943AA05">
            <w:pPr>
              <w:pStyle w:val="19"/>
              <w:bidi w:val="0"/>
            </w:pPr>
            <w:r>
              <w:rPr>
                <w:lang w:val="en-US" w:eastAsia="zh-CN"/>
              </w:rPr>
              <w:t>As a 系统管理员 (Persona PM)，</w:t>
            </w:r>
          </w:p>
          <w:p w14:paraId="7A700C80">
            <w:pPr>
              <w:pStyle w:val="19"/>
              <w:bidi w:val="0"/>
            </w:pPr>
            <w:r>
              <w:rPr>
                <w:lang w:val="en-US" w:eastAsia="zh-CN"/>
              </w:rPr>
              <w:t>I want 统一维护全集团重点用能设备台账、设备参数与运行状态，</w:t>
            </w:r>
          </w:p>
          <w:p w14:paraId="03882149">
            <w:pPr>
              <w:pStyle w:val="19"/>
              <w:bidi w:val="0"/>
            </w:pPr>
            <w:r>
              <w:rPr>
                <w:lang w:val="en-US" w:eastAsia="zh-CN"/>
              </w:rPr>
              <w:t>So that 我能为能耗分项统计、设备能效分析、能源大盘溯源提供完整设备基础数据。</w:t>
            </w:r>
          </w:p>
        </w:tc>
      </w:tr>
    </w:tbl>
    <w:p w14:paraId="72DA0DD4">
      <w:pPr>
        <w:rPr>
          <w:b w:val="0"/>
          <w:bCs w:val="0"/>
        </w:rPr>
      </w:pPr>
    </w:p>
    <w:p w14:paraId="4CA351EF">
      <w:pPr>
        <w:pStyle w:val="6"/>
        <w:numPr>
          <w:ilvl w:val="0"/>
          <w:numId w:val="218"/>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5890C8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设备列表 ＋ 右上角【新增重点设备】【导出】。</w:t>
            </w:r>
          </w:p>
          <w:p w14:paraId="5EEA10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（1）条件筛选：支持按关联企业、生产企业、能源消耗类型（消耗介质）、状态筛选；搜索框「请输入设备名称、车间工厂」按名称 / 安装位置模糊匹配。</w:t>
            </w:r>
          </w:p>
          <w:p w14:paraId="7E1A0D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重置：点【查询】按条件过滤；点【重置】清空全部条件。</w:t>
            </w:r>
          </w:p>
          <w:p w14:paraId="11873E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（3）新增重点设备【新增重点设备】：打开新增重点设备弹窗，填写设备名称、关联企业、安装位置 / 车间、设备能源消耗类型、额定功率、状态。</w:t>
            </w:r>
          </w:p>
          <w:p w14:paraId="66FBAD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（4）导出【导出】：将列表内数据导出到 Excel（.xlsx），导出范围为当前筛选条件下的全部行（非当前页）。</w:t>
            </w:r>
          </w:p>
          <w:p w14:paraId="384F48C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（5）详情【详情】：打开设备详情窗口，展示台账全字段及运行状态。</w:t>
            </w:r>
          </w:p>
          <w:p w14:paraId="106312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（6）编辑【编辑】：打开编辑窗口，回填设备信息。</w:t>
            </w:r>
          </w:p>
          <w:p w14:paraId="4D4991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（7）删除【删除】：打开弹窗，点击取消后关闭弹窗，点击确定后关闭弹窗并删除数据；已被集控监测点位挂接的设备禁止删除。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600ACF">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807B8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40E9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7D7290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7725B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1A357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D9BE3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CCEEA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78D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59E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10C9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【新增重点设备】</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EA56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BBA3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9F93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7EFE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6DCD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ECE6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77DEB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同企业内名称唯一；功率 ∈ (0, 100000]；企业状态正常；能源类型 ≥ 1</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EBF39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列表新增该行，状态默认「启用」</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2EF1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018D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A102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C392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7AE6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.xlsx（当前筛选全量行）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2D20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超限时提示分批导出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3653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【详情】</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23D0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打开详情窗口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56049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DF68B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展示全字段与运行状态</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74B6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7839D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389A4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25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61FC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E95E9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DEAEA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4719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5D6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未被监测点位挂接</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5F4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12344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阻断并提示挂接信息</w:t>
            </w:r>
          </w:p>
        </w:tc>
      </w:tr>
    </w:tbl>
    <w:p w14:paraId="3C4B264F">
      <w:pPr>
        <w:rPr>
          <w:b w:val="0"/>
          <w:bCs w:val="0"/>
        </w:rPr>
      </w:pPr>
    </w:p>
    <w:p w14:paraId="1DF48548">
      <w:pPr>
        <w:pStyle w:val="6"/>
        <w:numPr>
          <w:ilvl w:val="0"/>
          <w:numId w:val="218"/>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4119E3">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899B0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5F93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2E15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EB29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3074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FA7F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重点用能设备名称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FBA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C1ED0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CC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必填；≤60 字符；同企业内唯一；如「1# 1000kV 特高压自耦变压器组」</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64E4C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3BFF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关联企业</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9AED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复合选择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8F179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A403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必填；格式「企业·工厂」（如「沈变公司·沈变本部」）；须为组织树中状态正常的工厂节点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4E40C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1F6CA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安装位置/车间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9D26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D5AA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180C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必填；≤60 字符；如「特高压一车间（真空注油间）」</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DDBE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14A24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设备能源消耗类型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BC948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枚举多选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6D94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84794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取值｛电力 / 天然气 / 蒸汽 / 压缩空气 / 水｝；至少选 1 项；列表以 chip 展示</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FC86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B1E0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额定功率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120E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C8331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kW</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0A8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 0；≤ 100000；列表展示带千分位（4,680）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DACB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06AE7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CC6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9AF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B690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停用｝；默认「启用」；关联企业停用时联动失效</w:t>
            </w:r>
          </w:p>
        </w:tc>
      </w:tr>
    </w:tbl>
    <w:p w14:paraId="278E740C">
      <w:pPr>
        <w:pStyle w:val="19"/>
        <w:bidi w:val="0"/>
        <w:rPr>
          <w:b w:val="0"/>
          <w:bCs w:val="0"/>
        </w:rPr>
      </w:pPr>
    </w:p>
    <w:p w14:paraId="3AFDF9A4">
      <w:pPr>
        <w:pStyle w:val="6"/>
        <w:numPr>
          <w:ilvl w:val="0"/>
          <w:numId w:val="218"/>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889FD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（1）设备编码规则（隐含主键，用于监测点位挂接）</w:t>
            </w:r>
          </w:p>
          <w:p w14:paraId="2FAD25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设备编码 = "DEV-" + 企业缩写 + "-" + 4 位顺序号</w:t>
            </w:r>
          </w:p>
          <w:p w14:paraId="32E509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示例：DEV-SBB-0001（沈变本部第 1 台重点用能设备）。页面不直接展示，但为集控监测挂接的唯一凭据。</w:t>
            </w:r>
          </w:p>
          <w:p w14:paraId="6C1EA2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（2）额定功率合计</w:t>
            </w:r>
          </w:p>
          <w:p w14:paraId="7E2394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P_total(企业) = Σ P_rated(该企业全部「启用」状态的重点用能设备)</w:t>
            </w:r>
          </w:p>
          <w:p w14:paraId="7D80D9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用途：企业设备装机容量统计与最大需量申报参考。</w:t>
            </w:r>
          </w:p>
          <w:p w14:paraId="57D00CA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（3）设备能耗占比</w:t>
            </w:r>
          </w:p>
          <w:p w14:paraId="1557EA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Share(d) = E_d / Σ E_i × 100%</w:t>
            </w:r>
          </w:p>
          <w:p w14:paraId="7BFCA9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E_d 为该设备能耗，Σ E_i 为企业全部重点用能设备能耗之和。占比 ≥ 10% 的设备在集控大盘中标红，作为重点管控对象。</w:t>
            </w:r>
          </w:p>
          <w:p w14:paraId="63DF55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#45 坐实）</w:t>
            </w:r>
          </w:p>
          <w:p w14:paraId="78023C0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1000kV 特高压自耦变压器组（沈变公司·沈变本部 / 特高压一车间（真空注油间）/ 电力 / 4,680 kW）；</w:t>
            </w:r>
          </w:p>
          <w:p w14:paraId="386BA12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 特高压变压器高压蒸汽干燥组 3,950 kW；1# 1000kV 特高压工序试验机组 2,850 kW；</w:t>
            </w:r>
          </w:p>
          <w:p w14:paraId="2A4ACD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洁净装置配套油处理绝缘油真空滤机组 820 kW；1# 滤油装置配套净化机组 1,420 kW；</w:t>
            </w:r>
          </w:p>
          <w:p w14:paraId="59AF9D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厂区光储充微电网并网逆变器组 1,650 kW；1# 800kV 特高压干式电容套管烘干炉 1,850 kW；</w:t>
            </w:r>
          </w:p>
          <w:p w14:paraId="1FE257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500kV 互感器绝缘油真空机组 1,120 kW；1# 变压器绝缘件模板热压型生产线 980 kW；</w:t>
            </w:r>
          </w:p>
          <w:p w14:paraId="74CD736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 煤粉管道燃料及热源顶系统 1,050 kW；1# 750kV 大型发电机主变压器组 3,600 kW；</w:t>
            </w:r>
          </w:p>
          <w:p w14:paraId="1CAF646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 特高压绕组车间中央空调机组 750 kW；大型油真空净化与再生机组 2,450 kW；</w:t>
            </w:r>
          </w:p>
          <w:p w14:paraId="222CD5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1200kV 特高压冲击电压发生器成套装置 4,180 kW。</w:t>
            </w:r>
          </w:p>
          <w:p w14:paraId="6CB596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7A0F18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额定功率保留 0 位小数（整数 kW），容差 0。</w:t>
            </w:r>
          </w:p>
        </w:tc>
      </w:tr>
    </w:tbl>
    <w:p w14:paraId="7A58C020">
      <w:pPr>
        <w:pStyle w:val="19"/>
        <w:bidi w:val="0"/>
        <w:rPr>
          <w:b w:val="0"/>
          <w:bCs w:val="0"/>
        </w:rPr>
      </w:pPr>
    </w:p>
    <w:p w14:paraId="0B0D608D">
      <w:pPr>
        <w:pStyle w:val="6"/>
        <w:numPr>
          <w:ilvl w:val="0"/>
          <w:numId w:val="218"/>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2F592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列）：序号、重点用能设备名称、关联企业、安装位置/车间、设备能源消耗类型、额定功率、状态、操作。</w:t>
            </w:r>
          </w:p>
          <w:p w14:paraId="40F29A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（2）关联企业以「企业·工厂」复合格式展示——企业名为主色，工厂名以灰色辅助字体呈现。</w:t>
            </w:r>
          </w:p>
          <w:p w14:paraId="4F975BB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（3）能源消耗类型以 chip 并列展示；超过 2 项时折叠为「+N」，悬浮展开全部。</w:t>
            </w:r>
          </w:p>
          <w:p w14:paraId="1E73F9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（4）额定功率按千分位右对齐，单位 kW 以灰色辅助字体呈现。</w:t>
            </w:r>
          </w:p>
          <w:p w14:paraId="4744097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（5）排序规则：默认按额定功率降序（高耗能设备置顶）；支持点击表头切换排序。</w:t>
            </w:r>
          </w:p>
          <w:p w14:paraId="7E8C3C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（6）状态口径：启用（绿标签）＝ 状态字段为「启用」且关联企业状态为「正常」；停用（灰标签）＝ 状态字段为「停用」或关联企业已停用（继承性失效）。</w:t>
            </w:r>
          </w:p>
          <w:p w14:paraId="296B6F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（7）统计口径：页面可展示设备总数与额定功率合计；停用设备不计入合计。</w:t>
            </w:r>
          </w:p>
          <w:p w14:paraId="5EA4F2F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（8）基准来源：示例设备清单（14 台）取自原型截图 #45；能源消耗类型枚举取自筛选器「全部消耗介质」。</w:t>
            </w:r>
          </w:p>
        </w:tc>
      </w:tr>
    </w:tbl>
    <w:p w14:paraId="59ECD673">
      <w:pPr>
        <w:pStyle w:val="19"/>
        <w:bidi w:val="0"/>
        <w:rPr>
          <w:b w:val="0"/>
          <w:bCs w:val="0"/>
        </w:rPr>
      </w:pPr>
    </w:p>
    <w:p w14:paraId="687B866B">
      <w:pPr>
        <w:pStyle w:val="6"/>
        <w:numPr>
          <w:ilvl w:val="0"/>
          <w:numId w:val="218"/>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2866FA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（1）设备名称重复阻断：同一企业内设备名称重复时，阻断，返回 E_SYS_DEV_NAME_DUP。</w:t>
            </w:r>
          </w:p>
          <w:p w14:paraId="19D609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（2）额定功率非法拦截：额定功率 ≤ 0 或 ＞ 100000 时，阻断，返回 E_SYS_DEV_POWER_OUT_OF_RANGE。</w:t>
            </w:r>
          </w:p>
          <w:p w14:paraId="76B5EED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（3）在用设备删除阻断：设备已被集控监测点位挂接时，禁止删除，返回 E_SYS_DEV_IN_USE_DELETE_DENIED，并列出挂接点位清单。</w:t>
            </w:r>
          </w:p>
          <w:p w14:paraId="1AF02C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（4）关联企业停用拦截：所选工厂节点已停用时，阻断，返回 E_SYS_DEV_ORG_DISABLED。</w:t>
            </w:r>
          </w:p>
          <w:p w14:paraId="6F0482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（5）能源类型必选：未选择任何能源消耗类型时，阻断，返回 E_SYS_DEV_ENERGY_TYPE_REQUIRED。</w:t>
            </w:r>
          </w:p>
          <w:p w14:paraId="6E37335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（6）导出范围控制：导出文件行数上限 100,000 行；超限时提示分批导出，返回告警 E_SYS_EXPORT_LIMIT_EXCEEDED。</w:t>
            </w:r>
          </w:p>
          <w:p w14:paraId="71AE9A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（7）批量导入校验：逐行校验名称唯一性、功率合法性与企业存在性；任一行失败则整批拒绝，并输出错误行清单（行号 + 原因）。</w:t>
            </w:r>
          </w:p>
          <w:p w14:paraId="5B2E24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455A95B5">
      <w:pPr>
        <w:rPr>
          <w:b w:val="0"/>
          <w:bCs w:val="0"/>
        </w:rPr>
      </w:pPr>
    </w:p>
    <w:p w14:paraId="7265F1BB">
      <w:pPr>
        <w:pStyle w:val="6"/>
        <w:numPr>
          <w:ilvl w:val="0"/>
          <w:numId w:val="218"/>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E6AFC5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重点用能设备台账</w:t>
            </w:r>
          </w:p>
          <w:p w14:paraId="51A6A4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新增重点用能设备</w:t>
            </w:r>
          </w:p>
          <w:p w14:paraId="7C0889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生产设备维护 › 重点用能设备</w:t>
            </w:r>
          </w:p>
          <w:p w14:paraId="458636C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点击【新增重点设备】，填写名称＝「1# 1000kV 特高压自耦变压器组」、关联企业＝「沈变公司·沈变本部」、安装位置＝「特高压一车间（真空注油间）」、能源类型＝电力、额定功率＝4680 并保存</w:t>
            </w:r>
          </w:p>
          <w:p w14:paraId="1CC809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列表新增一行，额定功率显示为「4,680 kW」，状态显示「启用」</w:t>
            </w:r>
          </w:p>
          <w:p w14:paraId="2BD19C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同一企业内设备名称重复被阻断</w:t>
            </w:r>
          </w:p>
          <w:p w14:paraId="733AD6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沈变本部已存在设备「1# 1000kV 特高压自耦变压器组」</w:t>
            </w:r>
          </w:p>
          <w:p w14:paraId="592A46B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在沈变本部再次新增同名设备</w:t>
            </w:r>
          </w:p>
          <w:p w14:paraId="242392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43F6C41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E_SYS_DEV_NAME_DUP</w:t>
            </w:r>
          </w:p>
          <w:p w14:paraId="214ED0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额定功率越界被拦截</w:t>
            </w:r>
          </w:p>
          <w:p w14:paraId="565CED0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新增设备并填写额定功率＝0 后保存</w:t>
            </w:r>
          </w:p>
          <w:p w14:paraId="602B66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系统阻断并提示「额定功率需大于 0」</w:t>
            </w:r>
          </w:p>
          <w:p w14:paraId="6B1903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E_SYS_DEV_POWER_OUT_OF_RANGE</w:t>
            </w:r>
          </w:p>
          <w:p w14:paraId="7A9DB7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已被监测挂接的设备禁止删除</w:t>
            </w:r>
          </w:p>
          <w:p w14:paraId="7EB8C1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设备「1# 厂区光储充微电网并网逆变器组」已被集控监测点位挂接</w:t>
            </w:r>
          </w:p>
          <w:p w14:paraId="6FF2F6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3DC8A70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系统阻断删除并提示「设备已被监测点位挂接」</w:t>
            </w:r>
          </w:p>
          <w:p w14:paraId="649794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E_SYS_DEV_IN_USE_DELETE_DENIED</w:t>
            </w:r>
          </w:p>
          <w:p w14:paraId="6A85E5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导出当前筛选结果</w:t>
            </w:r>
          </w:p>
          <w:p w14:paraId="514F98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按「关联企业＝沈变公司·沈变本部」筛选出 14 行</w:t>
            </w:r>
          </w:p>
          <w:p w14:paraId="719066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点击【导出】</w:t>
            </w:r>
          </w:p>
          <w:p w14:paraId="44E364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系统生成 .xlsx 文件，包含当前筛选条件下全部 14 行</w:t>
            </w:r>
          </w:p>
          <w:p w14:paraId="102FF8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按额定功率降序排列</w:t>
            </w:r>
          </w:p>
          <w:p w14:paraId="6C44BA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列表含多台不同功率设备</w:t>
            </w:r>
          </w:p>
          <w:p w14:paraId="72CD68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页面加载完成</w:t>
            </w:r>
          </w:p>
          <w:p w14:paraId="407784A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第一行为额定功率最大的「1# 1000kV 特高压自耦变压器组」（4,680 kW）</w:t>
            </w:r>
          </w:p>
        </w:tc>
      </w:tr>
    </w:tbl>
    <w:p w14:paraId="0BA95C61">
      <w:pPr>
        <w:rPr>
          <w:rFonts w:hint="default"/>
          <w:b w:val="0"/>
          <w:bCs w:val="0"/>
          <w:lang w:val="en-US" w:eastAsia="zh-CN"/>
        </w:rPr>
      </w:pPr>
    </w:p>
    <w:p w14:paraId="457C3889">
      <w:pPr>
        <w:pStyle w:val="5"/>
        <w:numPr>
          <w:ilvl w:val="0"/>
          <w:numId w:val="217"/>
        </w:numPr>
        <w:ind w:left="0" w:leftChars="0" w:firstLine="0" w:firstLineChars="0"/>
        <w:outlineLvl w:val="1"/>
        <w:rPr>
          <w:rFonts w:hint="default"/>
          <w:b w:val="0"/>
          <w:bCs w:val="0"/>
          <w:lang w:val="en-US" w:eastAsia="zh-CN"/>
        </w:rPr>
      </w:pPr>
      <w:bookmarkStart w:id="75" w:name="_Toc17529"/>
      <w:r>
        <w:rPr>
          <w:rFonts w:hint="eastAsia"/>
          <w:b w:val="0"/>
          <w:bCs w:val="0"/>
          <w:lang w:val="en-US" w:eastAsia="zh-CN"/>
        </w:rPr>
        <w:t xml:space="preserve">光伏设备管理</w:t>
      </w:r>
      <w:bookmarkEnd w:id="75"/>
    </w:p>
    <w:p w14:paraId="4807655D">
      <w:pPr>
        <w:rPr>
          <w:b w:val="0"/>
          <w:bCs w:val="0"/>
        </w:rPr>
      </w:pPr>
      <w:r>
        <w:drawing>
          <wp:inline distT="0" distB="0" distL="114300" distR="114300">
            <wp:extent cx="5900420" cy="2925445"/>
            <wp:effectExtent l="0" t="0" r="5080" b="8255"/>
            <wp:docPr id="9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6"/>
                    <pic:cNvPicPr>
                      <a:picLocks noChangeAspect="1"/>
                    </pic:cNvPicPr>
                  </pic:nvPicPr>
                  <pic:blipFill>
                    <a:blip r:embed="rId104"/>
                    <a:stretch>
                      <a:fillRect/>
                    </a:stretch>
                  </pic:blipFill>
                  <pic:spPr>
                    <a:xfrm>
                      <a:off x="0" y="0"/>
                      <a:ext cx="5900420" cy="2925445"/>
                    </a:xfrm>
                    <a:prstGeom prst="rect">
                      <a:avLst/>
                    </a:prstGeom>
                    <a:noFill/>
                    <a:ln>
                      <a:noFill/>
                    </a:ln>
                  </pic:spPr>
                </pic:pic>
              </a:graphicData>
            </a:graphic>
          </wp:inline>
        </w:drawing>
      </w:r>
    </w:p>
    <w:p w14:paraId="7E3BD639">
      <w:pPr>
        <w:pStyle w:val="6"/>
        <w:numPr>
          <w:ilvl w:val="0"/>
          <w:numId w:val="220"/>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196FB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设备维护模块下光伏资产台账管理单元，按园区、工厂维度维护分布式光伏电站基础信息，记录装机容量、安装位置、运行状态等资产属性，支持光伏设备新增、信息编辑与数据导出，为绿电发电量统计、可再生能源核算、园区碳减排分析提供光伏资产主数据，是新能源资产精细化管理的前置基础依赖。</w:t>
            </w:r>
          </w:p>
          <w:p w14:paraId="7BFD81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系统管理员（全量光伏设备台账新增、设备信息维护、状态管理与数据导出）。</w:t>
            </w:r>
          </w:p>
          <w:p w14:paraId="14A443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页面路由：/system/device/pv（左侧导航：系统管理 › 生产设备维护 › 光伏设备管理）。</w:t>
            </w:r>
          </w:p>
          <w:p w14:paraId="534D15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上游依赖：组织管理（归属园区与关联工厂取值域）。</w:t>
            </w:r>
          </w:p>
          <w:p w14:paraId="3F5F60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下游输出：集控中心微电网光储充实时出力、绿电减排成效与新能源资产统计。</w:t>
            </w:r>
          </w:p>
          <w:p w14:paraId="463AFB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PM）全量可写；其余角色一律只读。光伏资产按归属园区隔离——跨园区查看须具备目标园区的数据范围。</w:t>
            </w:r>
          </w:p>
        </w:tc>
      </w:tr>
    </w:tbl>
    <w:p w14:paraId="25B15F54">
      <w:pPr>
        <w:rPr>
          <w:b w:val="0"/>
          <w:bCs w:val="0"/>
        </w:rPr>
      </w:pPr>
    </w:p>
    <w:p w14:paraId="7790BF9E">
      <w:pPr>
        <w:pStyle w:val="6"/>
        <w:numPr>
          <w:ilvl w:val="0"/>
          <w:numId w:val="220"/>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8D10B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57CA1BB">
            <w:pPr>
              <w:pStyle w:val="19"/>
              <w:bidi w:val="0"/>
              <w:ind w:left="0" w:leftChars="0" w:firstLine="0" w:firstLineChars="0"/>
            </w:pPr>
            <w:r>
              <w:rPr>
                <w:b/>
                <w:bCs/>
                <w:lang w:val="en-US" w:eastAsia="zh-CN"/>
              </w:rPr>
              <w:t>业务场景</w:t>
            </w:r>
            <w:r>
              <w:rPr>
                <w:lang w:val="en-US" w:eastAsia="zh-CN"/>
              </w:rPr>
              <w:t>：面向系统管理员进行新能源资产台账管控场景，维护集团分布式光伏电站设备信息，支撑微电网、绿电出力数据统计。</w:t>
            </w:r>
          </w:p>
          <w:p w14:paraId="5F4B8600">
            <w:pPr>
              <w:pStyle w:val="19"/>
              <w:bidi w:val="0"/>
              <w:ind w:left="0" w:leftChars="0" w:firstLine="0" w:firstLineChars="0"/>
            </w:pPr>
            <w:r>
              <w:rPr>
                <w:b/>
                <w:bCs/>
                <w:lang w:val="en-US" w:eastAsia="zh-CN"/>
              </w:rPr>
              <w:t>用户故事</w:t>
            </w:r>
            <w:r>
              <w:rPr>
                <w:lang w:val="en-US" w:eastAsia="zh-CN"/>
              </w:rPr>
              <w:t>：</w:t>
            </w:r>
          </w:p>
          <w:p w14:paraId="1CB26420">
            <w:pPr>
              <w:pStyle w:val="19"/>
              <w:bidi w:val="0"/>
            </w:pPr>
            <w:r>
              <w:rPr>
                <w:lang w:val="en-US" w:eastAsia="zh-CN"/>
              </w:rPr>
              <w:t>As a 系统管理员 (Persona PM)，</w:t>
            </w:r>
          </w:p>
          <w:p w14:paraId="5C33F2BF">
            <w:pPr>
              <w:pStyle w:val="19"/>
              <w:bidi w:val="0"/>
            </w:pPr>
            <w:r>
              <w:rPr>
                <w:lang w:val="en-US" w:eastAsia="zh-CN"/>
              </w:rPr>
              <w:t>I want 统一维护全集团光伏设备资产、装机参数与归属信息，</w:t>
            </w:r>
          </w:p>
          <w:p w14:paraId="789C9AAA">
            <w:pPr>
              <w:pStyle w:val="19"/>
              <w:bidi w:val="0"/>
            </w:pPr>
            <w:r>
              <w:rPr>
                <w:lang w:val="en-US" w:eastAsia="zh-CN"/>
              </w:rPr>
              <w:t>So that 我能支撑大屏微电网光储充实时出力、绿电减排成效、新能源资产统计展示。</w:t>
            </w:r>
          </w:p>
        </w:tc>
      </w:tr>
    </w:tbl>
    <w:p w14:paraId="34133966">
      <w:pPr>
        <w:rPr>
          <w:b w:val="0"/>
          <w:bCs w:val="0"/>
        </w:rPr>
      </w:pPr>
    </w:p>
    <w:p w14:paraId="49C9C9D0">
      <w:pPr>
        <w:pStyle w:val="6"/>
        <w:numPr>
          <w:ilvl w:val="0"/>
          <w:numId w:val="220"/>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7A9B9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光伏设备列表 ＋ 右上角【新增光伏设备】【导出】。</w:t>
            </w:r>
          </w:p>
          <w:p w14:paraId="3C1F12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（1）条件筛选：支持按归属园区、关联工厂、状态筛选；搜索框「输入光伏设备名称、安装位置…」按名称 / 安装位置模糊匹配。</w:t>
            </w:r>
          </w:p>
          <w:p w14:paraId="2D284C5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3965D63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（3）新增光伏设备【新增光伏设备】：打开新增弹窗，填写光伏设备名称、归属园区、关联工厂、安装物理位置 / 屋面、装机容量、状态。</w:t>
            </w:r>
          </w:p>
          <w:p w14:paraId="77FDD3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（4）导出【导出】：将当前筛选结果导出到 Excel（.xlsx）。</w:t>
            </w:r>
          </w:p>
          <w:p w14:paraId="40D95D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（5）详情【详情】：打开设备详情窗口；编辑【编辑】：打开编辑窗口。</w:t>
            </w:r>
          </w:p>
          <w:p w14:paraId="7D9854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（6）删除【删除】：打开弹窗，取消关闭、确定删除；已被微电网监测挂接的设备禁止删除。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32F27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09E98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CF69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0D3A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568B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2CA7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431D0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65F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1879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11DC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9F74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【新增光伏设备】</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C2B12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F0BDC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DF5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7A9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D4D1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A0B7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F30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名称唯一；容量 ∈ (0, 200000]；工厂属该园区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DBF5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列表新增该行，状态默认「启用」</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D69A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36258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9F6DE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F7E82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1734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.xlsx（当前筛选全量行）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37E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超限时提示分批导出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5A7A8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【详情】</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A1209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打开详情窗口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B41E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C36B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展示全字段</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6EDA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B3845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86B8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364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763A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0805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8A383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FF51B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E26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未被微电网监测挂接</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1A9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关闭弹窗并删除</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438B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阻断并提示挂接信息</w:t>
            </w:r>
          </w:p>
        </w:tc>
      </w:tr>
    </w:tbl>
    <w:p w14:paraId="04034742">
      <w:pPr>
        <w:rPr>
          <w:b w:val="0"/>
          <w:bCs w:val="0"/>
        </w:rPr>
      </w:pPr>
    </w:p>
    <w:p w14:paraId="3EED2B32">
      <w:pPr>
        <w:pStyle w:val="6"/>
        <w:numPr>
          <w:ilvl w:val="0"/>
          <w:numId w:val="220"/>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1C7AA3">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FF32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08D1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CD270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166C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833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3F25C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光伏设备名称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4EAB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7D51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F29AD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必填；≤60 字符；全局唯一；如「沈变厂 12.8MWp 屋顶分布式光伏一期」</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63BE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23B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归属园区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FFD8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1487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33AE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必填；特变电工七大产业园（东北输变电 / 南方输变电 / 新变电 / 华东电缆产业科技园 / （德阳）电缆产业园 / 天变产业园 / 京津冀智能科技产业园）</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36A72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463E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5B2B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复合选择</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793E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74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必填；取值为归属园区内的工厂节点，或特殊值「园区屋顶（公建）」；须与归属园区一致</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4F0EA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AAD70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安装物理位置/屋面</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A5BB3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8FA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CF139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必填；≤80 字符；如「特高压一车间及二车间仓库彩钢瓦屋面」</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B157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7C1EB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装机容量</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210F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E3E5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kWp</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92834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 0；≤ 200000；列表展示千分位（12,800）</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0713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EBA2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8CB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6C10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F9E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取值｛启用 / 停用｝；默认「启用」；停用不计入园区装机小计</w:t>
            </w:r>
          </w:p>
        </w:tc>
      </w:tr>
    </w:tbl>
    <w:p w14:paraId="1D6C8486">
      <w:pPr>
        <w:pStyle w:val="19"/>
        <w:bidi w:val="0"/>
        <w:rPr>
          <w:b w:val="0"/>
          <w:bCs w:val="0"/>
        </w:rPr>
      </w:pPr>
    </w:p>
    <w:p w14:paraId="18C6DDD5">
      <w:pPr>
        <w:pStyle w:val="6"/>
        <w:numPr>
          <w:ilvl w:val="0"/>
          <w:numId w:val="220"/>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FD7BD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（1）装机容量汇总</w:t>
            </w:r>
          </w:p>
          <w:p w14:paraId="3AEEFF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Cap_total(园区) = Σ Cap(该园区全部「启用」状态光伏设备)，单位 kWp；</w:t>
            </w:r>
          </w:p>
          <w:p w14:paraId="3E8FBF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平台合计 = Σ 各园区小计。</w:t>
            </w:r>
          </w:p>
          <w:p w14:paraId="678C10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（2）理论年发电量估计（用于校核，非结算口径）</w:t>
            </w:r>
          </w:p>
          <w:p w14:paraId="7FB19A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E_year = Cap × H_equiv × PR</w:t>
            </w:r>
          </w:p>
          <w:p w14:paraId="46586C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H_equiv 为等效利用小时数（h/年），PR 为系统效率（performance ratio，典型取 0.80）。</w:t>
            </w:r>
          </w:p>
          <w:p w14:paraId="3D8F21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（3）绿电减排量</w:t>
            </w:r>
          </w:p>
          <w:p w14:paraId="39B4DB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ER = E_PV × EF_grid</w:t>
            </w:r>
          </w:p>
          <w:p w14:paraId="135B3A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E_PV 为光伏实际发电量（kWh），EF_grid 取电力碳排因子库中对应省份的电网平均因子（kgCO2e/kWh）。</w:t>
            </w:r>
          </w:p>
          <w:p w14:paraId="71F011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#46 坐实）</w:t>
            </w:r>
          </w:p>
          <w:p w14:paraId="35B7EF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沈变厂 12.8MWp 屋顶分布式光伏一期（东北输变电产业园 / 沈变本部 / 12,800 kWp）；</w:t>
            </w:r>
          </w:p>
          <w:p w14:paraId="50E7312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沈变厂新建营 2.4MWp 柔性屋顶光伏电站 2,400 kWp；东北变压器产业园 1# 智能车棚光伏系统 850 kWp；</w:t>
            </w:r>
          </w:p>
          <w:p w14:paraId="243335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衡变特高压基地 8.5MWp 8,500 kWp；南方变压器产业园区动力站分布式光伏 1,600 kWp；</w:t>
            </w:r>
          </w:p>
          <w:p w14:paraId="7A9661C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新变工业园 15.2MWp 15,200 kWp；输变电产业园屋顶(管理)中心慢网光伏列 1,200 kWp；</w:t>
            </w:r>
          </w:p>
          <w:p w14:paraId="7D66B8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鲁缆厂园区 8.4MWp 8,400 kWp；华东线缆科技 2# 集中生态光伏车棚 900 kWp；</w:t>
            </w:r>
          </w:p>
          <w:p w14:paraId="6DE5DC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德缆输变电产业 3.4MWp 6,400 kWp；德缆电缆园区公共工程循环水站光伏 650 kWp；</w:t>
            </w:r>
          </w:p>
          <w:p w14:paraId="17471D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天变天津基地 5.2MWp 5,200 kWp；天变新缆科技 1.8MWp 1,800 kWp；</w:t>
            </w:r>
          </w:p>
          <w:p w14:paraId="2AFB27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京津冀产业基地 3.6MWp 3,600 kWp。</w:t>
            </w:r>
          </w:p>
          <w:p w14:paraId="5352D2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255D220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装机容量保留 1 位小数（kWp）；发电量保留 2 位小数（kWh）；减排量保留 4 位小数（tCO2e）。</w:t>
            </w:r>
          </w:p>
        </w:tc>
      </w:tr>
    </w:tbl>
    <w:p w14:paraId="5C41D554">
      <w:pPr>
        <w:pStyle w:val="19"/>
        <w:bidi w:val="0"/>
        <w:rPr>
          <w:b w:val="0"/>
          <w:bCs w:val="0"/>
        </w:rPr>
      </w:pPr>
    </w:p>
    <w:p w14:paraId="7DB887FB">
      <w:pPr>
        <w:pStyle w:val="6"/>
        <w:numPr>
          <w:ilvl w:val="0"/>
          <w:numId w:val="220"/>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0DF0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列）：序号、光伏设备名称、归属园区、关联工厂、安装物理位置/屋面、装机容量、状态、操作。</w:t>
            </w:r>
          </w:p>
          <w:p w14:paraId="6ABBAA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（2）归属园区直接展示园区全称；关联工厂为「园区屋顶（公建）」时以特殊标签呈现（标识公建资产）。</w:t>
            </w:r>
          </w:p>
          <w:p w14:paraId="553EC7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（3）装机容量按千分位右对齐，单位 kWp 以灰色辅助字体呈现。</w:t>
            </w:r>
          </w:p>
          <w:p w14:paraId="526890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（4）排序规则：默认按装机容量降序；支持按归属园区分组查看。</w:t>
            </w:r>
          </w:p>
          <w:p w14:paraId="6DCFA1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（5）统计口径：可按园区汇总装机容量，展示园区小计与平台合计；停用设备不计入小计。</w:t>
            </w:r>
          </w:p>
          <w:p w14:paraId="635547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（6）状态口径：启用（绿标签）＝ 状态字段为「启用」；停用（灰标签）＝ 状态字段为「停用」。</w:t>
            </w:r>
          </w:p>
          <w:p w14:paraId="300D17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（7）名称一致性提示：名称中的 MWp 数值与「装机容量」字段换算不一致时（如名称 12.8MWp 而容量 12,000 kWp），给出黄色提示角标，便于纠错。</w:t>
            </w:r>
          </w:p>
          <w:p w14:paraId="692524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（8）基准来源：示例清单（14 个电站）与园区命名取自原型截图 #46。</w:t>
            </w:r>
          </w:p>
        </w:tc>
      </w:tr>
    </w:tbl>
    <w:p w14:paraId="1764F6FE">
      <w:pPr>
        <w:pStyle w:val="19"/>
        <w:bidi w:val="0"/>
        <w:rPr>
          <w:b w:val="0"/>
          <w:bCs w:val="0"/>
        </w:rPr>
      </w:pPr>
    </w:p>
    <w:p w14:paraId="7E98DCA3">
      <w:pPr>
        <w:pStyle w:val="6"/>
        <w:numPr>
          <w:ilvl w:val="0"/>
          <w:numId w:val="220"/>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51808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（1）名称重复阻断：光伏设备名称重复时，阻断，返回 E_SYS_PV_NAME_DUP。</w:t>
            </w:r>
          </w:p>
          <w:p w14:paraId="141D96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（2）装机容量非法拦截：装机容量 ≤ 0 或 ＞ 200000 时，阻断，返回 E_SYS_PV_CAPACITY_OUT_OF_RANGE。</w:t>
            </w:r>
          </w:p>
          <w:p w14:paraId="280BC28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（3）在用设备删除阻断：已被微电网监测挂接时，禁止删除，返回 E_SYS_PV_IN_USE_DELETE_DENIED。</w:t>
            </w:r>
          </w:p>
          <w:p w14:paraId="6D3ECD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（4）园区与工厂不匹配拦截：所选关联工厂不属于所选归属园区时，阻断，返回 E_SYS_PV_ORG_MISMATCH。</w:t>
            </w:r>
          </w:p>
          <w:p w14:paraId="71D0E8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（5）名称与容量不一致提示：名称中的 MWp 数值与装机容量字段换算不一致时，给出黄色警告（不阻断），返回告警 E_SYS_PV_NAME_CAPACITY_MISMATCH。</w:t>
            </w:r>
          </w:p>
          <w:p w14:paraId="121EEA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（6）系统效率越界告警：配置 PR 用于发电量估算时，若 PR ∉ (0.60, 0.95)，给出告警 E_SYS_PV_PR_OUT_OF_RANGE。</w:t>
            </w:r>
          </w:p>
          <w:p w14:paraId="630016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（7）越权写拦截：非 P4 角色调用本模块写接口时，返回 HTTP 403，触发 E_AUTH_RBAC_FORBIDDEN。</w:t>
            </w:r>
          </w:p>
        </w:tc>
      </w:tr>
    </w:tbl>
    <w:p w14:paraId="0718F972">
      <w:pPr>
        <w:rPr>
          <w:b w:val="0"/>
          <w:bCs w:val="0"/>
        </w:rPr>
      </w:pPr>
    </w:p>
    <w:p w14:paraId="36EE7A7C">
      <w:pPr>
        <w:pStyle w:val="6"/>
        <w:numPr>
          <w:ilvl w:val="0"/>
          <w:numId w:val="220"/>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7EE8D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光伏设备台账</w:t>
            </w:r>
          </w:p>
          <w:p w14:paraId="2972331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新增屋顶分布式光伏设备</w:t>
            </w:r>
          </w:p>
          <w:p w14:paraId="20CA05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生产设备维护 › 光伏设备管理</w:t>
            </w:r>
          </w:p>
          <w:p w14:paraId="40B9C7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点击【新增光伏设备】，填写名称＝「沈变厂 12.8MWp 屋顶分布式光伏一期」、归属园区＝「特变电工东北输变电产业园」、关联工厂＝「沈变本部」、安装位置＝「特高压一车间及二车间仓库彩钢瓦屋面」、装机容量＝12800 并保存</w:t>
            </w:r>
          </w:p>
          <w:p w14:paraId="5C819B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列表新增一行，装机容量显示为「12,800 kWp」，状态显示「启用」</w:t>
            </w:r>
          </w:p>
          <w:p w14:paraId="7B716E2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名称重复被阻断</w:t>
            </w:r>
          </w:p>
          <w:p w14:paraId="3D97CA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已存在同名光伏设备</w:t>
            </w:r>
          </w:p>
          <w:p w14:paraId="191407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再次新增同名设备</w:t>
            </w:r>
          </w:p>
          <w:p w14:paraId="3D57A3F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23E2B8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E_SYS_PV_NAME_DUP</w:t>
            </w:r>
          </w:p>
          <w:p w14:paraId="58866F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园区与工厂不匹配被拦截</w:t>
            </w:r>
          </w:p>
          <w:p w14:paraId="307E84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归属园区选择「特变电工东北输变电产业园」</w:t>
            </w:r>
          </w:p>
          <w:p w14:paraId="36D323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关联工厂选择「鲁缆本部」（属华东电缆产业科技园）</w:t>
            </w:r>
          </w:p>
          <w:p w14:paraId="643CB6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系统阻断并提示「园区与工厂不匹配」</w:t>
            </w:r>
          </w:p>
          <w:p w14:paraId="6AD080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E_SYS_PV_ORG_MISMATCH</w:t>
            </w:r>
          </w:p>
          <w:p w14:paraId="31F33F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装机容量越界被拦截</w:t>
            </w:r>
          </w:p>
          <w:p w14:paraId="39E637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新增设备并填写装机容量＝0 后保存</w:t>
            </w:r>
          </w:p>
          <w:p w14:paraId="532C7D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71000D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E_SYS_PV_CAPACITY_OUT_OF_RANGE</w:t>
            </w:r>
          </w:p>
          <w:p w14:paraId="76AAB25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已被微电网监测挂接的设备禁止删除</w:t>
            </w:r>
          </w:p>
          <w:p w14:paraId="33924E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光伏设备「衡变特高压基地 8.5MWp 屋顶分布式光伏」已被微电网监测挂接</w:t>
            </w:r>
          </w:p>
          <w:p w14:paraId="62EC648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248E67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53CAE0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E_SYS_PV_IN_USE_DELETE_DENIED</w:t>
            </w:r>
          </w:p>
          <w:p w14:paraId="317B111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按园区汇总装机容量</w:t>
            </w:r>
          </w:p>
          <w:p w14:paraId="734543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「特变电工东北输变电产业园」下存在 3 个启用光伏设备，装机容量分别 12,800 / 2,400 / 850 kWp</w:t>
            </w:r>
          </w:p>
          <w:p w14:paraId="6512D88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按归属园区查看汇总</w:t>
            </w:r>
          </w:p>
          <w:p w14:paraId="7BFAE4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该园区小计显示为 16,050 kWp</w:t>
            </w:r>
          </w:p>
          <w:p w14:paraId="111881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平台合计为各园区小计之和</w:t>
            </w:r>
          </w:p>
        </w:tc>
      </w:tr>
    </w:tbl>
    <w:p w14:paraId="436D6884">
      <w:pPr>
        <w:rPr>
          <w:rFonts w:hint="default"/>
          <w:b w:val="0"/>
          <w:bCs w:val="0"/>
          <w:lang w:val="en-US" w:eastAsia="zh-CN"/>
        </w:rPr>
      </w:pPr>
    </w:p>
    <w:p w14:paraId="2185843E">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76" w:name="_Toc11939"/>
      <w:r>
        <w:rPr>
          <w:rFonts w:hint="eastAsia" w:ascii="Times New Roman" w:hAnsi="Times New Roman" w:eastAsia="黑体" w:cs="Times New Roman"/>
          <w:b w:val="0"/>
          <w:bCs w:val="0"/>
          <w:sz w:val="30"/>
          <w:szCs w:val="32"/>
          <w:lang w:val="en-US" w:eastAsia="zh-CN"/>
        </w:rPr>
        <w:t>生产数据维护</w:t>
      </w:r>
      <w:bookmarkEnd w:id="76"/>
    </w:p>
    <w:p w14:paraId="11E1EF95">
      <w:pPr>
        <w:pStyle w:val="19"/>
        <w:bidi w:val="0"/>
        <w:rPr>
          <w:rFonts w:hint="eastAsia" w:eastAsia="宋体"/>
          <w:lang w:eastAsia="zh-CN"/>
        </w:rPr>
      </w:pPr>
      <w:r>
        <w:rPr>
          <w:rFonts w:hint="eastAsia"/>
          <w:lang w:val="en-US" w:eastAsia="zh-CN"/>
          <w:b/>
        </w:rPr>
        <w:t xml:space="preserve">本板块是能碳统计与碳核算的产品维度主数据源，覆盖「分类—型号—指标—工序」四个层次的静态基准，为产量统计、单位产品能耗、工序能耗分摊与单品碳足迹核算提供标准化口径。四者构成自顶向下的分解链：产品类型（分类）→ 产品型号（具体产品）→ 生产工序（过程）→ 基础数据（指标字典），任一环节的编码或单位不一致，都会导致下游碳核算结果不可追溯。</w:t>
      </w:r>
    </w:p>
    <w:p w14:paraId="34FDE709">
      <w:pPr>
        <w:pStyle w:val="19"/>
        <w:bidi w:val="0"/>
        <w:rPr>
          <w:rFonts w:hint="eastAsia" w:eastAsia="宋体"/>
          <w:lang w:eastAsia="zh-CN"/>
        </w:rPr>
      </w:pPr>
      <w:r>
        <w:rPr>
          <w:rFonts w:hint="eastAsia"/>
          <w:lang w:val="en-US" w:eastAsia="zh-CN"/>
        </w:rPr>
        <w:t xml:space="preserve">边界声明：本板块只维护静态主数据，不产生动态产量或能耗数据。产品型号一经绑定工序并被核算引用，即成为受控主数据，禁止删除，只能停用。计量单位是本板块的核心约束——同名数据项若单位不一致，须通过独立编码区分（如「蒸汽消费量（热量）」与「蒸汽消费量（质量）」）。</w:t>
      </w:r>
    </w:p>
    <w:p w14:paraId="3FA9C4B6">
      <w:pPr>
        <w:pStyle w:val="19"/>
        <w:bidi w:val="0"/>
        <w:rPr>
          <w:rFonts w:hint="eastAsia" w:eastAsia="宋体"/>
          <w:lang w:eastAsia="zh-CN"/>
        </w:rPr>
      </w:pPr>
      <w:r>
        <w:rPr>
          <w:rFonts w:hint="eastAsia"/>
          <w:lang w:val="en-US" w:eastAsia="zh-CN"/>
        </w:rPr>
        <w:t xml:space="preserve">输入输出链：产品类型管理（两级分类与编码）→ 产品型号管理（五级关联绑定）→ 生产工序管理（工序与产品中类、工厂多对多关联）→ 基础数据管理（指标字典与采集口径）→ 集控能耗分摊与集采碳足迹拆解。</w:t>
      </w:r>
    </w:p>
    <w:p w14:paraId="3483D6D0">
      <w:pPr>
        <w:pStyle w:val="5"/>
        <w:numPr>
          <w:ilvl w:val="0"/>
          <w:numId w:val="222"/>
        </w:numPr>
        <w:ind w:left="0" w:leftChars="0" w:firstLine="0" w:firstLineChars="0"/>
        <w:outlineLvl w:val="1"/>
        <w:rPr>
          <w:rFonts w:hint="eastAsia"/>
          <w:b w:val="0"/>
          <w:bCs w:val="0"/>
          <w:lang w:val="en-US" w:eastAsia="zh-CN"/>
        </w:rPr>
      </w:pPr>
      <w:bookmarkStart w:id="77" w:name="_Toc29538"/>
      <w:r>
        <w:rPr>
          <w:rFonts w:hint="eastAsia"/>
          <w:b w:val="0"/>
          <w:bCs w:val="0"/>
          <w:lang w:val="en-US" w:eastAsia="zh-CN"/>
        </w:rPr>
        <w:t xml:space="preserve">产品类型管理</w:t>
      </w:r>
      <w:bookmarkEnd w:id="77"/>
    </w:p>
    <w:p w14:paraId="029BDFB0">
      <w:pPr>
        <w:rPr>
          <w:b w:val="0"/>
          <w:bCs w:val="0"/>
        </w:rPr>
      </w:pPr>
      <w:r>
        <w:drawing>
          <wp:inline distT="0" distB="0" distL="114300" distR="114300">
            <wp:extent cx="5900420" cy="2925445"/>
            <wp:effectExtent l="0" t="0" r="5080" b="8255"/>
            <wp:docPr id="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7"/>
                    <pic:cNvPicPr>
                      <a:picLocks noChangeAspect="1"/>
                    </pic:cNvPicPr>
                  </pic:nvPicPr>
                  <pic:blipFill>
                    <a:blip r:embed="rId105"/>
                    <a:stretch>
                      <a:fillRect/>
                    </a:stretch>
                  </pic:blipFill>
                  <pic:spPr>
                    <a:xfrm>
                      <a:off x="0" y="0"/>
                      <a:ext cx="5900420" cy="2925445"/>
                    </a:xfrm>
                    <a:prstGeom prst="rect">
                      <a:avLst/>
                    </a:prstGeom>
                    <a:noFill/>
                    <a:ln>
                      <a:noFill/>
                    </a:ln>
                  </pic:spPr>
                </pic:pic>
              </a:graphicData>
            </a:graphic>
          </wp:inline>
        </w:drawing>
      </w:r>
    </w:p>
    <w:p w14:paraId="398B8FF4">
      <w:pPr>
        <w:pStyle w:val="6"/>
        <w:numPr>
          <w:ilvl w:val="0"/>
          <w:numId w:val="22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E6BB52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功能定位：作为生产数据维护模块下产品分类主数据管理单元，采用「一级大类 → 二级中类」两级层级体系，维护产品类型编码、名称、所属产业及计量单位，支持产品类型新增、信息编辑与数据导出，为产品产量统计、单位产品能耗核算、产品碳足迹核算提供标准化产品分类主数据，是生产与碳数据精细化统计的前置基础依赖。</w:t>
            </w:r>
          </w:p>
          <w:p w14:paraId="4884D4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系统管理员（全量产品类型新增、分类信息维护、层级管理与数据导出）。</w:t>
            </w:r>
          </w:p>
          <w:p w14:paraId="414EB9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页面路由：/system/data/product-type（左侧导航：系统管理 › 生产数据维护 › 产品类型管理）。</w:t>
            </w:r>
          </w:p>
          <w:p w14:paraId="1561A3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上游依赖：组织管理（所属产业取值域，须与机构产业归属一致）。</w:t>
            </w:r>
          </w:p>
          <w:p w14:paraId="46E5D6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下游输出：产品型号管理的「产品大类 / 产品中类」取值域；第三章产品碳足迹核算的产品分类维度；集控中心单位产品能耗核算。</w:t>
            </w:r>
          </w:p>
          <w:p w14:paraId="7FF8B8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3AE20387">
      <w:pPr>
        <w:rPr>
          <w:b w:val="0"/>
          <w:bCs w:val="0"/>
        </w:rPr>
      </w:pPr>
    </w:p>
    <w:p w14:paraId="1FF2145A">
      <w:pPr>
        <w:pStyle w:val="6"/>
        <w:numPr>
          <w:ilvl w:val="0"/>
          <w:numId w:val="22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B09870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C55A1D5">
            <w:pPr>
              <w:pStyle w:val="19"/>
              <w:bidi w:val="0"/>
              <w:ind w:left="0" w:leftChars="0" w:firstLine="0" w:firstLineChars="0"/>
            </w:pPr>
            <w:r>
              <w:rPr>
                <w:b/>
                <w:bCs/>
                <w:lang w:val="en-US" w:eastAsia="zh-CN"/>
              </w:rPr>
              <w:t>业务场景</w:t>
            </w:r>
            <w:r>
              <w:rPr>
                <w:lang w:val="en-US" w:eastAsia="zh-CN"/>
              </w:rPr>
              <w:t>：面向系统管理员进行产品分类主数据标准化管控场景，搭建集团统一产品分类体系，支撑产值能耗与产品碳核算统计。</w:t>
            </w:r>
          </w:p>
          <w:p w14:paraId="52C3A24E">
            <w:pPr>
              <w:pStyle w:val="19"/>
              <w:bidi w:val="0"/>
              <w:ind w:left="0" w:leftChars="0" w:firstLine="0" w:firstLineChars="0"/>
            </w:pPr>
            <w:r>
              <w:rPr>
                <w:b/>
                <w:bCs/>
                <w:lang w:val="en-US" w:eastAsia="zh-CN"/>
              </w:rPr>
              <w:t>用户故事</w:t>
            </w:r>
            <w:r>
              <w:rPr>
                <w:lang w:val="en-US" w:eastAsia="zh-CN"/>
              </w:rPr>
              <w:t>：</w:t>
            </w:r>
          </w:p>
          <w:p w14:paraId="16536194">
            <w:pPr>
              <w:pStyle w:val="19"/>
              <w:bidi w:val="0"/>
            </w:pPr>
            <w:r>
              <w:rPr>
                <w:lang w:val="en-US" w:eastAsia="zh-CN"/>
              </w:rPr>
              <w:t>As a 系统管理员 (Persona PM)，</w:t>
            </w:r>
          </w:p>
          <w:p w14:paraId="44DE0DBE">
            <w:pPr>
              <w:pStyle w:val="19"/>
              <w:bidi w:val="0"/>
            </w:pPr>
            <w:r>
              <w:rPr>
                <w:lang w:val="en-US" w:eastAsia="zh-CN"/>
              </w:rPr>
              <w:t>I want 搭建并维护集团标准化产品类型层级与分类信息，</w:t>
            </w:r>
          </w:p>
          <w:p w14:paraId="431957DD">
            <w:pPr>
              <w:pStyle w:val="19"/>
              <w:bidi w:val="0"/>
            </w:pPr>
            <w:r>
              <w:rPr>
                <w:lang w:val="en-US" w:eastAsia="zh-CN"/>
              </w:rPr>
              <w:t>So that 我能支撑集团万元产值能耗核算、产品碳足迹统计，保障大屏能耗效益指标精准。</w:t>
            </w:r>
          </w:p>
        </w:tc>
      </w:tr>
    </w:tbl>
    <w:p w14:paraId="4BE4AD1E">
      <w:pPr>
        <w:rPr>
          <w:b w:val="0"/>
          <w:bCs w:val="0"/>
        </w:rPr>
      </w:pPr>
    </w:p>
    <w:p w14:paraId="48C3C772">
      <w:pPr>
        <w:pStyle w:val="6"/>
        <w:numPr>
          <w:ilvl w:val="0"/>
          <w:numId w:val="22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D57833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产品类型树表 ＋ 右上角【新增产品类型】【导出】。</w:t>
            </w:r>
          </w:p>
          <w:p w14:paraId="2CAE86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（1）条件筛选：支持按所属产业、1 级产品大类、类型层级、名称 / 编码搜索过滤。</w:t>
            </w:r>
          </w:p>
          <w:p w14:paraId="684716E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58210BB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（3）新增产品类型【新增产品类型】：打开新增弹窗，选择类型层级（1 级大类 / 2 级中类），填写类型编码、类型名称、所属 1 级大类、所属产业、计量单位。</w:t>
            </w:r>
          </w:p>
          <w:p w14:paraId="66AC56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（4）编辑【编辑】：打开编辑窗口，回填类型信息；类型编码为层级主键，编辑态只读。</w:t>
            </w:r>
          </w:p>
          <w:p w14:paraId="58EBD7B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（5）删除【删除】：打开弹窗确认，点击取消关闭、点击确定删除；存在下级中类或已被型号引用时禁止删除。</w:t>
            </w:r>
          </w:p>
          <w:p w14:paraId="27891E0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（6）树表展开 / 折叠：1 级大类行可展开查看其下全部 2 级中类。</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8662A9">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F4D5F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73B3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F97A2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12793B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4E76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2497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C97B8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50C2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FF6F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8207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【新增产品类型】</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F96A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34BA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D46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弹窗打开，层级可选</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079B8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EBB1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层级选择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63E89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选择层级</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198B8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2E3C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2 级中类时「所属 1 级大类」必填</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EF5D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EA22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B2D8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0D8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编码唯一；同级名称唯一；中类编码前 4 位＝大类码</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C3B9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树表新增该行并归位</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943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F401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大类行展开箭头</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07DD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展开 / 折叠</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CB5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823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显示 / 隐藏其下中类</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0DB4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90957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DE0F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C0B2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206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回填数据，编码只读</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49CD2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0FED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59C5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18CDA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无下级中类 且 无型号引用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907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50B1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阻断并提示占用原因</w:t>
            </w:r>
          </w:p>
        </w:tc>
      </w:tr>
    </w:tbl>
    <w:p w14:paraId="3B6C62F6">
      <w:pPr>
        <w:rPr>
          <w:b w:val="0"/>
          <w:bCs w:val="0"/>
        </w:rPr>
      </w:pPr>
    </w:p>
    <w:p w14:paraId="3D938F63">
      <w:pPr>
        <w:pStyle w:val="6"/>
        <w:numPr>
          <w:ilvl w:val="0"/>
          <w:numId w:val="22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C608F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AC9BC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BA2B2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44938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46A2A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F2994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A559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D042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0442E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层</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C27EF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取值｛1 级 大类 / 2 级 中类｝；新建中类时须先指定所属大类</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91452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1ACB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547E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F53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C93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业务主键；全局唯一；大类 4 位数字（1001），中类 10 位层级码（1001010101，前 4 位＝大类码）；创建后不可修改</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3B9A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8269F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C2275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BE1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6C8C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必填；≤40 字符；同级内唯一；如「交流变压器-1000KV」</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8739D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6F1E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 1 级大类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EBE99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AA35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CC29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中类必填；大类行显示自身枚举说明；取值域＝全部 1 级大类</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B739D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8B04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6A9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F6BBE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148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必填；取值｛变压器 / 线缆 / 开关 / 套管 / 互感器 / 电容器 / 综合｝；决定该类型在集控大屏的产业归属</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CA3D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271C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85C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2E3C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3C2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中类必填、大类可空；取值｛万元 / 台 / 套 / t / km / km*mm² / 支 / 面 / kvar｝；示例中类默认「万元」</w:t>
            </w:r>
          </w:p>
        </w:tc>
      </w:tr>
    </w:tbl>
    <w:p w14:paraId="2FDF7869">
      <w:pPr>
        <w:pStyle w:val="19"/>
        <w:bidi w:val="0"/>
        <w:rPr>
          <w:b w:val="0"/>
          <w:bCs w:val="0"/>
        </w:rPr>
      </w:pPr>
    </w:p>
    <w:p w14:paraId="157A1430">
      <w:pPr>
        <w:pStyle w:val="6"/>
        <w:numPr>
          <w:ilvl w:val="0"/>
          <w:numId w:val="22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1644CE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（1）类型编码生成规则</w:t>
            </w:r>
          </w:p>
          <w:p w14:paraId="4C0E28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大类：4 位数字顺序码，从 1001 起（1001 变压器、1002 高压组合电器-GIS、1003 套管、1004 互感器、1005 电容器）；</w:t>
            </w:r>
          </w:p>
          <w:p w14:paraId="61EAACA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中类：10 位层级码 = 大类码（4 位） + 中类顺序码（6 位）。示例：1001 + 010101 = 1001010101（交流变压器-1000KV）。</w:t>
            </w:r>
          </w:p>
          <w:p w14:paraId="6785FF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（2）层级完整性约束</w:t>
            </w:r>
          </w:p>
          <w:p w14:paraId="27A9DB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每个中类必须且仅属于一个大类；大类删除前必须先清空其下全部中类。</w:t>
            </w:r>
          </w:p>
          <w:p w14:paraId="73219B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（3）类型数量统计</w:t>
            </w:r>
          </w:p>
          <w:p w14:paraId="48B89A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N_sub(大类) = 该大类下（启用）中类数量。示例：变压器大类下 N_sub = 14。</w:t>
            </w:r>
          </w:p>
          <w:p w14:paraId="3D2E2C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#47 坐实）</w:t>
            </w:r>
          </w:p>
          <w:p w14:paraId="42D94FC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 变压器（1 级大类）；</w:t>
            </w:r>
          </w:p>
          <w:p w14:paraId="35859BD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1001010101 交流变压器-1000KV；1001020010 交流变压器-750KV；1001080100 交流变压器-500KV；</w:t>
            </w:r>
          </w:p>
          <w:p w14:paraId="43E624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1001401601 交流变压器-330KV；1001060103 交流变压器-220KV；1001060305 交流变压器-110KV；</w:t>
            </w:r>
          </w:p>
          <w:p w14:paraId="1ECCE63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1001061505 交流变压器-35KV 及以下；100102003 直流变压器-±800kv；100102005 直流变压器-±1100kv；</w:t>
            </w:r>
          </w:p>
          <w:p w14:paraId="5E238F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1001040100 干式变、接地变压器；1001040201 干式变-非晶合金；1001030300 箱式变；1001070200 欧式箱变。</w:t>
            </w:r>
          </w:p>
          <w:p w14:paraId="1B0E92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4D0CC1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编码为定长数字串（大类 4 位、中类 10 位），无数值计算，无容差。</w:t>
            </w:r>
          </w:p>
        </w:tc>
      </w:tr>
    </w:tbl>
    <w:p w14:paraId="33C1BA37">
      <w:pPr>
        <w:pStyle w:val="19"/>
        <w:bidi w:val="0"/>
        <w:rPr>
          <w:b w:val="0"/>
          <w:bCs w:val="0"/>
        </w:rPr>
      </w:pPr>
    </w:p>
    <w:p w14:paraId="5C2BC307">
      <w:pPr>
        <w:pStyle w:val="6"/>
        <w:numPr>
          <w:ilvl w:val="0"/>
          <w:numId w:val="22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0D500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列）：序号、类型层级、类型编码、类型名称、所属 1 级大类、所属产业、计量单位、操作。</w:t>
            </w:r>
          </w:p>
          <w:p w14:paraId="6F53AB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（2）层级呈现：1 级大类行前有展开箭头并显示其下中类数量；2 级中类行缩进展示。</w:t>
            </w:r>
          </w:p>
          <w:p w14:paraId="73670A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（3）编码展示：等宽字体右对齐，便于比对层级关系（中类前 4 位与大类码一致）。</w:t>
            </w:r>
          </w:p>
          <w:p w14:paraId="62035B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（4）所属产业以标签呈现，配色区分。</w:t>
            </w:r>
          </w:p>
          <w:p w14:paraId="1489E6D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（5）排序规则：默认大类在前，其后为其下中类按编码升序；大类之间按大类编码升序。</w:t>
            </w:r>
          </w:p>
          <w:p w14:paraId="327A0D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（6）可删除性口径：大类存在下级中类时不可删除；中类被产品型号引用时不可删除；其余可删。</w:t>
            </w:r>
          </w:p>
          <w:p w14:paraId="50F03FE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（7）统计口径：页面可展示大类数、中类总数与按产业的分布。</w:t>
            </w:r>
          </w:p>
          <w:p w14:paraId="26E32F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（8）基准来源：编码规则与 14 条中类示例取自原型截图 #47。</w:t>
            </w:r>
          </w:p>
        </w:tc>
      </w:tr>
    </w:tbl>
    <w:p w14:paraId="08506A6E">
      <w:pPr>
        <w:pStyle w:val="19"/>
        <w:bidi w:val="0"/>
        <w:rPr>
          <w:b w:val="0"/>
          <w:bCs w:val="0"/>
        </w:rPr>
      </w:pPr>
    </w:p>
    <w:p w14:paraId="10FDEE31">
      <w:pPr>
        <w:pStyle w:val="6"/>
        <w:numPr>
          <w:ilvl w:val="0"/>
          <w:numId w:val="22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D27AB7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（1）编码重复阻断：类型编码已存在时，阻断，返回 E_SYS_PTYPE_CODE_DUP。</w:t>
            </w:r>
          </w:p>
          <w:p w14:paraId="6E9EA5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（2）同级重名阻断：同一层级内类型名称重复时，阻断，返回 E_SYS_PTYPE_NAME_DUP。</w:t>
            </w:r>
          </w:p>
          <w:p w14:paraId="34EF02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（3）层级越界阻断：试图创建第 3 级类型时，阻断，返回 E_SYS_PTYPE_LEVEL_LIMIT。</w:t>
            </w:r>
          </w:p>
          <w:p w14:paraId="1A685C1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（4）删除引用阻断：大类下存在中类、或中类已被产品型号引用时，禁止删除，返回 E_SYS_PTYPE_IN_USE_DELETE_DENIED。</w:t>
            </w:r>
          </w:p>
          <w:p w14:paraId="4005EF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（5）编码层级不一致拦截：中类编码前 4 位与所选「所属 1 级大类」的编码不一致时，阻断，返回 E_SYS_PTYPE_CODE_MISMATCH。</w:t>
            </w:r>
          </w:p>
          <w:p w14:paraId="3789FB8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（6）编码格式拦截：大类编码非 4 位数字、中类编码非 10 位数字时，阻断，返回 E_SYS_PTYPE_CODE_FORMAT_INVALID。</w:t>
            </w:r>
          </w:p>
          <w:p w14:paraId="154B75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（7）越权写拦截：非 P4 角色调用本模块写接口时，返回 HTTP 403，触发 E_AUTH_RBAC_FORBIDDEN。</w:t>
            </w:r>
          </w:p>
        </w:tc>
      </w:tr>
    </w:tbl>
    <w:p w14:paraId="744D0718">
      <w:pPr>
        <w:rPr>
          <w:b w:val="0"/>
          <w:bCs w:val="0"/>
        </w:rPr>
      </w:pPr>
    </w:p>
    <w:p w14:paraId="57115D91">
      <w:pPr>
        <w:pStyle w:val="6"/>
        <w:numPr>
          <w:ilvl w:val="0"/>
          <w:numId w:val="22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CA1599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产品类型主数据</w:t>
            </w:r>
          </w:p>
          <w:p w14:paraId="4D7E9B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新增大类</w:t>
            </w:r>
          </w:p>
          <w:p w14:paraId="6128DE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产品类型管理</w:t>
            </w:r>
          </w:p>
          <w:p w14:paraId="5FB059F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点击【新增产品类型】，选择类型层级＝「1 级 大类」、类型编码＝「1006」、类型名称＝「电抗器」、所属产业＝「变压器产业」并保存</w:t>
            </w:r>
          </w:p>
          <w:p w14:paraId="6E6D26C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类型列表新增一个大类行</w:t>
            </w:r>
          </w:p>
          <w:p w14:paraId="1512055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该行前显示展开箭头，缩进层级为 1 级</w:t>
            </w:r>
          </w:p>
          <w:p w14:paraId="723B95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新增中类并绑定大类</w:t>
            </w:r>
          </w:p>
          <w:p w14:paraId="69556D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已存在大类「1001 变压器」</w:t>
            </w:r>
          </w:p>
          <w:p w14:paraId="28F178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新增中类，填写类型编码＝「1001060305」、类型名称＝「交流变压器-110KV」、所属 1 级大类＝「变压器」、计量单位＝「万元」并保存</w:t>
            </w:r>
          </w:p>
          <w:p w14:paraId="66E997D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列表在「变压器」大类下缩进显示该中类</w:t>
            </w:r>
          </w:p>
          <w:p w14:paraId="3016A6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所属 1 级大类列显示「变压器」</w:t>
            </w:r>
          </w:p>
          <w:p w14:paraId="5039896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编码层级不一致被拦截</w:t>
            </w:r>
          </w:p>
          <w:p w14:paraId="3DFB34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选择「所属 1 级大类＝变压器（编码 1001）」</w:t>
            </w:r>
          </w:p>
          <w:p w14:paraId="4C12C1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填写中类编码＝「2001010101」并保存</w:t>
            </w:r>
          </w:p>
          <w:p w14:paraId="247598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系统阻断并提示「中类编码前 4 位须与所属大类编码一致」</w:t>
            </w:r>
          </w:p>
          <w:p w14:paraId="5FA76D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E_SYS_PTYPE_CODE_MISMATCH</w:t>
            </w:r>
          </w:p>
          <w:p w14:paraId="45FA1EA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存在中类的大类不可删除</w:t>
            </w:r>
          </w:p>
          <w:p w14:paraId="2E1783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大类「1001 变压器」下存在 14 个中类</w:t>
            </w:r>
          </w:p>
          <w:p w14:paraId="52C364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尝试删除该大类</w:t>
            </w:r>
          </w:p>
          <w:p w14:paraId="1E1AC9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系统阻断并提示「请先删除其下中类」</w:t>
            </w:r>
          </w:p>
          <w:p w14:paraId="4EF9A75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E_SYS_PTYPE_IN_USE_DELETE_DENIED</w:t>
            </w:r>
          </w:p>
          <w:p w14:paraId="6EEA2A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同级重名被阻断</w:t>
            </w:r>
          </w:p>
          <w:p w14:paraId="4D6279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大类「变压器」下已存在中类「交流变压器-110KV」</w:t>
            </w:r>
          </w:p>
          <w:p w14:paraId="5AE3BA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再新增同名中类</w:t>
            </w:r>
          </w:p>
          <w:p w14:paraId="4D6171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21435FB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E_SYS_PTYPE_NAME_DUP</w:t>
            </w:r>
          </w:p>
          <w:p w14:paraId="1C8060F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不允许创建第三级类型</w:t>
            </w:r>
          </w:p>
          <w:p w14:paraId="3FABCE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已选中一个 2 级中类</w:t>
            </w:r>
          </w:p>
          <w:p w14:paraId="7CFEA4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尝试在其下新增类型</w:t>
            </w:r>
          </w:p>
          <w:p w14:paraId="2EBDB2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系统阻断并提示「产品类型最多两级」</w:t>
            </w:r>
          </w:p>
          <w:p w14:paraId="302ED3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E_SYS_PTYPE_LEVEL_LIMIT</w:t>
            </w:r>
          </w:p>
        </w:tc>
      </w:tr>
    </w:tbl>
    <w:p w14:paraId="0BFA5967">
      <w:pPr>
        <w:rPr>
          <w:rFonts w:hint="eastAsia"/>
          <w:b w:val="0"/>
          <w:bCs w:val="0"/>
          <w:lang w:val="en-US" w:eastAsia="zh-CN"/>
        </w:rPr>
      </w:pPr>
    </w:p>
    <w:p w14:paraId="62F469B9">
      <w:pPr>
        <w:pStyle w:val="5"/>
        <w:numPr>
          <w:ilvl w:val="0"/>
          <w:numId w:val="222"/>
        </w:numPr>
        <w:ind w:left="0" w:leftChars="0" w:firstLine="0" w:firstLineChars="0"/>
        <w:outlineLvl w:val="1"/>
        <w:rPr>
          <w:rFonts w:hint="eastAsia"/>
          <w:b w:val="0"/>
          <w:bCs w:val="0"/>
          <w:lang w:val="en-US" w:eastAsia="zh-CN"/>
        </w:rPr>
      </w:pPr>
      <w:bookmarkStart w:id="78" w:name="_Toc29667"/>
      <w:r>
        <w:rPr>
          <w:rFonts w:hint="eastAsia"/>
          <w:b w:val="0"/>
          <w:bCs w:val="0"/>
          <w:lang w:val="en-US" w:eastAsia="zh-CN"/>
        </w:rPr>
        <w:t xml:space="preserve">产品型号管理</w:t>
      </w:r>
      <w:bookmarkEnd w:id="78"/>
    </w:p>
    <w:p w14:paraId="20668D95">
      <w:pPr>
        <w:rPr>
          <w:b w:val="0"/>
          <w:bCs w:val="0"/>
        </w:rPr>
      </w:pPr>
      <w:r>
        <w:drawing>
          <wp:inline distT="0" distB="0" distL="114300" distR="114300">
            <wp:extent cx="5900420" cy="2925445"/>
            <wp:effectExtent l="0" t="0" r="5080" b="8255"/>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106"/>
                    <a:stretch>
                      <a:fillRect/>
                    </a:stretch>
                  </pic:blipFill>
                  <pic:spPr>
                    <a:xfrm>
                      <a:off x="0" y="0"/>
                      <a:ext cx="5900420" cy="2925445"/>
                    </a:xfrm>
                    <a:prstGeom prst="rect">
                      <a:avLst/>
                    </a:prstGeom>
                    <a:noFill/>
                    <a:ln>
                      <a:noFill/>
                    </a:ln>
                  </pic:spPr>
                </pic:pic>
              </a:graphicData>
            </a:graphic>
          </wp:inline>
        </w:drawing>
      </w:r>
    </w:p>
    <w:p w14:paraId="20D95F24">
      <w:pPr>
        <w:pStyle w:val="6"/>
        <w:numPr>
          <w:ilvl w:val="0"/>
          <w:numId w:val="22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7923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功能定位：作为生产数据维护模块下产品型号主数据管理单元，维护经营单位、制造工厂与产品大类、中类、型号的五级关联关系，绑定对应生产工序，支持型号新增、批量导入、信息编辑与数据导出，为产品 BOM、工序能耗分摊、单品碳足迹核算提供产品型号基础主数据，是精细化生产与碳核算的前置基础依赖。</w:t>
            </w:r>
          </w:p>
          <w:p w14:paraId="33948B0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系统管理员（全量产品型号新增、型号关联信息维护、批量导入导出与数据删除）。</w:t>
            </w:r>
          </w:p>
          <w:p w14:paraId="3B56CE9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页面路由：/system/data/product-model（左侧导航：系统管理 › 生产数据维护 › 产品型号管理；界面标题「产品型号与大类对应关系管理」）。</w:t>
            </w:r>
          </w:p>
          <w:p w14:paraId="7969CF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上游依赖：产品类型管理（产品大类 / 产品中类取值域）；生产工序管理（工序绑定）；组织管理（经营单位 / 制造工厂取值域）。</w:t>
            </w:r>
          </w:p>
          <w:p w14:paraId="3024A2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下游输出：第三章单品碳足迹核算与实景数据库台账；集控中心工序能耗分摊。</w:t>
            </w:r>
          </w:p>
          <w:p w14:paraId="441DDB9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7B93C38C">
      <w:pPr>
        <w:rPr>
          <w:b w:val="0"/>
          <w:bCs w:val="0"/>
        </w:rPr>
      </w:pPr>
    </w:p>
    <w:p w14:paraId="376C4DEF">
      <w:pPr>
        <w:pStyle w:val="6"/>
        <w:numPr>
          <w:ilvl w:val="0"/>
          <w:numId w:val="22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CAD10F8">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8F0E74C">
            <w:pPr>
              <w:pStyle w:val="19"/>
              <w:bidi w:val="0"/>
              <w:ind w:left="0" w:leftChars="0" w:firstLine="0" w:firstLineChars="0"/>
            </w:pPr>
            <w:r>
              <w:rPr>
                <w:b/>
                <w:bCs/>
                <w:lang w:val="en-US" w:eastAsia="zh-CN"/>
              </w:rPr>
              <w:t>业务场景</w:t>
            </w:r>
            <w:r>
              <w:rPr>
                <w:lang w:val="en-US" w:eastAsia="zh-CN"/>
              </w:rPr>
              <w:t>：面向系统管理员进行精细化产品主数据管控场景，维护产品型号与工厂、工序的关联关系，支撑单品能耗与碳数据分摊核算。</w:t>
            </w:r>
          </w:p>
          <w:p w14:paraId="1CF52A8B">
            <w:pPr>
              <w:pStyle w:val="19"/>
              <w:bidi w:val="0"/>
              <w:ind w:left="0" w:leftChars="0" w:firstLine="0" w:firstLineChars="0"/>
            </w:pPr>
            <w:r>
              <w:rPr>
                <w:b/>
                <w:bCs/>
                <w:lang w:val="en-US" w:eastAsia="zh-CN"/>
              </w:rPr>
              <w:t>用户故事</w:t>
            </w:r>
            <w:r>
              <w:rPr>
                <w:lang w:val="en-US" w:eastAsia="zh-CN"/>
              </w:rPr>
              <w:t>：</w:t>
            </w:r>
          </w:p>
          <w:p w14:paraId="075D6A7D">
            <w:pPr>
              <w:pStyle w:val="19"/>
              <w:bidi w:val="0"/>
            </w:pPr>
            <w:r>
              <w:rPr>
                <w:lang w:val="en-US" w:eastAsia="zh-CN"/>
              </w:rPr>
              <w:t>As a 系统管理员 (Persona PM)，</w:t>
            </w:r>
          </w:p>
          <w:p w14:paraId="64A2CFAB">
            <w:pPr>
              <w:pStyle w:val="19"/>
              <w:bidi w:val="0"/>
            </w:pPr>
            <w:r>
              <w:rPr>
                <w:lang w:val="en-US" w:eastAsia="zh-CN"/>
              </w:rPr>
              <w:t>I want 维护产品型号关联生产资源与工序信息、批量规范化管理数据，</w:t>
            </w:r>
          </w:p>
          <w:p w14:paraId="23053DA0">
            <w:pPr>
              <w:pStyle w:val="19"/>
              <w:bidi w:val="0"/>
            </w:pPr>
            <w:r>
              <w:rPr>
                <w:lang w:val="en-US" w:eastAsia="zh-CN"/>
              </w:rPr>
              <w:t>So that 我能支撑工序能耗分摊、单品碳核算，夯实集团精细化能碳统计底座。</w:t>
            </w:r>
          </w:p>
        </w:tc>
      </w:tr>
    </w:tbl>
    <w:p w14:paraId="2F8EAFE0">
      <w:pPr>
        <w:rPr>
          <w:b w:val="0"/>
          <w:bCs w:val="0"/>
        </w:rPr>
      </w:pPr>
    </w:p>
    <w:p w14:paraId="1B6C9DA9">
      <w:pPr>
        <w:pStyle w:val="6"/>
        <w:numPr>
          <w:ilvl w:val="0"/>
          <w:numId w:val="22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C1D3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页面布局：五级级联条件筛选区 ＋ 型号列表 ＋ 右上角【新增型号】【导入】【导出】。</w:t>
            </w:r>
          </w:p>
          <w:p w14:paraId="316FC1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（1）条件筛选：支持按经营单位、制造工厂、产品大类、产品中类、型号搜索逐级过滤；上级选择后下级选项自动级联收敛。</w:t>
            </w:r>
          </w:p>
          <w:p w14:paraId="4CC1F5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56D630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（3）新增型号【新增型号】：打开新增弹窗，级联选择经营单位 → 制造工厂 → 产品大类 → 产品中类，填写型号编码，绑定生产工序。</w:t>
            </w:r>
          </w:p>
          <w:p w14:paraId="73394E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（4）导入【导入】：打开批量导入产品型号窗口——下载模板 → 上传文件 → 系统校验 → 确认导入。</w:t>
            </w:r>
          </w:p>
          <w:p w14:paraId="7223E7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（5）导出【导出】：将当前筛选结果导出到 Excel（.xlsx）。</w:t>
            </w:r>
          </w:p>
          <w:p w14:paraId="160861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（6）编辑【编辑】：打开编辑窗口，回填型号及五级关联信息。</w:t>
            </w:r>
          </w:p>
          <w:p w14:paraId="1B865D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（7）删除【删除】：打开弹窗确认；已被 BOM 或核算报告引用时禁止删除。</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DD0B19">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9DB1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D152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D956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87A76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D99C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五级级联筛选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C60D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逐级选择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5C55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61AA4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下级选项收敛为上级子集，列表刷新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49D5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A2A9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【新增型号】</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0BF6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FD850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622F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弹窗打开，级联可选</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F506C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BF3B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级联选择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A88C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逐级选择</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ABBA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下级 ∈ 上级集合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9EBC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大类编码 / 中类编码自动带出</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336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6F2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B2B1D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120B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型号全局唯一；五级关联一致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A1FE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C695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7BA5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【导入】</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E6AD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上传文件</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6ED4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模板列齐全；逐行校验通过</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D205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提示导入成功行数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EEFD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整批拒绝并输出错误行清单</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C17D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57B5F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6D6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4A73E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BCB2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超限提示分批</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331A9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0DA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35F0E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9A1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F969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2D90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B550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AA783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 BOM / 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D8F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AE873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阻断并提示引用信息</w:t>
            </w:r>
          </w:p>
        </w:tc>
      </w:tr>
    </w:tbl>
    <w:p w14:paraId="1E30D3AA">
      <w:pPr>
        <w:rPr>
          <w:b w:val="0"/>
          <w:bCs w:val="0"/>
        </w:rPr>
      </w:pPr>
    </w:p>
    <w:p w14:paraId="01D86D6E">
      <w:pPr>
        <w:pStyle w:val="6"/>
        <w:numPr>
          <w:ilvl w:val="0"/>
          <w:numId w:val="22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48379E">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92B7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1950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ADF30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E8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E5BFA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44E5A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经营单位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C2C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57B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1C4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必填；如沈变公司 / 新变厂 / 鲁缆公司；取值域为组织树中层级＝二级单位（经营单位）的节点</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286EB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6C3DC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制造工厂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9639B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C235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B343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必填；取值域为该经营单位下的工厂节点（沈变本部 / 和盛套管 / 康嘉互感器 / 云集高压开关 / 超高压公司 / 天变(天津)建投等）</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284CB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C088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产品大类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FE30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FF50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1259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必填；取值域＝产品类型 1 级大类</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8181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1AD0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大类编码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A918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7B56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9641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由产品大类联动带出（1001 / 1002 / 1003 / 1004 / 1005 / 200104 / 200109）</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81C1E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D4FBF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7CE2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F738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D792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必填；取值域＝所选大类下的 2 级中类</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2869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CD620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中类编码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A051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只读文本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12436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A62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由产品中类联动带出（10 位层级码，如 1001010101）</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5B5BE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BDCE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型号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087D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6AB9B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0BA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业务主键；全局唯一；真实型号编码（如 ODFPS-1000000/1000、YJLW03-127/220KV-1×1200）；含字母数字与连接符，≤40 字符</w:t>
            </w:r>
          </w:p>
        </w:tc>
      </w:tr>
    </w:tbl>
    <w:p w14:paraId="6332877C">
      <w:pPr>
        <w:pStyle w:val="19"/>
        <w:bidi w:val="0"/>
        <w:rPr>
          <w:b w:val="0"/>
          <w:bCs w:val="0"/>
        </w:rPr>
      </w:pPr>
    </w:p>
    <w:p w14:paraId="5DE4B270">
      <w:pPr>
        <w:pStyle w:val="6"/>
        <w:numPr>
          <w:ilvl w:val="0"/>
          <w:numId w:val="22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498AA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（1）型号唯一键</w:t>
            </w:r>
          </w:p>
          <w:p w14:paraId="63AAD3D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Uk = 型号（全局唯一，不区分经营单位 / 工厂）。</w:t>
            </w:r>
          </w:p>
          <w:p w14:paraId="353FF6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（2）五级关联完整性</w:t>
            </w:r>
          </w:p>
          <w:p w14:paraId="506DB3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约束链：制造工厂 ∈ 经营单位下属工厂；产品中类 ∈ 产品大类下属中类。</w:t>
            </w:r>
          </w:p>
          <w:p w14:paraId="47D38D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校验式：Parent(工厂) = 经营单位 ∧ Parent(中类) = 产品大类，两项均真方可保存。</w:t>
            </w:r>
          </w:p>
          <w:p w14:paraId="1C7655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（3）型号归属唯一性</w:t>
            </w:r>
          </w:p>
          <w:p w14:paraId="527BED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一个型号仅可归属一个中类（多工厂可共用同一中类，但型号本身唯一）。</w:t>
            </w:r>
          </w:p>
          <w:p w14:paraId="3816C1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#48 坐实）</w:t>
            </w:r>
          </w:p>
          <w:p w14:paraId="63C359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交流变压器-1000KV 1001010101 / ODFPS-1000000/1000；</w:t>
            </w:r>
          </w:p>
          <w:p w14:paraId="4502C2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交流变压器-500KV / OSFPS-750000/500；</w:t>
            </w:r>
          </w:p>
          <w:p w14:paraId="4F581D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和盛套管 / 套管 1003 / 直流套管-±500至±1100kV / BBDL-1800/2000-4；</w:t>
            </w:r>
          </w:p>
          <w:p w14:paraId="7D6D7D4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康嘉互感器 / 互感器 1004 / 高压电流互感器 / LB…60-500W3；</w:t>
            </w:r>
          </w:p>
          <w:p w14:paraId="765BA22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交流变压器-110KV / SFS11-50000/110；</w:t>
            </w:r>
          </w:p>
          <w:p w14:paraId="4037F0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沈变本部 / 变压器 1001 / 直流变压器-±800kv / ZZDFPZ-607500/500-800；</w:t>
            </w:r>
          </w:p>
          <w:p w14:paraId="750D18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沈变公司 / 云集高压开关 / 高压组合电器-GIS 1002 / 高压开关(GIS-252至363kV) / ZF27-252/T4000-50；</w:t>
            </w:r>
          </w:p>
          <w:p w14:paraId="78CCD1B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新变厂 / 超高压公司 / 变压器 1001 / 交流变压器-220KV / SFP-400000/220；</w:t>
            </w:r>
          </w:p>
          <w:p w14:paraId="576E9D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新变厂 / 天变(天津)建投 / 变压器 1001 / 干式变-非晶合金 / SCB14-2000/10；</w:t>
            </w:r>
          </w:p>
          <w:p w14:paraId="7FAE2D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新变厂 / 天变(天津)建投 / 变压器 1001 / 欧式箱变 / ZGS11-Z-800/10；</w:t>
            </w:r>
          </w:p>
          <w:p w14:paraId="3D09A0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鲁缆公司 / 鲁缆本部（高压立塔） / 高压电力电缆 200104 / 超高压交联电力电缆（220kV） / YJLW03-127/220KV-1×1200；</w:t>
            </w:r>
          </w:p>
          <w:p w14:paraId="346985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鲁缆公司 / 鲁缆本部（高压立塔） / 中低压电力电缆 200109 / 中压交联电力电缆（8.7/15KV） / YJV22-8.7/15KV-3×400。</w:t>
            </w:r>
          </w:p>
          <w:p w14:paraId="55B36E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697A9D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本模块无数值计算，无容差。</w:t>
            </w:r>
          </w:p>
        </w:tc>
      </w:tr>
    </w:tbl>
    <w:p w14:paraId="5B91B827">
      <w:pPr>
        <w:pStyle w:val="19"/>
        <w:bidi w:val="0"/>
        <w:rPr>
          <w:b w:val="0"/>
          <w:bCs w:val="0"/>
        </w:rPr>
      </w:pPr>
    </w:p>
    <w:p w14:paraId="5FD56E10">
      <w:pPr>
        <w:pStyle w:val="6"/>
        <w:numPr>
          <w:ilvl w:val="0"/>
          <w:numId w:val="22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EF56A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（1）列表展示字段（8 列）：序号、经营单位、制造工厂、产品大类、大类编码、产品中类、中类编码、型号、操作。</w:t>
            </w:r>
          </w:p>
          <w:p w14:paraId="397FE11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（2）级联联动：选择产品大类后，产品中类下拉自动过滤为该大类下的中类；选定中类后，「大类编码」「中类编码」自动带出且只读。</w:t>
            </w:r>
          </w:p>
          <w:p w14:paraId="4D0AA60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（3）编码展示：大类编码、中类编码以等宽字体右对齐，便于与外层分类比对。</w:t>
            </w:r>
          </w:p>
          <w:p w14:paraId="11FA8A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（4）排序规则：默认按（经营单位 → 制造工厂 → 中类编码 → 型号）升序。</w:t>
            </w:r>
          </w:p>
          <w:p w14:paraId="230DD4A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（5）统计口径：页面可展示型号总数，以及按经营单位 / 按大类的型号分布。</w:t>
            </w:r>
          </w:p>
          <w:p w14:paraId="1061E2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（6）可删除性口径：型号未被 BOM 与核算报告引用时可删；否则置灰并悬浮提示引用对象。</w:t>
            </w:r>
          </w:p>
          <w:p w14:paraId="7AD276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（7）基准来源：型号示例与五级关联关系取自原型截图 #48。</w:t>
            </w:r>
          </w:p>
        </w:tc>
      </w:tr>
    </w:tbl>
    <w:p w14:paraId="1B85C771">
      <w:pPr>
        <w:pStyle w:val="19"/>
        <w:bidi w:val="0"/>
        <w:rPr>
          <w:b w:val="0"/>
          <w:bCs w:val="0"/>
        </w:rPr>
      </w:pPr>
    </w:p>
    <w:p w14:paraId="6AF6EA47">
      <w:pPr>
        <w:pStyle w:val="6"/>
        <w:numPr>
          <w:ilvl w:val="0"/>
          <w:numId w:val="22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1BB08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（1）型号重复阻断：型号已存在时，阻断，返回 E_SYS_MODEL_CODE_DUP。</w:t>
            </w:r>
          </w:p>
          <w:p w14:paraId="118FBA0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（2）级联不一致拦截：制造工厂不属于所选经营单位、或产品中类不属于所选产品大类时，阻断，返回 E_SYS_MODEL_CASCADE_MISMATCH。</w:t>
            </w:r>
          </w:p>
          <w:p w14:paraId="4E32FA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（3）删除引用阻断：型号已被 BOM 或核算报告引用时禁止删除，返回 E_SYS_MODEL_IN_USE_DELETE_DENIED。</w:t>
            </w:r>
          </w:p>
          <w:p w14:paraId="3D7F15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（4）批量导入格式校验：模板列缺失、型号为空、级联对象不存在时，整批拒绝并输出错误行清单（行号 + 原因），返回 E_SYS_MODEL_IMPORT_INVALID。</w:t>
            </w:r>
          </w:p>
          <w:p w14:paraId="47B5456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（5）批量导入重复处理：导入文件中型号与库中重复时，按「跳过并记录」策略处理，输出冲突清单，不覆盖既有数据。</w:t>
            </w:r>
          </w:p>
          <w:p w14:paraId="29829B0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（6）型号字符集校验：型号含空格或非法字符时，阻断，返回 E_SYS_MODEL_CODE_INVALID。</w:t>
            </w:r>
          </w:p>
          <w:p w14:paraId="47C9E4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（7）并发导入冲突：同一批导入任务被重复提交时，以任务号去重，重复提交返回 E_SYS_MODEL_IMPORT_DUP_TASK。</w:t>
            </w:r>
          </w:p>
          <w:p w14:paraId="7E241D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1B5AB74B">
      <w:pPr>
        <w:rPr>
          <w:b w:val="0"/>
          <w:bCs w:val="0"/>
        </w:rPr>
      </w:pPr>
    </w:p>
    <w:p w14:paraId="4493F238">
      <w:pPr>
        <w:pStyle w:val="6"/>
        <w:numPr>
          <w:ilvl w:val="0"/>
          <w:numId w:val="22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6FA34F2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产品型号主数据</w:t>
            </w:r>
          </w:p>
          <w:p w14:paraId="5AF84E3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新增产品型号并级联绑定</w:t>
            </w:r>
          </w:p>
          <w:p w14:paraId="777526E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产品型号管理</w:t>
            </w:r>
          </w:p>
          <w:p w14:paraId="5B5F1D8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点击【新增型号】，选择经营单位＝「沈变公司」、制造工厂＝「沈变本部」、产品大类＝「变压器」、产品中类＝「交流变压器-1000KV」，填写型号＝「ODFPS-1000000/1000」并保存</w:t>
            </w:r>
          </w:p>
          <w:p w14:paraId="3569E6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w:t>
            </w:r>
          </w:p>
          <w:p w14:paraId="54E6BF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大类编码自动带出「1001」，中类编码自动带出「1001010101」</w:t>
            </w:r>
          </w:p>
          <w:p w14:paraId="2FF1258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型号重复被阻断</w:t>
            </w:r>
          </w:p>
          <w:p w14:paraId="4FAB6CE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已存在型号「ODFPS-1000000/1000」</w:t>
            </w:r>
          </w:p>
          <w:p w14:paraId="68CF14C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再次新增同型号</w:t>
            </w:r>
          </w:p>
          <w:p w14:paraId="1A7370F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4B08AB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E_SYS_MODEL_CODE_DUP</w:t>
            </w:r>
          </w:p>
          <w:p w14:paraId="3DFE1D9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级联不一致被拦截</w:t>
            </w:r>
          </w:p>
          <w:p w14:paraId="437636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选择经营单位＝「沈变公司」</w:t>
            </w:r>
          </w:p>
          <w:p w14:paraId="24FA9F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制造工厂选择「鲁缆本部（高压立塔）」并保存</w:t>
            </w:r>
          </w:p>
          <w:p w14:paraId="79A82D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系统阻断并提示「制造工厂不属于所选经营单位」</w:t>
            </w:r>
          </w:p>
          <w:p w14:paraId="6FB84A2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E_SYS_MODEL_CASCADE_MISMATCH</w:t>
            </w:r>
          </w:p>
          <w:p w14:paraId="29DDDE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批量导入部分行失败则整批拒绝</w:t>
            </w:r>
          </w:p>
          <w:p w14:paraId="2383EF6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导入文件含 10 行，其中第 3 行型号为空</w:t>
            </w:r>
          </w:p>
          <w:p w14:paraId="2932826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上传并提交导入</w:t>
            </w:r>
          </w:p>
          <w:p w14:paraId="63BDBA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系统整批拒绝并提示「第 3 行型号不可为空」</w:t>
            </w:r>
          </w:p>
          <w:p w14:paraId="44DC34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E_SYS_MODEL_IMPORT_INVALID，库中未新增任何型号</w:t>
            </w:r>
          </w:p>
          <w:p w14:paraId="1FF98B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批量导入重复型号按跳过处理</w:t>
            </w:r>
          </w:p>
          <w:p w14:paraId="36F674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导入文件含 5 行，其中 2 行型号与库中重复</w:t>
            </w:r>
          </w:p>
          <w:p w14:paraId="4B37FE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上传并提交导入</w:t>
            </w:r>
          </w:p>
          <w:p w14:paraId="6DBB280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3 行成功导入，2 行按「跳过并记录」处理</w:t>
            </w:r>
          </w:p>
          <w:p w14:paraId="1F9884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输出冲突清单（行号 + 型号），既有数据未被覆盖</w:t>
            </w:r>
          </w:p>
          <w:p w14:paraId="5C2A96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已被引用的型号禁止删除</w:t>
            </w:r>
          </w:p>
          <w:p w14:paraId="413FFB3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型号「SFP-400000/220」已被核算报告引用</w:t>
            </w:r>
          </w:p>
          <w:p w14:paraId="6F8F5A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71807A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4DF467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E_SYS_MODEL_IN_USE_DELETE_DENIED</w:t>
            </w:r>
          </w:p>
        </w:tc>
      </w:tr>
    </w:tbl>
    <w:p w14:paraId="63544A91">
      <w:pPr>
        <w:rPr>
          <w:rFonts w:hint="eastAsia"/>
          <w:b w:val="0"/>
          <w:bCs w:val="0"/>
          <w:lang w:val="en-US" w:eastAsia="zh-CN"/>
        </w:rPr>
      </w:pPr>
    </w:p>
    <w:p w14:paraId="709F5715">
      <w:pPr>
        <w:pStyle w:val="5"/>
        <w:numPr>
          <w:ilvl w:val="0"/>
          <w:numId w:val="222"/>
        </w:numPr>
        <w:ind w:left="0" w:leftChars="0" w:firstLine="0" w:firstLineChars="0"/>
        <w:outlineLvl w:val="1"/>
        <w:rPr>
          <w:rFonts w:hint="eastAsia"/>
          <w:b w:val="0"/>
          <w:bCs w:val="0"/>
          <w:lang w:val="en-US" w:eastAsia="zh-CN"/>
        </w:rPr>
      </w:pPr>
      <w:bookmarkStart w:id="79" w:name="_Toc15573"/>
      <w:r>
        <w:rPr>
          <w:rFonts w:hint="eastAsia"/>
          <w:b w:val="0"/>
          <w:bCs w:val="0"/>
          <w:lang w:val="en-US" w:eastAsia="zh-CN"/>
        </w:rPr>
        <w:t xml:space="preserve">基础数据管理</w:t>
      </w:r>
      <w:bookmarkEnd w:id="79"/>
    </w:p>
    <w:p w14:paraId="7A736ADE">
      <w:pPr>
        <w:rPr>
          <w:b w:val="0"/>
          <w:bCs w:val="0"/>
        </w:rPr>
      </w:pPr>
      <w:r>
        <w:drawing>
          <wp:inline distT="0" distB="0" distL="114300" distR="114300">
            <wp:extent cx="5900420" cy="2925445"/>
            <wp:effectExtent l="0" t="0" r="5080" b="8255"/>
            <wp:docPr id="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9"/>
                    <pic:cNvPicPr>
                      <a:picLocks noChangeAspect="1"/>
                    </pic:cNvPicPr>
                  </pic:nvPicPr>
                  <pic:blipFill>
                    <a:blip r:embed="rId107"/>
                    <a:stretch>
                      <a:fillRect/>
                    </a:stretch>
                  </pic:blipFill>
                  <pic:spPr>
                    <a:xfrm>
                      <a:off x="0" y="0"/>
                      <a:ext cx="5900420" cy="2925445"/>
                    </a:xfrm>
                    <a:prstGeom prst="rect">
                      <a:avLst/>
                    </a:prstGeom>
                    <a:noFill/>
                    <a:ln>
                      <a:noFill/>
                    </a:ln>
                  </pic:spPr>
                </pic:pic>
              </a:graphicData>
            </a:graphic>
          </wp:inline>
        </w:drawing>
      </w:r>
    </w:p>
    <w:p w14:paraId="11ECF234">
      <w:pPr>
        <w:pStyle w:val="6"/>
        <w:numPr>
          <w:ilvl w:val="0"/>
          <w:numId w:val="22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2C0B3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指标主数据管理单元，统一维护各类能源、统计指标的代码、名称、业务分类、计量单位、默认值、数据来源、集成方式与采集频率，支持基础数据项新增、参数编辑与数据导出，为平台数据采集、指标计算、报表统计提供标准化指标字典，是平台数据接入与统一口径管理的核心基础依赖。</w:t>
            </w:r>
          </w:p>
          <w:p w14:paraId="294576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系统管理员（全量基础数据项新增、指标属性维护、字典管理与数据导出）。</w:t>
            </w:r>
          </w:p>
          <w:p w14:paraId="14518F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页面路由：/system/data/base-item（左侧导航：系统管理 › 生产数据维护 › 基础数据管理）。</w:t>
            </w:r>
          </w:p>
          <w:p w14:paraId="448A06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上游依赖：无（本模块定义平台指标字典全集，是全平台数据口径的最终解释）。</w:t>
            </w:r>
          </w:p>
          <w:p w14:paraId="2E9ED3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下游输出：集控中心与集采中心的数据采集配置、指标计算公式与报表取数口径；外部系统集成点表的字段来源。</w:t>
            </w:r>
          </w:p>
          <w:p w14:paraId="5346AC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71F3C4E2">
      <w:pPr>
        <w:rPr>
          <w:b w:val="0"/>
          <w:bCs w:val="0"/>
        </w:rPr>
      </w:pPr>
    </w:p>
    <w:p w14:paraId="5B902985">
      <w:pPr>
        <w:pStyle w:val="6"/>
        <w:numPr>
          <w:ilvl w:val="0"/>
          <w:numId w:val="22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E053C5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86A8F">
            <w:pPr>
              <w:pStyle w:val="19"/>
              <w:bidi w:val="0"/>
              <w:ind w:left="0" w:leftChars="0" w:firstLine="0" w:firstLineChars="0"/>
            </w:pPr>
            <w:r>
              <w:rPr>
                <w:b/>
                <w:bCs/>
                <w:lang w:val="en-US" w:eastAsia="zh-CN"/>
              </w:rPr>
              <w:t>业务场景</w:t>
            </w:r>
            <w:r>
              <w:rPr>
                <w:lang w:val="en-US" w:eastAsia="zh-CN"/>
              </w:rPr>
              <w:t>：面向系统管理员进行平台指标字典统一管控场景，标准化所有能碳统计指标、采集规则与数据口径，实现全平台数据统一治理。</w:t>
            </w:r>
          </w:p>
          <w:p w14:paraId="698CACA4">
            <w:pPr>
              <w:pStyle w:val="19"/>
              <w:bidi w:val="0"/>
              <w:ind w:left="0" w:leftChars="0" w:firstLine="0" w:firstLineChars="0"/>
            </w:pPr>
            <w:r>
              <w:rPr>
                <w:b/>
                <w:bCs/>
                <w:lang w:val="en-US" w:eastAsia="zh-CN"/>
              </w:rPr>
              <w:t>用户故事</w:t>
            </w:r>
            <w:r>
              <w:rPr>
                <w:lang w:val="en-US" w:eastAsia="zh-CN"/>
              </w:rPr>
              <w:t>：</w:t>
            </w:r>
          </w:p>
          <w:p w14:paraId="5BBBA5F7">
            <w:pPr>
              <w:pStyle w:val="19"/>
              <w:bidi w:val="0"/>
            </w:pPr>
            <w:r>
              <w:rPr>
                <w:lang w:val="en-US" w:eastAsia="zh-CN"/>
              </w:rPr>
              <w:t>As a 系统管理员 (Persona PM)，</w:t>
            </w:r>
          </w:p>
          <w:p w14:paraId="7FBD50FD">
            <w:pPr>
              <w:pStyle w:val="19"/>
              <w:bidi w:val="0"/>
            </w:pPr>
            <w:r>
              <w:rPr>
                <w:lang w:val="en-US" w:eastAsia="zh-CN"/>
              </w:rPr>
              <w:t>I want 统一维护平台指标编码、口径、采集规则与元数据信息，</w:t>
            </w:r>
          </w:p>
          <w:p w14:paraId="3CED4418">
            <w:pPr>
              <w:pStyle w:val="19"/>
              <w:bidi w:val="0"/>
            </w:pPr>
            <w:r>
              <w:rPr>
                <w:lang w:val="en-US" w:eastAsia="zh-CN"/>
              </w:rPr>
              <w:t>So that 我能实现全平台能碳数据标准化接入，保障大屏实时指标、统计数据口径一致。</w:t>
            </w:r>
          </w:p>
        </w:tc>
      </w:tr>
    </w:tbl>
    <w:p w14:paraId="407199FD">
      <w:pPr>
        <w:rPr>
          <w:b w:val="0"/>
          <w:bCs w:val="0"/>
        </w:rPr>
      </w:pPr>
    </w:p>
    <w:p w14:paraId="5F9A88C9">
      <w:pPr>
        <w:pStyle w:val="6"/>
        <w:numPr>
          <w:ilvl w:val="0"/>
          <w:numId w:val="22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EDF0A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基础数据项列表 ＋ 右上角【新增基础数据项】【导出】。</w:t>
            </w:r>
          </w:p>
          <w:p w14:paraId="72A0FFE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（1）条件筛选：支持按数据来源系统、业务数据分类、数据项名称 / 代码搜索过滤。</w:t>
            </w:r>
          </w:p>
          <w:p w14:paraId="75B1BA2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62D73B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（3）新增基础数据项【新增基础数据项】：打开新增弹窗，填写数据项名称、业务分类、计量单位、默认值、数据来源、集成方式、采集频率。</w:t>
            </w:r>
          </w:p>
          <w:p w14:paraId="6BDB24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（4）编辑【编辑】：打开编辑窗口，回填数据项信息；代码为业务主键，编辑态只读。</w:t>
            </w:r>
          </w:p>
          <w:p w14:paraId="639DCD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（5）删除【删除】：打开弹窗确认；被采集通道或指标公式引用时禁止删除。</w:t>
            </w:r>
          </w:p>
          <w:p w14:paraId="366137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（6）导出【导出】：将当前筛选结果导出到 Excel（.xlsx）。</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A2AE5">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AC85C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4D6C54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BD6A3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3289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13D49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2057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A06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91120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AC3B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CC79C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【新增基础数据项】</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0EB5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FC89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EFB9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473C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2D0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3828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5790A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代码唯一；名称唯一；单位必填；集成方式与频率匹配</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F49A5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3663F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10C82">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B796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5F6F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1087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回填数据，代码只读</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4566F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35D0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AA27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3202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未被采集通道 / 指标公式引用</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0A3F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B7DE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阻断并提示引用对象</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3E1A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EFA85">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A27DF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D0595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E181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超限提示分批</w:t>
            </w:r>
          </w:p>
        </w:tc>
      </w:tr>
    </w:tbl>
    <w:p w14:paraId="2B9C0BBE">
      <w:pPr>
        <w:rPr>
          <w:b w:val="0"/>
          <w:bCs w:val="0"/>
        </w:rPr>
      </w:pPr>
    </w:p>
    <w:p w14:paraId="6F7B9756">
      <w:pPr>
        <w:pStyle w:val="6"/>
        <w:numPr>
          <w:ilvl w:val="0"/>
          <w:numId w:val="22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BED2CC">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D6A8A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F600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2CDFD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6E528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C7D0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2D3C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代码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21D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8F2E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69B46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业务主键；全局唯一；格式 EN-{3 位序号}（如 EN-001）；创建后不可修改</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A9ED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BA4DC8">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数据项名称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741B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0B77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C34CA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必填；≤40 字符；全局唯一；如「电力消费量」「综合能源消费量」</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DD338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9D1FD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业务分类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12D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87ACC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D372B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取值｛能源数据 / 统计数据 / 生产数据 / 排放数据｝</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153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682B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7F05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A7C5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3DC9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取值｛kwh / m³ / t / GJ / tce / 张·MWh / 个 / km*mm² / 万元｝；须与数据项物理含义相符</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F715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2373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默认值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38C7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小数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72E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（继承「计量单位」）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6202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可空；默认 0.00；用于采集缺省兜底；保留 2 位小数</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7452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AF42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AD139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68625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9B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取值｛项目公司·本地EMS / 手动录入数据 / 零碳园区集控中心 / 产品碳足迹集采中心 / 第三方接口｝</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41D1D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BC5EF">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集成方式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5730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C001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FDDD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取值｛系统自动采集 / 平台人工填报 / 平台引擎计算 / 接口推送｝</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BCA2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D37A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采集频率</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6F55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37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EFA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取值｛实时采集 / 月新 / 静态数据 / 日新｝；须与集成方式满足匹配矩阵（见 6.3.5）</w:t>
            </w:r>
          </w:p>
        </w:tc>
      </w:tr>
    </w:tbl>
    <w:p w14:paraId="00CE0EE8">
      <w:pPr>
        <w:pStyle w:val="19"/>
        <w:bidi w:val="0"/>
        <w:rPr>
          <w:b w:val="0"/>
          <w:bCs w:val="0"/>
        </w:rPr>
      </w:pPr>
    </w:p>
    <w:p w14:paraId="3E96AA88">
      <w:pPr>
        <w:pStyle w:val="6"/>
        <w:numPr>
          <w:ilvl w:val="0"/>
          <w:numId w:val="22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754B24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（1）代码生成规则</w:t>
            </w:r>
          </w:p>
          <w:p w14:paraId="4E40E58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能源类：EN- + 3 位顺序号（EN-001 … EN-014）；</w:t>
            </w:r>
          </w:p>
          <w:p w14:paraId="78E234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其余分类按前缀约定（ST- 统计、PR- 生产、EM- 排放）。</w:t>
            </w:r>
          </w:p>
          <w:p w14:paraId="2BBBED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（2）集成方式与采集频率匹配矩阵</w:t>
            </w:r>
          </w:p>
          <w:p w14:paraId="2BB0F5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系统自动采集 → 实时采集 / 日新</w:t>
            </w:r>
          </w:p>
          <w:p w14:paraId="4C6EF23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平台人工填报 → 月新 / 静态数据</w:t>
            </w:r>
          </w:p>
          <w:p w14:paraId="478DD2B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平台引擎计算 → 实时采集 / 月新（由公式驱动）</w:t>
            </w:r>
          </w:p>
          <w:p w14:paraId="2CBFC4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接口推送     → 实时采集 / 日新</w:t>
            </w:r>
          </w:p>
          <w:p w14:paraId="38B187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组合不落在矩阵内即判定为非法。</w:t>
            </w:r>
          </w:p>
          <w:p w14:paraId="514C13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（3）综合能源消费量口径</w:t>
            </w:r>
          </w:p>
          <w:p w14:paraId="54B869A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EN-013 综合能源消费量（tce） = Σ (Qᵢ × Cᵢ) / 1000，Qᵢ 与 Cᵢ 见 3.3.5 折标计算。</w:t>
            </w:r>
          </w:p>
          <w:p w14:paraId="5AE1E0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#49 坐实）</w:t>
            </w:r>
          </w:p>
          <w:p w14:paraId="5C4799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EN-001 电力消费量（能源数据 / kwh / 项目公司·本地EMS / 系统自动采集 / 实时采集）；</w:t>
            </w:r>
          </w:p>
          <w:p w14:paraId="708412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EN-002 市电消费量（同 EN-001）；</w:t>
            </w:r>
          </w:p>
          <w:p w14:paraId="12CD791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EN-003 绿电消费量（… / 月新）；</w:t>
            </w:r>
          </w:p>
          <w:p w14:paraId="2CBF191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EN-004 绿证购入量（能源数据 / 张·MWh / 手动录入数据 / 平台人工填报 / 静态数据）；</w:t>
            </w:r>
          </w:p>
          <w:p w14:paraId="38BB296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EN-005 非化石能源电力消费物理量化量（… / 零碳园区集控中心 / 平台引擎计算 / 月新）；</w:t>
            </w:r>
          </w:p>
          <w:p w14:paraId="3626709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EN-006 天然气消费量（m³）；EN-007 蒸汽消费量（热量）（t）；EN-008 蒸汽消费量（质量）（GJ）；</w:t>
            </w:r>
          </w:p>
          <w:p w14:paraId="4514A3E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EN-009 热力消费量（GJ）；EN-010 柴油消费量（t）；EN-011 汽油消费量（t）；EN-012 煤油消费量（t）；</w:t>
            </w:r>
          </w:p>
          <w:p w14:paraId="60C09D7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EN-013 综合能源消费量（tce / 零碳园区集控中心 / 平台引擎计算 / 月新）；</w:t>
            </w:r>
          </w:p>
          <w:p w14:paraId="137D08E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EN-014 消耗的能源种类数（统计数据 / 个 / 零碳园区集控中心 / 平台引擎计算 / 实时采集）。</w:t>
            </w:r>
          </w:p>
          <w:p w14:paraId="397EDD9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（5）精度与容差</w:t>
            </w:r>
          </w:p>
          <w:p w14:paraId="4CFA5C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默认值保留 2 位小数；指标计算精度由各下游指标另行规定。</w:t>
            </w:r>
          </w:p>
        </w:tc>
      </w:tr>
    </w:tbl>
    <w:p w14:paraId="1C695D48">
      <w:pPr>
        <w:pStyle w:val="19"/>
        <w:bidi w:val="0"/>
        <w:rPr>
          <w:b w:val="0"/>
          <w:bCs w:val="0"/>
        </w:rPr>
      </w:pPr>
    </w:p>
    <w:p w14:paraId="61BB6BFB">
      <w:pPr>
        <w:pStyle w:val="6"/>
        <w:numPr>
          <w:ilvl w:val="0"/>
          <w:numId w:val="22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F0F3E4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（1）列表展示字段（10 列）：序号、代码、数据项名称、业务分类、计量单位、默认值、数据来源、集成方式、采集频率、操作。</w:t>
            </w:r>
          </w:p>
          <w:p w14:paraId="7603787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（2）代码以等宽字体展示，便于检索比对。</w:t>
            </w:r>
          </w:p>
          <w:p w14:paraId="4010DF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（3）业务分类以标签区分；集成方式以标签呈现且配色区分——突出「系统自动采集 / 平台引擎计算」与「平台人工填报」的自动化程度差异。</w:t>
            </w:r>
          </w:p>
          <w:p w14:paraId="7FACB2E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（4）默认值按 2 位小数右对齐。</w:t>
            </w:r>
          </w:p>
          <w:p w14:paraId="19CBB5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（5）排序规则：默认按代码升序（EN-001 → EN-014）。</w:t>
            </w:r>
          </w:p>
          <w:p w14:paraId="1920DBB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（6）统计口径：页面可展示数据项总数、按业务分类分布；「自动类（系统自动采集 + 平台引擎计算 + 接口推送）条目占比」是平台数据自动化率的关键指标。</w:t>
            </w:r>
          </w:p>
          <w:p w14:paraId="4971F64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（7）基准来源：代码规则、14 条示例与三个枚举均取自原型截图 #49。</w:t>
            </w:r>
          </w:p>
        </w:tc>
      </w:tr>
    </w:tbl>
    <w:p w14:paraId="1ADD193E">
      <w:pPr>
        <w:pStyle w:val="19"/>
        <w:bidi w:val="0"/>
        <w:rPr>
          <w:b w:val="0"/>
          <w:bCs w:val="0"/>
        </w:rPr>
      </w:pPr>
    </w:p>
    <w:p w14:paraId="1AD4FBCA">
      <w:pPr>
        <w:pStyle w:val="6"/>
        <w:numPr>
          <w:ilvl w:val="0"/>
          <w:numId w:val="22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1AD49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（1）代码重复阻断：代码已存在时，阻断，返回 E_SYS_BASEITEM_CODE_DUP。</w:t>
            </w:r>
          </w:p>
          <w:p w14:paraId="70ADA2D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（2）名称重复阻断：数据项名称重复时，阻断，返回 E_SYS_BASEITEM_NAME_DUP。</w:t>
            </w:r>
          </w:p>
          <w:p w14:paraId="3EEE09F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（3）集成方式与频率冲突拦截：组合不在允许矩阵内时（如「系统自动采集 + 静态数据」），阻断，返回 E_SYS_BASEITEM_FREQ_CONFLICT。</w:t>
            </w:r>
          </w:p>
          <w:p w14:paraId="4A81F9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（4）单位缺失拦截：计量单位为空时，阻断，返回 E_SYS_BASEITEM_UNIT_REQUIRED。</w:t>
            </w:r>
          </w:p>
          <w:p w14:paraId="2FBD8A7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（5）删除引用阻断：被采集通道或指标公式引用时禁止删除，返回 E_SYS_BASEITEM_IN_USE_DELETE_DENIED。</w:t>
            </w:r>
          </w:p>
          <w:p w14:paraId="5D4DC89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（6）引擎计算项写入拦截：集成方式为「平台引擎计算」的数据项，禁止在人工填报入口写入，返回 E_SYS_BASEITEM_CALC_READONLY。</w:t>
            </w:r>
          </w:p>
          <w:p w14:paraId="7245B06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（7）单位与分类不符告警：业务分类为「能源数据」而单位为「个」等明显不符时，给出黄色告警（不阻断），返回 E_SYS_BASEITEM_UNIT_SUSPECT。</w:t>
            </w:r>
          </w:p>
          <w:p w14:paraId="3736B96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1986411F">
      <w:pPr>
        <w:rPr>
          <w:b w:val="0"/>
          <w:bCs w:val="0"/>
        </w:rPr>
      </w:pPr>
    </w:p>
    <w:p w14:paraId="3A70AF2B">
      <w:pPr>
        <w:pStyle w:val="6"/>
        <w:numPr>
          <w:ilvl w:val="0"/>
          <w:numId w:val="22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22A5DB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平台指标字典</w:t>
            </w:r>
          </w:p>
          <w:p w14:paraId="6BE52E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新增基础数据项</w:t>
            </w:r>
          </w:p>
          <w:p w14:paraId="5FD97F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基础数据管理</w:t>
            </w:r>
          </w:p>
          <w:p w14:paraId="3E2CC35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基础数据项】，填写代码＝「EN-015」、名称＝「外购热力消费量」、业务分类＝「能源数据」、计量单位＝「GJ」、数据来源＝「手动录入数据」、集成方式＝「平台人工填报」、采集频率＝「月新」并保存</w:t>
            </w:r>
          </w:p>
          <w:p w14:paraId="78EA1E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列表新增一行，代码显示「EN-015」，默认值显示「0.00」</w:t>
            </w:r>
          </w:p>
          <w:p w14:paraId="499C9A7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代码重复被阻断</w:t>
            </w:r>
          </w:p>
          <w:p w14:paraId="3A6D2B8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已存在代码「EN-001」</w:t>
            </w:r>
          </w:p>
          <w:p w14:paraId="71E3114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新增并填写代码＝「EN-001」</w:t>
            </w:r>
          </w:p>
          <w:p w14:paraId="5849A3D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3768F03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E_SYS_BASEITEM_CODE_DUP</w:t>
            </w:r>
          </w:p>
          <w:p w14:paraId="63691C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集成方式与采集频率冲突被拦截</w:t>
            </w:r>
          </w:p>
          <w:p w14:paraId="600706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集成方式选择「系统自动采集」</w:t>
            </w:r>
          </w:p>
          <w:p w14:paraId="77D4BC9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采集频率选择「静态数据」并保存</w:t>
            </w:r>
          </w:p>
          <w:p w14:paraId="6C274D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系统阻断并提示组合不合法</w:t>
            </w:r>
          </w:p>
          <w:p w14:paraId="1ECF5D0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E_SYS_BASEITEM_FREQ_CONFLICT</w:t>
            </w:r>
          </w:p>
          <w:p w14:paraId="2D2C821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引擎计算项禁止人工填报</w:t>
            </w:r>
          </w:p>
          <w:p w14:paraId="7A8BB4F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数据项「综合能源消费量」（EN-013）集成方式为「平台引擎计算」</w:t>
            </w:r>
          </w:p>
          <w:p w14:paraId="56CFD2B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尝试通过人工填报入口写入该数据项</w:t>
            </w:r>
          </w:p>
          <w:p w14:paraId="47A35DF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系统阻断并提示「该数据项由引擎计算，不可人工填报」</w:t>
            </w:r>
          </w:p>
          <w:p w14:paraId="632B4E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E_SYS_BASEITEM_CALC_READONLY</w:t>
            </w:r>
          </w:p>
          <w:p w14:paraId="17AE596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被引用的数据项禁止删除</w:t>
            </w:r>
          </w:p>
          <w:p w14:paraId="55D7367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数据项「电力消费量」（EN-001）已被采集通道引用</w:t>
            </w:r>
          </w:p>
          <w:p w14:paraId="2D0DF17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62E2A8E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75DCAF8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E_SYS_BASEITEM_IN_USE_DELETE_DENIED</w:t>
            </w:r>
          </w:p>
          <w:p w14:paraId="41F121A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按代码升序排列</w:t>
            </w:r>
          </w:p>
          <w:p w14:paraId="2981BC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列表含 EN-001 至 EN-014 共 14 条</w:t>
            </w:r>
          </w:p>
          <w:p w14:paraId="59432D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页面加载完成</w:t>
            </w:r>
          </w:p>
          <w:p w14:paraId="2EEDAD9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第一行为 EN-001「电力消费量」</w:t>
            </w:r>
          </w:p>
        </w:tc>
      </w:tr>
    </w:tbl>
    <w:p w14:paraId="3FC4D14D">
      <w:pPr>
        <w:rPr>
          <w:rFonts w:hint="eastAsia"/>
          <w:b w:val="0"/>
          <w:bCs w:val="0"/>
          <w:lang w:val="en-US" w:eastAsia="zh-CN"/>
        </w:rPr>
      </w:pPr>
    </w:p>
    <w:p w14:paraId="23C7984C">
      <w:pPr>
        <w:pStyle w:val="5"/>
        <w:numPr>
          <w:ilvl w:val="0"/>
          <w:numId w:val="222"/>
        </w:numPr>
        <w:ind w:left="0" w:leftChars="0" w:firstLine="0" w:firstLineChars="0"/>
        <w:outlineLvl w:val="1"/>
        <w:rPr>
          <w:rFonts w:hint="default"/>
          <w:b w:val="0"/>
          <w:bCs w:val="0"/>
          <w:lang w:val="en-US" w:eastAsia="zh-CN"/>
        </w:rPr>
      </w:pPr>
      <w:bookmarkStart w:id="80" w:name="_Toc7820"/>
      <w:r>
        <w:rPr>
          <w:rFonts w:hint="eastAsia"/>
          <w:b w:val="0"/>
          <w:bCs w:val="0"/>
          <w:lang w:val="en-US" w:eastAsia="zh-CN"/>
        </w:rPr>
        <w:t xml:space="preserve">生产工序管理</w:t>
      </w:r>
      <w:bookmarkEnd w:id="80"/>
    </w:p>
    <w:p w14:paraId="08E8A828">
      <w:pPr>
        <w:rPr>
          <w:b w:val="0"/>
          <w:bCs w:val="0"/>
        </w:rPr>
      </w:pPr>
      <w:r>
        <w:drawing>
          <wp:inline distT="0" distB="0" distL="114300" distR="114300">
            <wp:extent cx="5900420" cy="2925445"/>
            <wp:effectExtent l="0" t="0" r="5080" b="8255"/>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108"/>
                    <a:stretch>
                      <a:fillRect/>
                    </a:stretch>
                  </pic:blipFill>
                  <pic:spPr>
                    <a:xfrm>
                      <a:off x="0" y="0"/>
                      <a:ext cx="5900420" cy="2925445"/>
                    </a:xfrm>
                    <a:prstGeom prst="rect">
                      <a:avLst/>
                    </a:prstGeom>
                    <a:noFill/>
                    <a:ln>
                      <a:noFill/>
                    </a:ln>
                  </pic:spPr>
                </pic:pic>
              </a:graphicData>
            </a:graphic>
          </wp:inline>
        </w:drawing>
      </w:r>
    </w:p>
    <w:p w14:paraId="2D9A5340">
      <w:pPr>
        <w:pStyle w:val="6"/>
        <w:numPr>
          <w:ilvl w:val="0"/>
          <w:numId w:val="22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A200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生产数据维护模块下生产工序主数据管理单元，维护工序名称、工序分类、使用能源类型、关联工厂与关联产品中类信息，支持生产工序新增、信息编辑与数据导出，为工序级能耗分摊、工序碳核算、产品碳足迹拆解提供工序基础主数据，实现生产过程能耗与碳排放的精细化溯源，是产品碳核算模型的前置基础依赖。</w:t>
            </w:r>
          </w:p>
          <w:p w14:paraId="7CD564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系统管理员（全量生产工序新增、工序关联信息维护、分类管理与数据导出）。</w:t>
            </w:r>
          </w:p>
          <w:p w14:paraId="2E1C2AE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页面路由：/system/data/process（左侧导航：系统管理 › 生产数据维护 › 生产工序管理）。</w:t>
            </w:r>
          </w:p>
          <w:p w14:paraId="4E27009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上游依赖：组织管理（关联工厂取值域）；产品类型管理（关联产品中类取值域）。</w:t>
            </w:r>
          </w:p>
          <w:p w14:paraId="3A48E6D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下游输出：第三章碳足迹核算的工序能耗分摊；集控中心工序能效分析；产品型号管理的工序绑定。</w:t>
            </w:r>
          </w:p>
          <w:p w14:paraId="78B3FF5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PM）全量可写；其余角色一律只读。</w:t>
            </w:r>
          </w:p>
        </w:tc>
      </w:tr>
    </w:tbl>
    <w:p w14:paraId="04C9AA33">
      <w:pPr>
        <w:rPr>
          <w:b w:val="0"/>
          <w:bCs w:val="0"/>
        </w:rPr>
      </w:pPr>
    </w:p>
    <w:p w14:paraId="55A875D6">
      <w:pPr>
        <w:pStyle w:val="6"/>
        <w:numPr>
          <w:ilvl w:val="0"/>
          <w:numId w:val="22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97AB9A">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ACBCDB8">
            <w:pPr>
              <w:pStyle w:val="19"/>
              <w:bidi w:val="0"/>
              <w:ind w:left="0" w:leftChars="0" w:firstLine="0" w:firstLineChars="0"/>
            </w:pPr>
            <w:r>
              <w:rPr>
                <w:b/>
                <w:bCs/>
                <w:lang w:val="en-US" w:eastAsia="zh-CN"/>
              </w:rPr>
              <w:t>业务场景</w:t>
            </w:r>
            <w:r>
              <w:rPr>
                <w:lang w:val="en-US" w:eastAsia="zh-CN"/>
              </w:rPr>
              <w:t>：面向系统管理员进行生产工序主数据管控场景，维护工厂生产工序与能耗、产品的关联关系，支撑工序级精细化能碳溯源。</w:t>
            </w:r>
          </w:p>
          <w:p w14:paraId="3357D561">
            <w:pPr>
              <w:pStyle w:val="19"/>
              <w:bidi w:val="0"/>
              <w:ind w:left="0" w:leftChars="0" w:firstLine="0" w:firstLineChars="0"/>
            </w:pPr>
            <w:r>
              <w:rPr>
                <w:b/>
                <w:bCs/>
                <w:lang w:val="en-US" w:eastAsia="zh-CN"/>
              </w:rPr>
              <w:t>用户故事</w:t>
            </w:r>
            <w:r>
              <w:rPr>
                <w:lang w:val="en-US" w:eastAsia="zh-CN"/>
              </w:rPr>
              <w:t>：</w:t>
            </w:r>
          </w:p>
          <w:p w14:paraId="5CF78569">
            <w:pPr>
              <w:pStyle w:val="19"/>
              <w:bidi w:val="0"/>
            </w:pPr>
            <w:r>
              <w:rPr>
                <w:lang w:val="en-US" w:eastAsia="zh-CN"/>
              </w:rPr>
              <w:t>As a 系统管理员 (Persona PM)，</w:t>
            </w:r>
          </w:p>
          <w:p w14:paraId="2B2450A2">
            <w:pPr>
              <w:pStyle w:val="19"/>
              <w:bidi w:val="0"/>
            </w:pPr>
            <w:r>
              <w:rPr>
                <w:lang w:val="en-US" w:eastAsia="zh-CN"/>
              </w:rPr>
              <w:t>I want 维护全集团生产工序基础信息与关联能耗、产品数据，</w:t>
            </w:r>
          </w:p>
          <w:p w14:paraId="610C6B56">
            <w:pPr>
              <w:pStyle w:val="19"/>
              <w:bidi w:val="0"/>
            </w:pPr>
            <w:r>
              <w:rPr>
                <w:lang w:val="en-US" w:eastAsia="zh-CN"/>
              </w:rPr>
              <w:t>So that 我能支撑工序能耗、工序碳排放拆解溯源，支撑集团精细化能碳成效分析展示。</w:t>
            </w:r>
          </w:p>
        </w:tc>
      </w:tr>
    </w:tbl>
    <w:p w14:paraId="539F48FF">
      <w:pPr>
        <w:rPr>
          <w:b w:val="0"/>
          <w:bCs w:val="0"/>
        </w:rPr>
      </w:pPr>
    </w:p>
    <w:p w14:paraId="45FE5950">
      <w:pPr>
        <w:pStyle w:val="6"/>
        <w:numPr>
          <w:ilvl w:val="0"/>
          <w:numId w:val="22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3B0B3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页面布局：条件筛选区 ＋ 工序列表 ＋ 右上角【新增生产工序】【导出】。</w:t>
            </w:r>
          </w:p>
          <w:p w14:paraId="22724D6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（1）条件筛选：支持按工序分类、能源类型、关联企业（全部制造企业）、产品分类（全部产品中类）、工序搜索过滤。</w:t>
            </w:r>
          </w:p>
          <w:p w14:paraId="543019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（2）查询 / 重置：点【查询】按条件过滤；点【重置】清空条件。</w:t>
            </w:r>
          </w:p>
          <w:p w14:paraId="66A610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（3）新增生产工序【新增生产工序】：打开新增弹窗，填写工序名称、工序分类、使用能源类型、关联工厂（多选）、关联产品中类（多选）、计量单位。</w:t>
            </w:r>
          </w:p>
          <w:p w14:paraId="4FE2DB0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（4）编辑【编辑】：打开编辑窗口，回填工序及关联信息。</w:t>
            </w:r>
          </w:p>
          <w:p w14:paraId="68365C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（5）删除【删除】：打开弹窗确认；工序已被产品型号绑定或核算引用时禁止删除。</w:t>
            </w:r>
          </w:p>
          <w:p w14:paraId="58A0BF9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（6）导出【导出】：将当前筛选结果导出到 Excel（.xlsx）。</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E2E9F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0A6B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74F9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1269C3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5721C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42EA0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56437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D53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973C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7858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5772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【新增生产工序】</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D33E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打开弹窗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88C2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CEE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弹窗打开</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6BB1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14CC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关联对象多选</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DB36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选择工厂 / 中类</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3A0CC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工厂 / 中类取值域有效</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91E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显示已选计数</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CF985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20C1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保存（新增）</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92EE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提交表单</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E299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同分类内名称唯一；关联对象 ≥ 1；能源类型 ≥ 1；单位必填</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38393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列表新增该行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8F52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定位首个错误字段并提示</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BA031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【编辑】</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3570E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打开编辑窗口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3FFFE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1BF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回填数据</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953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D2F1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CAA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确认删除</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54508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未被型号绑定 / 核算引用</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56B9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删除该行</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6711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阻断并提示引用对象</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A4A8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85CE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D883B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100,000</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BBFC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 .xlsx</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3AB7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超限提示分批</w:t>
            </w:r>
          </w:p>
        </w:tc>
      </w:tr>
    </w:tbl>
    <w:p w14:paraId="711A41ED">
      <w:pPr>
        <w:rPr>
          <w:b w:val="0"/>
          <w:bCs w:val="0"/>
        </w:rPr>
      </w:pPr>
    </w:p>
    <w:p w14:paraId="7C15F643">
      <w:pPr>
        <w:pStyle w:val="6"/>
        <w:numPr>
          <w:ilvl w:val="0"/>
          <w:numId w:val="22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60FAD4">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DC0C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2C7F3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D84D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CC09C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2EC4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49554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生产工序名称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77DC3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046B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A883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必填；≤50 字符；同分类内唯一；如「变压器·高压·干燥」「硅钢铁心·剪断(3#/5#)」</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569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D739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工序分类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8B53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0CB1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58F0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取值｛变压器制造 / 铁心制造 / 线缆制造 / 套管制造 / 互感器制造｝</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C85C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D0CD0">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使用能源类型</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26938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枚举多选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53AA4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031E7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取值｛电力 / 天然气 / 蒸汽 / 压缩空气｝；至少 1 项；列表以 chip 展示（如 电力+天然气）</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18241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EDD93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CB93E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多选选择</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1BD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C7E2D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必填；≥1 项；列表显示「关联工厂(n)」+ 前若干个名称</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036BA">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B9D24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关联产品中类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0128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多选选择</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B055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B9B02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必填；≥1 项；取值域＝产品类型 2 级中类；列表显示「关联产品中类(n)」+ 前若干个名称</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8466C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57727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9F1C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枚举单选</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6769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EADF5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必填；取值｛kVA / t / km*mm² / 支 / 台 / 万元｝；反映工序的产出计量口径</w:t>
            </w:r>
          </w:p>
        </w:tc>
      </w:tr>
    </w:tbl>
    <w:p w14:paraId="41088D11">
      <w:pPr>
        <w:pStyle w:val="19"/>
        <w:bidi w:val="0"/>
        <w:rPr>
          <w:b w:val="0"/>
          <w:bCs w:val="0"/>
        </w:rPr>
      </w:pPr>
    </w:p>
    <w:p w14:paraId="73A66949">
      <w:pPr>
        <w:pStyle w:val="6"/>
        <w:numPr>
          <w:ilvl w:val="0"/>
          <w:numId w:val="22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938A4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（1）工序能耗分摊</w:t>
            </w:r>
          </w:p>
          <w:p w14:paraId="4E7C9E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E_process = Σ_q (E_q × ω_q)</w:t>
            </w:r>
          </w:p>
          <w:p w14:paraId="4DF382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其中 E_q 为分摊到产品 q 的能耗，ω_q 为该工序对产品 q 的能耗分摊权重（由产品型号绑定关系与产量确定）。</w:t>
            </w:r>
          </w:p>
          <w:p w14:paraId="4FE709D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（2）工序碳排放</w:t>
            </w:r>
          </w:p>
          <w:p w14:paraId="357AF03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C_process = E_process × EF</w:t>
            </w:r>
          </w:p>
          <w:p w14:paraId="130CCCA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EF 按「使用能源类型」逐项取因子——电力取电力碳排因子（3.1），天然气等取能源活动碳排因子（3.2），多能源时求和。</w:t>
            </w:r>
          </w:p>
          <w:p w14:paraId="523D3D3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（3）关联对象计数</w:t>
            </w:r>
          </w:p>
          <w:p w14:paraId="47BA17E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N_factory = |关联工厂集合|；N_category = |关联产品中类集合|；列表以「关联工厂(n)」「关联产品中类(n)」呈现。</w:t>
            </w:r>
          </w:p>
          <w:p w14:paraId="25A318B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（4）取值示例（截图 #50 坐实）</w:t>
            </w:r>
          </w:p>
          <w:p w14:paraId="4B71B46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变压器·高压·干燥【变压器制造】电力 + 天然气 / 关联工厂(6) / 关联产品中类(6) / kVA；</w:t>
            </w:r>
          </w:p>
          <w:p w14:paraId="17A889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变压器·试验【变压器制造】/ kVA；变压器·中低压·油多·干燥【变压器制造】/ 关联产品中类(2) / kVA；</w:t>
            </w:r>
          </w:p>
          <w:p w14:paraId="2C4E7D6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变压器·中低压·干变·固化【变压器制造】/ 关联产品中类(4) / kVA；</w:t>
            </w:r>
          </w:p>
          <w:p w14:paraId="1D6790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非晶合金铁心·退火·烘干【变压器制造】/ 关联工厂(1) / t；</w:t>
            </w:r>
          </w:p>
          <w:p w14:paraId="41DB421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硅钢铁心·剪断(3#/5#)【铁心制造】电力 / 关联工厂(1) / 关联产品中类(2) / t；</w:t>
            </w:r>
          </w:p>
          <w:p w14:paraId="174C6D9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硅钢铁心·中型叠装(3#/5#)【铁心制造】/ t；硅钢铁心·大型叠装(3#/5#)【铁心制造】/ t；</w:t>
            </w:r>
          </w:p>
          <w:p w14:paraId="56D3C0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拉丝【线缆制造】电力 / 关联工厂(6) / 关联产品中类(6) / km*mm²；</w:t>
            </w:r>
          </w:p>
          <w:p w14:paraId="23D379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高压交联（干法）【线缆制造】电力 / 关联工厂(1) / km*mm²；中压交联（干法）【线缆制造】/ 关联工厂(4) / km*mm²；</w:t>
            </w:r>
          </w:p>
          <w:p w14:paraId="60D11B0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套管·干燥【套管制造】电力 / 关联工厂(1) / 关联产品中类(2) / 支；</w:t>
            </w:r>
          </w:p>
          <w:p w14:paraId="11F41AD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互感器·干燥【互感器制造】电力 + 天然气 / 关联工厂(1) / 关联产品中类(1) / 台。</w:t>
            </w:r>
          </w:p>
          <w:p w14:paraId="1E6A663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（5）平台规模基线</w:t>
            </w:r>
          </w:p>
          <w:p w14:paraId="2DC894B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全部制造企业 14 家；全部产品中类 47 类。</w:t>
            </w:r>
          </w:p>
          <w:p w14:paraId="7CC08CA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4704EE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分摊权重保留 4 位小数；工序能耗保留 2 位小数；碳排保留 4 位有效小数。</w:t>
            </w:r>
          </w:p>
        </w:tc>
      </w:tr>
    </w:tbl>
    <w:p w14:paraId="7014D660">
      <w:pPr>
        <w:pStyle w:val="19"/>
        <w:bidi w:val="0"/>
        <w:rPr>
          <w:b w:val="0"/>
          <w:bCs w:val="0"/>
        </w:rPr>
      </w:pPr>
    </w:p>
    <w:p w14:paraId="2DEECA4A">
      <w:pPr>
        <w:pStyle w:val="6"/>
        <w:numPr>
          <w:ilvl w:val="0"/>
          <w:numId w:val="22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D8D504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列）：序号、生产工序名称、使用能源类型、关联工厂、关联产品中类、计量单位、操作。</w:t>
            </w:r>
          </w:p>
          <w:p w14:paraId="3C38D39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（2）工序名称后缀以标签显示工序分类（如【变压器制造】【铁心制造】），配色区分。</w:t>
            </w:r>
          </w:p>
          <w:p w14:paraId="32659D6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（3）使用能源类型以 chip 并列展示；电力恒列首位。</w:t>
            </w:r>
          </w:p>
          <w:p w14:paraId="11811F5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（4）关联工厂 / 关联产品中类显示「名称(n)」+ 前 2~3 个名称 + 「…」，悬浮展开全部。</w:t>
            </w:r>
          </w:p>
          <w:p w14:paraId="6402F7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（5）排序规则：默认按工序分类固定序（变压器制造 → 铁心制造 → 线缆制造 → 套管制造 → 互感器制造），组内按工序名称升序。</w:t>
            </w:r>
          </w:p>
          <w:p w14:paraId="2D1D00D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（6）统计口径：页面可展示工序总数、按分类分布；关联企业数（14 家）与产品中类数（47 类）为筛选器基线值。</w:t>
            </w:r>
          </w:p>
          <w:p w14:paraId="1FB6A2C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（7）可删除性口径：工序被产品型号绑定或被核算引用时不可删除；否则可删。</w:t>
            </w:r>
          </w:p>
          <w:p w14:paraId="7CD996A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（8）基准来源：13 道工序示例、五个分类枚举、计数格式均取自原型截图 #50。</w:t>
            </w:r>
          </w:p>
        </w:tc>
      </w:tr>
    </w:tbl>
    <w:p w14:paraId="7F9DF156">
      <w:pPr>
        <w:pStyle w:val="19"/>
        <w:bidi w:val="0"/>
        <w:rPr>
          <w:b w:val="0"/>
          <w:bCs w:val="0"/>
        </w:rPr>
      </w:pPr>
    </w:p>
    <w:p w14:paraId="580722C5">
      <w:pPr>
        <w:pStyle w:val="6"/>
        <w:numPr>
          <w:ilvl w:val="0"/>
          <w:numId w:val="22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1D4ECF2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（1）工序名称重复阻断：同分类内工序名称重复时，阻断，返回 E_SYS_PROC_NAME_DUP。</w:t>
            </w:r>
          </w:p>
          <w:p w14:paraId="643CBD8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（2）关联对象必选拦截：关联工厂或关联产品中类为空时，阻断，返回 E_SYS_PROC_ASSOC_REQUIRED。</w:t>
            </w:r>
          </w:p>
          <w:p w14:paraId="6C29EE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（3）能源类型必选：未选择任何使用能源类型时，阻断，返回 E_SYS_PROC_ENERGY_REQUIRED。</w:t>
            </w:r>
          </w:p>
          <w:p w14:paraId="6C1801B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（4）计量单位缺失拦截：计量单位为空时，阻断，返回 E_SYS_PROC_UNIT_REQUIRED。</w:t>
            </w:r>
          </w:p>
          <w:p w14:paraId="6F07CAC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（5）删除引用阻断：工序已被产品型号绑定或被核算引用时禁止删除，返回 E_SYS_PROC_IN_USE_DELETE_DENIED。</w:t>
            </w:r>
          </w:p>
          <w:p w14:paraId="3A45075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（6）分摊权重缺失兜底：工序参与产品碳核算但未配置分摊权重时，按产量比例均摊并记录告警 E_CALC_PROC_WEIGHT_DEFAULT。</w:t>
            </w:r>
          </w:p>
          <w:p w14:paraId="3C03076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（7）能源类型与因子缺失告警：工序使用能源类型在因子库中无对应因子时，给出红色告警（不阻断保存），返回 E_SYS_PROC_FACTOR_MISSING。</w:t>
            </w:r>
          </w:p>
          <w:p w14:paraId="51DDA5C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（8）越权写拦截：非 P4 角色调用本模块写接口时，返回 HTTP 403，触发 E_AUTH_RBAC_FORBIDDEN。</w:t>
            </w:r>
          </w:p>
        </w:tc>
      </w:tr>
    </w:tbl>
    <w:p w14:paraId="33999C91">
      <w:pPr>
        <w:rPr>
          <w:b w:val="0"/>
          <w:bCs w:val="0"/>
        </w:rPr>
      </w:pPr>
    </w:p>
    <w:p w14:paraId="5EAD2A7F">
      <w:pPr>
        <w:pStyle w:val="6"/>
        <w:numPr>
          <w:ilvl w:val="0"/>
          <w:numId w:val="22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D557B2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生产工序主数据</w:t>
            </w:r>
          </w:p>
          <w:p w14:paraId="7BACF46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新增生产工序并关联工厂与产品中类</w:t>
            </w:r>
          </w:p>
          <w:p w14:paraId="7CB1BDC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生产数据维护 › 生产工序管理</w:t>
            </w:r>
          </w:p>
          <w:p w14:paraId="3346C83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点击【新增生产工序】，填写名称＝「变压器·高压·干燥」、工序分类＝「变压器制造」、使用能源类型＝电力+天然气、关联工厂＝沈变本部等 6 家、关联产品中类＝交流变压器-1000KV 等 6 类、计量单位＝kVA 并保存</w:t>
            </w:r>
          </w:p>
          <w:p w14:paraId="1B49C5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列表新增一行</w:t>
            </w:r>
          </w:p>
          <w:p w14:paraId="7825277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关联工厂显示「关联工厂(6)」，关联产品中类显示「关联产品中类(6)」</w:t>
            </w:r>
          </w:p>
          <w:p w14:paraId="5BA062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使用能源类型显示「电力」「天然气」两个 chip</w:t>
            </w:r>
          </w:p>
          <w:p w14:paraId="71ED04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同分类内工序重名被阻断</w:t>
            </w:r>
          </w:p>
          <w:p w14:paraId="594E69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「变压器制造」分类下已存在工序「变压器·高压·干燥」</w:t>
            </w:r>
          </w:p>
          <w:p w14:paraId="217DA00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再新增同名工序</w:t>
            </w:r>
          </w:p>
          <w:p w14:paraId="533022F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系统阻断保存</w:t>
            </w:r>
          </w:p>
          <w:p w14:paraId="6509C6D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E_SYS_PROC_NAME_DUP</w:t>
            </w:r>
          </w:p>
          <w:p w14:paraId="5274BD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未关联工厂被拦截</w:t>
            </w:r>
          </w:p>
          <w:p w14:paraId="52CDA56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新增工序但关联工厂留空并保存</w:t>
            </w:r>
          </w:p>
          <w:p w14:paraId="5FFEA9D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系统阻断并提示「关联工厂至少选择 1 项」</w:t>
            </w:r>
          </w:p>
          <w:p w14:paraId="2804AD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E_SYS_PROC_ASSOC_REQUIRED</w:t>
            </w:r>
          </w:p>
          <w:p w14:paraId="5BFE152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工序引用阻断删除</w:t>
            </w:r>
          </w:p>
          <w:p w14:paraId="17E195F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工序「硅钢铁心·剪断(3#/5#)」已被产品型号绑定</w:t>
            </w:r>
          </w:p>
          <w:p w14:paraId="50F2421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点击【删除】并确认</w:t>
            </w:r>
          </w:p>
          <w:p w14:paraId="23ADEE7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系统阻断删除</w:t>
            </w:r>
          </w:p>
          <w:p w14:paraId="5C243E3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E_SYS_PROC_IN_USE_DELETE_DENIED</w:t>
            </w:r>
          </w:p>
          <w:p w14:paraId="2F4D57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分摊权重缺失时按产量均摊</w:t>
            </w:r>
          </w:p>
          <w:p w14:paraId="4E736C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工序「拉丝」参与产品碳核算但未配置分摊权重</w:t>
            </w:r>
          </w:p>
          <w:p w14:paraId="41ABC9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执行工序能耗分摊</w:t>
            </w:r>
          </w:p>
          <w:p w14:paraId="345BED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系统按产量比例均摊</w:t>
            </w:r>
          </w:p>
          <w:p w14:paraId="7FBA82E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记录告警 E_CALC_PROC_WEIGHT_DEFAULT</w:t>
            </w:r>
          </w:p>
          <w:p w14:paraId="4FADAF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按工序分类分组排序</w:t>
            </w:r>
          </w:p>
          <w:p w14:paraId="561FA7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列表含多个分类的工序</w:t>
            </w:r>
          </w:p>
          <w:p w14:paraId="29BDD6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页面加载完成</w:t>
            </w:r>
          </w:p>
          <w:p w14:paraId="50837E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工序按「变压器制造 → 铁心制造 → 线缆制造 → 套管制造 → 互感器制造」分组排列</w:t>
            </w:r>
          </w:p>
        </w:tc>
      </w:tr>
    </w:tbl>
    <w:p w14:paraId="36607F95">
      <w:pPr>
        <w:rPr>
          <w:rFonts w:hint="default"/>
          <w:b w:val="0"/>
          <w:bCs w:val="0"/>
          <w:lang w:val="en-US" w:eastAsia="zh-CN"/>
        </w:rPr>
      </w:pPr>
    </w:p>
    <w:p w14:paraId="04FA5D12">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81" w:name="_Toc12273"/>
      <w:r>
        <w:rPr>
          <w:rFonts w:hint="eastAsia" w:ascii="Times New Roman" w:hAnsi="Times New Roman" w:eastAsia="黑体" w:cs="Times New Roman"/>
          <w:b w:val="0"/>
          <w:bCs w:val="0"/>
          <w:sz w:val="30"/>
          <w:szCs w:val="32"/>
          <w:lang w:val="en-US" w:eastAsia="zh-CN"/>
        </w:rPr>
        <w:t>日志管理</w:t>
      </w:r>
      <w:bookmarkEnd w:id="81"/>
    </w:p>
    <w:p w14:paraId="570535C0">
      <w:pPr>
        <w:pStyle w:val="19"/>
        <w:bidi w:val="0"/>
        <w:rPr>
          <w:rFonts w:hint="eastAsia" w:eastAsia="宋体"/>
          <w:lang w:eastAsia="zh-CN"/>
        </w:rPr>
      </w:pPr>
      <w:r>
        <w:rPr>
          <w:rFonts w:hint="eastAsia"/>
          <w:lang w:val="en-US" w:eastAsia="zh-CN"/>
          <w:b/>
        </w:rPr>
        <w:t xml:space="preserve">本板块是系统管理模块的操作审计中枢，也是全平台合规留痕的最终承载。板块规模为单模块，因此采用「板块即模块」的呈现方式。日志记录覆盖登录、数据操作、因子变更、权限变更、报表导出五类关键动作，是全平台唯一不可篡改的数据资产。</w:t>
      </w:r>
    </w:p>
    <w:p w14:paraId="20E4E596">
      <w:pPr>
        <w:pStyle w:val="19"/>
        <w:bidi w:val="0"/>
        <w:rPr>
          <w:rFonts w:hint="eastAsia" w:eastAsia="宋体"/>
          <w:lang w:eastAsia="zh-CN"/>
        </w:rPr>
      </w:pPr>
      <w:r>
        <w:rPr>
          <w:rFonts w:hint="eastAsia"/>
          <w:lang w:val="en-US" w:eastAsia="zh-CN"/>
        </w:rPr>
        <w:t xml:space="preserve">边界声明：本板块只读——不提供新增、修改、删除日志的任何入口，任何角色（含系统管理员）均无日志写权限。日志由各业务模块的写操作经统一审计中间件自动落库，前台仅做查询、检索与导出。</w:t>
      </w:r>
    </w:p>
    <w:p w14:paraId="16CE931F">
      <w:pPr>
        <w:pStyle w:val="19"/>
        <w:bidi w:val="0"/>
        <w:rPr>
          <w:rFonts w:hint="eastAsia" w:eastAsia="宋体"/>
          <w:lang w:eastAsia="zh-CN"/>
        </w:rPr>
      </w:pPr>
      <w:r>
        <w:rPr>
          <w:rFonts w:hint="eastAsia"/>
          <w:lang w:val="en-US" w:eastAsia="zh-CN"/>
        </w:rPr>
        <w:t xml:space="preserve">输入输出链：各模块写操作 → 统一审计中间件 → 日志库（留存 ≥ 3 年）→ 本板块查询 / 检索 / 导出 → 安全审计与合规检查证据；同时为第六章状态机与合规保障体系提供审计留痕输入。</w:t>
      </w:r>
    </w:p>
    <w:p w14:paraId="669F6490">
      <w:pPr>
        <w:pStyle w:val="5"/>
        <w:numPr>
          <w:ilvl w:val="0"/>
          <w:numId w:val="248"/>
        </w:numPr>
        <w:ind w:left="0" w:leftChars="0" w:firstLine="0" w:firstLineChars="0"/>
        <w:outlineLvl w:val="1"/>
        <w:rPr>
          <w:rFonts w:hint="default" w:cs="Times New Roman"/>
          <w:b w:val="0"/>
          <w:bCs w:val="0"/>
          <w:sz w:val="30"/>
          <w:szCs w:val="24"/>
          <w:lang w:val="en-US" w:eastAsia="zh-CN"/>
        </w:rPr>
      </w:pPr>
      <w:bookmarkStart w:id="1483409675" w:name="_Toc1483409675"/>
      <w:r>
        <w:rPr>
          <w:rFonts w:hint="eastAsia" w:cs="Times New Roman"/>
          <w:b w:val="0"/>
          <w:bCs w:val="0"/>
          <w:sz w:val="30"/>
          <w:szCs w:val="24"/>
          <w:lang w:val="en-US" w:eastAsia="zh-CN"/>
        </w:rPr>
        <w:t xml:space="preserve">日志管理</w:t>
      </w:r>
      <w:bookmarkEnd w:id="1483409675"/>
    </w:p>
    <w:p w14:paraId="5CB61582">
      <w:pPr>
        <w:rPr>
          <w:b w:val="0"/>
          <w:bCs w:val="0"/>
        </w:rPr>
      </w:pPr>
      <w:r>
        <w:drawing>
          <wp:inline distT="0" distB="0" distL="114300" distR="114300">
            <wp:extent cx="5900420" cy="2925445"/>
            <wp:effectExtent l="0" t="0" r="5080" b="8255"/>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1"/>
                    <pic:cNvPicPr>
                      <a:picLocks noChangeAspect="1"/>
                    </pic:cNvPicPr>
                  </pic:nvPicPr>
                  <pic:blipFill>
                    <a:blip r:embed="rId109"/>
                    <a:stretch>
                      <a:fillRect/>
                    </a:stretch>
                  </pic:blipFill>
                  <pic:spPr>
                    <a:xfrm>
                      <a:off x="0" y="0"/>
                      <a:ext cx="5900420" cy="2925445"/>
                    </a:xfrm>
                    <a:prstGeom prst="rect">
                      <a:avLst/>
                    </a:prstGeom>
                    <a:noFill/>
                    <a:ln>
                      <a:noFill/>
                    </a:ln>
                  </pic:spPr>
                </pic:pic>
              </a:graphicData>
            </a:graphic>
          </wp:inline>
        </w:drawing>
      </w:r>
    </w:p>
    <w:p w14:paraId="24A781EE">
      <w:pPr>
        <w:pStyle w:val="6"/>
        <w:numPr>
          <w:ilvl w:val="0"/>
          <w:numId w:val="23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57E21D7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功能定位：作为系统管理模块下操作审计单元，统一记录账号登录、数据提交、因子变更、权限调整、报表导出等全量关键操作，留存操作时间、操作人、操作类型、操作对象、IP 地址与执行结果；日志存储周期不少于 3 年且不可删除，支持按关键字、日志类型、操作结果检索与日志导出，用于系统安全审计、问题追溯、合规留痕，满足能碳平台数据可追溯管理要求。</w:t>
            </w:r>
          </w:p>
          <w:p w14:paraId="4B194A1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承载角色：PM 系统管理员（仅支持查询、检索、导出日志，不支持日志新增、修改与删除）。</w:t>
            </w:r>
          </w:p>
          <w:p w14:paraId="45478FD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页面路由：/system/log（左侧导航：系统管理 › 日志管理）。</w:t>
            </w:r>
          </w:p>
          <w:p w14:paraId="442EA03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上游依赖：无。日志由各业务模块写操作经统一审计中间件自动落库，不依赖人工录入。</w:t>
            </w:r>
          </w:p>
          <w:p w14:paraId="6AE71AD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下游输出：安全审计与合规检查证据；第六章《工程治理、状态机与合规保障体系》的审计留痕输入；异常登录与越权尝试监测数据源。</w:t>
            </w:r>
          </w:p>
          <w:p w14:paraId="69474BA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数据权限：系统管理员（Persona PM）可查询全量日志；其余角色在本模块无访问权限。审计员角色（数据范围＝全集团（只读））可只读查询与导出日志，不可进行任何写操作。</w:t>
            </w:r>
          </w:p>
        </w:tc>
      </w:tr>
    </w:tbl>
    <w:p w14:paraId="6C0E03D4">
      <w:pPr>
        <w:rPr>
          <w:b w:val="0"/>
          <w:bCs w:val="0"/>
        </w:rPr>
      </w:pPr>
    </w:p>
    <w:p w14:paraId="09AF25C6">
      <w:pPr>
        <w:pStyle w:val="6"/>
        <w:numPr>
          <w:ilvl w:val="0"/>
          <w:numId w:val="23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E3D94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A1F8DA3">
            <w:pPr>
              <w:pStyle w:val="19"/>
              <w:bidi w:val="0"/>
              <w:ind w:left="0" w:leftChars="0" w:firstLine="0" w:firstLineChars="0"/>
            </w:pPr>
            <w:r>
              <w:rPr>
                <w:b/>
                <w:bCs/>
                <w:lang w:val="en-US" w:eastAsia="zh-CN"/>
              </w:rPr>
              <w:t>业务场景</w:t>
            </w:r>
            <w:r>
              <w:rPr>
                <w:lang w:val="en-US" w:eastAsia="zh-CN"/>
              </w:rPr>
              <w:t>：面向系统管理员进行平台操作审计与合规管控场景，全量留存平台后台配置、数据修改、权限变更等操作记录，实现全程可追溯。</w:t>
            </w:r>
          </w:p>
          <w:p w14:paraId="57A72F57">
            <w:pPr>
              <w:pStyle w:val="19"/>
              <w:bidi w:val="0"/>
              <w:ind w:left="0" w:leftChars="0" w:firstLine="0" w:firstLineChars="0"/>
            </w:pPr>
            <w:r>
              <w:rPr>
                <w:b/>
                <w:bCs/>
                <w:lang w:val="en-US" w:eastAsia="zh-CN"/>
              </w:rPr>
              <w:t>用户故事</w:t>
            </w:r>
            <w:r>
              <w:rPr>
                <w:lang w:val="en-US" w:eastAsia="zh-CN"/>
              </w:rPr>
              <w:t>：</w:t>
            </w:r>
          </w:p>
          <w:p w14:paraId="30938380">
            <w:pPr>
              <w:pStyle w:val="19"/>
              <w:bidi w:val="0"/>
            </w:pPr>
            <w:r>
              <w:rPr>
                <w:lang w:val="en-US" w:eastAsia="zh-CN"/>
              </w:rPr>
              <w:t>As a 系统管理员 (Persona PM)，</w:t>
            </w:r>
          </w:p>
          <w:p w14:paraId="4DD208EE">
            <w:pPr>
              <w:pStyle w:val="19"/>
              <w:bidi w:val="0"/>
            </w:pPr>
            <w:r>
              <w:rPr>
                <w:lang w:val="en-US" w:eastAsia="zh-CN"/>
              </w:rPr>
              <w:t>I want 全程留存、查询、导出平台所有关键操作日志，数据不可篡改，</w:t>
            </w:r>
          </w:p>
          <w:p w14:paraId="0913C793">
            <w:pPr>
              <w:pStyle w:val="19"/>
              <w:bidi w:val="0"/>
            </w:pPr>
            <w:r>
              <w:rPr>
                <w:lang w:val="en-US" w:eastAsia="zh-CN"/>
              </w:rPr>
              <w:t>So that 我能实现平台操作合规审计、问题溯源，保障大屏底层配置数据安全可信、全程留痕。</w:t>
            </w:r>
          </w:p>
          <w:p w14:paraId="60BB35C9">
            <w:pPr>
              <w:pStyle w:val="19"/>
              <w:bidi w:val="0"/>
            </w:pPr>
          </w:p>
        </w:tc>
      </w:tr>
    </w:tbl>
    <w:p w14:paraId="36E071B5">
      <w:pPr>
        <w:rPr>
          <w:b w:val="0"/>
          <w:bCs w:val="0"/>
        </w:rPr>
      </w:pPr>
    </w:p>
    <w:p w14:paraId="783AFE7F">
      <w:pPr>
        <w:pStyle w:val="6"/>
        <w:numPr>
          <w:ilvl w:val="0"/>
          <w:numId w:val="23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81E66C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页面布局：顶部说明条 ＋ 条件筛选区 ＋ 日志列表（只读）＋ 右上角【导出日志】。</w:t>
            </w:r>
          </w:p>
          <w:p w14:paraId="1C3EF17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（1）说明条（原文）：记录登录、数据操作、因子变更、权限变更、报表导出等关键操作，日志留存 ≥ 3 年且不可删除。</w:t>
            </w:r>
          </w:p>
          <w:p w14:paraId="7C590F0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（2）条件筛选：支持按关键字（操作人 / 对象 / IP）、日志类型、结果筛选；点【查询】过滤，点【重置】清空条件。</w:t>
            </w:r>
          </w:p>
          <w:p w14:paraId="3875955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（3）导出日志【导出日志】：导出当前筛选结果为文件；导出动作本身亦记入日志（自记录）。</w:t>
            </w:r>
          </w:p>
          <w:p w14:paraId="12D1AC6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（4）列表只读：无编辑、删除入口；系统管理员亦不可改删。</w:t>
            </w:r>
          </w:p>
          <w:p w14:paraId="57E6318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（5）行内明细：点击任一行可展开该条日志的完整明细（含请求参数摘要与返回码），便于问题追溯。</w:t>
            </w:r>
          </w:p>
        </w:tc>
      </w:tr>
    </w:tbl>
    <w:tbl>
      <w:tblPr>
        <w:tblStyle w:val="38"/>
        <w:tblW w:w="9784" w:type="dxa"/>
        <w:jc w:val="center"/>
        <w:tblLayout w:type="autofit"/>
        <w:tblCellMar>
          <w:top w:w="0" w:type="dxa"/>
          <w:left w:w="108" w:type="dxa"/>
          <w:bottom w:w="0" w:type="dxa"/>
          <w:right w:w="108" w:type="dxa"/>
        </w:tblCellMar>
      </w:tblPr>
      <w:tblGrid>
        <w:gridCol w:w="1950"/>
        <w:gridCol w:w="1950"/>
        <w:gridCol w:w="1950"/>
        <w:gridCol w:w="1950"/>
        <w:gridCol w:w="1984"/>
      </w:tblGrid>
      <w:tr w14:paraId="3A328774">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539C5A">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控件</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9F4C6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82BF8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前置校验</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04D2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成功反馈</w:t>
            </w:r>
          </w:p>
        </w:tc>
        <w:tc>
          <w:tcPr>
            <w:tcW w:w="19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AF3BD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失败反馈</w:t>
            </w:r>
          </w:p>
        </w:tc>
      </w:tr>
      <w:tr w14:paraId="28F6BF75">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E6619F">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筛选条件 / 搜索框</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25560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D7BD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E78F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列表按条件过滤</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D3E95">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48D8B486">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2E84">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【查询】/【重置】</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7FABDB">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提交 / 清空</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89ABC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9ABA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列表刷新；重置恢复全量</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684C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66ACE8C8">
        <w:tblPrEx>
          <w:tblCellMar>
            <w:top w:w="0" w:type="dxa"/>
            <w:left w:w="108" w:type="dxa"/>
            <w:bottom w:w="0" w:type="dxa"/>
            <w:right w:w="108" w:type="dxa"/>
          </w:tblCellMar>
        </w:tblPrEx>
        <w:trPr>
          <w:trHeight w:val="90" w:hRule="atLeast"/>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486C8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日志行</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3188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单击展开</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113B6">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C3B07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展开明细（请求参数摘要 + 返回码）</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8310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0431836A">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6EF340">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时间列</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0BC8D">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点击表头</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AD014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C3F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按时间升 / 降序切换</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35586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r>
      <w:tr w14:paraId="2F79551D">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3AB1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【导出日志】</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7F91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导出</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A2F5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结果行数 ≤ 50,000</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9021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生成导出文件（含筛选条件）</w:t>
            </w:r>
          </w:p>
        </w:tc>
        <w:tc>
          <w:tcPr>
            <w:tcW w:w="19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B5F52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超限提示缩小时间范围</w:t>
            </w:r>
          </w:p>
        </w:tc>
      </w:tr>
      <w:tr w14:paraId="4679EA9C">
        <w:tblPrEx>
          <w:tblCellMar>
            <w:top w:w="0" w:type="dxa"/>
            <w:left w:w="108" w:type="dxa"/>
            <w:bottom w:w="0" w:type="dxa"/>
            <w:right w:w="108" w:type="dxa"/>
          </w:tblCellMar>
        </w:tblPrEx>
        <w:trPr>
          <w:jc w:val="center"/>
        </w:trPr>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05374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任何写操作入口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151E8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F78A4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42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不提供（接口层面拒绝）</w:t>
            </w:r>
          </w:p>
        </w:tc>
        <w:tc>
          <w:tcPr>
            <w:tcW w:w="19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4C48A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返回 E_SYS_LOG_IMMUTABLE</w:t>
            </w:r>
          </w:p>
        </w:tc>
      </w:tr>
    </w:tbl>
    <w:p w14:paraId="58C14010">
      <w:pPr>
        <w:rPr>
          <w:b w:val="0"/>
          <w:bCs w:val="0"/>
        </w:rPr>
      </w:pPr>
    </w:p>
    <w:p w14:paraId="1E5D0390">
      <w:pPr>
        <w:pStyle w:val="6"/>
        <w:numPr>
          <w:ilvl w:val="0"/>
          <w:numId w:val="23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5A3B1">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 xml:space="preserve">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5A8D7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6E4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BABF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753DE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0B59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487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时间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0DA81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日期时间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FCE17A">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775C7">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系统自动写入；精确到秒（YYYY-MM-DD HH:mm:ss）；不可编辑；默认按降序展示</w:t>
            </w: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304B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4A69D4">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操作人</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9A6A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1B34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03F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取账号姓名；登录失败等无法识别身份时写「unknown」</w:t>
            </w: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BECD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9CF80C">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类型</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E664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67E0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EF27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取值｛登录 / 数据操作 / 因子变更 / 权限变更 / 导出｝； 原稿字段字典漏列此项</w:t>
            </w: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1DB3E">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EDE98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操作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71B87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86D9F">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5EDC8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具体动作描述（如「修改碳排因子」「提交能耗数据」「新增账号」「导出碳排报告」「角色权限调整」「登录」）； 原稿字段字典漏列此项</w:t>
            </w: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727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DE8F2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操作对象</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BC7771">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DAEAA4">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1D365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被操作对象标识（如「华北电网电力」「DR-260817-01」「wangqiang」「沈阳园区」「园区管理员」「admin」）</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B95DF3">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601B03">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IP 地址</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D93F3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文本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8E963">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EB671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支持 IPv4；内网 10.x.x.x 与公网地址均记录；不记录客户端伪造值</w:t>
            </w: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C4C83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704EB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 xml:space="preserve">结果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89DDAD">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枚举只读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1F92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9F4AC">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b/>
                <w:sz w:val="24"/>
                <w:szCs w:val="24"/>
                <w:lang w:val="en-US" w:eastAsia="en-US" w:bidi="ar-SA"/>
              </w:rPr>
              <w:t xml:space="preserve">取值｛成功 / 失败｝；失败项以红色标签呈现</w:t>
            </w:r>
          </w:p>
        </w:tc>
      </w:tr>
    </w:tbl>
    <w:p w14:paraId="507B3EEF">
      <w:pPr>
        <w:pStyle w:val="19"/>
        <w:bidi w:val="0"/>
        <w:rPr>
          <w:b w:val="0"/>
          <w:bCs w:val="0"/>
        </w:rPr>
      </w:pPr>
    </w:p>
    <w:p w14:paraId="204210FD">
      <w:pPr>
        <w:pStyle w:val="6"/>
        <w:numPr>
          <w:ilvl w:val="0"/>
          <w:numId w:val="23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A4824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（1）日志留存期</w:t>
            </w:r>
          </w:p>
          <w:p w14:paraId="550E768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Retention ≥ 3 年（1095 天）。到期不可自动清理；任何角色不含删除权限。</w:t>
            </w:r>
          </w:p>
          <w:p w14:paraId="415B4DA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（2）自记录规则（审计的审计）</w:t>
            </w:r>
          </w:p>
          <w:p w14:paraId="2323ED5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日志导出、日志查询（含筛选条件）本身也产生审计记录——导出写入「导出」类日志，查询写入「数据操作」类日志。</w:t>
            </w:r>
          </w:p>
          <w:p w14:paraId="24FADC1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（3）日志类型计数</w:t>
            </w:r>
          </w:p>
          <w:p w14:paraId="25A533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Count(type) = 该类型日志条数，用于安全概览面板。</w:t>
            </w:r>
          </w:p>
          <w:p w14:paraId="6B12194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（4）失败率</w:t>
            </w:r>
          </w:p>
          <w:p w14:paraId="2E89D64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FailRate = Count(结果 = 失败) / Count(全部) × 100%</w:t>
            </w:r>
          </w:p>
          <w:p w14:paraId="16B1522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用于异常登录与越权尝试监测；单账号连续失败 ≥ 5 次触发安全告警。</w:t>
            </w:r>
          </w:p>
          <w:p w14:paraId="1246188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（5）取值示例（截图 #51 坐实）</w:t>
            </w:r>
          </w:p>
          <w:p w14:paraId="4D30B3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2026-08-17 09:41 ｜ 张伟 ｜ [因子变更] ｜ 修改碳排因子 ｜ 华北电网电力 ｜ 10.20.3.11 ｜ 成功；</w:t>
            </w:r>
          </w:p>
          <w:p w14:paraId="5B157B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2026-08-17 09:28 ｜ 王强 ｜ [数据操作] ｜ 提交能耗数据 ｜ DR-260817-01 ｜ 10.20.4.22 ｜ 成功；</w:t>
            </w:r>
          </w:p>
          <w:p w14:paraId="545EF0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2026-08-17 09:12 ｜ 李静 ｜ [权限变更] ｜ 新增账号 ｜ wangqiang ｜ 10.20.4.22 ｜ 成功；</w:t>
            </w:r>
          </w:p>
          <w:p w14:paraId="34FB7E0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2026-08-16 17:30 ｜ 赵敏 ｜ [导出] ｜ 导出碳排报告 ｜ 沈阳园区 ｜ 10.20.6.7 ｜ 成功；</w:t>
            </w:r>
          </w:p>
          <w:p w14:paraId="200FED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2026-08-16 15:05 ｜ 张伟 ｜ [权限变更] ｜ 角色权限调整 ｜ 园区管理员 ｜ 10.20.3.11 ｜ 成功；</w:t>
            </w:r>
          </w:p>
          <w:p w14:paraId="500E3A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2026-08-16 08:59 ｜ unknown ｜ [登录] ｜ 登录 ｜ admin ｜ 113.88.20.4 ｜ 失败。</w:t>
            </w:r>
          </w:p>
          <w:p w14:paraId="1E9048C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（6）精度与容差</w:t>
            </w:r>
          </w:p>
          <w:p w14:paraId="5856464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时间为秒级；计数为整数；无容差。</w:t>
            </w:r>
          </w:p>
        </w:tc>
      </w:tr>
    </w:tbl>
    <w:p w14:paraId="770DED9E">
      <w:pPr>
        <w:pStyle w:val="19"/>
        <w:bidi w:val="0"/>
        <w:rPr>
          <w:b w:val="0"/>
          <w:bCs w:val="0"/>
        </w:rPr>
      </w:pPr>
    </w:p>
    <w:p w14:paraId="700752D1">
      <w:pPr>
        <w:pStyle w:val="6"/>
        <w:numPr>
          <w:ilvl w:val="0"/>
          <w:numId w:val="23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95CB71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（1）列表展示字段（7 列）：时间、操作人、类型、操作、操作对象、IP 地址、结果。</w:t>
            </w:r>
          </w:p>
          <w:p w14:paraId="53EC7C2A">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（2）类型以标签呈现（登录 / 数据操作 / 因子变更 / 权限变更 / 导出），五类配色区分。</w:t>
            </w:r>
          </w:p>
          <w:p w14:paraId="44EFD03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（3）结果以标签呈现：成功（绿标签）/ 失败（红标签）。</w:t>
            </w:r>
          </w:p>
          <w:p w14:paraId="2E9157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（4）时间按 YYYY-MM-DD HH:mm:ss 展示，默认降序（最新在前）。</w:t>
            </w:r>
          </w:p>
          <w:p w14:paraId="52A4252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（5）排序规则：默认按时间降序；支持点击表头切换升降序。</w:t>
            </w:r>
          </w:p>
          <w:p w14:paraId="7A8282B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（6）统计口径：查询结果条数实时显示；可按类型 / 结果分组统计；单账号失败次数用于安全告警判定。</w:t>
            </w:r>
          </w:p>
          <w:p w14:paraId="179384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（7）留存口径：页面顶部常显「日志留存 ≥ 3 年且不可删除」，作为合规声明。</w:t>
            </w:r>
          </w:p>
          <w:p w14:paraId="53FAB1E5">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（8）基准来源：说明条原文、五类枚举与 6 条示例均取自原型截图 #51。</w:t>
            </w:r>
          </w:p>
        </w:tc>
      </w:tr>
    </w:tbl>
    <w:p w14:paraId="3B5B5958">
      <w:pPr>
        <w:pStyle w:val="19"/>
        <w:bidi w:val="0"/>
        <w:rPr>
          <w:b w:val="0"/>
          <w:bCs w:val="0"/>
        </w:rPr>
      </w:pPr>
    </w:p>
    <w:p w14:paraId="1B39B10A">
      <w:pPr>
        <w:pStyle w:val="6"/>
        <w:numPr>
          <w:ilvl w:val="0"/>
          <w:numId w:val="23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4288CB4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（1）日志不可改删：任何角色（含系统管理员）均无修改、删除日志的接口；尝试调用返回 E_SYS_LOG_IMMUTABLE。</w:t>
            </w:r>
          </w:p>
          <w:p w14:paraId="2F1C05A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（2）留存期保护：早于 3 年的日志不得被清理；清理任务若命中保护期返回 E_SYS_LOG_RETENTION_PROTECTED。</w:t>
            </w:r>
          </w:p>
          <w:p w14:paraId="7A44A82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（3）导出范围控制：单次导出上限 50,000 行；超限提示缩小时间范围，返回 E_SYS_LOG_EXPORT_LIMIT。</w:t>
            </w:r>
          </w:p>
          <w:p w14:paraId="471FA93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（4）越权访问拦截：非 P4 与审计员角色访问本模块任意页面或接口时，返回 HTTP 403，触发 E_AUTH_RBAC_FORBIDDEN。</w:t>
            </w:r>
          </w:p>
          <w:p w14:paraId="2BEE56D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（5）敏感信息脱敏：日志中的手机号、身份证号等按统一脱敏规则（见 2.2.5）处理后再落库与展示。</w:t>
            </w:r>
          </w:p>
          <w:p w14:paraId="3291DC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（6）时钟一致性：日志时间以服务端统一时钟为准；客户端时间不参与记录，避免时序错乱与伪造。</w:t>
            </w:r>
          </w:p>
          <w:p w14:paraId="2A759AC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（7）导出即留痕：每次导出均写入一条「导出」类日志（含操作人、筛选条件、行数）。</w:t>
            </w:r>
          </w:p>
          <w:p w14:paraId="144D47E9">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（8）登录失败留痕：登录失败时操作人写「unknown」，但须记录尝试的账号（操作对象）与来源 IP，用于暴破检测。</w:t>
            </w:r>
          </w:p>
        </w:tc>
      </w:tr>
    </w:tbl>
    <w:p w14:paraId="069F4EA4">
      <w:pPr>
        <w:rPr>
          <w:b w:val="0"/>
          <w:bCs w:val="0"/>
        </w:rPr>
      </w:pPr>
    </w:p>
    <w:p w14:paraId="32CEF986">
      <w:pPr>
        <w:pStyle w:val="6"/>
        <w:numPr>
          <w:ilvl w:val="0"/>
          <w:numId w:val="23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32ECA5C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Feature: 系统管理 · 操作日志审计</w:t>
            </w:r>
          </w:p>
          <w:p w14:paraId="46C8AA2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按类型筛选日志</w:t>
            </w:r>
          </w:p>
          <w:p w14:paraId="1F4322F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系统管理员进入 系统管理 › 日志管理</w:t>
            </w:r>
          </w:p>
          <w:p w14:paraId="3157A41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日志类型选择「因子变更」并点击【查询】</w:t>
            </w:r>
          </w:p>
          <w:p w14:paraId="25C237E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列表仅显示类型为「因子变更」的日志行</w:t>
            </w:r>
          </w:p>
          <w:p w14:paraId="6B09C45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结果条数与筛选条件匹配</w:t>
            </w:r>
          </w:p>
          <w:p w14:paraId="5FD0D94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日志不可修改</w:t>
            </w:r>
          </w:p>
          <w:p w14:paraId="28F67A9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列表中存在一条日志记录</w:t>
            </w:r>
          </w:p>
          <w:p w14:paraId="596894D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尝试通过接口修改该日志内容</w:t>
            </w:r>
          </w:p>
          <w:p w14:paraId="34A72E4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系统拒绝并提示不可修改</w:t>
            </w:r>
          </w:p>
          <w:p w14:paraId="48576A4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E_SYS_LOG_IMMUTABLE，列表内容保持不变</w:t>
            </w:r>
          </w:p>
          <w:p w14:paraId="27CBF8CC">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日志不可删除</w:t>
            </w:r>
          </w:p>
          <w:p w14:paraId="1F19CC7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列表中存在一条日志记录</w:t>
            </w:r>
          </w:p>
          <w:p w14:paraId="4CA72313">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尝试删除该日志</w:t>
            </w:r>
          </w:p>
          <w:p w14:paraId="37FE4D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系统拒绝并提示「日志留存 ≥ 3 年且不可删除」</w:t>
            </w:r>
          </w:p>
          <w:p w14:paraId="3FA9ACA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E_SYS_LOG_IMMUTABLE</w:t>
            </w:r>
          </w:p>
          <w:p w14:paraId="3429E0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导出日志并自记录</w:t>
            </w:r>
          </w:p>
          <w:p w14:paraId="3B9B3AFE">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已筛选出 120 条「数据操作」日志</w:t>
            </w:r>
          </w:p>
          <w:p w14:paraId="5AD0814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点击【导出日志】</w:t>
            </w:r>
          </w:p>
          <w:p w14:paraId="4712686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系统生成导出文件，包含 120 行</w:t>
            </w:r>
          </w:p>
          <w:p w14:paraId="34DA893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新增一条「导出」类日志记录本次导出操作</w:t>
            </w:r>
          </w:p>
          <w:p w14:paraId="796DC5F6">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外部 IP 登录失败留痕</w:t>
            </w:r>
          </w:p>
          <w:p w14:paraId="5DA5441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账号 admin 从公网 IP 113.88.20.4 尝试登录并失败</w:t>
            </w:r>
          </w:p>
          <w:p w14:paraId="1989255B">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查询日志</w:t>
            </w:r>
          </w:p>
          <w:p w14:paraId="66B260B1">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列表出现一行：操作人＝unknown、类型＝登录、操作＝登录、对象＝admin、IP＝113.88.20.4、结果＝失败</w:t>
            </w:r>
          </w:p>
          <w:p w14:paraId="1E9CB30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该行结果标签为红色</w:t>
            </w:r>
          </w:p>
          <w:p w14:paraId="335A18F8">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留存期保护</w:t>
            </w:r>
          </w:p>
          <w:p w14:paraId="7744A07F">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存在一条 2021 年的历史日志（已超 3 年）</w:t>
            </w:r>
          </w:p>
          <w:p w14:paraId="133BE3E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执行日志清理任务</w:t>
            </w:r>
          </w:p>
          <w:p w14:paraId="3A75255D">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系统不清理该日志（留存期保护）</w:t>
            </w:r>
          </w:p>
          <w:p w14:paraId="2C2F8C7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返回 E_SYS_LOG_RETENTION_PROTECTED</w:t>
            </w:r>
          </w:p>
          <w:p w14:paraId="64FDD434">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Scenario: 筛选条件与结果一致性</w:t>
            </w:r>
          </w:p>
          <w:p w14:paraId="4F8EBA57">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Given 日志类型选择「权限变更」、结果选择「成功」</w:t>
            </w:r>
          </w:p>
          <w:p w14:paraId="33E3F43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When  点击【查询】</w:t>
            </w:r>
          </w:p>
          <w:p w14:paraId="41D7CD4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Then  列表仅显示同时满足两个条件的行</w:t>
            </w:r>
          </w:p>
          <w:p w14:paraId="748CF7B2">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xml:space="preserve">  And   每行的类型均为「权限变更」且结果均为「成功」</w:t>
            </w:r>
          </w:p>
        </w:tc>
      </w:tr>
    </w:tbl>
    <w:p w14:paraId="2908CD5F">
      <w:pPr>
        <w:rPr>
          <w:rFonts w:hint="default"/>
          <w:lang w:val="en-US" w:eastAsia="zh-CN"/>
        </w:rPr>
      </w:pPr>
    </w:p>
    <w:p w14:paraId="348B46DC">
      <w:pPr>
        <w:pStyle w:val="3"/>
        <w:numPr>
          <w:ilvl w:val="0"/>
          <w:numId w:val="7"/>
        </w:numPr>
        <w:ind w:left="0" w:leftChars="0" w:firstLine="0" w:firstLineChars="0"/>
        <w:rPr>
          <w:rFonts w:eastAsia="黑体"/>
          <w:b w:val="0"/>
          <w:bCs w:val="0"/>
          <w:sz w:val="32"/>
          <w:szCs w:val="44"/>
        </w:rPr>
      </w:pPr>
      <w:bookmarkStart w:id="82" w:name="_Toc21402"/>
      <w:r>
        <w:rPr>
          <w:rFonts w:ascii="Times New Roman" w:hAnsi="Times New Roman" w:eastAsia="黑体" w:cs="Times New Roman"/>
          <w:b w:val="0"/>
          <w:bCs w:val="0"/>
          <w:sz w:val="32"/>
          <w:szCs w:val="44"/>
        </w:rPr>
        <w:t>系统底座、接口契约与 QA 质量验收</w:t>
      </w:r>
      <w:bookmarkEnd w:id="82"/>
    </w:p>
    <w:p w14:paraId="2D6B1291">
      <w:pPr>
        <w:pStyle w:val="4"/>
        <w:numPr>
          <w:ilvl w:val="0"/>
          <w:numId w:val="233"/>
        </w:numPr>
        <w:topLinePunct w:val="0"/>
        <w:ind w:left="0" w:leftChars="0" w:firstLine="0" w:firstLineChars="0"/>
        <w:outlineLvl w:val="0"/>
        <w:rPr>
          <w:rFonts w:hint="eastAsia" w:eastAsia="黑体"/>
          <w:b w:val="0"/>
          <w:bCs w:val="0"/>
          <w:sz w:val="30"/>
          <w:szCs w:val="32"/>
        </w:rPr>
      </w:pPr>
      <w:bookmarkStart w:id="83" w:name="_Toc11975"/>
      <w:r>
        <w:rPr>
          <w:rFonts w:ascii="Times New Roman" w:hAnsi="Times New Roman" w:eastAsia="黑体" w:cs="Times New Roman"/>
          <w:b w:val="0"/>
          <w:bCs w:val="0"/>
          <w:sz w:val="30"/>
          <w:szCs w:val="32"/>
        </w:rPr>
        <w:t>六级组织架构与穿透鉴权体系</w:t>
      </w:r>
      <w:bookmarkEnd w:id="83"/>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33"/>
        </w:numPr>
        <w:topLinePunct w:val="0"/>
        <w:ind w:left="0" w:leftChars="0" w:firstLine="0" w:firstLineChars="0"/>
        <w:outlineLvl w:val="0"/>
        <w:rPr>
          <w:rFonts w:hint="eastAsia" w:eastAsia="黑体"/>
          <w:b w:val="0"/>
          <w:bCs w:val="0"/>
          <w:sz w:val="30"/>
          <w:szCs w:val="32"/>
        </w:rPr>
      </w:pPr>
      <w:bookmarkStart w:id="84" w:name="_Toc8628"/>
      <w:r>
        <w:rPr>
          <w:rFonts w:ascii="Times New Roman" w:hAnsi="Times New Roman" w:eastAsia="黑体" w:cs="Times New Roman"/>
          <w:b w:val="0"/>
          <w:bCs w:val="0"/>
          <w:sz w:val="30"/>
          <w:szCs w:val="32"/>
        </w:rPr>
        <w:t>外部系统集成与 API 契约</w:t>
      </w:r>
      <w:bookmarkEnd w:id="84"/>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33"/>
        </w:numPr>
        <w:topLinePunct w:val="0"/>
        <w:ind w:left="0" w:leftChars="0" w:firstLine="0" w:firstLineChars="0"/>
        <w:outlineLvl w:val="0"/>
        <w:rPr>
          <w:rFonts w:hint="eastAsia" w:eastAsia="黑体"/>
          <w:b w:val="0"/>
          <w:bCs w:val="0"/>
          <w:sz w:val="30"/>
          <w:szCs w:val="32"/>
        </w:rPr>
      </w:pPr>
      <w:bookmarkStart w:id="85" w:name="_Toc30400"/>
      <w:r>
        <w:rPr>
          <w:rFonts w:ascii="Times New Roman" w:hAnsi="Times New Roman" w:eastAsia="黑体" w:cs="Times New Roman"/>
          <w:b w:val="0"/>
          <w:bCs w:val="0"/>
          <w:sz w:val="30"/>
          <w:szCs w:val="32"/>
        </w:rPr>
        <w:t>质量保障体系与全量验收测试用例矩阵</w:t>
      </w:r>
      <w:bookmarkEnd w:id="85"/>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86" w:name="_Toc31896"/>
      <w:r>
        <w:rPr>
          <w:rFonts w:ascii="Times New Roman" w:hAnsi="Times New Roman" w:eastAsia="黑体" w:cs="Times New Roman"/>
          <w:b w:val="0"/>
          <w:bCs w:val="0"/>
          <w:sz w:val="32"/>
          <w:szCs w:val="44"/>
        </w:rPr>
        <w:t>工程治理、状态机与合规保障体系</w:t>
      </w:r>
      <w:bookmarkEnd w:id="86"/>
    </w:p>
    <w:p w14:paraId="33439157">
      <w:pPr>
        <w:pStyle w:val="4"/>
        <w:numPr>
          <w:ilvl w:val="0"/>
          <w:numId w:val="236"/>
        </w:numPr>
        <w:topLinePunct w:val="0"/>
        <w:ind w:left="0" w:leftChars="0" w:firstLine="0" w:firstLineChars="0"/>
        <w:outlineLvl w:val="0"/>
        <w:rPr>
          <w:rFonts w:hint="eastAsia" w:eastAsia="黑体"/>
          <w:b w:val="0"/>
          <w:bCs w:val="0"/>
          <w:sz w:val="30"/>
          <w:szCs w:val="32"/>
        </w:rPr>
      </w:pPr>
      <w:bookmarkStart w:id="87" w:name="_Toc28871"/>
      <w:r>
        <w:rPr>
          <w:rFonts w:ascii="Times New Roman" w:hAnsi="Times New Roman" w:eastAsia="黑体" w:cs="Times New Roman"/>
          <w:b w:val="0"/>
          <w:bCs w:val="0"/>
          <w:sz w:val="30"/>
          <w:szCs w:val="32"/>
        </w:rPr>
        <w:t>数据治理与商密合规</w:t>
      </w:r>
      <w:bookmarkEnd w:id="87"/>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p w14:paraId="3E0292CC">
      <w:pPr>
        <w:pStyle w:val="4"/>
        <w:numPr>
          <w:ilvl w:val="0"/>
          <w:numId w:val="236"/>
        </w:numPr>
        <w:topLinePunct w:val="0"/>
        <w:ind w:left="0" w:leftChars="0" w:firstLine="0" w:firstLineChars="0"/>
        <w:outlineLvl w:val="0"/>
        <w:rPr>
          <w:rFonts w:hint="eastAsia" w:eastAsia="黑体"/>
          <w:b w:val="0"/>
          <w:bCs w:val="0"/>
          <w:sz w:val="30"/>
          <w:szCs w:val="32"/>
        </w:rPr>
      </w:pPr>
      <w:bookmarkStart w:id="88" w:name="_Toc1283"/>
      <w:r>
        <w:rPr>
          <w:rFonts w:ascii="Times New Roman" w:hAnsi="Times New Roman" w:eastAsia="黑体" w:cs="Times New Roman"/>
          <w:b w:val="0"/>
          <w:bCs w:val="0"/>
          <w:sz w:val="30"/>
          <w:szCs w:val="32"/>
        </w:rPr>
        <w:t>数据冲突仲裁与降级补传治理机制（Reconciliation）</w:t>
      </w:r>
      <w:bookmarkEnd w:id="88"/>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89" w:name="_Toc12326"/>
      <w:r>
        <w:rPr>
          <w:rFonts w:ascii="Times New Roman" w:hAnsi="Times New Roman" w:eastAsia="黑体" w:cs="Times New Roman"/>
          <w:b w:val="0"/>
          <w:bCs w:val="0"/>
          <w:sz w:val="30"/>
          <w:szCs w:val="24"/>
        </w:rPr>
        <w:t>时序补传冲突消解（断网恢复场景）</w:t>
      </w:r>
      <w:bookmarkEnd w:id="89"/>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90" w:name="_Toc2219"/>
      <w:r>
        <w:rPr>
          <w:rFonts w:ascii="Times New Roman" w:hAnsi="Times New Roman" w:eastAsia="黑体" w:cs="Times New Roman"/>
          <w:b w:val="0"/>
          <w:bCs w:val="0"/>
          <w:sz w:val="30"/>
          <w:szCs w:val="24"/>
        </w:rPr>
        <w:t>BOM 差异对账仲裁（ERP 恢复场景）</w:t>
      </w:r>
      <w:bookmarkEnd w:id="90"/>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36"/>
        </w:numPr>
        <w:topLinePunct w:val="0"/>
        <w:ind w:left="0" w:leftChars="0" w:firstLine="0" w:firstLineChars="0"/>
        <w:outlineLvl w:val="0"/>
        <w:rPr>
          <w:rFonts w:hint="eastAsia" w:eastAsia="黑体"/>
          <w:b w:val="0"/>
          <w:bCs w:val="0"/>
          <w:sz w:val="30"/>
          <w:szCs w:val="32"/>
        </w:rPr>
      </w:pPr>
      <w:bookmarkStart w:id="91" w:name="_Toc31999"/>
      <w:r>
        <w:rPr>
          <w:rFonts w:ascii="Times New Roman" w:hAnsi="Times New Roman" w:eastAsia="黑体" w:cs="Times New Roman"/>
          <w:b w:val="0"/>
          <w:bCs w:val="0"/>
          <w:sz w:val="30"/>
          <w:szCs w:val="32"/>
        </w:rPr>
        <w:t>关键业务长流程状态机图谱</w:t>
      </w:r>
      <w:bookmarkEnd w:id="91"/>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36"/>
        </w:numPr>
        <w:topLinePunct w:val="0"/>
        <w:ind w:left="0" w:leftChars="0" w:firstLine="0" w:firstLineChars="0"/>
        <w:outlineLvl w:val="0"/>
        <w:rPr>
          <w:rFonts w:hint="eastAsia" w:eastAsia="黑体"/>
          <w:b w:val="0"/>
          <w:bCs w:val="0"/>
          <w:sz w:val="30"/>
          <w:szCs w:val="32"/>
        </w:rPr>
      </w:pPr>
      <w:bookmarkStart w:id="92" w:name="_Toc17227"/>
      <w:r>
        <w:rPr>
          <w:rFonts w:ascii="Times New Roman" w:hAnsi="Times New Roman" w:eastAsia="黑体" w:cs="Times New Roman"/>
          <w:b w:val="0"/>
          <w:bCs w:val="0"/>
          <w:sz w:val="30"/>
          <w:szCs w:val="32"/>
        </w:rPr>
        <w:t>术语表与缩略语大全</w:t>
      </w:r>
      <w:bookmarkEnd w:id="92"/>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36"/>
        </w:numPr>
        <w:topLinePunct w:val="0"/>
        <w:ind w:left="0" w:leftChars="0" w:firstLine="0" w:firstLineChars="0"/>
        <w:outlineLvl w:val="0"/>
        <w:rPr>
          <w:rFonts w:hint="eastAsia" w:eastAsia="黑体"/>
          <w:b w:val="0"/>
          <w:bCs w:val="0"/>
          <w:sz w:val="30"/>
          <w:szCs w:val="32"/>
        </w:rPr>
      </w:pPr>
      <w:bookmarkStart w:id="93" w:name="_Toc28606"/>
      <w:r>
        <w:rPr>
          <w:rFonts w:ascii="Times New Roman" w:hAnsi="Times New Roman" w:eastAsia="黑体" w:cs="Times New Roman"/>
          <w:b w:val="0"/>
          <w:bCs w:val="0"/>
          <w:sz w:val="30"/>
          <w:szCs w:val="32"/>
        </w:rPr>
        <w:t>标准化错误码字典与异常分级</w:t>
      </w:r>
      <w:bookmarkEnd w:id="93"/>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8D35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E_AUTH_RLS_SCOPE_DENIED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35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662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访问或写入超出账号数据范围的组织子树数据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A8A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网关切面拦截，跳转 403 无权限页面，记录数据访问审计日志</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D6BF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E_CALC_FACTOR_WEIGHT_ZERO</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B20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65A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因子加权综合计算时分母（各供应商用量之和）为 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E5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阻断核算，提示「加权因子分母为 0，请检查供应商用量」，返回 422</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66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E_CALC_PROC_WEIGHT_DEFAULT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A1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1A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工序能耗分摊权重缺省（工序未配置权重）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9B2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软兜底：按各工序等权分摊并在明细行标注「权重缺省·等权」，不报错</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36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E_SYS_BASEITEM_CALC_READONLY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56A6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1E3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试图手工修改由平台引擎计算的指标项取值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40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单元格置灰只读，提示「该项由平台引擎计算，不可手工录入」</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48B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4B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新增基础数据项时数据项编码重复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432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阻断保存并高亮编码字段，提示「编码已存在」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4C5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E_SYS_BASEITEM_FREQ_CONFLICT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200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D2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采集频率与数据来源/集成方式组合不匹配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F2E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阻断保存，提示「系统自动采集须选实时采集」</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49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855C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0AB8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删除已被指标或核算公式引用的基础数据项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26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阻断删除，列出引用方（指标/公式），提示改为停用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F2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82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5BE3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新增基础数据项时数据项名称重复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阻断保存并高亮名称字段，提示「名称已存在」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1C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E_SYS_BASEITEM_UNIT_REQUIRED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F2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D0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数值型基础数据项未填写计量单位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EA7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阻断保存并高亮计量单位字段，提示「计量单位为必填项」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8660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E_SYS_BASEITEM_UNIT_SUSPECT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DAF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9FD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计量单位与业务分类的惯用单位明显不符</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8FF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软校验：保存成功但行内标黄提示「单位疑似有误，请复核」</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2B4C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E_SYS_DEV_ENERGY_TYPE_REQUIRED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E7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BC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新增重点用能设备时未选择设备能源消耗类型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01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阻断保存并高亮能源类型字段，提示「请选择设备能源消耗类型」</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04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40A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8E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删除已被监测点位或能耗分项挂接的重点用能设备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B6D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阻断删除，提示「设备已被监测点位挂接，仅可停用」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97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C5C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0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同一企业下重点用能设备名称重复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31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阻断保存并高亮名称字段，提示「该企业下设备名称已存在」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DF0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E_SYS_DEV_ORG_DISABLED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01E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41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在已停用组织节点下新增重点用能设备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3ED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阻断保存，提示「所属企业已停用，请先启用组织节点」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60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E_SYS_DEV_POWER_OUT_OF_RANGE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C7B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A7A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额定功率超出合理量程（0 ~ 1,000,000 kW）</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E3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阻断保存并红框高亮，提示功率取值范围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66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E_SYS_EXPORT_LIMIT_EXCEEDED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0EE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413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BE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单次导出记录数超过 50,000 行上限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471D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拒绝导出，提示「请缩小筛选范围或分批导出」</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1477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E_SYS_FACTOR_COAL_DUP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EAA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4630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折标煤系数库中同一能源品种重复建档</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5FA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阻断保存并高亮能源品种字段，提示「该能源品种已存在」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04C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E_SYS_FACTOR_ELEC_DUP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697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244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电力碳排因子中（省份, 电力来源）唯一键重复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6B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阻断保存并高亮省份与电力来源字段，提示唯一键冲突</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358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E_SYS_FACTOR_ENERGY_DUP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BD4D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3E9E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能源活动碳排因子中同一能源/活动 + 版本重复建档</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7BBA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阻断保存，提示「该能源活动因子已存在（含版本）」</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63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E_SYS_FACTOR_GREEN_LOCKED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B52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EEE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试图修改绿电（零排放）因子的取值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710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字段只读锁定，提示「绿电因子恒为 0，不可修改」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337C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E_SYS_FACTOR_GWP_OUT_OF_RANGE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BE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E103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制冷剂 GWP 值超出物理合理区间（1 ~ 30,000）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4BDE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 GWP 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C1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1EE1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E4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删除已被核算引用的因子版本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11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阻断删除，列出引用核算单据，提示改为停用并保留历史版本</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099D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E_SYS_FACTOR_NATIONAL_LOCKED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A7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D10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试图修改国标给定的折标煤系数（GB/T 2589-2020）</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ABA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字段只读锁定，提示「国标系数不可修改，需以新版本覆盖」</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E8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E_SYS_FACTOR_UNIT_MISMATCH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F1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D62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因子单位与能源品种的法定计量单位不一致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4C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阻断保存并高亮单位字段，提示标准单位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B4C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E_SYS_FACTOR_VALUE_OUT_OF_RANGE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F5D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25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因子值超出该品种合理区间或为负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057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阻断保存并红框高亮，提示因子取值范围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5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E_SYS_FACTOR_VERSION_CONFLICT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C9F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180B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同一因子同版本号的生效周期与在效版本重叠</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519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阻断保存，提示「版本生效区间不可重叠」</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93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E_SYS_LOG_EXPORT_LIMIT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86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413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3AC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日志导出条数超过单次上限（10,000 条）</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EC1F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拒绝导出，提示「请缩小时间范围或按类型分批导出」</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BFE4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E_SYS_LOG_IMMUTABLE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EED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905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任何角色（含系统管理员）对日志发起新增/修改/删除请求</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EB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网关切面直接拒绝，提示「日志不可篡改」，并记入安全审计</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1F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E_SYS_LOG_RETENTION_PROTECTED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BC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25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试图删除留存期（≥ 3 年）内的历史日志</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328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阻断删除，提示「日志留存期不少于 3 年，不可删除」</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9D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E_SYS_MENU_IN_USE_DELETE_WARN</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60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0D1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删除已被角色授权的菜单或功能点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AA3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二次确认后删除并自动回收相关角色授权，提示影响范围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71D5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E_SYS_MENU_LEVEL_LIMIT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8E3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F7E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菜单层级超过四级上限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D48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阻断保存并高亮层级字段，提示「菜单层级不得超过四级」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B1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E_SYS_MENU_ROUTE_DUP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C56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4F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新增/编辑菜单时路由路径与既有菜单重复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746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阻断保存并高亮路由字段，提示「路由路径已存在」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00A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E_SYS_MENU_ROUTE_INVALID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19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路由路径格式不合法（须以 / 开头且仅含小写字母、数字、-、/）</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2B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阻断保存并高亮路由字段，提示路由格式规范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DC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E_SYS_MENU_SORT_DUP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3A41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EDC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同一父级下菜单排序号重复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AF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阻断保存并高亮排序字段，提示「同级排序号不可重复」</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A03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E_SYS_MODEL_CASCADE_MISMATCH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F26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B26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产品型号的「大类—中类」级联选择与所选大类不匹配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F90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阻断保存并高亮中类字段，提示重新选择</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AF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E66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2F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同一制造工厂下产品型号编码重复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AB88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阻断保存并高亮型号字段，提示「该工厂下型号已存在」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1B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E_SYS_MODEL_CODE_INVALID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AB7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A2F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产品型号编码不符合命名规范（字母、数字与 - / × 组合）</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A00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阻断保存并红框高亮，提示命名规范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FF3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E_SYS_MODEL_IMPORT_DUP_TASK</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9C3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DA9B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同一文件重复提交导入任务（任务未结束时再次导入）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B7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阻断提交，提示「上一次导入任务尚在处理中」</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71C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E_SYS_MODEL_IMPORT_INVALID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02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0D5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批量导入文件中存在字段缺失、编码越界或级联不匹配的行</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13DA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整批回滚，返回带行号的错误清单供下载修正</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612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E_SYS_MODEL_IN_USE_DELETE_DENIED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B4B7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BD1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删除已被生产报工或碳核算引用的产品型号</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69D8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阻断删除，列出引用方，提示改为停用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BF5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346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B090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新增/编辑机构时机构编码重复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9469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阻断保存并高亮机构编码字段，提示「机构编码已存在」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F37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E_SYS_ORG_CONCURRENT_CONFLICT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D2A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E5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两名管理员并发编辑同一组织节点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DDFE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后提交者阻断并提示「该机构已被他人修改，请刷新后重试」</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692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E_SYS_ORG_CYCLE_DENIED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D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072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将机构的上属节点设置为其自身或其后代（形成环）</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1F2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阻断保存，提示「不可将机构挂载到自身或其下级」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A2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A1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C1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删除仍有关联下级机构、用户或业务数据的组织节点</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B9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阻断删除，列出关联对象数量，提示先迁移或停用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E66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E_SYS_ORG_LEVEL_JUMP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72A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86D8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新增机构时越级挂载（如直接在集团总部下挂工厂）</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429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阻断保存，提示「须逐级挂载，不得越级」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C34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E_SYS_ORG_LEVEL_LIMIT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32FF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25A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组织层级超过四级上限（集团总部→产业集团→二级单位→工厂）</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DBAD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阻断保存并高亮层级字段，提示「组织层级不得超过四级」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F800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E_SYS_PRICE_PERIOD_INVALID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201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E59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费价方案生效周期起止日期非法（start &gt; end）</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B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阻断保存并高亮生效周期字段，提示起止日期关系</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C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E_SYS_PRICE_PERIOD_OVERLAP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2FE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70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同一工厂同一介质的生效周期与在效方案重叠</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11FB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阻断启用，提示与哪一个在效版本重叠</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1A4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E_SYS_PRICE_SYNC_OUT_OF_SCOPE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D3D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E9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同步费价方案的目标企业不在操作者数据范围内</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9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阻断同步并列出越权企业，返回 403</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6E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E_SYS_PRICE_TIER_GAP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BBF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4FC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天然气阶梯用量区间出现重叠或断档</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C67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阻断保存，提示「阶梯区间须连续且不重叠」</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198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E_SYS_PRICE_TIER_INVERSION</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EA8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D7D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五时段电价不满足 尖峰 ≥ 高峰 ≥ 平段 ≥ 低谷 ≥ 深谷</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42A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阻断保存并高亮时段电价，提示倒挂的具体时段</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DD6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E_SYS_PRICE_VALUE_NEGATIVE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23B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0D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任一时段电价或单价录入负数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6F8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阻断保存并红框高亮，提示「单价必须为非负数值」</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8F4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E_SYS_PROC_ASSOC_REQUIRED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08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D80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新增生产工序时未关联工厂或产品中类</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79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阻断保存并高亮关联字段，提示至少各关联一项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8D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E_SYS_PROC_ENERGY_REQUIRED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1695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C33C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新增生产工序时未选择使用能源类型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D47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阻断保存并高亮能源类型字段，提示「请选择使用能源类型」</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971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E_SYS_PROC_FACTOR_MISSING</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EE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000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工序使用能源对应的折标煤系数或排放因子库内缺失</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0D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阻断工序能耗核算，提示「请先在能碳基础因子管理补齐该能源系数」</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438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343C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7924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删除已被产品型号绑定或能耗分摊引用的生产工序</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190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阻断删除，列出引用产品型号，提示改为停用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674A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792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17A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同一工厂下生产工序名称重复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43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阻断保存并高亮工序名称字段，提示「该工厂下工序已存在」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484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E_SYS_PROC_UNIT_REQUIRED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7C4C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4C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生产工序未填写计量单位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96E4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阻断保存并高亮计量单位字段，提示「计量单位为必填项」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921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E_SYS_PTYPE_CODE_DUP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A45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2A41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产品类型编码重复（含跨层级重复）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1F9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阻断保存并高亮类型编码字段，提示「类型编码已存在」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32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E_SYS_PTYPE_CODE_FORMAT_INVALID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F14F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AFA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产品类型编码不符合 10 位层级码规范（如 1001 / 1001010101）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29B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阻断保存并红框高亮，提示层级码位数与结构规范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9E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E_SYS_PTYPE_CODE_MISMATCH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A97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3F4A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二级中类编码前缀与所选一级大类编码不一致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B3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阻断保存并高亮类型编码，提示「中类编码须继承大类前缀」</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9153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07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52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删除已被产品型号引用的产品类型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阻断删除，列出引用型号数量，提示先解除引用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4E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E_SYS_PTYPE_LEVEL_LIMIT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25A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E70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产品类型层级超过两级上限（一级大类 / 二级中类）</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0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阻断保存并高亮层级字段，提示「产品类型仅支持两级」</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AD4F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E_SYS_PTYPE_NAME_DUP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59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19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同一层级下产品类型名称重复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4A94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阻断保存并高亮类型名称字段，提示「同级名称已存在」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215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E_SYS_PV_CAPACITY_OUT_OF_RANGE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18B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B26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光伏装机容量超出合理量程或为负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B4D7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阻断保存并红框高亮，提示装机容量取值范围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0AA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962D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676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删除已被发电量统计挂接的光伏设备</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4C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阻断删除，提示「设备已被发电量数据挂接，仅可停用」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A5F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E_SYS_PV_NAME_CAPACITY_MISMATCH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28B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4FB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光伏设备名称中的容量标注与实际装机容量不一致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E24E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软校验：保存成功但行内标黄提示「名称容量与装机容量不一致，请复核」</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B94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A19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73CD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同一园区下光伏设备名称重复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D8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阻断保存并高亮名称字段，提示「该园区下名称已存在」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E5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E_SYS_PV_ORG_MISMATCH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B33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D46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光伏设备的归属园区与关联工厂不在同一组织子树下</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F32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阻断保存并高亮归属字段，提示组织归属关系</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D3C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E_SYS_PV_PR_OUT_OF_RANGE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23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B9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光伏系统效率 PR 值超出合理区间（0 ~ 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8CFB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 PR 取值范围</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8A2D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E_SYS_ROLE_BUILTIN_DELETE_DENIED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D76A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774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删除系统内置角色</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47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阻断删除，提示「内置角色不可删除，仅可调整其权限」</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3BF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E_SYS_ROLE_IN_USE_DELETE_DENIED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14D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70A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删除仍被用户账号绑定的角色</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2E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阻断删除，列出绑定账号数，提示先解绑</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778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E_SYS_ROLE_NAME_DUP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9EC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83C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新增/编辑角色时角色名称重复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3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阻断保存并高亮角色名称字段，提示「角色名称已存在」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944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E_SYS_ROLE_PERM_EXCEED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D8B7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23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为角色分配超出操作者自身权限范围的功能点或数据范围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03F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阻断保存并列出越权项，返回 403</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9165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E_SYS_USER_ACCOUNT_DUP</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9B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382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新增用户时登录账号重复</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5E6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阻断保存并高亮账号字段，提示「账号已存在」</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FD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E_SYS_USER_PHONE_INVALID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4AF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422</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5A9C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手机号不符合 11 位大陆手机号格式</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288F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阻断保存并红框高亮，提示手机号格式规范</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87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E_SYS_USER_SCOPE_EXCEED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03C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403</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39BF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为用户分配超出操作者自身数据范围的数据范围</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75E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阻断保存并列出越权组织节点，返回 403</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8AE5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E_SYS_USER_SELF_DISABLE_DENIED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977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409</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A6BB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当前登录账号试图停用自身账号</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50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阻断操作，提示「不可停用当前登录账号」</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5C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E_VAL_ENERGY_USAGE_NEGATIVE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95FA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AD3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填报工作台录入电力/水/气/蒸汽等能源用量为负值</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AE8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输入框红框高亮，提示「能源消耗量必须为非负数值」，阻断提交</w:t>
            </w:r>
          </w:p>
        </w:tc>
      </w:tr>
    </w:tbl>
    <w:p w14:paraId="3C7A0E29">
      <w:pPr>
        <w:spacing w:after="60"/>
        <w:rPr>
          <w:rFonts w:hint="eastAsia" w:ascii="宋体" w:hAnsi="宋体" w:eastAsia="宋体" w:cs="宋体"/>
          <w:i w:val="0"/>
          <w:iCs w:val="0"/>
          <w:sz w:val="24"/>
          <w:szCs w:val="24"/>
        </w:rPr>
      </w:pPr>
    </w:p>
    <w:p w14:paraId="6F6E68CD">
      <w:pPr>
        <w:pStyle w:val="4"/>
        <w:numPr>
          <w:ilvl w:val="0"/>
          <w:numId w:val="236"/>
        </w:numPr>
        <w:topLinePunct w:val="0"/>
        <w:ind w:left="0" w:leftChars="0" w:firstLine="0" w:firstLineChars="0"/>
        <w:outlineLvl w:val="0"/>
        <w:rPr>
          <w:rFonts w:hint="eastAsia" w:eastAsia="黑体"/>
          <w:b w:val="0"/>
          <w:bCs w:val="0"/>
          <w:sz w:val="30"/>
          <w:szCs w:val="32"/>
        </w:rPr>
      </w:pPr>
      <w:bookmarkStart w:id="94" w:name="_Toc28882"/>
      <w:r>
        <w:rPr>
          <w:rFonts w:ascii="Times New Roman" w:hAnsi="Times New Roman" w:eastAsia="黑体" w:cs="Times New Roman"/>
          <w:b w:val="0"/>
          <w:bCs w:val="0"/>
          <w:sz w:val="30"/>
          <w:szCs w:val="32"/>
        </w:rPr>
        <w:t>决策治理责任矩阵</w:t>
      </w:r>
      <w:bookmarkEnd w:id="94"/>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95" w:name="_Toc3327"/>
      <w:r>
        <w:rPr>
          <w:rFonts w:ascii="Times New Roman" w:hAnsi="Times New Roman" w:eastAsia="黑体" w:cs="Times New Roman"/>
          <w:b w:val="0"/>
          <w:bCs w:val="0"/>
          <w:sz w:val="32"/>
          <w:szCs w:val="44"/>
        </w:rPr>
        <w:t>非功能需求与性能指标</w:t>
      </w:r>
      <w:bookmarkEnd w:id="95"/>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39"/>
        </w:numPr>
        <w:topLinePunct w:val="0"/>
        <w:ind w:left="0" w:leftChars="0" w:firstLine="0" w:firstLineChars="0"/>
        <w:outlineLvl w:val="0"/>
        <w:rPr>
          <w:rFonts w:hint="eastAsia" w:eastAsia="黑体"/>
          <w:b w:val="0"/>
          <w:bCs w:val="0"/>
          <w:sz w:val="30"/>
          <w:szCs w:val="32"/>
        </w:rPr>
      </w:pPr>
      <w:bookmarkStart w:id="96" w:name="_Toc555"/>
      <w:r>
        <w:rPr>
          <w:rFonts w:ascii="Times New Roman" w:hAnsi="Times New Roman" w:eastAsia="黑体" w:cs="Times New Roman"/>
          <w:b w:val="0"/>
          <w:bCs w:val="0"/>
          <w:sz w:val="30"/>
          <w:szCs w:val="32"/>
        </w:rPr>
        <w:t>性能指标基线</w:t>
      </w:r>
      <w:bookmarkEnd w:id="96"/>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39"/>
        </w:numPr>
        <w:topLinePunct w:val="0"/>
        <w:ind w:left="0" w:leftChars="0" w:firstLine="0" w:firstLineChars="0"/>
        <w:outlineLvl w:val="0"/>
        <w:rPr>
          <w:rFonts w:hint="eastAsia" w:eastAsia="黑体"/>
          <w:b w:val="0"/>
          <w:bCs w:val="0"/>
          <w:sz w:val="30"/>
          <w:szCs w:val="32"/>
        </w:rPr>
      </w:pPr>
      <w:bookmarkStart w:id="97" w:name="_Toc3514"/>
      <w:r>
        <w:rPr>
          <w:rFonts w:ascii="Times New Roman" w:hAnsi="Times New Roman" w:eastAsia="黑体" w:cs="Times New Roman"/>
          <w:b w:val="0"/>
          <w:bCs w:val="0"/>
          <w:sz w:val="30"/>
          <w:szCs w:val="32"/>
        </w:rPr>
        <w:t>可靠性与可观测性基线</w:t>
      </w:r>
      <w:bookmarkEnd w:id="97"/>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98" w:name="_Toc4420"/>
      <w:r>
        <w:rPr>
          <w:rFonts w:ascii="Times New Roman" w:hAnsi="Times New Roman" w:eastAsia="黑体" w:cs="Times New Roman"/>
          <w:b w:val="0"/>
          <w:bCs w:val="0"/>
          <w:sz w:val="32"/>
          <w:szCs w:val="44"/>
        </w:rPr>
        <w:t>技术架构与系统选型</w:t>
      </w:r>
      <w:bookmarkEnd w:id="98"/>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40"/>
        </w:numPr>
        <w:topLinePunct w:val="0"/>
        <w:ind w:left="0" w:leftChars="0" w:firstLine="0" w:firstLineChars="0"/>
        <w:outlineLvl w:val="0"/>
        <w:rPr>
          <w:rFonts w:hint="eastAsia" w:eastAsia="黑体"/>
          <w:b w:val="0"/>
          <w:bCs w:val="0"/>
          <w:sz w:val="30"/>
          <w:szCs w:val="32"/>
        </w:rPr>
      </w:pPr>
      <w:bookmarkStart w:id="99" w:name="_Toc7602"/>
      <w:r>
        <w:rPr>
          <w:rFonts w:ascii="Times New Roman" w:hAnsi="Times New Roman" w:eastAsia="黑体" w:cs="Times New Roman"/>
          <w:b w:val="0"/>
          <w:bCs w:val="0"/>
          <w:sz w:val="30"/>
          <w:szCs w:val="32"/>
        </w:rPr>
        <w:t>原型实现技术栈</w:t>
      </w:r>
      <w:bookmarkEnd w:id="99"/>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40"/>
        </w:numPr>
        <w:topLinePunct w:val="0"/>
        <w:ind w:left="0" w:leftChars="0" w:firstLine="0" w:firstLineChars="0"/>
        <w:outlineLvl w:val="0"/>
        <w:rPr>
          <w:rFonts w:hint="eastAsia" w:eastAsia="黑体"/>
          <w:b w:val="0"/>
          <w:bCs w:val="0"/>
          <w:sz w:val="30"/>
          <w:szCs w:val="32"/>
        </w:rPr>
      </w:pPr>
      <w:bookmarkStart w:id="100" w:name="_Toc22068"/>
      <w:r>
        <w:rPr>
          <w:rFonts w:ascii="Times New Roman" w:hAnsi="Times New Roman" w:eastAsia="黑体" w:cs="Times New Roman"/>
          <w:b w:val="0"/>
          <w:bCs w:val="0"/>
          <w:sz w:val="30"/>
          <w:szCs w:val="32"/>
        </w:rPr>
        <w:t>关键架构决策（ADR）</w:t>
      </w:r>
      <w:bookmarkEnd w:id="100"/>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40"/>
        </w:numPr>
        <w:topLinePunct w:val="0"/>
        <w:ind w:left="0" w:leftChars="0" w:firstLine="0" w:firstLineChars="0"/>
        <w:outlineLvl w:val="0"/>
        <w:rPr>
          <w:rFonts w:hint="eastAsia" w:eastAsia="黑体"/>
          <w:b w:val="0"/>
          <w:bCs w:val="0"/>
          <w:sz w:val="30"/>
          <w:szCs w:val="32"/>
        </w:rPr>
      </w:pPr>
      <w:bookmarkStart w:id="101" w:name="_Toc27258"/>
      <w:r>
        <w:rPr>
          <w:rFonts w:ascii="Times New Roman" w:hAnsi="Times New Roman" w:eastAsia="黑体" w:cs="Times New Roman"/>
          <w:b w:val="0"/>
          <w:bCs w:val="0"/>
          <w:sz w:val="30"/>
          <w:szCs w:val="32"/>
        </w:rPr>
        <w:t>技术决策裁决记录与残留待确认项</w:t>
      </w:r>
      <w:bookmarkEnd w:id="101"/>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102" w:name="_Toc11956"/>
      <w:r>
        <w:rPr>
          <w:rFonts w:ascii="Times New Roman" w:hAnsi="Times New Roman" w:eastAsia="黑体" w:cs="Times New Roman"/>
          <w:b w:val="0"/>
          <w:bCs w:val="0"/>
          <w:sz w:val="32"/>
          <w:szCs w:val="44"/>
        </w:rPr>
        <w:t>系统级公共模块需求</w:t>
      </w:r>
      <w:bookmarkEnd w:id="102"/>
    </w:p>
    <w:p w14:paraId="740231A3">
      <w:pPr>
        <w:pStyle w:val="4"/>
        <w:numPr>
          <w:ilvl w:val="0"/>
          <w:numId w:val="241"/>
        </w:numPr>
        <w:topLinePunct w:val="0"/>
        <w:ind w:left="0" w:leftChars="0" w:firstLine="0" w:firstLineChars="0"/>
        <w:outlineLvl w:val="0"/>
        <w:rPr>
          <w:rFonts w:hint="eastAsia" w:eastAsia="黑体"/>
          <w:b w:val="0"/>
          <w:bCs w:val="0"/>
          <w:sz w:val="30"/>
          <w:szCs w:val="32"/>
        </w:rPr>
      </w:pPr>
      <w:bookmarkStart w:id="103" w:name="_Toc28561"/>
      <w:r>
        <w:rPr>
          <w:rFonts w:ascii="Times New Roman" w:hAnsi="Times New Roman" w:eastAsia="黑体" w:cs="Times New Roman"/>
          <w:b w:val="0"/>
          <w:bCs w:val="0"/>
          <w:sz w:val="30"/>
          <w:szCs w:val="32"/>
        </w:rPr>
        <w:t>公共模块清单</w:t>
      </w:r>
      <w:bookmarkEnd w:id="103"/>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41"/>
        </w:numPr>
        <w:topLinePunct w:val="0"/>
        <w:ind w:left="0" w:leftChars="0" w:firstLine="0" w:firstLineChars="0"/>
        <w:outlineLvl w:val="0"/>
        <w:rPr>
          <w:rFonts w:hint="eastAsia" w:eastAsia="黑体"/>
          <w:b w:val="0"/>
          <w:bCs w:val="0"/>
          <w:sz w:val="30"/>
          <w:szCs w:val="32"/>
        </w:rPr>
      </w:pPr>
      <w:bookmarkStart w:id="104" w:name="_Toc4683"/>
      <w:r>
        <w:rPr>
          <w:rFonts w:ascii="Times New Roman" w:hAnsi="Times New Roman" w:eastAsia="黑体" w:cs="Times New Roman"/>
          <w:b w:val="0"/>
          <w:bCs w:val="0"/>
          <w:sz w:val="30"/>
          <w:szCs w:val="32"/>
        </w:rPr>
        <w:t>告警中枢分级与响应契约</w:t>
      </w:r>
      <w:bookmarkEnd w:id="104"/>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105" w:name="_Toc4190"/>
      <w:r>
        <w:rPr>
          <w:rFonts w:ascii="Times New Roman" w:hAnsi="Times New Roman" w:eastAsia="黑体" w:cs="Times New Roman"/>
          <w:b w:val="0"/>
          <w:bCs w:val="0"/>
          <w:sz w:val="32"/>
          <w:szCs w:val="44"/>
        </w:rPr>
        <w:t>安全与合规需求</w:t>
      </w:r>
      <w:bookmarkEnd w:id="105"/>
    </w:p>
    <w:p w14:paraId="20DEEF53">
      <w:pPr>
        <w:pStyle w:val="4"/>
        <w:numPr>
          <w:ilvl w:val="0"/>
          <w:numId w:val="242"/>
        </w:numPr>
        <w:topLinePunct w:val="0"/>
        <w:ind w:left="0" w:leftChars="0" w:firstLine="0" w:firstLineChars="0"/>
        <w:outlineLvl w:val="0"/>
        <w:rPr>
          <w:rFonts w:hint="eastAsia" w:eastAsia="黑体"/>
          <w:b w:val="0"/>
          <w:bCs w:val="0"/>
          <w:sz w:val="30"/>
          <w:szCs w:val="32"/>
        </w:rPr>
      </w:pPr>
      <w:bookmarkStart w:id="106" w:name="_Toc24788"/>
      <w:r>
        <w:rPr>
          <w:rFonts w:ascii="Times New Roman" w:hAnsi="Times New Roman" w:eastAsia="黑体" w:cs="Times New Roman"/>
          <w:b w:val="0"/>
          <w:bCs w:val="0"/>
          <w:sz w:val="30"/>
          <w:szCs w:val="32"/>
        </w:rPr>
        <w:t>网络安全防护体系</w:t>
      </w:r>
      <w:bookmarkEnd w:id="106"/>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0A008F55">
      <w:pPr>
        <w:pStyle w:val="4"/>
        <w:numPr>
          <w:ilvl w:val="0"/>
          <w:numId w:val="242"/>
        </w:numPr>
        <w:topLinePunct w:val="0"/>
        <w:ind w:left="0" w:leftChars="0" w:firstLine="0" w:firstLineChars="0"/>
        <w:outlineLvl w:val="0"/>
        <w:rPr>
          <w:rFonts w:hint="eastAsia" w:eastAsia="黑体"/>
          <w:b w:val="0"/>
          <w:bCs w:val="0"/>
          <w:sz w:val="30"/>
          <w:szCs w:val="32"/>
        </w:rPr>
      </w:pPr>
      <w:bookmarkStart w:id="107" w:name="_Toc22294"/>
      <w:r>
        <w:rPr>
          <w:rFonts w:ascii="Times New Roman" w:hAnsi="Times New Roman" w:eastAsia="黑体" w:cs="Times New Roman"/>
          <w:b w:val="0"/>
          <w:bCs w:val="0"/>
          <w:sz w:val="30"/>
          <w:szCs w:val="32"/>
        </w:rPr>
        <w:t>数据出境与合规</w:t>
      </w:r>
      <w:bookmarkEnd w:id="107"/>
    </w:p>
    <w:p w14:paraId="0D91A461">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p w14:paraId="7EF1A914">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108" w:name="_Toc9806"/>
      <w:r>
        <w:rPr>
          <w:rFonts w:ascii="Times New Roman" w:hAnsi="Times New Roman" w:eastAsia="黑体" w:cs="Times New Roman"/>
          <w:b w:val="0"/>
          <w:bCs w:val="0"/>
          <w:sz w:val="30"/>
          <w:szCs w:val="24"/>
        </w:rPr>
        <w:t>CBAM 数据出境安全合规前置方案</w:t>
      </w:r>
      <w:bookmarkEnd w:id="108"/>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42"/>
        </w:numPr>
        <w:topLinePunct w:val="0"/>
        <w:ind w:left="0" w:leftChars="0" w:firstLine="0" w:firstLineChars="0"/>
        <w:outlineLvl w:val="0"/>
        <w:rPr>
          <w:rFonts w:hint="eastAsia" w:eastAsia="黑体"/>
          <w:b w:val="0"/>
          <w:bCs w:val="0"/>
          <w:sz w:val="30"/>
          <w:szCs w:val="32"/>
        </w:rPr>
      </w:pPr>
      <w:bookmarkStart w:id="109" w:name="_Toc10200"/>
      <w:r>
        <w:rPr>
          <w:rFonts w:ascii="Times New Roman" w:hAnsi="Times New Roman" w:eastAsia="黑体" w:cs="Times New Roman"/>
          <w:b w:val="0"/>
          <w:bCs w:val="0"/>
          <w:sz w:val="30"/>
          <w:szCs w:val="32"/>
        </w:rPr>
        <w:t>安全合规遗留待确认项清单</w:t>
      </w:r>
      <w:bookmarkEnd w:id="109"/>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110" w:name="_Toc1560"/>
      <w:r>
        <w:rPr>
          <w:rFonts w:ascii="Times New Roman" w:hAnsi="Times New Roman" w:eastAsia="黑体" w:cs="Times New Roman"/>
          <w:b w:val="0"/>
          <w:bCs w:val="0"/>
          <w:sz w:val="32"/>
          <w:szCs w:val="44"/>
        </w:rPr>
        <w:t>外部系统集成与数据采集点表</w:t>
      </w:r>
      <w:bookmarkEnd w:id="110"/>
    </w:p>
    <w:p w14:paraId="34955927">
      <w:pPr>
        <w:pStyle w:val="4"/>
        <w:numPr>
          <w:ilvl w:val="0"/>
          <w:numId w:val="244"/>
        </w:numPr>
        <w:topLinePunct w:val="0"/>
        <w:ind w:left="0" w:leftChars="0" w:firstLine="0" w:firstLineChars="0"/>
        <w:outlineLvl w:val="0"/>
        <w:rPr>
          <w:rFonts w:hint="eastAsia" w:eastAsia="黑体"/>
          <w:b w:val="0"/>
          <w:bCs w:val="0"/>
          <w:sz w:val="30"/>
          <w:szCs w:val="32"/>
        </w:rPr>
      </w:pPr>
      <w:bookmarkStart w:id="111" w:name="_Toc29044"/>
      <w:r>
        <w:rPr>
          <w:rFonts w:ascii="Times New Roman" w:hAnsi="Times New Roman" w:eastAsia="黑体" w:cs="Times New Roman"/>
          <w:b w:val="0"/>
          <w:bCs w:val="0"/>
          <w:sz w:val="30"/>
          <w:szCs w:val="32"/>
        </w:rPr>
        <w:t>集成接口</w:t>
      </w:r>
      <w:bookmarkEnd w:id="111"/>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58F68849">
      <w:pPr>
        <w:pStyle w:val="4"/>
        <w:numPr>
          <w:ilvl w:val="0"/>
          <w:numId w:val="244"/>
        </w:numPr>
        <w:topLinePunct w:val="0"/>
        <w:ind w:left="0" w:leftChars="0" w:firstLine="0" w:firstLineChars="0"/>
        <w:outlineLvl w:val="0"/>
        <w:rPr>
          <w:rFonts w:hint="eastAsia" w:eastAsia="黑体"/>
          <w:b w:val="0"/>
          <w:bCs w:val="0"/>
          <w:sz w:val="30"/>
          <w:szCs w:val="32"/>
        </w:rPr>
      </w:pPr>
      <w:bookmarkStart w:id="112" w:name="_Toc20731"/>
      <w:r>
        <w:rPr>
          <w:rFonts w:ascii="Times New Roman" w:hAnsi="Times New Roman" w:eastAsia="黑体" w:cs="Times New Roman"/>
          <w:b w:val="0"/>
          <w:bCs w:val="0"/>
          <w:sz w:val="30"/>
          <w:szCs w:val="32"/>
        </w:rPr>
        <w:t>采集点表（核心点位）</w:t>
      </w:r>
      <w:bookmarkEnd w:id="112"/>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44"/>
        </w:numPr>
        <w:topLinePunct w:val="0"/>
        <w:ind w:left="0" w:leftChars="0" w:firstLine="0" w:firstLineChars="0"/>
        <w:outlineLvl w:val="0"/>
        <w:rPr>
          <w:rFonts w:hint="eastAsia" w:eastAsia="黑体"/>
          <w:b w:val="0"/>
          <w:bCs w:val="0"/>
          <w:sz w:val="30"/>
          <w:szCs w:val="32"/>
        </w:rPr>
      </w:pPr>
      <w:bookmarkStart w:id="113" w:name="_Toc29125"/>
      <w:r>
        <w:rPr>
          <w:rFonts w:ascii="Times New Roman" w:hAnsi="Times New Roman" w:eastAsia="黑体" w:cs="Times New Roman"/>
          <w:b w:val="0"/>
          <w:bCs w:val="0"/>
          <w:sz w:val="30"/>
          <w:szCs w:val="32"/>
        </w:rPr>
        <w:t>外部数据源与授权</w:t>
      </w:r>
      <w:bookmarkEnd w:id="113"/>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114" w:name="_Toc9404"/>
      <w:r>
        <w:rPr>
          <w:rFonts w:ascii="Times New Roman" w:hAnsi="Times New Roman" w:eastAsia="黑体" w:cs="Times New Roman"/>
          <w:b w:val="0"/>
          <w:bCs w:val="0"/>
          <w:sz w:val="32"/>
          <w:szCs w:val="44"/>
        </w:rPr>
        <w:t>测试与验收基线</w:t>
      </w:r>
      <w:bookmarkEnd w:id="114"/>
    </w:p>
    <w:p w14:paraId="015379B9">
      <w:pPr>
        <w:pStyle w:val="4"/>
        <w:numPr>
          <w:ilvl w:val="0"/>
          <w:numId w:val="245"/>
        </w:numPr>
        <w:topLinePunct w:val="0"/>
        <w:ind w:left="0" w:leftChars="0" w:firstLine="0" w:firstLineChars="0"/>
        <w:outlineLvl w:val="0"/>
        <w:rPr>
          <w:rFonts w:hint="eastAsia" w:eastAsia="黑体"/>
          <w:b w:val="0"/>
          <w:bCs w:val="0"/>
          <w:sz w:val="30"/>
          <w:szCs w:val="32"/>
        </w:rPr>
      </w:pPr>
      <w:bookmarkStart w:id="115" w:name="_Toc4485"/>
      <w:r>
        <w:rPr>
          <w:rFonts w:ascii="Times New Roman" w:hAnsi="Times New Roman" w:eastAsia="黑体" w:cs="Times New Roman"/>
          <w:b w:val="0"/>
          <w:bCs w:val="0"/>
          <w:sz w:val="30"/>
          <w:szCs w:val="32"/>
        </w:rPr>
        <w:t>验收准则</w:t>
      </w:r>
      <w:bookmarkEnd w:id="115"/>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45"/>
        </w:numPr>
        <w:topLinePunct w:val="0"/>
        <w:ind w:left="0" w:leftChars="0" w:firstLine="0" w:firstLineChars="0"/>
        <w:outlineLvl w:val="0"/>
        <w:rPr>
          <w:rFonts w:hint="eastAsia" w:eastAsia="黑体"/>
          <w:b w:val="0"/>
          <w:bCs w:val="0"/>
          <w:sz w:val="30"/>
          <w:szCs w:val="32"/>
        </w:rPr>
      </w:pPr>
      <w:bookmarkStart w:id="116" w:name="_Toc10509"/>
      <w:r>
        <w:rPr>
          <w:rFonts w:ascii="Times New Roman" w:hAnsi="Times New Roman" w:eastAsia="黑体" w:cs="Times New Roman"/>
          <w:b w:val="0"/>
          <w:bCs w:val="0"/>
          <w:sz w:val="30"/>
          <w:szCs w:val="32"/>
        </w:rPr>
        <w:t>破坏性测试矩阵（EQP / BVA）</w:t>
      </w:r>
      <w:bookmarkEnd w:id="116"/>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3AB5F67C">
      <w:pPr>
        <w:pStyle w:val="4"/>
        <w:numPr>
          <w:ilvl w:val="0"/>
          <w:numId w:val="245"/>
        </w:numPr>
        <w:topLinePunct w:val="0"/>
        <w:ind w:left="0" w:leftChars="0" w:firstLine="0" w:firstLineChars="0"/>
        <w:outlineLvl w:val="0"/>
        <w:rPr>
          <w:rFonts w:hint="eastAsia" w:eastAsia="黑体"/>
          <w:b w:val="0"/>
          <w:bCs w:val="0"/>
          <w:sz w:val="30"/>
          <w:szCs w:val="32"/>
        </w:rPr>
      </w:pPr>
      <w:bookmarkStart w:id="117" w:name="_Toc15357"/>
      <w:r>
        <w:rPr>
          <w:rFonts w:ascii="Times New Roman" w:hAnsi="Times New Roman" w:eastAsia="黑体" w:cs="Times New Roman"/>
          <w:b w:val="0"/>
          <w:bCs w:val="0"/>
          <w:sz w:val="30"/>
          <w:szCs w:val="32"/>
        </w:rPr>
        <w:t>全系统验收基线</w:t>
      </w:r>
      <w:bookmarkEnd w:id="117"/>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第二章 22 个 + 第三章 16 个 + 第四章 15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103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52B10DB0">
      <w:pPr>
        <w:pStyle w:val="37"/>
        <w:widowControl/>
        <w:outlineLvl w:val="0"/>
        <w:rPr>
          <w:rFonts w:ascii="Times New Roman" w:hAnsi="Times New Roman" w:eastAsia="黑体" w:cs="Times New Roman"/>
          <w:b w:val="0"/>
          <w:bCs w:val="0"/>
          <w:sz w:val="36"/>
          <w:szCs w:val="24"/>
        </w:rPr>
      </w:pPr>
      <w:bookmarkStart w:id="118" w:name="_Toc23816"/>
      <w:r>
        <w:rPr>
          <w:rFonts w:ascii="Times New Roman" w:hAnsi="Times New Roman" w:eastAsia="黑体" w:cs="Times New Roman"/>
          <w:b w:val="0"/>
          <w:bCs w:val="0"/>
          <w:sz w:val="36"/>
          <w:szCs w:val="24"/>
        </w:rPr>
        <w:t>附录 A：现行国标 / 行标 / 欧标 法规映射表</w:t>
      </w:r>
      <w:bookmarkEnd w:id="118"/>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119" w:name="_Toc30980"/>
      <w:r>
        <w:rPr>
          <w:rFonts w:ascii="Times New Roman" w:hAnsi="Times New Roman" w:eastAsia="黑体" w:cs="Times New Roman"/>
          <w:b w:val="0"/>
          <w:bCs w:val="0"/>
          <w:sz w:val="36"/>
          <w:szCs w:val="24"/>
        </w:rPr>
        <w:t>附录 B：反模式与反例对照治理清单</w:t>
      </w:r>
      <w:bookmarkEnd w:id="119"/>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4864ABD6">
      <w:pPr>
        <w:pStyle w:val="37"/>
        <w:widowControl/>
        <w:outlineLvl w:val="0"/>
        <w:rPr>
          <w:rFonts w:hint="eastAsia" w:ascii="宋体" w:hAnsi="宋体" w:eastAsia="宋体" w:cs="宋体"/>
          <w:i w:val="0"/>
          <w:iCs w:val="0"/>
          <w:sz w:val="24"/>
          <w:szCs w:val="24"/>
        </w:rPr>
      </w:pPr>
      <w:bookmarkStart w:id="120" w:name="_Toc16807"/>
      <w:r>
        <w:rPr>
          <w:rFonts w:ascii="Times New Roman" w:hAnsi="Times New Roman" w:eastAsia="黑体" w:cs="Times New Roman"/>
          <w:b w:val="0"/>
          <w:bCs w:val="0"/>
          <w:sz w:val="36"/>
          <w:szCs w:val="24"/>
        </w:rPr>
        <w:t>附录 C：企业组织结构树</w:t>
      </w:r>
      <w:bookmarkEnd w:id="120"/>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121" w:name="_Toc1064"/>
      <w:r>
        <w:rPr>
          <w:rFonts w:ascii="Times New Roman" w:hAnsi="Times New Roman" w:eastAsia="黑体" w:cs="Times New Roman"/>
          <w:b w:val="0"/>
          <w:bCs w:val="0"/>
          <w:sz w:val="36"/>
          <w:szCs w:val="24"/>
        </w:rPr>
        <w:t>附录 D：园区组织结构树</w:t>
      </w:r>
      <w:bookmarkEnd w:id="121"/>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122" w:name="_Toc20691"/>
      <w:r>
        <w:rPr>
          <w:rFonts w:ascii="Times New Roman" w:hAnsi="Times New Roman" w:eastAsia="黑体" w:cs="Times New Roman"/>
          <w:b w:val="0"/>
          <w:bCs w:val="0"/>
          <w:sz w:val="36"/>
          <w:szCs w:val="24"/>
        </w:rPr>
        <w:t>附录 E：角色与权限矩阵</w:t>
      </w:r>
      <w:bookmarkEnd w:id="122"/>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p w14:paraId="325C1369">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DBECF6"/>
    <w:multiLevelType w:val="singleLevel"/>
    <w:tmpl w:val="82DBECF6"/>
    <w:lvl w:ilvl="0" w:tentative="0">
      <w:start w:val="1"/>
      <w:numFmt w:val="decimal"/>
      <w:suff w:val="space"/>
      <w:lvlText w:val="%1."/>
      <w:lvlJc w:val="left"/>
    </w:lvl>
  </w:abstractNum>
  <w:abstractNum w:abstractNumId="4">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5">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6">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7">
    <w:nsid w:val="86EA1A2B"/>
    <w:multiLevelType w:val="singleLevel"/>
    <w:tmpl w:val="86EA1A2B"/>
    <w:lvl w:ilvl="0" w:tentative="0">
      <w:start w:val="1"/>
      <w:numFmt w:val="decimal"/>
      <w:suff w:val="space"/>
      <w:lvlText w:val="【%1】"/>
      <w:lvlJc w:val="left"/>
      <w:pPr>
        <w:ind w:left="0" w:firstLine="0"/>
      </w:pPr>
      <w:rPr>
        <w:rFonts w:hint="default"/>
      </w:rPr>
    </w:lvl>
  </w:abstractNum>
  <w:abstractNum w:abstractNumId="8">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9">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10">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11">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2">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3">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4">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5">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6">
    <w:nsid w:val="90776809"/>
    <w:multiLevelType w:val="multilevel"/>
    <w:tmpl w:val="90776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8">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9">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20">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21">
    <w:nsid w:val="9437EAA2"/>
    <w:multiLevelType w:val="singleLevel"/>
    <w:tmpl w:val="9437EAA2"/>
    <w:lvl w:ilvl="0" w:tentative="0">
      <w:start w:val="1"/>
      <w:numFmt w:val="decimal"/>
      <w:suff w:val="space"/>
      <w:lvlText w:val="%1."/>
      <w:lvlJc w:val="left"/>
    </w:lvl>
  </w:abstractNum>
  <w:abstractNum w:abstractNumId="22">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3">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4">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5">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6">
    <w:nsid w:val="9801B642"/>
    <w:multiLevelType w:val="singleLevel"/>
    <w:tmpl w:val="9801B642"/>
    <w:lvl w:ilvl="0" w:tentative="0">
      <w:start w:val="1"/>
      <w:numFmt w:val="decimal"/>
      <w:suff w:val="space"/>
      <w:lvlText w:val="【%1】"/>
      <w:lvlJc w:val="left"/>
      <w:pPr>
        <w:ind w:left="0" w:firstLine="0"/>
      </w:pPr>
      <w:rPr>
        <w:rFonts w:hint="default"/>
      </w:rPr>
    </w:lvl>
  </w:abstractNum>
  <w:abstractNum w:abstractNumId="27">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8">
    <w:nsid w:val="99DA73B3"/>
    <w:multiLevelType w:val="singleLevel"/>
    <w:tmpl w:val="99DA73B3"/>
    <w:lvl w:ilvl="0" w:tentative="0">
      <w:start w:val="1"/>
      <w:numFmt w:val="decimal"/>
      <w:suff w:val="space"/>
      <w:lvlText w:val="【%1】"/>
      <w:lvlJc w:val="left"/>
      <w:pPr>
        <w:ind w:left="0" w:firstLine="0"/>
      </w:pPr>
      <w:rPr>
        <w:rFonts w:hint="default"/>
      </w:rPr>
    </w:lvl>
  </w:abstractNum>
  <w:abstractNum w:abstractNumId="29">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30">
    <w:nsid w:val="9A5B94E8"/>
    <w:multiLevelType w:val="singleLevel"/>
    <w:tmpl w:val="9A5B94E8"/>
    <w:lvl w:ilvl="0" w:tentative="0">
      <w:start w:val="1"/>
      <w:numFmt w:val="decimal"/>
      <w:suff w:val="space"/>
      <w:lvlText w:val="%1."/>
      <w:lvlJc w:val="left"/>
      <w:pPr>
        <w:ind w:left="0" w:firstLine="0"/>
      </w:pPr>
      <w:rPr>
        <w:rFonts w:hint="default"/>
      </w:rPr>
    </w:lvl>
  </w:abstractNum>
  <w:abstractNum w:abstractNumId="31">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32">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33">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34">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35">
    <w:nsid w:val="9F113490"/>
    <w:multiLevelType w:val="singleLevel"/>
    <w:tmpl w:val="9F113490"/>
    <w:lvl w:ilvl="0" w:tentative="0">
      <w:start w:val="1"/>
      <w:numFmt w:val="decimal"/>
      <w:suff w:val="space"/>
      <w:lvlText w:val="%1."/>
      <w:lvlJc w:val="left"/>
    </w:lvl>
  </w:abstractNum>
  <w:abstractNum w:abstractNumId="36">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7">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8">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9">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40">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41">
    <w:nsid w:val="A9854430"/>
    <w:multiLevelType w:val="singleLevel"/>
    <w:tmpl w:val="A9854430"/>
    <w:lvl w:ilvl="0" w:tentative="0">
      <w:start w:val="1"/>
      <w:numFmt w:val="decimal"/>
      <w:suff w:val="space"/>
      <w:lvlText w:val="%1."/>
      <w:lvlJc w:val="left"/>
    </w:lvl>
  </w:abstractNum>
  <w:abstractNum w:abstractNumId="42">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43">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44">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45">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46">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47">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8">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9">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50">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51">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52">
    <w:nsid w:val="B30BFAE3"/>
    <w:multiLevelType w:val="singleLevel"/>
    <w:tmpl w:val="B30BFAE3"/>
    <w:lvl w:ilvl="0" w:tentative="0">
      <w:start w:val="1"/>
      <w:numFmt w:val="decimal"/>
      <w:suff w:val="space"/>
      <w:lvlText w:val="%1."/>
      <w:lvlJc w:val="left"/>
    </w:lvl>
  </w:abstractNum>
  <w:abstractNum w:abstractNumId="53">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54">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55">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56">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57">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58">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9">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60">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61">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62">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63">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64">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65">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66">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67">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68">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9">
    <w:nsid w:val="BD5E3785"/>
    <w:multiLevelType w:val="singleLevel"/>
    <w:tmpl w:val="BD5E3785"/>
    <w:lvl w:ilvl="0" w:tentative="0">
      <w:start w:val="1"/>
      <w:numFmt w:val="decimal"/>
      <w:suff w:val="space"/>
      <w:lvlText w:val="%1."/>
      <w:lvlJc w:val="left"/>
    </w:lvl>
  </w:abstractNum>
  <w:abstractNum w:abstractNumId="7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7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7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7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74">
    <w:nsid w:val="C4CA2D91"/>
    <w:multiLevelType w:val="singleLevel"/>
    <w:tmpl w:val="C4CA2D91"/>
    <w:lvl w:ilvl="0" w:tentative="0">
      <w:start w:val="1"/>
      <w:numFmt w:val="decimal"/>
      <w:suff w:val="space"/>
      <w:lvlText w:val="【%1】"/>
      <w:lvlJc w:val="left"/>
      <w:pPr>
        <w:ind w:left="0" w:firstLine="0"/>
      </w:pPr>
      <w:rPr>
        <w:rFonts w:hint="default"/>
      </w:rPr>
    </w:lvl>
  </w:abstractNum>
  <w:abstractNum w:abstractNumId="75">
    <w:nsid w:val="C579A508"/>
    <w:multiLevelType w:val="singleLevel"/>
    <w:tmpl w:val="C579A508"/>
    <w:lvl w:ilvl="0" w:tentative="0">
      <w:start w:val="1"/>
      <w:numFmt w:val="decimal"/>
      <w:suff w:val="space"/>
      <w:lvlText w:val="【%1】"/>
      <w:lvlJc w:val="left"/>
      <w:pPr>
        <w:ind w:left="0" w:firstLine="0"/>
      </w:pPr>
      <w:rPr>
        <w:rFonts w:hint="default"/>
      </w:rPr>
    </w:lvl>
  </w:abstractNum>
  <w:abstractNum w:abstractNumId="76">
    <w:nsid w:val="C58455AB"/>
    <w:multiLevelType w:val="singleLevel"/>
    <w:tmpl w:val="C58455AB"/>
    <w:lvl w:ilvl="0" w:tentative="0">
      <w:start w:val="1"/>
      <w:numFmt w:val="decimal"/>
      <w:suff w:val="space"/>
      <w:lvlText w:val="%1."/>
      <w:lvlJc w:val="left"/>
    </w:lvl>
  </w:abstractNum>
  <w:abstractNum w:abstractNumId="77">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78">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79">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80">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81">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82">
    <w:nsid w:val="CD156D07"/>
    <w:multiLevelType w:val="singleLevel"/>
    <w:tmpl w:val="CD156D07"/>
    <w:lvl w:ilvl="0" w:tentative="0">
      <w:start w:val="1"/>
      <w:numFmt w:val="chineseCounting"/>
      <w:suff w:val="nothing"/>
      <w:lvlText w:val="%1、"/>
      <w:lvlJc w:val="left"/>
      <w:pPr>
        <w:ind w:left="0" w:firstLine="0"/>
      </w:pPr>
      <w:rPr>
        <w:rFonts w:hint="eastAsia"/>
      </w:rPr>
    </w:lvl>
  </w:abstractNum>
  <w:abstractNum w:abstractNumId="83">
    <w:nsid w:val="CD5C6D69"/>
    <w:multiLevelType w:val="singleLevel"/>
    <w:tmpl w:val="CD5C6D69"/>
    <w:lvl w:ilvl="0" w:tentative="0">
      <w:start w:val="1"/>
      <w:numFmt w:val="decimal"/>
      <w:suff w:val="space"/>
      <w:lvlText w:val="%1."/>
      <w:lvlJc w:val="left"/>
    </w:lvl>
  </w:abstractNum>
  <w:abstractNum w:abstractNumId="84">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85">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86">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87">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88">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89">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90">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91">
    <w:nsid w:val="D71D3A07"/>
    <w:multiLevelType w:val="singleLevel"/>
    <w:tmpl w:val="D71D3A07"/>
    <w:lvl w:ilvl="0" w:tentative="0">
      <w:start w:val="1"/>
      <w:numFmt w:val="decimal"/>
      <w:suff w:val="space"/>
      <w:lvlText w:val="%1."/>
      <w:lvlJc w:val="left"/>
      <w:pPr>
        <w:ind w:left="0" w:firstLine="0"/>
      </w:pPr>
      <w:rPr>
        <w:rFonts w:hint="default"/>
      </w:rPr>
    </w:lvl>
  </w:abstractNum>
  <w:abstractNum w:abstractNumId="92">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93">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94">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95">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96">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97">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98">
    <w:nsid w:val="DEF23186"/>
    <w:multiLevelType w:val="singleLevel"/>
    <w:tmpl w:val="DEF23186"/>
    <w:lvl w:ilvl="0" w:tentative="0">
      <w:start w:val="1"/>
      <w:numFmt w:val="decimal"/>
      <w:suff w:val="space"/>
      <w:lvlText w:val="【%1】"/>
      <w:lvlJc w:val="left"/>
      <w:pPr>
        <w:ind w:left="0" w:firstLine="0"/>
      </w:pPr>
      <w:rPr>
        <w:rFonts w:hint="default"/>
      </w:rPr>
    </w:lvl>
  </w:abstractNum>
  <w:abstractNum w:abstractNumId="99">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100">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101">
    <w:nsid w:val="E15FB9C5"/>
    <w:multiLevelType w:val="singleLevel"/>
    <w:tmpl w:val="E15FB9C5"/>
    <w:lvl w:ilvl="0" w:tentative="0">
      <w:start w:val="1"/>
      <w:numFmt w:val="decimal"/>
      <w:suff w:val="space"/>
      <w:lvlText w:val="%1."/>
      <w:lvlJc w:val="left"/>
    </w:lvl>
  </w:abstractNum>
  <w:abstractNum w:abstractNumId="102">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103">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104">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105">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106">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107">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108">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109">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110">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111">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112">
    <w:nsid w:val="ED5C8809"/>
    <w:multiLevelType w:val="singleLevel"/>
    <w:tmpl w:val="ED5C8809"/>
    <w:lvl w:ilvl="0" w:tentative="0">
      <w:start w:val="1"/>
      <w:numFmt w:val="decimal"/>
      <w:suff w:val="space"/>
      <w:lvlText w:val="【%1】"/>
      <w:lvlJc w:val="left"/>
      <w:pPr>
        <w:ind w:left="0" w:firstLine="0"/>
      </w:pPr>
      <w:rPr>
        <w:rFonts w:hint="default"/>
      </w:rPr>
    </w:lvl>
  </w:abstractNum>
  <w:abstractNum w:abstractNumId="113">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114">
    <w:nsid w:val="F0F98369"/>
    <w:multiLevelType w:val="singleLevel"/>
    <w:tmpl w:val="F0F98369"/>
    <w:lvl w:ilvl="0" w:tentative="0">
      <w:start w:val="1"/>
      <w:numFmt w:val="decimal"/>
      <w:suff w:val="space"/>
      <w:lvlText w:val="%1."/>
      <w:lvlJc w:val="left"/>
    </w:lvl>
  </w:abstractNum>
  <w:abstractNum w:abstractNumId="115">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116">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117">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18">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19">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20">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21">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22">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23">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24">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25">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26">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27">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28">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2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3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3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3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3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5">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36">
    <w:nsid w:val="01E4EEBF"/>
    <w:multiLevelType w:val="singleLevel"/>
    <w:tmpl w:val="01E4EEBF"/>
    <w:lvl w:ilvl="0" w:tentative="0">
      <w:start w:val="1"/>
      <w:numFmt w:val="decimal"/>
      <w:suff w:val="space"/>
      <w:lvlText w:val="【%1】"/>
      <w:lvlJc w:val="left"/>
      <w:pPr>
        <w:ind w:left="0" w:firstLine="0"/>
      </w:pPr>
      <w:rPr>
        <w:rFonts w:hint="default"/>
      </w:rPr>
    </w:lvl>
  </w:abstractNum>
  <w:abstractNum w:abstractNumId="137">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38">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39">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40">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41">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42">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43">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44">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45">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46">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47">
    <w:nsid w:val="1900AA1D"/>
    <w:multiLevelType w:val="singleLevel"/>
    <w:tmpl w:val="1900AA1D"/>
    <w:lvl w:ilvl="0" w:tentative="0">
      <w:start w:val="1"/>
      <w:numFmt w:val="decimal"/>
      <w:suff w:val="space"/>
      <w:lvlText w:val="【%1】"/>
      <w:lvlJc w:val="left"/>
      <w:pPr>
        <w:ind w:left="0" w:firstLine="0"/>
      </w:pPr>
      <w:rPr>
        <w:rFonts w:hint="default"/>
      </w:rPr>
    </w:lvl>
  </w:abstractNum>
  <w:abstractNum w:abstractNumId="148">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49">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50">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51">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52">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53">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54">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55">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56">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57">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58">
    <w:nsid w:val="227B798D"/>
    <w:multiLevelType w:val="singleLevel"/>
    <w:tmpl w:val="227B798D"/>
    <w:lvl w:ilvl="0" w:tentative="0">
      <w:start w:val="1"/>
      <w:numFmt w:val="decimal"/>
      <w:suff w:val="space"/>
      <w:lvlText w:val="%1."/>
      <w:lvlJc w:val="left"/>
    </w:lvl>
  </w:abstractNum>
  <w:abstractNum w:abstractNumId="159">
    <w:nsid w:val="22B6F6FB"/>
    <w:multiLevelType w:val="singleLevel"/>
    <w:tmpl w:val="22B6F6FB"/>
    <w:lvl w:ilvl="0" w:tentative="0">
      <w:start w:val="1"/>
      <w:numFmt w:val="decimal"/>
      <w:suff w:val="space"/>
      <w:lvlText w:val="%1."/>
      <w:lvlJc w:val="left"/>
      <w:pPr>
        <w:ind w:left="0" w:firstLine="0"/>
      </w:pPr>
      <w:rPr>
        <w:rFonts w:hint="default"/>
      </w:rPr>
    </w:lvl>
  </w:abstractNum>
  <w:abstractNum w:abstractNumId="160">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61">
    <w:nsid w:val="2459407C"/>
    <w:multiLevelType w:val="singleLevel"/>
    <w:tmpl w:val="2459407C"/>
    <w:lvl w:ilvl="0" w:tentative="0">
      <w:start w:val="1"/>
      <w:numFmt w:val="decimal"/>
      <w:suff w:val="space"/>
      <w:lvlText w:val="【%1】"/>
      <w:lvlJc w:val="left"/>
      <w:pPr>
        <w:ind w:left="0" w:firstLine="0"/>
      </w:pPr>
      <w:rPr>
        <w:rFonts w:hint="default"/>
      </w:rPr>
    </w:lvl>
  </w:abstractNum>
  <w:abstractNum w:abstractNumId="162">
    <w:nsid w:val="263A57D5"/>
    <w:multiLevelType w:val="singleLevel"/>
    <w:tmpl w:val="263A57D5"/>
    <w:lvl w:ilvl="0" w:tentative="0">
      <w:start w:val="1"/>
      <w:numFmt w:val="decimal"/>
      <w:suff w:val="space"/>
      <w:lvlText w:val="【%1】"/>
      <w:lvlJc w:val="left"/>
      <w:pPr>
        <w:ind w:left="0" w:firstLine="0"/>
      </w:pPr>
      <w:rPr>
        <w:rFonts w:hint="default"/>
      </w:rPr>
    </w:lvl>
  </w:abstractNum>
  <w:abstractNum w:abstractNumId="163">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64">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65">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66">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67">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68">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69">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70">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71">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72">
    <w:nsid w:val="2CEB4668"/>
    <w:multiLevelType w:val="singleLevel"/>
    <w:tmpl w:val="2CEB4668"/>
    <w:lvl w:ilvl="0" w:tentative="0">
      <w:start w:val="1"/>
      <w:numFmt w:val="decimal"/>
      <w:suff w:val="space"/>
      <w:lvlText w:val="%1."/>
      <w:lvlJc w:val="left"/>
      <w:pPr>
        <w:ind w:left="0" w:firstLine="0"/>
      </w:pPr>
      <w:rPr>
        <w:rFonts w:hint="default"/>
      </w:rPr>
    </w:lvl>
  </w:abstractNum>
  <w:abstractNum w:abstractNumId="173">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74">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75">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76">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77">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78">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79">
    <w:nsid w:val="356A5703"/>
    <w:multiLevelType w:val="singleLevel"/>
    <w:tmpl w:val="356A5703"/>
    <w:lvl w:ilvl="0" w:tentative="0">
      <w:start w:val="1"/>
      <w:numFmt w:val="decimal"/>
      <w:suff w:val="space"/>
      <w:lvlText w:val="【%1】"/>
      <w:lvlJc w:val="left"/>
      <w:pPr>
        <w:ind w:left="0" w:firstLine="0"/>
      </w:pPr>
      <w:rPr>
        <w:rFonts w:hint="default"/>
      </w:rPr>
    </w:lvl>
  </w:abstractNum>
  <w:abstractNum w:abstractNumId="180">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81">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82">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83">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84">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85">
    <w:nsid w:val="3E643456"/>
    <w:multiLevelType w:val="singleLevel"/>
    <w:tmpl w:val="3E643456"/>
    <w:lvl w:ilvl="0" w:tentative="0">
      <w:start w:val="1"/>
      <w:numFmt w:val="decimal"/>
      <w:suff w:val="space"/>
      <w:lvlText w:val="【%1】"/>
      <w:lvlJc w:val="left"/>
      <w:pPr>
        <w:ind w:left="0" w:firstLine="0"/>
      </w:pPr>
      <w:rPr>
        <w:rFonts w:hint="default"/>
      </w:rPr>
    </w:lvl>
  </w:abstractNum>
  <w:abstractNum w:abstractNumId="18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8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8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89">
    <w:nsid w:val="46F492E7"/>
    <w:multiLevelType w:val="singleLevel"/>
    <w:tmpl w:val="46F492E7"/>
    <w:lvl w:ilvl="0" w:tentative="0">
      <w:start w:val="1"/>
      <w:numFmt w:val="decimal"/>
      <w:suff w:val="space"/>
      <w:lvlText w:val="%1."/>
      <w:lvlJc w:val="left"/>
    </w:lvl>
  </w:abstractNum>
  <w:abstractNum w:abstractNumId="190">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91">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92">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93">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94">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95">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96">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97">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98">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99">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200">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201">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202">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203">
    <w:nsid w:val="5040E49F"/>
    <w:multiLevelType w:val="singleLevel"/>
    <w:tmpl w:val="5040E49F"/>
    <w:lvl w:ilvl="0" w:tentative="0">
      <w:start w:val="1"/>
      <w:numFmt w:val="decimal"/>
      <w:suff w:val="space"/>
      <w:lvlText w:val="%1."/>
      <w:lvlJc w:val="left"/>
      <w:pPr>
        <w:ind w:left="0" w:firstLine="0"/>
      </w:pPr>
      <w:rPr>
        <w:rFonts w:hint="default"/>
      </w:rPr>
    </w:lvl>
  </w:abstractNum>
  <w:abstractNum w:abstractNumId="204">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205">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206">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207">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208">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209">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210">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211">
    <w:nsid w:val="5A325698"/>
    <w:multiLevelType w:val="singleLevel"/>
    <w:tmpl w:val="5A325698"/>
    <w:lvl w:ilvl="0" w:tentative="0">
      <w:start w:val="1"/>
      <w:numFmt w:val="decimal"/>
      <w:suff w:val="space"/>
      <w:lvlText w:val="%1."/>
      <w:lvlJc w:val="left"/>
    </w:lvl>
  </w:abstractNum>
  <w:abstractNum w:abstractNumId="212">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213">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214">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215">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216">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217">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218">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219">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220">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221">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222">
    <w:nsid w:val="663B8FD2"/>
    <w:multiLevelType w:val="singleLevel"/>
    <w:tmpl w:val="663B8FD2"/>
    <w:lvl w:ilvl="0" w:tentative="0">
      <w:start w:val="1"/>
      <w:numFmt w:val="decimal"/>
      <w:suff w:val="space"/>
      <w:lvlText w:val="【%1】"/>
      <w:lvlJc w:val="left"/>
      <w:pPr>
        <w:ind w:left="0" w:firstLine="0"/>
      </w:pPr>
      <w:rPr>
        <w:rFonts w:hint="default"/>
      </w:rPr>
    </w:lvl>
  </w:abstractNum>
  <w:abstractNum w:abstractNumId="223">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24">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25">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26">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27">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28">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29">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30">
    <w:nsid w:val="6D1C6BBA"/>
    <w:multiLevelType w:val="singleLevel"/>
    <w:tmpl w:val="6D1C6BBA"/>
    <w:lvl w:ilvl="0" w:tentative="0">
      <w:start w:val="1"/>
      <w:numFmt w:val="decimal"/>
      <w:suff w:val="space"/>
      <w:lvlText w:val="%1."/>
      <w:lvlJc w:val="left"/>
      <w:pPr>
        <w:ind w:left="0" w:firstLine="0"/>
      </w:pPr>
      <w:rPr>
        <w:rFonts w:hint="default"/>
      </w:rPr>
    </w:lvl>
  </w:abstractNum>
  <w:abstractNum w:abstractNumId="231">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32">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33">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34">
    <w:nsid w:val="70376A42"/>
    <w:multiLevelType w:val="singleLevel"/>
    <w:tmpl w:val="70376A42"/>
    <w:lvl w:ilvl="0" w:tentative="0">
      <w:start w:val="1"/>
      <w:numFmt w:val="decimal"/>
      <w:suff w:val="space"/>
      <w:lvlText w:val="【%1】"/>
      <w:lvlJc w:val="left"/>
      <w:pPr>
        <w:ind w:left="0" w:firstLine="0"/>
      </w:pPr>
      <w:rPr>
        <w:rFonts w:hint="default"/>
      </w:rPr>
    </w:lvl>
  </w:abstractNum>
  <w:abstractNum w:abstractNumId="235">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36">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37">
    <w:nsid w:val="71AA17F9"/>
    <w:multiLevelType w:val="singleLevel"/>
    <w:tmpl w:val="71AA17F9"/>
    <w:lvl w:ilvl="0" w:tentative="0">
      <w:start w:val="1"/>
      <w:numFmt w:val="decimal"/>
      <w:suff w:val="space"/>
      <w:lvlText w:val="%1."/>
      <w:lvlJc w:val="left"/>
      <w:pPr>
        <w:ind w:left="0" w:firstLine="0"/>
      </w:pPr>
      <w:rPr>
        <w:rFonts w:hint="default"/>
      </w:rPr>
    </w:lvl>
  </w:abstractNum>
  <w:abstractNum w:abstractNumId="238">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39">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40">
    <w:nsid w:val="7744011C"/>
    <w:multiLevelType w:val="singleLevel"/>
    <w:tmpl w:val="7744011C"/>
    <w:lvl w:ilvl="0" w:tentative="0">
      <w:start w:val="1"/>
      <w:numFmt w:val="decimal"/>
      <w:suff w:val="space"/>
      <w:lvlText w:val="【%1】"/>
      <w:lvlJc w:val="left"/>
      <w:pPr>
        <w:ind w:left="0" w:firstLine="0"/>
      </w:pPr>
      <w:rPr>
        <w:rFonts w:hint="default"/>
      </w:rPr>
    </w:lvl>
  </w:abstractNum>
  <w:abstractNum w:abstractNumId="241">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42">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43">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44">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45">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30"/>
  </w:num>
  <w:num w:numId="2">
    <w:abstractNumId w:val="133"/>
  </w:num>
  <w:num w:numId="3">
    <w:abstractNumId w:val="134"/>
  </w:num>
  <w:num w:numId="4">
    <w:abstractNumId w:val="131"/>
  </w:num>
  <w:num w:numId="5">
    <w:abstractNumId w:val="129"/>
  </w:num>
  <w:num w:numId="6">
    <w:abstractNumId w:val="132"/>
  </w:num>
  <w:num w:numId="7">
    <w:abstractNumId w:val="235"/>
  </w:num>
  <w:num w:numId="8">
    <w:abstractNumId w:val="103"/>
  </w:num>
  <w:num w:numId="9">
    <w:abstractNumId w:val="176"/>
  </w:num>
  <w:num w:numId="10">
    <w:abstractNumId w:val="238"/>
  </w:num>
  <w:num w:numId="11">
    <w:abstractNumId w:val="55"/>
  </w:num>
  <w:num w:numId="12">
    <w:abstractNumId w:val="192"/>
  </w:num>
  <w:num w:numId="13">
    <w:abstractNumId w:val="15"/>
  </w:num>
  <w:num w:numId="14">
    <w:abstractNumId w:val="227"/>
  </w:num>
  <w:num w:numId="15">
    <w:abstractNumId w:val="36"/>
  </w:num>
  <w:num w:numId="16">
    <w:abstractNumId w:val="225"/>
  </w:num>
  <w:num w:numId="17">
    <w:abstractNumId w:val="135"/>
  </w:num>
  <w:num w:numId="18">
    <w:abstractNumId w:val="84"/>
  </w:num>
  <w:num w:numId="19">
    <w:abstractNumId w:val="193"/>
  </w:num>
  <w:num w:numId="20">
    <w:abstractNumId w:val="156"/>
  </w:num>
  <w:num w:numId="21">
    <w:abstractNumId w:val="47"/>
  </w:num>
  <w:num w:numId="22">
    <w:abstractNumId w:val="215"/>
  </w:num>
  <w:num w:numId="23">
    <w:abstractNumId w:val="72"/>
  </w:num>
  <w:num w:numId="24">
    <w:abstractNumId w:val="242"/>
  </w:num>
  <w:num w:numId="25">
    <w:abstractNumId w:val="155"/>
  </w:num>
  <w:num w:numId="26">
    <w:abstractNumId w:val="231"/>
  </w:num>
  <w:num w:numId="27">
    <w:abstractNumId w:val="120"/>
  </w:num>
  <w:num w:numId="28">
    <w:abstractNumId w:val="64"/>
  </w:num>
  <w:num w:numId="29">
    <w:abstractNumId w:val="88"/>
  </w:num>
  <w:num w:numId="30">
    <w:abstractNumId w:val="17"/>
  </w:num>
  <w:num w:numId="31">
    <w:abstractNumId w:val="149"/>
  </w:num>
  <w:num w:numId="32">
    <w:abstractNumId w:val="80"/>
  </w:num>
  <w:num w:numId="33">
    <w:abstractNumId w:val="68"/>
  </w:num>
  <w:num w:numId="34">
    <w:abstractNumId w:val="229"/>
  </w:num>
  <w:num w:numId="35">
    <w:abstractNumId w:val="244"/>
  </w:num>
  <w:num w:numId="36">
    <w:abstractNumId w:val="110"/>
  </w:num>
  <w:num w:numId="37">
    <w:abstractNumId w:val="123"/>
  </w:num>
  <w:num w:numId="38">
    <w:abstractNumId w:val="150"/>
  </w:num>
  <w:num w:numId="39">
    <w:abstractNumId w:val="224"/>
  </w:num>
  <w:num w:numId="40">
    <w:abstractNumId w:val="197"/>
  </w:num>
  <w:num w:numId="41">
    <w:abstractNumId w:val="66"/>
  </w:num>
  <w:num w:numId="42">
    <w:abstractNumId w:val="44"/>
  </w:num>
  <w:num w:numId="43">
    <w:abstractNumId w:val="221"/>
  </w:num>
  <w:num w:numId="44">
    <w:abstractNumId w:val="14"/>
  </w:num>
  <w:num w:numId="45">
    <w:abstractNumId w:val="202"/>
  </w:num>
  <w:num w:numId="46">
    <w:abstractNumId w:val="54"/>
  </w:num>
  <w:num w:numId="47">
    <w:abstractNumId w:val="164"/>
  </w:num>
  <w:num w:numId="48">
    <w:abstractNumId w:val="153"/>
  </w:num>
  <w:num w:numId="49">
    <w:abstractNumId w:val="71"/>
  </w:num>
  <w:num w:numId="50">
    <w:abstractNumId w:val="209"/>
  </w:num>
  <w:num w:numId="51">
    <w:abstractNumId w:val="190"/>
  </w:num>
  <w:num w:numId="52">
    <w:abstractNumId w:val="128"/>
  </w:num>
  <w:num w:numId="53">
    <w:abstractNumId w:val="187"/>
  </w:num>
  <w:num w:numId="54">
    <w:abstractNumId w:val="61"/>
  </w:num>
  <w:num w:numId="55">
    <w:abstractNumId w:val="183"/>
  </w:num>
  <w:num w:numId="56">
    <w:abstractNumId w:val="1"/>
  </w:num>
  <w:num w:numId="57">
    <w:abstractNumId w:val="119"/>
  </w:num>
  <w:num w:numId="58">
    <w:abstractNumId w:val="90"/>
  </w:num>
  <w:num w:numId="59">
    <w:abstractNumId w:val="40"/>
  </w:num>
  <w:num w:numId="60">
    <w:abstractNumId w:val="13"/>
  </w:num>
  <w:num w:numId="61">
    <w:abstractNumId w:val="42"/>
  </w:num>
  <w:num w:numId="62">
    <w:abstractNumId w:val="5"/>
  </w:num>
  <w:num w:numId="63">
    <w:abstractNumId w:val="191"/>
  </w:num>
  <w:num w:numId="64">
    <w:abstractNumId w:val="222"/>
  </w:num>
  <w:num w:numId="65">
    <w:abstractNumId w:val="143"/>
  </w:num>
  <w:num w:numId="66">
    <w:abstractNumId w:val="243"/>
  </w:num>
  <w:num w:numId="67">
    <w:abstractNumId w:val="232"/>
  </w:num>
  <w:num w:numId="68">
    <w:abstractNumId w:val="59"/>
  </w:num>
  <w:num w:numId="69">
    <w:abstractNumId w:val="213"/>
  </w:num>
  <w:num w:numId="70">
    <w:abstractNumId w:val="39"/>
  </w:num>
  <w:num w:numId="71">
    <w:abstractNumId w:val="181"/>
  </w:num>
  <w:num w:numId="72">
    <w:abstractNumId w:val="174"/>
  </w:num>
  <w:num w:numId="73">
    <w:abstractNumId w:val="184"/>
  </w:num>
  <w:num w:numId="74">
    <w:abstractNumId w:val="92"/>
  </w:num>
  <w:num w:numId="75">
    <w:abstractNumId w:val="126"/>
  </w:num>
  <w:num w:numId="76">
    <w:abstractNumId w:val="205"/>
  </w:num>
  <w:num w:numId="77">
    <w:abstractNumId w:val="178"/>
  </w:num>
  <w:num w:numId="78">
    <w:abstractNumId w:val="81"/>
  </w:num>
  <w:num w:numId="79">
    <w:abstractNumId w:val="24"/>
  </w:num>
  <w:num w:numId="80">
    <w:abstractNumId w:val="31"/>
  </w:num>
  <w:num w:numId="81">
    <w:abstractNumId w:val="228"/>
  </w:num>
  <w:num w:numId="82">
    <w:abstractNumId w:val="168"/>
  </w:num>
  <w:num w:numId="83">
    <w:abstractNumId w:val="9"/>
  </w:num>
  <w:num w:numId="84">
    <w:abstractNumId w:val="220"/>
  </w:num>
  <w:num w:numId="85">
    <w:abstractNumId w:val="46"/>
  </w:num>
  <w:num w:numId="86">
    <w:abstractNumId w:val="151"/>
  </w:num>
  <w:num w:numId="87">
    <w:abstractNumId w:val="177"/>
  </w:num>
  <w:num w:numId="88">
    <w:abstractNumId w:val="167"/>
  </w:num>
  <w:num w:numId="89">
    <w:abstractNumId w:val="142"/>
  </w:num>
  <w:num w:numId="90">
    <w:abstractNumId w:val="11"/>
  </w:num>
  <w:num w:numId="91">
    <w:abstractNumId w:val="217"/>
  </w:num>
  <w:num w:numId="92">
    <w:abstractNumId w:val="22"/>
  </w:num>
  <w:num w:numId="93">
    <w:abstractNumId w:val="233"/>
  </w:num>
  <w:num w:numId="94">
    <w:abstractNumId w:val="104"/>
  </w:num>
  <w:num w:numId="95">
    <w:abstractNumId w:val="95"/>
  </w:num>
  <w:num w:numId="96">
    <w:abstractNumId w:val="165"/>
  </w:num>
  <w:num w:numId="97">
    <w:abstractNumId w:val="34"/>
  </w:num>
  <w:num w:numId="98">
    <w:abstractNumId w:val="117"/>
  </w:num>
  <w:num w:numId="99">
    <w:abstractNumId w:val="140"/>
  </w:num>
  <w:num w:numId="100">
    <w:abstractNumId w:val="188"/>
  </w:num>
  <w:num w:numId="101">
    <w:abstractNumId w:val="148"/>
  </w:num>
  <w:num w:numId="102">
    <w:abstractNumId w:val="51"/>
  </w:num>
  <w:num w:numId="103">
    <w:abstractNumId w:val="154"/>
  </w:num>
  <w:num w:numId="104">
    <w:abstractNumId w:val="0"/>
  </w:num>
  <w:num w:numId="105">
    <w:abstractNumId w:val="62"/>
  </w:num>
  <w:num w:numId="106">
    <w:abstractNumId w:val="96"/>
  </w:num>
  <w:num w:numId="107">
    <w:abstractNumId w:val="57"/>
  </w:num>
  <w:num w:numId="108">
    <w:abstractNumId w:val="65"/>
  </w:num>
  <w:num w:numId="109">
    <w:abstractNumId w:val="32"/>
  </w:num>
  <w:num w:numId="110">
    <w:abstractNumId w:val="170"/>
  </w:num>
  <w:num w:numId="111">
    <w:abstractNumId w:val="124"/>
  </w:num>
  <w:num w:numId="112">
    <w:abstractNumId w:val="86"/>
  </w:num>
  <w:num w:numId="113">
    <w:abstractNumId w:val="206"/>
  </w:num>
  <w:num w:numId="114">
    <w:abstractNumId w:val="241"/>
  </w:num>
  <w:num w:numId="115">
    <w:abstractNumId w:val="89"/>
  </w:num>
  <w:num w:numId="116">
    <w:abstractNumId w:val="111"/>
  </w:num>
  <w:num w:numId="117">
    <w:abstractNumId w:val="223"/>
  </w:num>
  <w:num w:numId="118">
    <w:abstractNumId w:val="106"/>
  </w:num>
  <w:num w:numId="119">
    <w:abstractNumId w:val="94"/>
  </w:num>
  <w:num w:numId="120">
    <w:abstractNumId w:val="166"/>
  </w:num>
  <w:num w:numId="121">
    <w:abstractNumId w:val="20"/>
  </w:num>
  <w:num w:numId="122">
    <w:abstractNumId w:val="100"/>
  </w:num>
  <w:num w:numId="123">
    <w:abstractNumId w:val="226"/>
  </w:num>
  <w:num w:numId="124">
    <w:abstractNumId w:val="53"/>
  </w:num>
  <w:num w:numId="125">
    <w:abstractNumId w:val="33"/>
  </w:num>
  <w:num w:numId="126">
    <w:abstractNumId w:val="63"/>
  </w:num>
  <w:num w:numId="127">
    <w:abstractNumId w:val="201"/>
  </w:num>
  <w:num w:numId="128">
    <w:abstractNumId w:val="105"/>
  </w:num>
  <w:num w:numId="129">
    <w:abstractNumId w:val="70"/>
  </w:num>
  <w:num w:numId="130">
    <w:abstractNumId w:val="93"/>
  </w:num>
  <w:num w:numId="131">
    <w:abstractNumId w:val="137"/>
  </w:num>
  <w:num w:numId="132">
    <w:abstractNumId w:val="45"/>
  </w:num>
  <w:num w:numId="133">
    <w:abstractNumId w:val="144"/>
  </w:num>
  <w:num w:numId="134">
    <w:abstractNumId w:val="25"/>
  </w:num>
  <w:num w:numId="135">
    <w:abstractNumId w:val="180"/>
  </w:num>
  <w:num w:numId="136">
    <w:abstractNumId w:val="141"/>
  </w:num>
  <w:num w:numId="137">
    <w:abstractNumId w:val="58"/>
  </w:num>
  <w:num w:numId="138">
    <w:abstractNumId w:val="236"/>
  </w:num>
  <w:num w:numId="139">
    <w:abstractNumId w:val="122"/>
  </w:num>
  <w:num w:numId="140">
    <w:abstractNumId w:val="77"/>
  </w:num>
  <w:num w:numId="141">
    <w:abstractNumId w:val="216"/>
  </w:num>
  <w:num w:numId="142">
    <w:abstractNumId w:val="186"/>
  </w:num>
  <w:num w:numId="143">
    <w:abstractNumId w:val="85"/>
  </w:num>
  <w:num w:numId="144">
    <w:abstractNumId w:val="87"/>
  </w:num>
  <w:num w:numId="145">
    <w:abstractNumId w:val="195"/>
  </w:num>
  <w:num w:numId="146">
    <w:abstractNumId w:val="108"/>
  </w:num>
  <w:num w:numId="147">
    <w:abstractNumId w:val="4"/>
  </w:num>
  <w:num w:numId="148">
    <w:abstractNumId w:val="210"/>
  </w:num>
  <w:num w:numId="149">
    <w:abstractNumId w:val="171"/>
  </w:num>
  <w:num w:numId="150">
    <w:abstractNumId w:val="49"/>
  </w:num>
  <w:num w:numId="151">
    <w:abstractNumId w:val="115"/>
  </w:num>
  <w:num w:numId="152">
    <w:abstractNumId w:val="67"/>
  </w:num>
  <w:num w:numId="153">
    <w:abstractNumId w:val="18"/>
  </w:num>
  <w:num w:numId="154">
    <w:abstractNumId w:val="160"/>
  </w:num>
  <w:num w:numId="155">
    <w:abstractNumId w:val="145"/>
  </w:num>
  <w:num w:numId="156">
    <w:abstractNumId w:val="194"/>
  </w:num>
  <w:num w:numId="157">
    <w:abstractNumId w:val="200"/>
  </w:num>
  <w:num w:numId="158">
    <w:abstractNumId w:val="175"/>
  </w:num>
  <w:num w:numId="159">
    <w:abstractNumId w:val="56"/>
  </w:num>
  <w:num w:numId="160">
    <w:abstractNumId w:val="116"/>
  </w:num>
  <w:num w:numId="161">
    <w:abstractNumId w:val="208"/>
  </w:num>
  <w:num w:numId="162">
    <w:abstractNumId w:val="127"/>
  </w:num>
  <w:num w:numId="163">
    <w:abstractNumId w:val="29"/>
  </w:num>
  <w:num w:numId="164">
    <w:abstractNumId w:val="38"/>
  </w:num>
  <w:num w:numId="165">
    <w:abstractNumId w:val="43"/>
  </w:num>
  <w:num w:numId="166">
    <w:abstractNumId w:val="198"/>
  </w:num>
  <w:num w:numId="167">
    <w:abstractNumId w:val="239"/>
  </w:num>
  <w:num w:numId="168">
    <w:abstractNumId w:val="48"/>
  </w:num>
  <w:num w:numId="169">
    <w:abstractNumId w:val="204"/>
  </w:num>
  <w:num w:numId="170">
    <w:abstractNumId w:val="37"/>
  </w:num>
  <w:num w:numId="171">
    <w:abstractNumId w:val="169"/>
  </w:num>
  <w:num w:numId="172">
    <w:abstractNumId w:val="2"/>
  </w:num>
  <w:num w:numId="173">
    <w:abstractNumId w:val="23"/>
  </w:num>
  <w:num w:numId="174">
    <w:abstractNumId w:val="173"/>
  </w:num>
  <w:num w:numId="175">
    <w:abstractNumId w:val="12"/>
  </w:num>
  <w:num w:numId="176">
    <w:abstractNumId w:val="50"/>
  </w:num>
  <w:num w:numId="177">
    <w:abstractNumId w:val="219"/>
  </w:num>
  <w:num w:numId="178">
    <w:abstractNumId w:val="214"/>
  </w:num>
  <w:num w:numId="179">
    <w:abstractNumId w:val="152"/>
  </w:num>
  <w:num w:numId="180">
    <w:abstractNumId w:val="139"/>
  </w:num>
  <w:num w:numId="181">
    <w:abstractNumId w:val="107"/>
  </w:num>
  <w:num w:numId="182">
    <w:abstractNumId w:val="125"/>
  </w:num>
  <w:num w:numId="183">
    <w:abstractNumId w:val="73"/>
  </w:num>
  <w:num w:numId="184">
    <w:abstractNumId w:val="99"/>
  </w:num>
  <w:num w:numId="185">
    <w:abstractNumId w:val="245"/>
  </w:num>
  <w:num w:numId="186">
    <w:abstractNumId w:val="91"/>
  </w:num>
  <w:num w:numId="187">
    <w:abstractNumId w:val="199"/>
  </w:num>
  <w:num w:numId="188">
    <w:abstractNumId w:val="196"/>
  </w:num>
  <w:num w:numId="189">
    <w:abstractNumId w:val="163"/>
  </w:num>
  <w:num w:numId="190">
    <w:abstractNumId w:val="19"/>
  </w:num>
  <w:num w:numId="191">
    <w:abstractNumId w:val="102"/>
  </w:num>
  <w:num w:numId="192">
    <w:abstractNumId w:val="118"/>
  </w:num>
  <w:num w:numId="193">
    <w:abstractNumId w:val="97"/>
  </w:num>
  <w:num w:numId="194">
    <w:abstractNumId w:val="159"/>
  </w:num>
  <w:num w:numId="195">
    <w:abstractNumId w:val="138"/>
  </w:num>
  <w:num w:numId="196">
    <w:abstractNumId w:val="157"/>
  </w:num>
  <w:num w:numId="197">
    <w:abstractNumId w:val="146"/>
  </w:num>
  <w:num w:numId="198">
    <w:abstractNumId w:val="8"/>
  </w:num>
  <w:num w:numId="199">
    <w:abstractNumId w:val="79"/>
  </w:num>
  <w:num w:numId="200">
    <w:abstractNumId w:val="237"/>
  </w:num>
  <w:num w:numId="201">
    <w:abstractNumId w:val="74"/>
  </w:num>
  <w:num w:numId="202">
    <w:abstractNumId w:val="16"/>
  </w:num>
  <w:num w:numId="203">
    <w:abstractNumId w:val="234"/>
  </w:num>
  <w:num w:numId="204">
    <w:abstractNumId w:val="21"/>
  </w:num>
  <w:num w:numId="205">
    <w:abstractNumId w:val="75"/>
  </w:num>
  <w:num w:numId="206">
    <w:abstractNumId w:val="69"/>
  </w:num>
  <w:num w:numId="207">
    <w:abstractNumId w:val="136"/>
  </w:num>
  <w:num w:numId="208">
    <w:abstractNumId w:val="30"/>
  </w:num>
  <w:num w:numId="209">
    <w:abstractNumId w:val="28"/>
  </w:num>
  <w:num w:numId="210">
    <w:abstractNumId w:val="101"/>
  </w:num>
  <w:num w:numId="211">
    <w:abstractNumId w:val="112"/>
  </w:num>
  <w:num w:numId="212">
    <w:abstractNumId w:val="35"/>
  </w:num>
  <w:num w:numId="213">
    <w:abstractNumId w:val="161"/>
  </w:num>
  <w:num w:numId="214">
    <w:abstractNumId w:val="76"/>
  </w:num>
  <w:num w:numId="215">
    <w:abstractNumId w:val="98"/>
  </w:num>
  <w:num w:numId="216">
    <w:abstractNumId w:val="211"/>
  </w:num>
  <w:num w:numId="217">
    <w:abstractNumId w:val="230"/>
  </w:num>
  <w:num w:numId="218">
    <w:abstractNumId w:val="162"/>
  </w:num>
  <w:num w:numId="219">
    <w:abstractNumId w:val="158"/>
  </w:num>
  <w:num w:numId="220">
    <w:abstractNumId w:val="7"/>
  </w:num>
  <w:num w:numId="221">
    <w:abstractNumId w:val="189"/>
  </w:num>
  <w:num w:numId="222">
    <w:abstractNumId w:val="203"/>
  </w:num>
  <w:num w:numId="223">
    <w:abstractNumId w:val="147"/>
  </w:num>
  <w:num w:numId="224">
    <w:abstractNumId w:val="52"/>
  </w:num>
  <w:num w:numId="225">
    <w:abstractNumId w:val="185"/>
  </w:num>
  <w:num w:numId="226">
    <w:abstractNumId w:val="3"/>
  </w:num>
  <w:num w:numId="227">
    <w:abstractNumId w:val="179"/>
  </w:num>
  <w:num w:numId="228">
    <w:abstractNumId w:val="41"/>
  </w:num>
  <w:num w:numId="229">
    <w:abstractNumId w:val="26"/>
  </w:num>
  <w:num w:numId="230">
    <w:abstractNumId w:val="83"/>
  </w:num>
  <w:num w:numId="231">
    <w:abstractNumId w:val="240"/>
  </w:num>
  <w:num w:numId="232">
    <w:abstractNumId w:val="114"/>
  </w:num>
  <w:num w:numId="233">
    <w:abstractNumId w:val="82"/>
  </w:num>
  <w:num w:numId="234">
    <w:abstractNumId w:val="60"/>
  </w:num>
  <w:num w:numId="235">
    <w:abstractNumId w:val="109"/>
  </w:num>
  <w:num w:numId="236">
    <w:abstractNumId w:val="207"/>
  </w:num>
  <w:num w:numId="237">
    <w:abstractNumId w:val="78"/>
  </w:num>
  <w:num w:numId="238">
    <w:abstractNumId w:val="172"/>
  </w:num>
  <w:num w:numId="239">
    <w:abstractNumId w:val="182"/>
  </w:num>
  <w:num w:numId="240">
    <w:abstractNumId w:val="212"/>
  </w:num>
  <w:num w:numId="241">
    <w:abstractNumId w:val="218"/>
  </w:num>
  <w:num w:numId="242">
    <w:abstractNumId w:val="10"/>
  </w:num>
  <w:num w:numId="243">
    <w:abstractNumId w:val="113"/>
  </w:num>
  <w:num w:numId="244">
    <w:abstractNumId w:val="6"/>
  </w:num>
  <w:num w:numId="245">
    <w:abstractNumId w:val="121"/>
  </w:num>
  <w:num w:numId="246">
    <w:abstractNumId w:val="27"/>
  </w:num>
  <w:num w:numId="247">
    <w:abstractNumId w:val="237"/>
    <w:lvlOverride w:ilvl="0">
      <w:startOverride w:val="1"/>
    </w:lvlOverride>
  </w:num>
  <w:num w:numId="248">
    <w:abstractNumId w:val="2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59F7"/>
    <w:rsid w:val="00B47730"/>
    <w:rsid w:val="00CB0664"/>
    <w:rsid w:val="00DC3BBF"/>
    <w:rsid w:val="00FC693F"/>
    <w:rsid w:val="01287D8E"/>
    <w:rsid w:val="02337D11"/>
    <w:rsid w:val="02D72974"/>
    <w:rsid w:val="047D2C92"/>
    <w:rsid w:val="047F723D"/>
    <w:rsid w:val="048F7622"/>
    <w:rsid w:val="06A50BF6"/>
    <w:rsid w:val="06BB4388"/>
    <w:rsid w:val="07155C37"/>
    <w:rsid w:val="0790350F"/>
    <w:rsid w:val="084F4F9C"/>
    <w:rsid w:val="08550E08"/>
    <w:rsid w:val="089327F6"/>
    <w:rsid w:val="09404CDC"/>
    <w:rsid w:val="0951376D"/>
    <w:rsid w:val="095D0797"/>
    <w:rsid w:val="09710551"/>
    <w:rsid w:val="0A541176"/>
    <w:rsid w:val="0B2548EC"/>
    <w:rsid w:val="0B6251C3"/>
    <w:rsid w:val="0BE3052D"/>
    <w:rsid w:val="0C185CAA"/>
    <w:rsid w:val="0C3A723F"/>
    <w:rsid w:val="0C614F3A"/>
    <w:rsid w:val="0D532E09"/>
    <w:rsid w:val="0E2826F4"/>
    <w:rsid w:val="0E6404BC"/>
    <w:rsid w:val="0E791C99"/>
    <w:rsid w:val="0EB000A1"/>
    <w:rsid w:val="105B1AB4"/>
    <w:rsid w:val="105E064F"/>
    <w:rsid w:val="12DD5069"/>
    <w:rsid w:val="13280AA0"/>
    <w:rsid w:val="1335531E"/>
    <w:rsid w:val="137F7DA4"/>
    <w:rsid w:val="141170ED"/>
    <w:rsid w:val="14A16D5C"/>
    <w:rsid w:val="14B8020C"/>
    <w:rsid w:val="1504525C"/>
    <w:rsid w:val="15C87273"/>
    <w:rsid w:val="16646CDD"/>
    <w:rsid w:val="16910FD9"/>
    <w:rsid w:val="18740AE5"/>
    <w:rsid w:val="18EC3BAD"/>
    <w:rsid w:val="19FC7CC6"/>
    <w:rsid w:val="1A4866E5"/>
    <w:rsid w:val="1A58610F"/>
    <w:rsid w:val="1A6233DE"/>
    <w:rsid w:val="1AC90DBB"/>
    <w:rsid w:val="1AD055C7"/>
    <w:rsid w:val="1B0911B7"/>
    <w:rsid w:val="1B373F76"/>
    <w:rsid w:val="1B506DE6"/>
    <w:rsid w:val="1BFA52C3"/>
    <w:rsid w:val="1CB04E54"/>
    <w:rsid w:val="1CF06AD2"/>
    <w:rsid w:val="1E285BB3"/>
    <w:rsid w:val="1E854FF8"/>
    <w:rsid w:val="1EF83A1C"/>
    <w:rsid w:val="1F3031B6"/>
    <w:rsid w:val="1F877BDE"/>
    <w:rsid w:val="202548FF"/>
    <w:rsid w:val="20327478"/>
    <w:rsid w:val="20B47E17"/>
    <w:rsid w:val="20F73191"/>
    <w:rsid w:val="21537AB3"/>
    <w:rsid w:val="21BC614C"/>
    <w:rsid w:val="21C916A0"/>
    <w:rsid w:val="21EF60F0"/>
    <w:rsid w:val="220B039D"/>
    <w:rsid w:val="22230E62"/>
    <w:rsid w:val="22777571"/>
    <w:rsid w:val="22A65EBC"/>
    <w:rsid w:val="22BA7DA5"/>
    <w:rsid w:val="235B5ADA"/>
    <w:rsid w:val="235C2E4D"/>
    <w:rsid w:val="235E52E6"/>
    <w:rsid w:val="2472601F"/>
    <w:rsid w:val="247D03B7"/>
    <w:rsid w:val="248A0711"/>
    <w:rsid w:val="25C76384"/>
    <w:rsid w:val="26815BDB"/>
    <w:rsid w:val="274A5804"/>
    <w:rsid w:val="28D92B11"/>
    <w:rsid w:val="295F7807"/>
    <w:rsid w:val="2A4C7C4B"/>
    <w:rsid w:val="2AE337D3"/>
    <w:rsid w:val="2B095471"/>
    <w:rsid w:val="2B715282"/>
    <w:rsid w:val="2BC272BF"/>
    <w:rsid w:val="2C6F705F"/>
    <w:rsid w:val="2D942BFB"/>
    <w:rsid w:val="2DDD44E2"/>
    <w:rsid w:val="2EC465DF"/>
    <w:rsid w:val="2F5051AF"/>
    <w:rsid w:val="2F9C7272"/>
    <w:rsid w:val="2FEC3129"/>
    <w:rsid w:val="30157776"/>
    <w:rsid w:val="301E34E6"/>
    <w:rsid w:val="30797DCA"/>
    <w:rsid w:val="318A59A0"/>
    <w:rsid w:val="32263B56"/>
    <w:rsid w:val="326276D3"/>
    <w:rsid w:val="32A7067D"/>
    <w:rsid w:val="34547D9D"/>
    <w:rsid w:val="36594286"/>
    <w:rsid w:val="3670428D"/>
    <w:rsid w:val="36E51695"/>
    <w:rsid w:val="36FA6F28"/>
    <w:rsid w:val="37920A4E"/>
    <w:rsid w:val="37AE5168"/>
    <w:rsid w:val="39355C80"/>
    <w:rsid w:val="39430031"/>
    <w:rsid w:val="394962B0"/>
    <w:rsid w:val="3993406B"/>
    <w:rsid w:val="39A71956"/>
    <w:rsid w:val="3A2B0CF2"/>
    <w:rsid w:val="3CE3517D"/>
    <w:rsid w:val="3D2D5BD4"/>
    <w:rsid w:val="3D3C18A7"/>
    <w:rsid w:val="3E894239"/>
    <w:rsid w:val="3EF06996"/>
    <w:rsid w:val="3F6D0FB3"/>
    <w:rsid w:val="3F9F0CD2"/>
    <w:rsid w:val="41BE6785"/>
    <w:rsid w:val="42217728"/>
    <w:rsid w:val="433F2195"/>
    <w:rsid w:val="434A043B"/>
    <w:rsid w:val="434D3A87"/>
    <w:rsid w:val="43B119B5"/>
    <w:rsid w:val="44255D38"/>
    <w:rsid w:val="44DB54F6"/>
    <w:rsid w:val="44EF003D"/>
    <w:rsid w:val="45156827"/>
    <w:rsid w:val="454F3935"/>
    <w:rsid w:val="4581203B"/>
    <w:rsid w:val="46072613"/>
    <w:rsid w:val="464425BB"/>
    <w:rsid w:val="466815A0"/>
    <w:rsid w:val="467D4684"/>
    <w:rsid w:val="46D57DB6"/>
    <w:rsid w:val="475B11F3"/>
    <w:rsid w:val="47694F1C"/>
    <w:rsid w:val="476A63AC"/>
    <w:rsid w:val="48F77029"/>
    <w:rsid w:val="496658A3"/>
    <w:rsid w:val="497C6BEC"/>
    <w:rsid w:val="4A0155CC"/>
    <w:rsid w:val="4A880BB7"/>
    <w:rsid w:val="4A943797"/>
    <w:rsid w:val="4AD73EDC"/>
    <w:rsid w:val="4B086F3D"/>
    <w:rsid w:val="4B492087"/>
    <w:rsid w:val="4B603EF9"/>
    <w:rsid w:val="4B644493"/>
    <w:rsid w:val="4B991F60"/>
    <w:rsid w:val="4BC0490B"/>
    <w:rsid w:val="4BCD39B7"/>
    <w:rsid w:val="4BE20CC1"/>
    <w:rsid w:val="4BFA3413"/>
    <w:rsid w:val="4C0D3812"/>
    <w:rsid w:val="4C994BFF"/>
    <w:rsid w:val="4E505A06"/>
    <w:rsid w:val="4ED82D9F"/>
    <w:rsid w:val="4F804A74"/>
    <w:rsid w:val="502B33A2"/>
    <w:rsid w:val="509B6B85"/>
    <w:rsid w:val="50B82AC5"/>
    <w:rsid w:val="50D457E8"/>
    <w:rsid w:val="51027558"/>
    <w:rsid w:val="51255DA0"/>
    <w:rsid w:val="514566E6"/>
    <w:rsid w:val="517E000C"/>
    <w:rsid w:val="51F21D42"/>
    <w:rsid w:val="521E7B60"/>
    <w:rsid w:val="529B6283"/>
    <w:rsid w:val="53B44B0B"/>
    <w:rsid w:val="53DC50DF"/>
    <w:rsid w:val="54095EBA"/>
    <w:rsid w:val="54821AA4"/>
    <w:rsid w:val="551E02E1"/>
    <w:rsid w:val="55306B8D"/>
    <w:rsid w:val="55610682"/>
    <w:rsid w:val="557E4769"/>
    <w:rsid w:val="55CC1183"/>
    <w:rsid w:val="55E71DE2"/>
    <w:rsid w:val="56501DBB"/>
    <w:rsid w:val="56B756C4"/>
    <w:rsid w:val="57A3611E"/>
    <w:rsid w:val="580F7106"/>
    <w:rsid w:val="586A2A53"/>
    <w:rsid w:val="59B61CFB"/>
    <w:rsid w:val="5A36306F"/>
    <w:rsid w:val="5A6A34FF"/>
    <w:rsid w:val="5B5A153F"/>
    <w:rsid w:val="5B5D7BA1"/>
    <w:rsid w:val="5BB04C2C"/>
    <w:rsid w:val="5D08757F"/>
    <w:rsid w:val="5D1E4907"/>
    <w:rsid w:val="5E2418E2"/>
    <w:rsid w:val="5E3308A2"/>
    <w:rsid w:val="5E6F64A1"/>
    <w:rsid w:val="5EC26F49"/>
    <w:rsid w:val="5FF61782"/>
    <w:rsid w:val="5FF90DC7"/>
    <w:rsid w:val="60264B67"/>
    <w:rsid w:val="602D18A2"/>
    <w:rsid w:val="60A732CB"/>
    <w:rsid w:val="60EE7480"/>
    <w:rsid w:val="6131633F"/>
    <w:rsid w:val="617F354E"/>
    <w:rsid w:val="619C5EAE"/>
    <w:rsid w:val="622A0976"/>
    <w:rsid w:val="62C746D1"/>
    <w:rsid w:val="63803A39"/>
    <w:rsid w:val="64E63B26"/>
    <w:rsid w:val="653C392D"/>
    <w:rsid w:val="654362C3"/>
    <w:rsid w:val="66053C16"/>
    <w:rsid w:val="66BC7F97"/>
    <w:rsid w:val="66BE7A81"/>
    <w:rsid w:val="66FF0FD3"/>
    <w:rsid w:val="671C61EA"/>
    <w:rsid w:val="677D5FDA"/>
    <w:rsid w:val="680429A2"/>
    <w:rsid w:val="68176EBD"/>
    <w:rsid w:val="68476448"/>
    <w:rsid w:val="686B7D6C"/>
    <w:rsid w:val="687D3E81"/>
    <w:rsid w:val="68AA02F5"/>
    <w:rsid w:val="69B8584F"/>
    <w:rsid w:val="6A063B3C"/>
    <w:rsid w:val="6AE10DD5"/>
    <w:rsid w:val="6B3453A9"/>
    <w:rsid w:val="6B6D6B6B"/>
    <w:rsid w:val="6B931A72"/>
    <w:rsid w:val="6C0044C7"/>
    <w:rsid w:val="6C092392"/>
    <w:rsid w:val="6C7C1AC7"/>
    <w:rsid w:val="6C924135"/>
    <w:rsid w:val="6D5F3CC6"/>
    <w:rsid w:val="6E46205D"/>
    <w:rsid w:val="6E5D4666"/>
    <w:rsid w:val="6F4F0945"/>
    <w:rsid w:val="6F6F02E9"/>
    <w:rsid w:val="6F911E7E"/>
    <w:rsid w:val="6F9957DB"/>
    <w:rsid w:val="6FA64AAB"/>
    <w:rsid w:val="70A72179"/>
    <w:rsid w:val="70C44AD9"/>
    <w:rsid w:val="710E5A87"/>
    <w:rsid w:val="71DE14A3"/>
    <w:rsid w:val="72414F83"/>
    <w:rsid w:val="72B868C0"/>
    <w:rsid w:val="72DB435C"/>
    <w:rsid w:val="73271EE6"/>
    <w:rsid w:val="738F520D"/>
    <w:rsid w:val="73C95144"/>
    <w:rsid w:val="73E45068"/>
    <w:rsid w:val="75537C1F"/>
    <w:rsid w:val="757C5D9C"/>
    <w:rsid w:val="760D1070"/>
    <w:rsid w:val="766905FD"/>
    <w:rsid w:val="76FC17A3"/>
    <w:rsid w:val="77730C17"/>
    <w:rsid w:val="77BB3E94"/>
    <w:rsid w:val="77D2720E"/>
    <w:rsid w:val="782D11B6"/>
    <w:rsid w:val="784A5B3F"/>
    <w:rsid w:val="79A557F7"/>
    <w:rsid w:val="79D43F4C"/>
    <w:rsid w:val="7A1C7734"/>
    <w:rsid w:val="7AEF4D91"/>
    <w:rsid w:val="7B871525"/>
    <w:rsid w:val="7BAA04D3"/>
    <w:rsid w:val="7D845D1C"/>
    <w:rsid w:val="7E3C2153"/>
    <w:rsid w:val="7E934EBC"/>
    <w:rsid w:val="7EC4714C"/>
    <w:rsid w:val="7F637252"/>
    <w:rsid w:val="7FAB2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3" Type="http://schemas.openxmlformats.org/officeDocument/2006/relationships/fontTable" Target="fontTable.xml"/><Relationship Id="rId112" Type="http://schemas.openxmlformats.org/officeDocument/2006/relationships/customXml" Target="../customXml/item2.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234</Pages>
  <Words>190</Words>
  <Characters>232</Characters>
  <Lines>0</Lines>
  <Paragraphs>0</Paragraphs>
  <TotalTime>13</TotalTime>
  <ScaleCrop>false</ScaleCrop>
  <LinksUpToDate>false</LinksUpToDate>
  <CharactersWithSpaces>241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2026-09-27T05:22:48Z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6FF5D5E91D8E406D9F01BDEC6577D906_13</vt:lpwstr>
  </property>
</Properties>
</file>