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黑体"/>
          <w:b/>
          <w:sz w:val="36"/>
        </w:rPr>
        <w:t>零碳园区集控中心 项目需求评审说明</w:t>
      </w:r>
    </w:p>
    <w:p>
      <w:pPr>
        <w:spacing w:after="360"/>
        <w:jc w:val="center"/>
      </w:pPr>
      <w:r>
        <w:rPr>
          <w:rFonts w:ascii="Times New Roman" w:hAnsi="Times New Roman" w:eastAsia="楷体"/>
          <w:b w:val="0"/>
          <w:sz w:val="24"/>
        </w:rPr>
        <w:t>版本：V1.0    日期：2026年9月    编制：产品组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32"/>
        </w:rPr>
        <w:t>一、项目概述</w:t>
      </w:r>
    </w:p>
    <w:p>
      <w:pPr>
        <w:spacing w:before="220" w:after="100"/>
      </w:pPr>
      <w:r>
        <w:rPr>
          <w:rFonts w:ascii="Times New Roman" w:hAnsi="Times New Roman" w:eastAsia="黑体"/>
          <w:b/>
          <w:sz w:val="28"/>
        </w:rPr>
        <w:t>1.1 项目背景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项目为特变电工"零碳园区集控中心"平台建设，面向集团及下属各园区、制造单位，实现能源消耗、碳排放、绿电消纳、重点用能设备、工业微电网、项目运行等全链路数据的集中监测、分析、评估与报表输出，支撑零碳工厂申报和集团双碳目标管理。</w:t>
      </w:r>
    </w:p>
    <w:p>
      <w:pPr>
        <w:spacing w:before="220" w:after="100"/>
      </w:pPr>
      <w:r>
        <w:rPr>
          <w:rFonts w:ascii="Times New Roman" w:hAnsi="Times New Roman" w:eastAsia="黑体"/>
          <w:b/>
          <w:sz w:val="28"/>
        </w:rPr>
        <w:t>1.2 评审目的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次需求评审面向研发、测试、设计、业务相关方，目标是：对齐各页面功能逻辑、数据口径、模块联动、权限控制与异常场景，识别需求风险与待确认项，确认本版需求范围，为研发排期和测试用例设计提供依据。</w:t>
      </w:r>
    </w:p>
    <w:p>
      <w:pPr>
        <w:spacing w:before="220" w:after="100"/>
      </w:pPr>
      <w:r>
        <w:rPr>
          <w:rFonts w:ascii="Times New Roman" w:hAnsi="Times New Roman" w:eastAsia="黑体"/>
          <w:b/>
          <w:sz w:val="28"/>
        </w:rPr>
        <w:t>1.3 评审范围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本次评审覆盖平台七大功能域，共 28 个页面：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集控中心大屏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集中监管：指标管控、指标详情、用能在线监测、重点用能设备、工业微电网监测、能源碳排放监测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能耗能效分析：用能结构分析、能源成本分析、单位产品能耗、单位产值能耗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零碳项目评估：项目档案管理、实时监控、项目运行评估、零碳工厂自评估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统计报表：用能报表、成本报表、单耗报表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基础管理：数据录入、零碳工厂数据填报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系统管理：组织管理、用户管理、角色与权限、菜单与功能、电力碳排因子、能源活动碳排因子、折标煤系数库、费价模型</w:t>
      </w:r>
    </w:p>
    <w:p>
      <w:pPr>
        <w:spacing w:before="220" w:after="100"/>
      </w:pPr>
      <w:r>
        <w:rPr>
          <w:rFonts w:ascii="Times New Roman" w:hAnsi="Times New Roman" w:eastAsia="黑体"/>
          <w:b/>
          <w:sz w:val="28"/>
        </w:rPr>
        <w:t>1.4 评审规则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先听产品讲完流程与页面逻辑，再集中提问；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优先讨论：业务逻辑、数据来源、计算口径、异常场景、接口依赖、权限控制；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UI 样式、文案微调、配色字体放到最后统一收集；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记录风险点与待确认项，不现场拍板重大变更，大需求会后评估工作量。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32"/>
        </w:rPr>
        <w:t>二、系统功能架构总览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系统按"业务监测—分析评估—报表输出—基础管理—系统配置"五层组织，菜单结构如下：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vAlign w:val="center"/>
            <w:shd w:val="clear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一级菜单</w:t>
            </w:r>
          </w:p>
        </w:tc>
        <w:tc>
          <w:tcPr>
            <w:tcW w:type="dxa" w:w="2551"/>
            <w:vAlign w:val="center"/>
            <w:shd w:val="clear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二级页面</w:t>
            </w:r>
          </w:p>
        </w:tc>
        <w:tc>
          <w:tcPr>
            <w:tcW w:type="dxa" w:w="4819"/>
            <w:vAlign w:val="center"/>
            <w:shd w:val="clear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核心定位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集控中心大屏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运行大屏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园区能碳数据可视化总览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集中监管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指标管控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集团级零碳核心指标总览与桑基图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集中监管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用能在线监测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各能源品种实时监测与峰平谷分析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集中监管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重点用能设备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重点设备台账与运行监测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集中监管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工业微电网监测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源网荷储平衡与绿电交易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集中监管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能源碳排放监测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净排放、初始排放、抵消结构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能耗能效分析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用能结构分析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能源品种结构与单位对比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能耗能效分析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能源成本分析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分能源品种成本与玫瑰图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能耗能效分析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单位产品能耗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分产品单耗台账与趋势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能耗能效分析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单位产值能耗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分单位产值能耗与同比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零碳项目评估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项目档案管理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零碳项目台账与新增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零碳项目评估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实时监控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光伏/储能/热泵/空调实时视图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零碳项目评估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项目运行评估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项目同比、设计对比、排名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零碳项目评估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零碳工厂自评估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五维指标自评估与佐证归档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统计报表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用能报表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分企业分单位用能实物量报表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统计报表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成本报表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分企业分单位能源成本报表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统计报表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单耗报表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分企业分单位单耗指标报表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基础管理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数据录入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五类基础数据录入工作台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基础管理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零碳工厂数据填报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自评估指标企业填报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系统管理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权限管控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组织/用户/角色/菜单功能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系统管理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能碳基础因子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电力碳排因子/能源活动碳排因子/折标煤系数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系统管理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费价模型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分时电价/两部制/力调/绿电溢价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 w:eastAsia="黑体"/>
          <w:b/>
          <w:sz w:val="32"/>
        </w:rPr>
        <w:t>三、各模块功能详细说明</w:t>
      </w:r>
    </w:p>
    <w:p>
      <w:pPr>
        <w:spacing w:before="220" w:after="100"/>
      </w:pPr>
      <w:r>
        <w:rPr>
          <w:rFonts w:ascii="Times New Roman" w:hAnsi="Times New Roman" w:eastAsia="黑体"/>
          <w:b/>
          <w:sz w:val="28"/>
        </w:rPr>
        <w:t>3.1 集中监管</w:t>
      </w:r>
    </w:p>
    <w:p>
      <w:pPr>
        <w:spacing w:before="180" w:after="80"/>
      </w:pPr>
      <w:r>
        <w:rPr>
          <w:rFonts w:ascii="Times New Roman" w:hAnsi="Times New Roman" w:eastAsia="黑体"/>
          <w:b/>
          <w:sz w:val="24"/>
        </w:rPr>
        <w:t>3.1.1 指标管控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页面定位：面向集团/园区管理员，按组织维度查看各单位能耗、碳排放等零碳核心指标，支持时间筛选、组织筛选、指标详情跳转、数据导出。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模块划分：左侧企业组织拓扑树、右上角全局时间与导出控件、指标卡片区域（10张核心指标卡）、数据变化桑基图区域。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核心逻辑：默认选中根节点加载集团汇总；切换组织或时间，所有卡片与桑基图同步刷新；卡片与桑基图同源数据。指标值由底层能耗数据按零碳公式计算，同比与上一同期对比。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异常场景：选中组织无数据时卡片显示空值或暂无数据；组织搜索无匹配提示；指标缺失时同比不展示。</w:t>
      </w:r>
    </w:p>
    <w:p>
      <w:pPr>
        <w:spacing w:before="180" w:after="80"/>
      </w:pPr>
      <w:r>
        <w:rPr>
          <w:rFonts w:ascii="Times New Roman" w:hAnsi="Times New Roman" w:eastAsia="黑体"/>
          <w:b/>
          <w:sz w:val="24"/>
        </w:rPr>
        <w:t>3.1.2 指标详情页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页面定位：从指标管控卡片"详情"进入，展示单个指标的定义、计算公式、因子、趋势曲线与明细台账。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核心逻辑：展示指标口径、计算公式、采用因子、历史趋势、逐期明细；数据随组织与时间联动。</w:t>
      </w:r>
    </w:p>
    <w:p>
      <w:pPr>
        <w:spacing w:before="180" w:after="80"/>
      </w:pPr>
      <w:r>
        <w:rPr>
          <w:rFonts w:ascii="Times New Roman" w:hAnsi="Times New Roman" w:eastAsia="黑体"/>
          <w:b/>
          <w:sz w:val="24"/>
        </w:rPr>
        <w:t>3.1.3 用能在线监测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页面定位：按能源品种实时监测当日用能，含8个能源品种指标卡、24小时曲线、峰平谷分析与逐时台账。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核心逻辑：8类能源（电、天然气、蒸汽、水等）当日累计；24小时分时曲线；峰平谷电量按全局时段规则拆分；逐时台账与曲线同源。</w:t>
      </w:r>
    </w:p>
    <w:p>
      <w:pPr>
        <w:spacing w:before="180" w:after="80"/>
      </w:pPr>
      <w:r>
        <w:rPr>
          <w:rFonts w:ascii="Times New Roman" w:hAnsi="Times New Roman" w:eastAsia="黑体"/>
          <w:b/>
          <w:sz w:val="24"/>
        </w:rPr>
        <w:t>3.1.4 重点用能设备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页面定位：按设备树查看重点用能设备的电力/蒸汽指标、功率曲线、峰平谷与蒸汽流量走势。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核心逻辑：设备树单选，切换设备刷新指标卡与曲线；蒸汽累计用量面积图与流量走势联动。</w:t>
      </w:r>
    </w:p>
    <w:p>
      <w:pPr>
        <w:spacing w:before="180" w:after="80"/>
      </w:pPr>
      <w:r>
        <w:rPr>
          <w:rFonts w:ascii="Times New Roman" w:hAnsi="Times New Roman" w:eastAsia="黑体"/>
          <w:b/>
          <w:sz w:val="24"/>
        </w:rPr>
        <w:t>3.1.5 工业微电网监测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页面定位：监测源网荷储平衡，含功率视图、电量视图、绿电视图三视图。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核心逻辑：功率视图展示源网荷储实时平衡曲线与功率台账；电量视图展示4个电量指标、电量趋势与台账；绿电视图展示绿电收益、企业对比与绿电绿证交易台账。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待确认：储能充放电正负方向需全系统统一（功率视图与实时监控视图方向需一致）。</w:t>
      </w:r>
    </w:p>
    <w:p>
      <w:pPr>
        <w:spacing w:before="180" w:after="80"/>
      </w:pPr>
      <w:r>
        <w:rPr>
          <w:rFonts w:ascii="Times New Roman" w:hAnsi="Times New Roman" w:eastAsia="黑体"/>
          <w:b/>
          <w:sz w:val="24"/>
        </w:rPr>
        <w:t>3.1.6 能源碳排放监测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页面定位：展示净碳排放、初始排放、碳排放抵消三卡，含排放结构饼图、各单位明细表与中长期趋势。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核心逻辑：净排放 = 初始排放 - 抵消量；初始排放来自各能源消耗乘碳排因子；抵消含绿电、绿证、CCUS等。</w:t>
      </w:r>
    </w:p>
    <w:p>
      <w:pPr>
        <w:spacing w:before="220" w:after="100"/>
      </w:pPr>
      <w:r>
        <w:rPr>
          <w:rFonts w:ascii="Times New Roman" w:hAnsi="Times New Roman" w:eastAsia="黑体"/>
          <w:b/>
          <w:sz w:val="28"/>
        </w:rPr>
        <w:t>3.2 能耗能效分析</w:t>
      </w:r>
    </w:p>
    <w:p>
      <w:pPr>
        <w:spacing w:before="180" w:after="80"/>
      </w:pPr>
      <w:r>
        <w:rPr>
          <w:rFonts w:ascii="Times New Roman" w:hAnsi="Times New Roman" w:eastAsia="黑体"/>
          <w:b/>
          <w:sz w:val="24"/>
        </w:rPr>
        <w:t>3.2.1 用能结构分析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页面定位：展示各能源品种消耗结构（饼图、柱状图）、分单位用能表与历史占比趋势。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核心逻辑：8类能源占比饼图；分单位用能明细；历史占比趋势。数据与用能在线监测同源。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待确认：饼图总量与卡片总量需核对一致；"占全集团比重"列需确认是占比还是同比。</w:t>
      </w:r>
    </w:p>
    <w:p>
      <w:pPr>
        <w:spacing w:before="180" w:after="80"/>
      </w:pPr>
      <w:r>
        <w:rPr>
          <w:rFonts w:ascii="Times New Roman" w:hAnsi="Times New Roman" w:eastAsia="黑体"/>
          <w:b/>
          <w:sz w:val="24"/>
        </w:rPr>
        <w:t>3.2.2 能源成本分析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页面定位：分能源品种展示成本金额、玫瑰图、柱状图、分单位成本表与成本占比趋势。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核心逻辑：7个成本指标卡；分介质玫瑰图与进度条；成本占比趋势；数据来自实际账单与费价模型。</w:t>
      </w:r>
    </w:p>
    <w:p>
      <w:pPr>
        <w:spacing w:before="180" w:after="80"/>
      </w:pPr>
      <w:r>
        <w:rPr>
          <w:rFonts w:ascii="Times New Roman" w:hAnsi="Times New Roman" w:eastAsia="黑体"/>
          <w:b/>
          <w:sz w:val="24"/>
        </w:rPr>
        <w:t>3.2.3 单位产品能耗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页面定位：按产品分类（变压器、线缆等11类）查看单位产品单耗，含指标卡、趋势与产品分类台账。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核心逻辑：单耗 = 产品综合能耗 / 产品产量；分型号单耗台账；数据来自数据录入页产量与能耗。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待确认：单耗数值与计算值需核对（如2.294与0.23差约10倍）。</w:t>
      </w:r>
    </w:p>
    <w:p>
      <w:pPr>
        <w:spacing w:before="180" w:after="80"/>
      </w:pPr>
      <w:r>
        <w:rPr>
          <w:rFonts w:ascii="Times New Roman" w:hAnsi="Times New Roman" w:eastAsia="黑体"/>
          <w:b/>
          <w:sz w:val="24"/>
        </w:rPr>
        <w:t>3.2.4 单位产值能耗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页面定位：分单位展示单位产值能耗指标、趋势与各单位对比表。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核心逻辑：单位产值能耗 = 综合能耗 / 工业总产值；产值来自财务数据。</w:t>
      </w:r>
    </w:p>
    <w:p>
      <w:pPr>
        <w:spacing w:before="220" w:after="100"/>
      </w:pPr>
      <w:r>
        <w:rPr>
          <w:rFonts w:ascii="Times New Roman" w:hAnsi="Times New Roman" w:eastAsia="黑体"/>
          <w:b/>
          <w:sz w:val="28"/>
        </w:rPr>
        <w:t>3.3 零碳项目评估</w:t>
      </w:r>
    </w:p>
    <w:p>
      <w:pPr>
        <w:spacing w:before="180" w:after="80"/>
      </w:pPr>
      <w:r>
        <w:rPr>
          <w:rFonts w:ascii="Times New Roman" w:hAnsi="Times New Roman" w:eastAsia="黑体"/>
          <w:b/>
          <w:sz w:val="24"/>
        </w:rPr>
        <w:t>3.3.1 项目档案管理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页面定位：零碳项目台账，支持新增项目（三段式表单+附件上传）、编辑、删除。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核心逻辑：项目台账表；新增项目弹窗含基本信息、技术参数、附件；项目状态管理。</w:t>
      </w:r>
    </w:p>
    <w:p>
      <w:pPr>
        <w:spacing w:before="180" w:after="80"/>
      </w:pPr>
      <w:r>
        <w:rPr>
          <w:rFonts w:ascii="Times New Roman" w:hAnsi="Times New Roman" w:eastAsia="黑体"/>
          <w:b/>
          <w:sz w:val="24"/>
        </w:rPr>
        <w:t>3.3.2 实时监控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页面定位：光伏、储能、热泵、空调四类项目实时监控视图切换。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核心逻辑：光伏视图6指标+双趋势+项目台账；储能视图8指标+SOC趋势；热泵视图10指标+COP趋势；空调视图10指标+COP趋势。</w:t>
      </w:r>
    </w:p>
    <w:p>
      <w:pPr>
        <w:spacing w:before="180" w:after="80"/>
      </w:pPr>
      <w:r>
        <w:rPr>
          <w:rFonts w:ascii="Times New Roman" w:hAnsi="Times New Roman" w:eastAsia="黑体"/>
          <w:b/>
          <w:sz w:val="24"/>
        </w:rPr>
        <w:t>3.3.3 项目运行评估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页面定位：项目同比对比、与设计值对比、排名、折算面积。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核心逻辑：光伏/热泵/空调三视图；历史对比；项目排行榜；折算面积指标。</w:t>
      </w:r>
    </w:p>
    <w:p>
      <w:pPr>
        <w:spacing w:before="180" w:after="80"/>
      </w:pPr>
      <w:r>
        <w:rPr>
          <w:rFonts w:ascii="Times New Roman" w:hAnsi="Times New Roman" w:eastAsia="黑体"/>
          <w:b/>
          <w:sz w:val="24"/>
        </w:rPr>
        <w:t>3.3.4 零碳工厂自评估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页面定位：按源头减碳、过程脱碳、协同降碳、智能空碳、碳抵消与信息披露五维指标，对各工厂逐项评估，自动指标系统取数，申报指标企业上传证明材料。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核心逻辑：四个汇总卡（覆盖进度、绿电消纳均值、自动采集率、文件齐备度）；各单位达标分布；自评估明细表；详情弹窗展示五维指标与证明材料；数据填报工作台支持手填与附件上传。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待确认：五维指标完整清单与评分规则；系统自动与企业申报指标划分；锁定指标（如CCUS）判定规则。</w:t>
      </w:r>
    </w:p>
    <w:p>
      <w:pPr>
        <w:spacing w:before="220" w:after="100"/>
      </w:pPr>
      <w:r>
        <w:rPr>
          <w:rFonts w:ascii="Times New Roman" w:hAnsi="Times New Roman" w:eastAsia="黑体"/>
          <w:b/>
          <w:sz w:val="28"/>
        </w:rPr>
        <w:t>3.4 统计报表</w:t>
      </w:r>
    </w:p>
    <w:p>
      <w:pPr>
        <w:spacing w:before="180" w:after="80"/>
      </w:pPr>
      <w:r>
        <w:rPr>
          <w:rFonts w:ascii="Times New Roman" w:hAnsi="Times New Roman" w:eastAsia="黑体"/>
          <w:b/>
          <w:sz w:val="24"/>
        </w:rPr>
        <w:t>3.4.1 用能报表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页面定位：分企业分单位按时间区间列示各能源实物量、综合能耗与同环比。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核心逻辑：顶部时间区间（月/季/年+起止累计）；三级筛选（企业级联单位、能源介质）；表格按企业分组。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勾稽：总用电 = 市网 + 直供绿电；绿电占比 = 直供/总用电；综合能耗 = 各介质折标之和。</w:t>
      </w:r>
    </w:p>
    <w:p>
      <w:pPr>
        <w:spacing w:before="180" w:after="80"/>
      </w:pPr>
      <w:r>
        <w:rPr>
          <w:rFonts w:ascii="Times New Roman" w:hAnsi="Times New Roman" w:eastAsia="黑体"/>
          <w:b/>
          <w:sz w:val="24"/>
        </w:rPr>
        <w:t>3.4.2 成本报表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页面定位：分企业分单位列示尖峰平谷电费、其他能源成本、抵减项、净成本与综合电价。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核心逻辑：电费按尖峰平谷四段拆分；自用抵扣与上网收益为负（抵减项）；净能源成本 = 电费+其他能源成本 - 抵减项；综合电价 = 净成本/总用电量。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待确认：企业分组是否有小计行；尖峰平谷时段与用能在线监测页一致。</w:t>
      </w:r>
    </w:p>
    <w:p>
      <w:pPr>
        <w:spacing w:before="180" w:after="80"/>
      </w:pPr>
      <w:r>
        <w:rPr>
          <w:rFonts w:ascii="Times New Roman" w:hAnsi="Times New Roman" w:eastAsia="黑体"/>
          <w:b/>
          <w:sz w:val="24"/>
        </w:rPr>
        <w:t>3.4.3 单耗报表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页面定位：分企业分单位列示10项零碳单耗指标，对应指标管控看板。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核心逻辑：多列单耗指标，列名带口径说明；按企业分组。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待确认：单位能耗碳排放 = 总碳排/综合能耗，截图数值与计算值需核对一致。</w:t>
      </w:r>
    </w:p>
    <w:p>
      <w:pPr>
        <w:spacing w:before="220" w:after="100"/>
      </w:pPr>
      <w:r>
        <w:rPr>
          <w:rFonts w:ascii="Times New Roman" w:hAnsi="Times New Roman" w:eastAsia="黑体"/>
          <w:b/>
          <w:sz w:val="28"/>
        </w:rPr>
        <w:t>3.5 基础管理</w:t>
      </w:r>
    </w:p>
    <w:p>
      <w:pPr>
        <w:spacing w:before="180" w:after="80"/>
      </w:pPr>
      <w:r>
        <w:rPr>
          <w:rFonts w:ascii="Times New Roman" w:hAnsi="Times New Roman" w:eastAsia="黑体"/>
          <w:b/>
          <w:sz w:val="24"/>
        </w:rPr>
        <w:t>3.5.1 数据录入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页面定位：全系统数据入口，五类录入Tab：产品产量、能源消耗、节能装备、园区照片、园区大事件。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核心逻辑：每类录入台账支持手填、导入、对照上月基准、标注数据来源；右上角暂存草稿/确认提交。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数据流向：产品产量→单位产品能耗；能源消耗→用能监测/成本报表/碳排监测；节能装备→自评估指标#9；照片与大事件→大屏与自评估佐证。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数据来源分两类：系统直连（MES/逆变器，只读）与手填自填（对照上月基准，可编辑）。</w:t>
      </w:r>
    </w:p>
    <w:p>
      <w:pPr>
        <w:spacing w:before="180" w:after="80"/>
      </w:pPr>
      <w:r>
        <w:rPr>
          <w:rFonts w:ascii="Times New Roman" w:hAnsi="Times New Roman" w:eastAsia="黑体"/>
          <w:b/>
          <w:sz w:val="24"/>
        </w:rPr>
        <w:t>3.5.2 零碳工厂数据填报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页面定位：企业填报自评估申报指标、上传证明材料的工作台。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核心逻辑：与自评估报告同一套指标；系统自动指标只读；企业申报指标可编辑可传附件；锁定指标置灰。</w:t>
      </w:r>
    </w:p>
    <w:p>
      <w:pPr>
        <w:spacing w:before="220" w:after="100"/>
      </w:pPr>
      <w:r>
        <w:rPr>
          <w:rFonts w:ascii="Times New Roman" w:hAnsi="Times New Roman" w:eastAsia="黑体"/>
          <w:b/>
          <w:sz w:val="28"/>
        </w:rPr>
        <w:t>3.6 系统管理</w:t>
      </w:r>
    </w:p>
    <w:p>
      <w:pPr>
        <w:spacing w:before="180" w:after="80"/>
      </w:pPr>
      <w:r>
        <w:rPr>
          <w:rFonts w:ascii="Times New Roman" w:hAnsi="Times New Roman" w:eastAsia="黑体"/>
          <w:b/>
          <w:sz w:val="24"/>
        </w:rPr>
        <w:t>3.6.1 权限管控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组织管理：维护集团组织机构树，是所有业务页左侧组织树的主数据源头；机构层级分集团/二级单位/下级单位；有下级或有业务数据的机构不可直接删除。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用户管理：维护登录账号，挂角色、指定所属机构与数据范围；手机号脱敏；停用/启用、重置密码；不能停用自己或最后一个集团管理员。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角色与权限：定义角色（集团管理员/园区管理员/经营单位/节能专员/审计员），按模块勾选操作权限；内置角色不可删；功能权限与数据范围分离。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菜单与功能：维护两大系统（零碳园区集控中心、产品碳足迹归集中心）的菜单与按钮级功能点；被角色引用的不可删除。</w:t>
      </w:r>
    </w:p>
    <w:p>
      <w:pPr>
        <w:spacing w:before="180" w:after="80"/>
      </w:pPr>
      <w:r>
        <w:rPr>
          <w:rFonts w:ascii="Times New Roman" w:hAnsi="Times New Roman" w:eastAsia="黑体"/>
          <w:b/>
          <w:sz w:val="24"/>
        </w:rPr>
        <w:t>3.6.2 能碳基础因子管理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电力碳排因子：按区域电网×电力来源维护电力排放因子，单位kgCO2e/kWh，带版本管理；碳排监测页按用电量乘因子算碳排。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能源活动碳排因子：维护天然气、原煤、柴油、蒸汽、制冷剂、LPG等非电能源碳排因子；单位随能源（m³/kg/MJ）；蒸汽需先t→MJ换算。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折标煤系数库：按GB/T 2589-2020维护各能源折标系数（电力0.1229 kgce/kWh等）；综合能耗 = Σ(消耗量×系数)/1000。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版本管理：改值自动升版，历史数据按当时版本固化，不随新因子回改。</w:t>
      </w:r>
    </w:p>
    <w:p>
      <w:pPr>
        <w:spacing w:before="180" w:after="80"/>
      </w:pPr>
      <w:r>
        <w:rPr>
          <w:rFonts w:ascii="Times New Roman" w:hAnsi="Times New Roman" w:eastAsia="黑体"/>
          <w:b/>
          <w:sz w:val="24"/>
        </w:rPr>
        <w:t>3.6.3 费价模型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页面定位：维护能源费价规则，是成本计算的单价来源。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核心逻辑：分时五段电价（尖峰/高峰/平/谷/深谷），季节口径分夏季尖峰与秋冬常规；两部制基本电费（容量32元/kVA·月 vs 需量48元/kW·月），系统按负荷率智能推荐；功率因数考核基准0.90；绿电溢价0.042元/kWh；方案版本管理与全集团下发。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32"/>
        </w:rPr>
        <w:t>四、全局数据口径与勾稽关系</w:t>
      </w:r>
    </w:p>
    <w:p>
      <w:pPr>
        <w:spacing w:before="220" w:after="100"/>
      </w:pPr>
      <w:r>
        <w:rPr>
          <w:rFonts w:ascii="Times New Roman" w:hAnsi="Times New Roman" w:eastAsia="黑体"/>
          <w:b/>
          <w:sz w:val="28"/>
        </w:rPr>
        <w:t>4.1 数据勾稽硬线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vAlign w:val="center"/>
            <w:shd w:val="clear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4252"/>
            <w:vAlign w:val="center"/>
            <w:shd w:val="clear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勾稽关系</w:t>
            </w:r>
          </w:p>
        </w:tc>
        <w:tc>
          <w:tcPr>
            <w:tcW w:type="dxa" w:w="4252"/>
            <w:vAlign w:val="center"/>
            <w:shd w:val="clear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总用电 = 市网 + 直供绿电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各用能页与用能报表通用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绿电占比 = 直供绿电 / 总用电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净排放 = 初始排放 - 抵消量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碳排监测核心公式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综合能耗 = Σ(各能源消耗量 × 折标系数) / 1000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折标煤系数GB/T 2589-2020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碳排放量 = 能源消耗量 × 对应碳排因子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电力按区域电网因子，其他按能源活动因子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净能源成本 = 尖峰平谷电费 + 其他能源成本 - 自用抵扣 - 上网收益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成本报表核心公式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综合电价 = 净能源成本 / 总用电量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与用能报表总用电量同源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单位产值能耗 = 综合能耗 / 工业总产值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产值来自财务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单位产品单耗 = 产品能耗 / 产品产量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数据来自数据录入页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单位能耗碳排放 = 总碳排放量 / 综合能耗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截图数值需核对</w:t>
            </w:r>
          </w:p>
        </w:tc>
      </w:tr>
    </w:tbl>
    <w:p/>
    <w:p>
      <w:pPr>
        <w:spacing w:before="220" w:after="100"/>
      </w:pPr>
      <w:r>
        <w:rPr>
          <w:rFonts w:ascii="Times New Roman" w:hAnsi="Times New Roman" w:eastAsia="黑体"/>
          <w:b/>
          <w:sz w:val="28"/>
        </w:rPr>
        <w:t>4.2 全局口径约定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折标系数：电力当量值0.1229 kgce/kWh，天然气1.2143 kgce/m³，依GB/T 2589-2020；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峰平谷时段：全系统统一，用能在线监测、成本报表、费价模型三处一致；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储能充放电正负方向：微电网页与实时监控页需统一；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区域电网排放因子：辽宁0.654、湖南0.5988、新疆0.6127、广东0.5271、北京0.5703等，按因子库版本取数；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绿证：1张GEC = 1000 kWh；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历史数据固化：因子或费价变更后，历史数据按当时版本计算，不回改。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32"/>
        </w:rPr>
        <w:t>五、待确认事项与风险清单</w:t>
      </w:r>
    </w:p>
    <w:p>
      <w:pPr>
        <w:spacing w:before="220" w:after="100"/>
      </w:pPr>
      <w:r>
        <w:rPr>
          <w:rFonts w:ascii="Times New Roman" w:hAnsi="Times New Roman" w:eastAsia="黑体"/>
          <w:b/>
          <w:sz w:val="28"/>
        </w:rPr>
        <w:t>5.1 跨页数据一致性待确认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vAlign w:val="center"/>
            <w:shd w:val="clear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5386"/>
            <w:vAlign w:val="center"/>
            <w:shd w:val="clear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待确认项</w:t>
            </w:r>
          </w:p>
        </w:tc>
        <w:tc>
          <w:tcPr>
            <w:tcW w:type="dxa" w:w="3118"/>
            <w:vAlign w:val="center"/>
            <w:shd w:val="clear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涉及页面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用能结构页饼图总量与卡片总量不一致，需核对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用能结构分析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"占全集团比重"列实际为同比，列名需修正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用能结构分析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单位产品能耗截图值2.294与计算值0.23差约10倍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单位产品能耗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单耗报表单位能耗碳排放2.294需核对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单耗报表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储能充放电正负方向跨页统一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微电网/实时监控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蒸汽t→MJ换算系数需定死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能源活动碳排因子/折标煤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绿电因子取0还是核证值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电力碳排因子/碳排监测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企业分组是否有小计行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三张报表</w:t>
            </w:r>
          </w:p>
        </w:tc>
      </w:tr>
    </w:tbl>
    <w:p/>
    <w:p>
      <w:pPr>
        <w:spacing w:before="220" w:after="100"/>
      </w:pPr>
      <w:r>
        <w:rPr>
          <w:rFonts w:ascii="Times New Roman" w:hAnsi="Times New Roman" w:eastAsia="黑体"/>
          <w:b/>
          <w:sz w:val="28"/>
        </w:rPr>
        <w:t>5.2 功能规则待确认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vAlign w:val="center"/>
            <w:shd w:val="clear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4252"/>
            <w:vAlign w:val="center"/>
            <w:shd w:val="clear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待确认项</w:t>
            </w:r>
          </w:p>
        </w:tc>
        <w:tc>
          <w:tcPr>
            <w:tcW w:type="dxa" w:w="4252"/>
            <w:vAlign w:val="center"/>
            <w:shd w:val="clear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零碳工厂自评估五维指标完整清单与评分规则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系统自动vs企业申报划分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锁定指标（CCUS等）判定规则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未投运不适用的处理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数据录入暂存与确认提交的状态流转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是否需要审核流程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数据来源直连vs手填的只读/可编辑规则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MES/ERP/逆变器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版本管理规则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改值升版、历史是否可回滚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两部制智能推荐算法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按负荷率推荐容量vs需量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新增/编辑表单字段与校验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各系统管理页弹窗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附件格式与大小限制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自评估佐证、项目档案</w:t>
            </w:r>
          </w:p>
        </w:tc>
      </w:tr>
    </w:tbl>
    <w:p/>
    <w:p>
      <w:pPr>
        <w:spacing w:before="220" w:after="100"/>
      </w:pPr>
      <w:r>
        <w:rPr>
          <w:rFonts w:ascii="Times New Roman" w:hAnsi="Times New Roman" w:eastAsia="黑体"/>
          <w:b/>
          <w:sz w:val="28"/>
        </w:rPr>
        <w:t>5.3 风险提示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数据量风险：多单位多区间报表导出性能需评估，建议分页或异步导出；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接口依赖风险：MES直连、ERP对接、财务产值数据、实际账单等外部依赖需明确接口方与交付时间；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口径风险：折标系数、碳排因子、峰平谷时段、费价政策均可能随时间变更，版本管理必须落地；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权限风险：组织树为数据权限源头，组织调整后业务页缓存同步机制需研发确认。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32"/>
        </w:rPr>
        <w:t>六、评审议程与控场规则</w:t>
      </w:r>
    </w:p>
    <w:p>
      <w:pPr>
        <w:spacing w:before="220" w:after="100"/>
      </w:pPr>
      <w:r>
        <w:rPr>
          <w:rFonts w:ascii="Times New Roman" w:hAnsi="Times New Roman" w:eastAsia="黑体"/>
          <w:b/>
          <w:sz w:val="28"/>
        </w:rPr>
        <w:t>6.1 建议议程（约90分钟）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vAlign w:val="center"/>
            <w:shd w:val="clear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环节</w:t>
            </w:r>
          </w:p>
        </w:tc>
        <w:tc>
          <w:tcPr>
            <w:tcW w:type="dxa" w:w="1134"/>
            <w:vAlign w:val="center"/>
            <w:shd w:val="clear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时长</w:t>
            </w:r>
          </w:p>
        </w:tc>
        <w:tc>
          <w:tcPr>
            <w:tcW w:type="dxa" w:w="5669"/>
            <w:vAlign w:val="center"/>
            <w:shd w:val="clear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开场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5分钟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项目背景、目标、范围、评审规则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集中监管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20分钟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指标管控、用能监测、微电网、碳排监测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能耗能效分析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15分钟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用能结构、成本分析、单位产品/产值能耗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零碳项目评估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15分钟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项目档案、实时监控、运行评估、自评估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报表与基础管理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15分钟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三张报表、数据录入、数据填报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系统管理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10分钟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权限管控、因子库、费价模型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开放讨论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10分钟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按优先级讨论待确认项与风险</w:t>
            </w:r>
          </w:p>
        </w:tc>
      </w:tr>
    </w:tbl>
    <w:p/>
    <w:p>
      <w:pPr>
        <w:spacing w:before="220" w:after="100"/>
      </w:pPr>
      <w:r>
        <w:rPr>
          <w:rFonts w:ascii="Times New Roman" w:hAnsi="Times New Roman" w:eastAsia="黑体"/>
          <w:b/>
          <w:sz w:val="28"/>
        </w:rPr>
        <w:t>6.2 提问优先级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第一优先：业务逻辑是否合理、模块联动是否正确、数据计算口径；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第二优先：数据来源与接口依赖、权限控制、异常场景；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第三优先：UI样式、文案微调、配色字体（最后统一收集）。</w:t>
      </w:r>
    </w:p>
    <w:p>
      <w:pPr>
        <w:spacing w:before="220" w:after="100"/>
      </w:pPr>
      <w:r>
        <w:rPr>
          <w:rFonts w:ascii="Times New Roman" w:hAnsi="Times New Roman" w:eastAsia="黑体"/>
          <w:b/>
          <w:sz w:val="28"/>
        </w:rPr>
        <w:t>6.3 跑偏场景控场话术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vAlign w:val="center"/>
            <w:shd w:val="clear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现场场景</w:t>
            </w:r>
          </w:p>
        </w:tc>
        <w:tc>
          <w:tcPr>
            <w:tcW w:type="dxa" w:w="6236"/>
            <w:vAlign w:val="center"/>
            <w:shd w:val="clear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控场回复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研发讨论按钮样式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样式问题记下，最后讨论；先确认功能逻辑和触发条件。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业务临时提新增模块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不在本次范围，记录会后评估工作量。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发散讨论其他业务场景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属于另外模块，本次不展开，会后单独沟通。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讨论详情弹窗内部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弹窗本次不评审，后续单独过。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讨论新增预警/审批流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属于新需求，记录待评估列表。</w:t>
            </w:r>
          </w:p>
        </w:tc>
      </w:tr>
    </w:tbl>
    <w:p/>
    <w:p>
      <w:pPr>
        <w:spacing w:before="220" w:after="100"/>
      </w:pPr>
      <w:r>
        <w:rPr>
          <w:rFonts w:ascii="Times New Roman" w:hAnsi="Times New Roman" w:eastAsia="黑体"/>
          <w:b/>
          <w:sz w:val="28"/>
        </w:rPr>
        <w:t>6.4 收尾确认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汇总本次风险点、待确认项、待补充文档；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确认当前页面与模块需求是否达成初步共识；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明确原型/需求文档更新时间与下一轮沟通节点。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