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right"/>
      </w:pPr>
      <w:r>
        <w:rPr>
          <w:rFonts w:ascii="微软雅黑" w:hAnsi="微软雅黑"/>
          <w:b/>
          <w:color w:val="DC2626"/>
          <w:sz w:val="20"/>
        </w:rPr>
        <w:t>密级：内部绝密 (L4 - Top Secret)</w:t>
      </w:r>
    </w:p>
    <w:p>
      <w:pPr>
        <w:spacing w:before="700" w:after="160"/>
        <w:jc w:val="center"/>
      </w:pPr>
      <w:r>
        <w:rPr>
          <w:rFonts w:ascii="微软雅黑" w:hAnsi="微软雅黑"/>
          <w:b/>
          <w:color w:val="1E3A8A"/>
          <w:sz w:val="36"/>
        </w:rPr>
        <w:t>特变电工股份有限公司</w:t>
        <w:br/>
      </w:r>
      <w:r>
        <w:rPr>
          <w:rFonts w:ascii="微软雅黑" w:hAnsi="微软雅黑"/>
          <w:b/>
          <w:color w:val="1E3A8A"/>
          <w:sz w:val="50"/>
        </w:rPr>
        <w:t>能碳数字化“双中心”集成平台</w:t>
        <w:br/>
        <w:t>全景产品需求规格说明书 (PRD)</w:t>
      </w:r>
    </w:p>
    <w:p>
      <w:pPr>
        <w:spacing w:after="900"/>
        <w:jc w:val="center"/>
      </w:pPr>
      <w:r>
        <w:rPr>
          <w:rFonts w:ascii="Calibri" w:hAnsi="Calibri"/>
          <w:color w:val="0284C7"/>
          <w:sz w:val="23"/>
        </w:rPr>
        <w:t>零碳园区集控中心 + 产品碳足迹集采中心 · 全生命周期研发、测试与工程交付基线</w:t>
        <w:br/>
        <w:t>Product Requirements Specification Document · Release v1.1.0</w:t>
      </w:r>
    </w:p>
    <w:tbl>
      <w:tblPr>
        <w:tblW w:type="auto" w:w="0"/>
        <w:jc w:val="center"/>
        <w:tblLayout w:type="fixed"/>
        <w:tblLook w:firstColumn="1" w:firstRow="1" w:lastColumn="0" w:lastRow="0" w:noHBand="0" w:noVBand="1" w:val="04A0"/>
      </w:tblPr>
      <w:tblGrid>
        <w:gridCol w:w="4896"/>
        <w:gridCol w:w="4896"/>
      </w:tblGrid>
      <w:tr>
        <w:tc>
          <w:tcPr>
            <w:tcW w:type="dxa" w:w="3168"/>
            <w:shd w:fill="F1F5F9"/>
            <w:tcMar>
              <w:top w:w="80" w:type="dxa"/>
              <w:bottom w:w="80" w:type="dxa"/>
              <w:left w:w="120" w:type="dxa"/>
              <w:right w:w="12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9"/>
              </w:rPr>
              <w:t>文档受控编号</w:t>
            </w:r>
          </w:p>
        </w:tc>
        <w:tc>
          <w:tcPr>
            <w:tcW w:type="dxa" w:w="6480"/>
            <w:shd w:fill="FFFFFF"/>
            <w:tcMar>
              <w:top w:w="80" w:type="dxa"/>
              <w:bottom w:w="80" w:type="dxa"/>
              <w:left w:w="120" w:type="dxa"/>
              <w:right w:w="12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9"/>
              </w:rPr>
              <w:t>TBEA-PRD-MASTER-2026-V1.1.0</w:t>
            </w:r>
          </w:p>
        </w:tc>
      </w:tr>
      <w:tr>
        <w:tc>
          <w:tcPr>
            <w:tcW w:type="dxa" w:w="3168"/>
            <w:shd w:fill="F1F5F9"/>
            <w:tcMar>
              <w:top w:w="80" w:type="dxa"/>
              <w:bottom w:w="80" w:type="dxa"/>
              <w:left w:w="120" w:type="dxa"/>
              <w:right w:w="12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9"/>
              </w:rPr>
              <w:t>系统基线版本</w:t>
            </w:r>
          </w:p>
        </w:tc>
        <w:tc>
          <w:tcPr>
            <w:tcW w:type="dxa" w:w="6480"/>
            <w:shd w:fill="FFFFFF"/>
            <w:tcMar>
              <w:top w:w="80" w:type="dxa"/>
              <w:bottom w:w="80" w:type="dxa"/>
              <w:left w:w="120" w:type="dxa"/>
              <w:right w:w="12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9"/>
              </w:rPr>
              <w:t>Release v1.1.0 (生产基线全景工程详案版)</w:t>
            </w:r>
          </w:p>
        </w:tc>
      </w:tr>
      <w:tr>
        <w:tc>
          <w:tcPr>
            <w:tcW w:type="dxa" w:w="3168"/>
            <w:shd w:fill="F1F5F9"/>
            <w:tcMar>
              <w:top w:w="80" w:type="dxa"/>
              <w:bottom w:w="80" w:type="dxa"/>
              <w:left w:w="120" w:type="dxa"/>
              <w:right w:w="12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9"/>
              </w:rPr>
              <w:t>多角色会签团队</w:t>
            </w:r>
          </w:p>
        </w:tc>
        <w:tc>
          <w:tcPr>
            <w:tcW w:type="dxa" w:w="6480"/>
            <w:shd w:fill="FFFFFF"/>
            <w:tcMar>
              <w:top w:w="80" w:type="dxa"/>
              <w:bottom w:w="80" w:type="dxa"/>
              <w:left w:w="120" w:type="dxa"/>
              <w:right w:w="12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9"/>
              </w:rPr>
              <w:t>产品管理部 (PM) × 数字化研发中心 (Dev) × 质量保障中心 (QA)</w:t>
            </w:r>
          </w:p>
        </w:tc>
      </w:tr>
      <w:tr>
        <w:tc>
          <w:tcPr>
            <w:tcW w:type="dxa" w:w="3168"/>
            <w:shd w:fill="F1F5F9"/>
            <w:tcMar>
              <w:top w:w="80" w:type="dxa"/>
              <w:bottom w:w="80" w:type="dxa"/>
              <w:left w:w="120" w:type="dxa"/>
              <w:right w:w="12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9"/>
              </w:rPr>
              <w:t>遵循工程规范</w:t>
            </w:r>
          </w:p>
        </w:tc>
        <w:tc>
          <w:tcPr>
            <w:tcW w:type="dxa" w:w="6480"/>
            <w:shd w:fill="FFFFFF"/>
            <w:tcMar>
              <w:top w:w="80" w:type="dxa"/>
              <w:bottom w:w="80" w:type="dxa"/>
              <w:left w:w="120" w:type="dxa"/>
              <w:right w:w="12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9"/>
              </w:rPr>
              <w:t>tbea-industrial-design (44px表格/客观中立/状态自解释/双端同构)</w:t>
            </w:r>
          </w:p>
        </w:tc>
      </w:tr>
      <w:tr>
        <w:tc>
          <w:tcPr>
            <w:tcW w:type="dxa" w:w="3168"/>
            <w:shd w:fill="F1F5F9"/>
            <w:tcMar>
              <w:top w:w="80" w:type="dxa"/>
              <w:bottom w:w="80" w:type="dxa"/>
              <w:left w:w="120" w:type="dxa"/>
              <w:right w:w="12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9"/>
              </w:rPr>
              <w:t>遵循需求规范</w:t>
            </w:r>
          </w:p>
        </w:tc>
        <w:tc>
          <w:tcPr>
            <w:tcW w:type="dxa" w:w="6480"/>
            <w:shd w:fill="FFFFFF"/>
            <w:tcMar>
              <w:top w:w="80" w:type="dxa"/>
              <w:bottom w:w="80" w:type="dxa"/>
              <w:left w:w="120" w:type="dxa"/>
              <w:right w:w="12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9"/>
              </w:rPr>
              <w:t>tbea-prd-standards v1.1.0 (主导航拆解/L0-L4数据治理/状态机/错误码)</w:t>
            </w:r>
          </w:p>
        </w:tc>
      </w:tr>
      <w:tr>
        <w:tc>
          <w:tcPr>
            <w:tcW w:type="dxa" w:w="3168"/>
            <w:shd w:fill="F1F5F9"/>
            <w:tcMar>
              <w:top w:w="80" w:type="dxa"/>
              <w:bottom w:w="80" w:type="dxa"/>
              <w:left w:w="120" w:type="dxa"/>
              <w:right w:w="12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9"/>
              </w:rPr>
              <w:t>工程归档路径</w:t>
            </w:r>
          </w:p>
        </w:tc>
        <w:tc>
          <w:tcPr>
            <w:tcW w:type="dxa" w:w="6480"/>
            <w:shd w:fill="FFFFFF"/>
            <w:tcMar>
              <w:top w:w="80" w:type="dxa"/>
              <w:bottom w:w="80" w:type="dxa"/>
              <w:left w:w="120" w:type="dxa"/>
              <w:right w:w="12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9"/>
              </w:rPr>
              <w:t>D:\Project\TJ-nengtan\PRD</w:t>
            </w:r>
          </w:p>
        </w:tc>
      </w:tr>
      <w:tr>
        <w:tc>
          <w:tcPr>
            <w:tcW w:type="dxa" w:w="3168"/>
            <w:shd w:fill="F1F5F9"/>
            <w:tcMar>
              <w:top w:w="80" w:type="dxa"/>
              <w:bottom w:w="80" w:type="dxa"/>
              <w:left w:w="120" w:type="dxa"/>
              <w:right w:w="12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9"/>
              </w:rPr>
              <w:t>正式生效日期</w:t>
            </w:r>
          </w:p>
        </w:tc>
        <w:tc>
          <w:tcPr>
            <w:tcW w:type="dxa" w:w="6480"/>
            <w:shd w:fill="FFFFFF"/>
            <w:tcMar>
              <w:top w:w="80" w:type="dxa"/>
              <w:bottom w:w="80" w:type="dxa"/>
              <w:left w:w="120" w:type="dxa"/>
              <w:right w:w="12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9"/>
              </w:rPr>
              <w:t>2026 年 09 月 08 日</w:t>
            </w:r>
          </w:p>
        </w:tc>
      </w:tr>
    </w:tbl>
    <w:p>
      <w:r>
        <w:br w:type="page"/>
      </w:r>
    </w:p>
    <w:p>
      <w:pPr>
        <w:pStyle w:val="Heading1"/>
        <w:keepNext/>
        <w:spacing w:before="360" w:after="160"/>
      </w:pPr>
      <w:r>
        <w:rPr>
          <w:rFonts w:ascii="微软雅黑" w:hAnsi="微软雅黑"/>
          <w:b/>
          <w:color w:val="1E3A8A"/>
          <w:sz w:val="31"/>
        </w:rPr>
        <w:t>【文档审签与版本演进记录】</w:t>
      </w:r>
    </w:p>
    <w:p>
      <w:pPr>
        <w:spacing w:after="80" w:line="288" w:lineRule="auto"/>
      </w:pPr>
      <w:r>
        <w:rPr>
          <w:rFonts w:ascii="微软雅黑" w:hAnsi="微软雅黑"/>
          <w:color w:val="1F2937"/>
          <w:sz w:val="19"/>
        </w:rPr>
        <w:t>本文档作为特变电工股份有限公司（电装集团）能碳数字化双中心（零碳园区集控中心 + 产品碳足迹集采中心）官方产品需求规格说明书，由产品管理部 (PM)、系统架构研发组 (Dev)、质量保障中心 (QA) 及项目总监共同签署生效。</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trPr>
        <w:tc>
          <w:tcPr>
            <w:tcW w:type="dxa" w:w="172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审签角色</w:t>
            </w:r>
          </w:p>
        </w:tc>
        <w:tc>
          <w:tcPr>
            <w:tcW w:type="dxa" w:w="158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责任人姓名</w:t>
            </w:r>
          </w:p>
        </w:tc>
        <w:tc>
          <w:tcPr>
            <w:tcW w:type="dxa" w:w="230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部门/岗位</w:t>
            </w:r>
          </w:p>
        </w:tc>
        <w:tc>
          <w:tcPr>
            <w:tcW w:type="dxa" w:w="259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审签结论</w:t>
            </w:r>
          </w:p>
        </w:tc>
        <w:tc>
          <w:tcPr>
            <w:tcW w:type="dxa" w:w="144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签署日期</w:t>
            </w:r>
          </w:p>
        </w:tc>
      </w:tr>
      <w:tr>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PM 负责人</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产品管理部代表</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数字化产品规划部</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通过 (主导航逐层展开/业务闭环)</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2026-09-08</w:t>
            </w:r>
          </w:p>
        </w:tc>
      </w:tr>
      <w:tr>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系统架构师</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技术架构组代表</w:t>
            </w:r>
          </w:p>
        </w:tc>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数字化研发中心架构部</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通过 (双数仓分离/双端100%同构)</w:t>
            </w:r>
          </w:p>
        </w:tc>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2026-09-08</w:t>
            </w:r>
          </w:p>
        </w:tc>
      </w:tr>
      <w:tr>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QA 组长</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质量保障组代表</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质量保障中心测试部</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通过 (白名单与BVA极限测试矩阵完备)</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2026-09-08</w:t>
            </w:r>
          </w:p>
        </w:tc>
      </w:tr>
      <w:tr>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合规/安全负责人</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法务合规部代表</w:t>
            </w:r>
          </w:p>
        </w:tc>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集团合规与信息安全部</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通过 (L0-L4数据脱敏与CBAM出海合规)</w:t>
            </w:r>
          </w:p>
        </w:tc>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2026-09-08</w:t>
            </w:r>
          </w:p>
        </w:tc>
      </w:tr>
      <w:tr>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项目总监</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双中心项目总监</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特变电工数字化转型领导小组</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批准作为全生命周期生产基线</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2026-09-08</w:t>
            </w:r>
          </w:p>
        </w:tc>
      </w:tr>
    </w:tbl>
    <w:p>
      <w:pPr>
        <w:spacing w:after="60"/>
      </w:pP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trPr>
        <w:tc>
          <w:tcPr>
            <w:tcW w:type="dxa" w:w="100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版本</w:t>
            </w:r>
          </w:p>
        </w:tc>
        <w:tc>
          <w:tcPr>
            <w:tcW w:type="dxa" w:w="144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修订日期</w:t>
            </w:r>
          </w:p>
        </w:tc>
        <w:tc>
          <w:tcPr>
            <w:tcW w:type="dxa" w:w="48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主要修订内容与动因</w:t>
            </w:r>
          </w:p>
        </w:tc>
        <w:tc>
          <w:tcPr>
            <w:tcW w:type="dxa" w:w="12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修订人</w:t>
            </w:r>
          </w:p>
        </w:tc>
        <w:tc>
          <w:tcPr>
            <w:tcW w:type="dxa" w:w="100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审核人</w:t>
            </w:r>
          </w:p>
        </w:tc>
      </w:tr>
      <w:tr>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v1.1.0</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2026-09-08</w:t>
            </w:r>
          </w:p>
        </w:tc>
        <w:tc>
          <w:tcPr>
            <w:tcW w:type="dxa" w:w="48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全面升版：补齐全量数据字典、数学公式、字段校验、控制流逻辑与 Gherkin 验收准则</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联合项目组</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项目总监</w:t>
            </w:r>
          </w:p>
        </w:tc>
      </w:tr>
      <w:tr>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v1.0.0</w:t>
            </w:r>
          </w:p>
        </w:tc>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2026-09-08</w:t>
            </w:r>
          </w:p>
        </w:tc>
        <w:tc>
          <w:tcPr>
            <w:tcW w:type="dxa" w:w="48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完成按主导航层级逐层编制，固化 44px 工业表格、客观中立与权威白名单规则</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PM/Dev/QA</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项目总监</w:t>
            </w:r>
          </w:p>
        </w:tc>
      </w:tr>
      <w:tr>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v0.9.0</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2026-09-05</w:t>
            </w:r>
          </w:p>
        </w:tc>
        <w:tc>
          <w:tcPr>
            <w:tcW w:type="dxa" w:w="48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输出 PRD 架构大纲与 10 大分卷蓝图</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产品规划组</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技术委员会</w:t>
            </w:r>
          </w:p>
        </w:tc>
      </w:tr>
    </w:tbl>
    <w:p>
      <w:pPr>
        <w:spacing w:after="60"/>
      </w:pPr>
    </w:p>
    <w:p>
      <w:r>
        <w:br w:type="page"/>
      </w:r>
    </w:p>
    <w:p>
      <w:pPr>
        <w:pStyle w:val="Heading1"/>
        <w:keepNext/>
        <w:spacing w:before="360" w:after="160"/>
      </w:pPr>
      <w:r>
        <w:rPr>
          <w:rFonts w:ascii="微软雅黑" w:hAnsi="微软雅黑"/>
          <w:b/>
          <w:color w:val="1E3A8A"/>
          <w:sz w:val="31"/>
        </w:rPr>
        <w:t>第一篇：顶层业务架构与标准规范</w:t>
      </w:r>
    </w:p>
    <w:p>
      <w:pPr>
        <w:pStyle w:val="Heading2"/>
        <w:keepNext/>
        <w:spacing w:before="260" w:after="100"/>
      </w:pPr>
      <w:r>
        <w:rPr>
          <w:rFonts w:ascii="微软雅黑" w:hAnsi="微软雅黑"/>
          <w:b/>
          <w:color w:val="0284C7"/>
          <w:sz w:val="25"/>
        </w:rPr>
        <w:t>第 1 章 编制原则与三方协同工作机制</w:t>
      </w:r>
    </w:p>
    <w:p>
      <w:pPr>
        <w:spacing w:after="80" w:line="288" w:lineRule="auto"/>
      </w:pPr>
      <w:r>
        <w:rPr>
          <w:rFonts w:ascii="微软雅黑" w:hAnsi="微软雅黑"/>
          <w:color w:val="1F2937"/>
          <w:sz w:val="19"/>
        </w:rPr>
        <w:t>特变电工能碳数字化双中心平台承载着集团从传统装备制造迈向全球绿色零碳制造标杆转型的战略重任。本 PRD 彻底消除传统软件开发中需求、研发与测试脱节的弊病，执行 PM、Dev 与 QA 三方闭环机制：</w:t>
        <w:br/>
        <w:t>1. PM 产品角色：所有需求均以 INVEST 原则分解，通过 Gherkin 语法书写 Given-When-Then 验收准则，明确北极星指标与业务闭环；</w:t>
        <w:br/>
        <w:t>2. Dev 研发角色：明确双端（暗黑 3000 / 浅色 3001 端口）100% 同构契约，时序数仓（IoT 秒级高频读数）与关系数仓（ERP/MES/BOM）物理隔离；</w:t>
        <w:br/>
        <w:t>3. QA 测试角色：践行破坏性测试思维与极限边界防护网（EQP/BVA/Chaos），执行权威工序表白名单判定矩阵与客观中立性代码审查。</w:t>
      </w:r>
    </w:p>
    <w:p>
      <w:pPr>
        <w:pStyle w:val="Heading2"/>
        <w:keepNext/>
        <w:spacing w:before="260" w:after="100"/>
      </w:pPr>
      <w:r>
        <w:rPr>
          <w:rFonts w:ascii="微软雅黑" w:hAnsi="微软雅黑"/>
          <w:b/>
          <w:color w:val="0284C7"/>
          <w:sz w:val="25"/>
        </w:rPr>
        <w:t>第 2 章 业务背景、目标与 6 大用户角色画像矩阵</w:t>
      </w:r>
    </w:p>
    <w:p>
      <w:pPr>
        <w:spacing w:after="80" w:line="288" w:lineRule="auto"/>
      </w:pPr>
      <w:r>
        <w:rPr>
          <w:rFonts w:ascii="微软雅黑" w:hAnsi="微软雅黑"/>
          <w:color w:val="1F2937"/>
          <w:sz w:val="19"/>
        </w:rPr>
        <w:t>【核心痛点】：全产业链（变压器、电缆、硅基材料等）综合能耗穿透难、基层离线数据填报分散杂乱、出海产品面临欧盟 CBAM 碳关税壁垒。</w:t>
        <w:br/>
        <w:t>【北极星指标】：万元产值综合能耗下降率（目标年降 3.5%）、关键制造工序能效提升比、出口产品碳足迹认证覆盖率 (100%)、CBAM 关税成本最低化。</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trPr>
        <w:tc>
          <w:tcPr>
            <w:tcW w:type="dxa" w:w="72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编号</w:t>
            </w:r>
          </w:p>
        </w:tc>
        <w:tc>
          <w:tcPr>
            <w:tcW w:type="dxa" w:w="144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角色名称</w:t>
            </w:r>
          </w:p>
        </w:tc>
        <w:tc>
          <w:tcPr>
            <w:tcW w:type="dxa" w:w="172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代表岗位</w:t>
            </w:r>
          </w:p>
        </w:tc>
        <w:tc>
          <w:tcPr>
            <w:tcW w:type="dxa" w:w="216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主导航主要操作路径</w:t>
            </w:r>
          </w:p>
        </w:tc>
        <w:tc>
          <w:tcPr>
            <w:tcW w:type="dxa" w:w="230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核心业务诉求</w:t>
            </w:r>
          </w:p>
        </w:tc>
        <w:tc>
          <w:tcPr>
            <w:tcW w:type="dxa" w:w="12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系统权限边界</w:t>
            </w:r>
          </w:p>
        </w:tc>
      </w:tr>
      <w:tr>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P1</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集团决策层</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董事长/分管副总裁</w:t>
            </w:r>
          </w:p>
        </w:tc>
        <w:tc>
          <w:tcPr>
            <w:tcW w:type="dxa" w:w="216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集控大屏、碳足迹对外窗口</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掌控全集团综合能耗趋势与国际碳关税合规态势</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全系统只读大盘、战略批示</w:t>
            </w:r>
          </w:p>
        </w:tc>
      </w:tr>
      <w:tr>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P2</w:t>
            </w:r>
          </w:p>
        </w:tc>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园区能碳专员</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各基地动力处长/能源主管</w:t>
            </w:r>
          </w:p>
        </w:tc>
        <w:tc>
          <w:tcPr>
            <w:tcW w:type="dxa" w:w="216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集中监管、能耗能效分析、对标管理</w:t>
            </w:r>
          </w:p>
        </w:tc>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穿透式排查工序用能跑冒滴漏，错峰用电降本</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所辖基地读写与全量导出</w:t>
            </w:r>
          </w:p>
        </w:tc>
      </w:tr>
      <w:tr>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P3</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车间填报员</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车间统计员/动力值班员</w:t>
            </w:r>
          </w:p>
        </w:tc>
        <w:tc>
          <w:tcPr>
            <w:tcW w:type="dxa" w:w="216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基础管理 -&gt; 数据录入工作台</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高密快速录入离线产量、能耗、相册与大事记</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44px 数据表录入/修改/纠错</w:t>
            </w:r>
          </w:p>
        </w:tc>
      </w:tr>
      <w:tr>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P4</w:t>
            </w:r>
          </w:p>
        </w:tc>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碳核算工程师</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碳资产部/产品技术部</w:t>
            </w:r>
          </w:p>
        </w:tc>
        <w:tc>
          <w:tcPr>
            <w:tcW w:type="dxa" w:w="216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实景数据库、碳足迹核算、报告</w:t>
            </w:r>
          </w:p>
        </w:tc>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展开产品 BOM 树，匹配本土实测因子，导出报告</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LCA 建模、因子库、碳标签</w:t>
            </w:r>
          </w:p>
        </w:tc>
      </w:tr>
      <w:tr>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P5</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国际关税专家</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国际业务部/报关主管</w:t>
            </w:r>
          </w:p>
        </w:tc>
        <w:tc>
          <w:tcPr>
            <w:tcW w:type="dxa" w:w="216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CBAM管理(合规/申报模拟/知识库)</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欧盟税号精准映射，测算关税成本并生成 XML</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CBAM 模块全配置与申报包</w:t>
            </w:r>
          </w:p>
        </w:tc>
      </w:tr>
      <w:tr>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P6</w:t>
            </w:r>
          </w:p>
        </w:tc>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外部审计机构</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SGS/TÜV/方圆核查员</w:t>
            </w:r>
          </w:p>
        </w:tc>
        <w:tc>
          <w:tcPr>
            <w:tcW w:type="dxa" w:w="216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第三方认证管理、实景数据库</w:t>
            </w:r>
          </w:p>
        </w:tc>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复核物料平衡、绿电凭证与碳因子溯源链条</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专有只读通道与原始存证核验</w:t>
            </w:r>
          </w:p>
        </w:tc>
      </w:tr>
    </w:tbl>
    <w:p>
      <w:pPr>
        <w:spacing w:after="60"/>
      </w:pPr>
    </w:p>
    <w:p>
      <w:pPr>
        <w:pStyle w:val="Heading2"/>
        <w:keepNext/>
        <w:spacing w:before="260" w:after="100"/>
      </w:pPr>
      <w:r>
        <w:rPr>
          <w:rFonts w:ascii="微软雅黑" w:hAnsi="微软雅黑"/>
          <w:b/>
          <w:color w:val="0284C7"/>
          <w:sz w:val="25"/>
        </w:rPr>
        <w:t>第 3 章 专属工业设计规范 (tbea-industrial-design) 6 大硬性铁律</w:t>
      </w:r>
    </w:p>
    <w:tbl>
      <w:tblPr>
        <w:tblW w:type="auto" w:w="0"/>
        <w:jc w:val="center"/>
        <w:tblLayout w:type="fixed"/>
        <w:tblLook w:firstColumn="1" w:firstRow="1" w:lastColumn="0" w:lastRow="0" w:noHBand="0" w:noVBand="1" w:val="04A0"/>
      </w:tblPr>
      <w:tblGrid>
        <w:gridCol w:w="9792"/>
      </w:tblGrid>
      <w:tr>
        <w:tc>
          <w:tcPr>
            <w:tcW w:type="dxa" w:w="9648"/>
            <w:shd w:fill="FEF2F2"/>
            <w:tcMar>
              <w:top w:w="100" w:type="dxa"/>
              <w:bottom w:w="100" w:type="dxa"/>
              <w:left w:w="140" w:type="dxa"/>
              <w:right w:w="140" w:type="dxa"/>
            </w:tcMar>
            <w:tcBorders>
              <w:top w:val="none"/>
              <w:left w:val="single" w:color="DC2626" w:sz="24"/>
              <w:bottom w:val="none"/>
              <w:right w:val="none"/>
            </w:tcBorders>
          </w:tcPr>
          <w:p>
            <w:pPr>
              <w:spacing w:after="40"/>
            </w:pPr>
            <w:r>
              <w:rPr>
                <w:rFonts w:ascii="微软雅黑" w:hAnsi="微软雅黑"/>
                <w:b/>
                <w:color w:val="DC2626"/>
                <w:sz w:val="19"/>
              </w:rPr>
              <w:t>📌 【tbea-industrial-design 工业设计硬性红线】</w:t>
              <w:br/>
            </w:r>
            <w:r>
              <w:rPr>
                <w:rFonts w:ascii="微软雅黑" w:hAnsi="微软雅黑"/>
                <w:color w:val="1F2937"/>
                <w:sz w:val="18"/>
              </w:rPr>
              <w:t>1. 表格行高强制 44px：全系统所有数据表格 &lt;tr&gt; 行高固定为 44px (h-[44px])，垂直居中无抖动；</w:t>
              <w:br/>
              <w:t>2. 绝对客观中立：严禁任何界面出现主观评价、定性评判与说教词汇（如“表现优异”、“落后单位”、“运行欠佳”等），统一以客观时序对比（同比/环比/基准偏差）自解释呈现；</w:t>
              <w:br/>
              <w:t>3. 状态自解释：严禁在卡片上增加“图表联动中”、“已选中”等标签，激活态由蓝框高亮 (border-primary ring-2) 自解释；</w:t>
              <w:br/>
              <w:t>4. 单行干练判空：无工序单位严禁输出大段解释说明，统一单行干练输出：暂无相关工序！；</w:t>
              <w:br/>
              <w:t>5. 双端 100% 同构：暗黑科技蓝 (3000端口) 与浅色办公商务 (3001端口) 交互、数据、路由完全一致；</w:t>
              <w:br/>
              <w:t>6. 悬停游标微透蓝：柱状图游标统一为 rgba(56, 189, 248, 0.08)，浅色为 rgba(0, 0, 0, 0.04)，严禁纯白眩光。</w:t>
            </w:r>
          </w:p>
        </w:tc>
      </w:tr>
    </w:tbl>
    <w:p>
      <w:pPr>
        <w:spacing w:after="40"/>
      </w:pPr>
    </w:p>
    <w:p>
      <w:r>
        <w:br w:type="page"/>
      </w:r>
    </w:p>
    <w:p>
      <w:pPr>
        <w:pStyle w:val="Heading1"/>
        <w:keepNext/>
        <w:spacing w:before="360" w:after="160"/>
      </w:pPr>
      <w:r>
        <w:rPr>
          <w:rFonts w:ascii="微软雅黑" w:hAnsi="微软雅黑"/>
          <w:b/>
          <w:color w:val="1E3A8A"/>
          <w:sz w:val="31"/>
        </w:rPr>
        <w:t>第二篇：【平台一】零碳园区集控中心功能需求规格（逐层拆解）</w:t>
      </w:r>
    </w:p>
    <w:p>
      <w:pPr>
        <w:spacing w:after="80" w:line="288" w:lineRule="auto"/>
      </w:pPr>
      <w:r>
        <w:rPr>
          <w:rFonts w:ascii="微软雅黑" w:hAnsi="微软雅黑"/>
          <w:color w:val="1F2937"/>
          <w:sz w:val="19"/>
        </w:rPr>
        <w:t>严格对应系统切换至【零碳园区集控中心】时的 6 大一级主导航逐层展开，每个功能点均分配唯一 NAV-ID 稳定锚点，并深度补充全量数据字典、数学模型、控制逻辑与 Gherkin 验收准则。</w:t>
      </w:r>
    </w:p>
    <w:p>
      <w:pPr>
        <w:pStyle w:val="Heading2"/>
        <w:keepNext/>
        <w:spacing w:before="260" w:after="100"/>
      </w:pPr>
      <w:r>
        <w:rPr>
          <w:rFonts w:ascii="微软雅黑" w:hAnsi="微软雅黑"/>
          <w:b/>
          <w:color w:val="0284C7"/>
          <w:sz w:val="25"/>
        </w:rPr>
        <w:t>第 4 章 一级导航【集控中心大屏】</w:t>
      </w:r>
    </w:p>
    <w:p>
      <w:pPr>
        <w:pStyle w:val="Heading3"/>
        <w:keepNext/>
        <w:spacing w:before="180" w:after="60"/>
      </w:pPr>
      <w:r>
        <w:rPr>
          <w:rFonts w:ascii="微软雅黑" w:hAnsi="微软雅黑"/>
          <w:b/>
          <w:color w:val="1E3A8A"/>
          <w:sz w:val="21"/>
        </w:rPr>
        <w:t>4.1 全景环幕大屏 (NAV-ZC-SCR-PANORAMA · /zero-carbon/screen)</w:t>
      </w:r>
    </w:p>
    <w:p>
      <w:pPr>
        <w:spacing w:after="80" w:line="288" w:lineRule="auto"/>
      </w:pPr>
      <w:r>
        <w:rPr>
          <w:rFonts w:ascii="微软雅黑" w:hAnsi="微软雅黑"/>
          <w:b/>
          <w:color w:val="1E3A8A"/>
          <w:sz w:val="19"/>
        </w:rPr>
        <w:t>PM 业务场景：</w:t>
      </w:r>
      <w:r>
        <w:rPr>
          <w:rFonts w:ascii="微软雅黑" w:hAnsi="微软雅黑"/>
          <w:color w:val="1F2937"/>
          <w:sz w:val="19"/>
        </w:rPr>
        <w:t>面向特变电工集团高管视察、工信部/发改委绿碳专项验收及海外战略客户参观的高端 1920×1080 矢量等比缩放工业环幕控制台。</w:t>
      </w:r>
    </w:p>
    <w:p>
      <w:pPr>
        <w:spacing w:after="80" w:line="288" w:lineRule="auto"/>
      </w:pPr>
      <w:r>
        <w:rPr>
          <w:rFonts w:ascii="微软雅黑" w:hAnsi="微软雅黑"/>
          <w:b/>
          <w:color w:val="1E3A8A"/>
          <w:sz w:val="19"/>
        </w:rPr>
        <w:t>UI 原型布局与组件状态：</w:t>
      </w:r>
      <w:r>
        <w:rPr>
          <w:rFonts w:ascii="微软雅黑" w:hAnsi="微软雅黑"/>
          <w:color w:val="1F2937"/>
          <w:sz w:val="19"/>
        </w:rPr>
        <w:t>1. 顶层 HUD 框架：动态集成空气质量 (AQI)、环境温湿度、风向风速与微秒级 NTP 授时时钟；</w:t>
        <w:br/>
        <w:t>2. 3D 浮雕中国地图：精确点亮特变电工新疆基地、沈阳变压器、衡阳变压器、天津中发、山东鲁缆等生产据点，采用 WebGL 渲染脉冲雷达波纹与飞线潮流；</w:t>
        <w:br/>
        <w:t>3. 左侧综合能耗与绿电看板：环形呈现集团本年度能碳勋章建设进度（100% 达成率）、重大能碳里程碑大事记、分布式光伏瞬时出力滚动流与园区高清实景轮播；</w:t>
        <w:br/>
        <w:t>4. 右侧穿透控制台：提供二级公司级联筛选、5 家核心实体工厂胶囊切片 Tab、10 大综合指标环形矩阵 (5×2 排布) 以及一键跳转至 16:9 标准运营中心的交互入口。</w:t>
      </w:r>
    </w:p>
    <w:tbl>
      <w:tblPr>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rPr>
          <w:tblHeader/>
        </w:trPr>
        <w:tc>
          <w:tcPr>
            <w:tcW w:type="dxa" w:w="201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字段代码</w:t>
            </w:r>
          </w:p>
        </w:tc>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字段名称</w:t>
            </w:r>
          </w:p>
        </w:tc>
        <w:tc>
          <w:tcPr>
            <w:tcW w:type="dxa" w:w="144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数据类型</w:t>
            </w:r>
          </w:p>
        </w:tc>
        <w:tc>
          <w:tcPr>
            <w:tcW w:type="dxa" w:w="12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工程量纲</w:t>
            </w:r>
          </w:p>
        </w:tc>
        <w:tc>
          <w:tcPr>
            <w:tcW w:type="dxa" w:w="172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数据来源与频次</w:t>
            </w:r>
          </w:p>
        </w:tc>
        <w:tc>
          <w:tcPr>
            <w:tcW w:type="dxa" w:w="172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校验与边界约束</w:t>
            </w:r>
          </w:p>
        </w:tc>
        <w:tc>
          <w:tcPr>
            <w:tcW w:type="dxa" w:w="86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密级</w:t>
            </w:r>
          </w:p>
        </w:tc>
      </w:tr>
      <w:tr>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total_energy_tce</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集团年度综合能耗</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Decimal(12,2)</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tce (吨标煤)</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多介质表计/日结汇总</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0.00，非空</w:t>
            </w:r>
          </w:p>
        </w:tc>
        <w:tc>
          <w:tcPr>
            <w:tcW w:type="dxa" w:w="86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unit_output_tce</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万元产值综合能耗</w:t>
            </w:r>
          </w:p>
        </w:tc>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Decimal(6,4)</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tce/万元</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能耗总量 / 产值，月结</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0.0001 ~ 10.0000</w:t>
            </w:r>
          </w:p>
        </w:tc>
        <w:tc>
          <w:tcPr>
            <w:tcW w:type="dxa" w:w="86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green_ratio</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综合绿电消纳占比</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Decimal(5,2)</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微电网自发 + 绿电交易</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0.00% ~ 100.00%</w:t>
            </w:r>
          </w:p>
        </w:tc>
        <w:tc>
          <w:tcPr>
            <w:tcW w:type="dxa" w:w="86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pv_power_kw</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分布式光伏瞬时出力</w:t>
            </w:r>
          </w:p>
        </w:tc>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Decimal(8,2)</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kW</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逆变器 SCADA / 秒级</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0.00 ~ 50000.00</w:t>
            </w:r>
          </w:p>
        </w:tc>
        <w:tc>
          <w:tcPr>
            <w:tcW w:type="dxa" w:w="86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storage_soc</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储能电站荷电状态</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Decimal(5,2)</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(SOC)</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BMS 电池管理系统 / 秒级</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0.00% ~ 100.00%</w:t>
            </w:r>
          </w:p>
        </w:tc>
        <w:tc>
          <w:tcPr>
            <w:tcW w:type="dxa" w:w="86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annual_saved_tce</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本年累计节能量</w:t>
            </w:r>
          </w:p>
        </w:tc>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tce</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节能技改 M&amp;V 计量 / 月度</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0.00</w:t>
            </w:r>
          </w:p>
        </w:tc>
        <w:tc>
          <w:tcPr>
            <w:tcW w:type="dxa" w:w="86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annual_saved_cost</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本年累计节能效益</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万元</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节能量 × 能源价格 / 月度</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0.00</w:t>
            </w:r>
          </w:p>
        </w:tc>
        <w:tc>
          <w:tcPr>
            <w:tcW w:type="dxa" w:w="86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carbon_intensity</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万元产值碳排放强度</w:t>
            </w:r>
          </w:p>
        </w:tc>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Decimal(6,4)</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tCO2e/万元</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Scope1+Scope2 / 产值</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0.0000</w:t>
            </w:r>
          </w:p>
        </w:tc>
        <w:tc>
          <w:tcPr>
            <w:tcW w:type="dxa" w:w="86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bl>
    <w:p>
      <w:pPr>
        <w:spacing w:after="60"/>
      </w:pPr>
    </w:p>
    <w:tbl>
      <w:tblPr>
        <w:tblW w:type="auto" w:w="0"/>
        <w:jc w:val="center"/>
        <w:tblLayout w:type="fixed"/>
        <w:tblLook w:firstColumn="1" w:firstRow="1" w:lastColumn="0" w:lastRow="0" w:noHBand="0" w:noVBand="1" w:val="04A0"/>
      </w:tblPr>
      <w:tblGrid>
        <w:gridCol w:w="9792"/>
      </w:tblGrid>
      <w:tr>
        <w:tc>
          <w:tcPr>
            <w:tcW w:type="dxa" w:w="9648"/>
            <w:shd w:fill="F0FDF4"/>
            <w:tcMar>
              <w:top w:w="100" w:type="dxa"/>
              <w:bottom w:w="100" w:type="dxa"/>
              <w:left w:w="140" w:type="dxa"/>
              <w:right w:w="140" w:type="dxa"/>
            </w:tcMar>
            <w:tcBorders>
              <w:top w:val="none"/>
              <w:left w:val="single" w:color="16A34A" w:sz="24"/>
              <w:bottom w:val="none"/>
              <w:right w:val="none"/>
            </w:tcBorders>
          </w:tcPr>
          <w:p>
            <w:pPr>
              <w:spacing w:after="40"/>
            </w:pPr>
            <w:r>
              <w:rPr>
                <w:rFonts w:ascii="微软雅黑" w:hAnsi="微软雅黑"/>
                <w:b/>
                <w:color w:val="16A34A"/>
                <w:sz w:val="19"/>
              </w:rPr>
              <w:t>📐 【核心数学模型与算法公式】</w:t>
              <w:br/>
            </w:r>
            <w:r>
              <w:rPr>
                <w:rFonts w:ascii="Consolas" w:hAnsi="Consolas"/>
                <w:b/>
                <w:color w:val="1E3A8A"/>
                <w:sz w:val="19"/>
              </w:rPr>
              <w:t>【核算公式】：E_total = ∑ [ E_i × K_i ] ; R_green = ( (E_pv_self + E_green_market) / E_elec_total ) × 100%</w:t>
              <w:br/>
            </w:r>
            <w:r>
              <w:rPr>
                <w:rFonts w:ascii="微软雅黑" w:hAnsi="微软雅黑"/>
                <w:color w:val="1F2937"/>
                <w:sz w:val="18"/>
              </w:rPr>
              <w:t>【逻辑说明】：依据 GB/T 2589-2020 计算全厂综合能耗折标煤总量；绿电消纳率严格由园区屋顶光伏自发自用电量与电力交易中心绿电凭证 (GEC) 合并计入分子，总用电量为分母。</w:t>
            </w:r>
            <w:r>
              <w:rPr>
                <w:rFonts w:ascii="微软雅黑" w:hAnsi="微软雅黑"/>
                <w:color w:val="64748B"/>
                <w:sz w:val="17"/>
              </w:rPr>
              <w:br/>
              <w:t>【变量定义与取值约定】：</w:t>
              <w:br/>
              <w:t>E_i: 各能源介质实物消耗量；K_i: 对应能源折标煤系数 (电力当量 0.1229 kgce/kWh, 天然气 1.2143 kgce/m³, 蒸汽 0.1286 kgce/kg)</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9648"/>
            <w:shd w:fill="F5F3FF"/>
            <w:tcMar>
              <w:top w:w="90" w:type="dxa"/>
              <w:bottom w:w="90" w:type="dxa"/>
              <w:left w:w="130" w:type="dxa"/>
              <w:right w:w="130" w:type="dxa"/>
            </w:tcMar>
            <w:tcBorders>
              <w:top w:val="none"/>
              <w:left w:val="single" w:color="7C3AED" w:sz="24"/>
              <w:bottom w:val="none"/>
              <w:right w:val="none"/>
            </w:tcBorders>
          </w:tcPr>
          <w:p>
            <w:pPr>
              <w:spacing w:after="40"/>
            </w:pPr>
            <w:r>
              <w:rPr>
                <w:rFonts w:ascii="微软雅黑" w:hAnsi="微软雅黑"/>
                <w:b/>
                <w:color w:val="7C3AED"/>
                <w:sz w:val="18"/>
              </w:rPr>
              <w:t>🧪 【QA 自动化验收准则 · Gherkin 用例】 Feature: 全景大屏 10 大综合指标联动</w:t>
              <w:br/>
            </w:r>
            <w:r>
              <w:rPr>
                <w:rFonts w:ascii="Consolas" w:hAnsi="Consolas"/>
                <w:b/>
                <w:color w:val="1E3A8A"/>
                <w:sz w:val="17"/>
              </w:rPr>
              <w:t>Scenario: 切换不同二级工厂胶囊 Tab 时数据秒级无损刷新</w:t>
              <w:br/>
            </w:r>
            <w:r>
              <w:rPr>
                <w:rFonts w:ascii="Consolas" w:hAnsi="Consolas"/>
                <w:color w:val="1F2937"/>
                <w:sz w:val="17"/>
              </w:rPr>
              <w:t xml:space="preserve">  Given 用户已登录进入 /zero-carbon/screen 页面，大屏右侧处于沈变公司默认视图</w:t>
              <w:br/>
            </w:r>
            <w:r>
              <w:rPr>
                <w:rFonts w:ascii="Consolas" w:hAnsi="Consolas"/>
                <w:color w:val="1F2937"/>
                <w:sz w:val="17"/>
              </w:rPr>
              <w:t xml:space="preserve">  When  用户点击切换至【鲁缆公司】胶囊 Tab</w:t>
              <w:br/>
            </w:r>
            <w:r>
              <w:rPr>
                <w:rFonts w:ascii="Consolas" w:hAnsi="Consolas"/>
                <w:b/>
                <w:color w:val="16A34A"/>
                <w:sz w:val="17"/>
              </w:rPr>
              <w:t xml:space="preserve">  Then  系统在 300ms 内重绘右侧 5×2 指标环形图，数值切换为鲁缆公司指标，且中央 3D 地图视角平滑平移至山东泰安基地，无任何白屏或数据抖动</w:t>
            </w:r>
          </w:p>
        </w:tc>
      </w:tr>
    </w:tbl>
    <w:p>
      <w:pPr>
        <w:spacing w:after="40"/>
      </w:pPr>
    </w:p>
    <w:p>
      <w:pPr>
        <w:pStyle w:val="Heading3"/>
        <w:keepNext/>
        <w:spacing w:before="180" w:after="60"/>
      </w:pPr>
      <w:r>
        <w:rPr>
          <w:rFonts w:ascii="微软雅黑" w:hAnsi="微软雅黑"/>
          <w:b/>
          <w:color w:val="1E3A8A"/>
          <w:sz w:val="21"/>
        </w:rPr>
        <w:t>4.2 综合集控大屏 16:9 (NAV-ZC-SCR-169 · /screen/control-center)</w:t>
      </w:r>
    </w:p>
    <w:p>
      <w:pPr>
        <w:spacing w:after="80" w:line="288" w:lineRule="auto"/>
      </w:pPr>
      <w:r>
        <w:rPr>
          <w:rFonts w:ascii="微软雅黑" w:hAnsi="微软雅黑"/>
          <w:b/>
          <w:color w:val="1E3A8A"/>
          <w:sz w:val="19"/>
        </w:rPr>
        <w:t>功能概述：</w:t>
      </w:r>
      <w:r>
        <w:rPr>
          <w:rFonts w:ascii="微软雅黑" w:hAnsi="微软雅黑"/>
          <w:color w:val="1F2937"/>
          <w:sz w:val="19"/>
        </w:rPr>
        <w:t>标准 16:9 比例工业调度级监控视图，专为园区运行值班室定制，集成高压配电一次单线图、微电网电能潮流拓扑、变压器绕组温升红外监测与储能系统热失控预警。</w:t>
      </w:r>
    </w:p>
    <w:tbl>
      <w:tblPr>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rPr>
          <w:tblHeader/>
        </w:trPr>
        <w:tc>
          <w:tcPr>
            <w:tcW w:type="dxa" w:w="201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字段代码</w:t>
            </w:r>
          </w:p>
        </w:tc>
        <w:tc>
          <w:tcPr>
            <w:tcW w:type="dxa" w:w="201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字段名称</w:t>
            </w:r>
          </w:p>
        </w:tc>
        <w:tc>
          <w:tcPr>
            <w:tcW w:type="dxa" w:w="144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数据类型</w:t>
            </w:r>
          </w:p>
        </w:tc>
        <w:tc>
          <w:tcPr>
            <w:tcW w:type="dxa" w:w="115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工程量纲</w:t>
            </w:r>
          </w:p>
        </w:tc>
        <w:tc>
          <w:tcPr>
            <w:tcW w:type="dxa" w:w="172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数据来源与频次</w:t>
            </w:r>
          </w:p>
        </w:tc>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阈值与告警规则</w:t>
            </w:r>
          </w:p>
        </w:tc>
        <w:tc>
          <w:tcPr>
            <w:tcW w:type="dxa" w:w="86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密级</w:t>
            </w:r>
          </w:p>
        </w:tc>
      </w:tr>
      <w:tr>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bus_voltage_kv</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10kV母线运行电压</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Decimal(6,2)</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kV</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高压进线 PT / 1秒</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额定 10.0kV，偏差超 ±7% 告警</w:t>
            </w:r>
          </w:p>
        </w:tc>
        <w:tc>
          <w:tcPr>
            <w:tcW w:type="dxa" w:w="86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line_current_a</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主变进线运行电流</w:t>
            </w:r>
          </w:p>
        </w:tc>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Decimal(6,2)</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A</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高压进线 CT / 1秒</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不得超过 CT 额定过载能力 120%</w:t>
            </w:r>
          </w:p>
        </w:tc>
        <w:tc>
          <w:tcPr>
            <w:tcW w:type="dxa" w:w="86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active_power_kw</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变电所瞬时有功功率</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Decimal(8,2)</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kW</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多功能数字电表 / 1秒</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0.00，逆流立即切断防倒送</w:t>
            </w:r>
          </w:p>
        </w:tc>
        <w:tc>
          <w:tcPr>
            <w:tcW w:type="dxa" w:w="86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power_factor</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全厂综合功率因数</w:t>
            </w:r>
          </w:p>
        </w:tc>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Decimal(4,3)</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cosφ</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数字电表 / 1秒</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考核标准 ≥ 0.95，低于0.90力率罚款</w:t>
            </w:r>
          </w:p>
        </w:tc>
        <w:tc>
          <w:tcPr>
            <w:tcW w:type="dxa" w:w="86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grid_freq_hz</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电网运行实时频率</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Decimal(4,2)</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Hz</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电能质量监测仪 / 1秒</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额定 50.00Hz，允许偏差 ±0.20Hz</w:t>
            </w:r>
          </w:p>
        </w:tc>
        <w:tc>
          <w:tcPr>
            <w:tcW w:type="dxa" w:w="86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trans_temp_deg</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变压器顶层油温/绕组温度</w:t>
            </w:r>
          </w:p>
        </w:tc>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Decimal(5,1)</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PT100 铂电阻 / 5秒</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油温超 85°C 告警，超 105°C 跳闸</w:t>
            </w:r>
          </w:p>
        </w:tc>
        <w:tc>
          <w:tcPr>
            <w:tcW w:type="dxa" w:w="86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storage_power_kw</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储能 PCS 充放功率</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Decimal(7,2)</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kW</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储能变流器 PCS / 1秒</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正值为放电供厂，负值为充电吸纳</w:t>
            </w:r>
          </w:p>
        </w:tc>
        <w:tc>
          <w:tcPr>
            <w:tcW w:type="dxa" w:w="86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bl>
    <w:p>
      <w:pPr>
        <w:spacing w:after="60"/>
      </w:pPr>
    </w:p>
    <w:p>
      <w:pPr>
        <w:pStyle w:val="Heading2"/>
        <w:keepNext/>
        <w:spacing w:before="260" w:after="100"/>
      </w:pPr>
      <w:r>
        <w:rPr>
          <w:rFonts w:ascii="微软雅黑" w:hAnsi="微软雅黑"/>
          <w:b/>
          <w:color w:val="0284C7"/>
          <w:sz w:val="25"/>
        </w:rPr>
        <w:t>第 5 章 一级导航【集中监管】</w:t>
      </w:r>
    </w:p>
    <w:p>
      <w:pPr>
        <w:pStyle w:val="Heading3"/>
        <w:keepNext/>
        <w:spacing w:before="180" w:after="60"/>
      </w:pPr>
      <w:r>
        <w:rPr>
          <w:rFonts w:ascii="微软雅黑" w:hAnsi="微软雅黑"/>
          <w:b/>
          <w:color w:val="1E3A8A"/>
          <w:sz w:val="21"/>
        </w:rPr>
        <w:t>5.1 指标管控 (NAV-ZC-MON-IND · /zero-carbon/monitor/indicator)</w:t>
      </w:r>
    </w:p>
    <w:p>
      <w:pPr>
        <w:spacing w:after="80" w:line="288" w:lineRule="auto"/>
      </w:pPr>
      <w:r>
        <w:rPr>
          <w:rFonts w:ascii="微软雅黑" w:hAnsi="微软雅黑"/>
          <w:b/>
          <w:color w:val="1E3A8A"/>
          <w:sz w:val="19"/>
        </w:rPr>
        <w:t>PM 架构定位：</w:t>
      </w:r>
      <w:r>
        <w:rPr>
          <w:rFonts w:ascii="微软雅黑" w:hAnsi="微软雅黑"/>
          <w:color w:val="1F2937"/>
          <w:sz w:val="19"/>
        </w:rPr>
        <w:t>作为全集团能碳运行中枢，构建 Mode A（宏观指标卡片矩阵）与 Mode B（深入分析详情内页）双模无损穿透体系，彻底剥离冗余标签，实现纯粹的工业数据自解释。</w:t>
      </w:r>
    </w:p>
    <w:p>
      <w:pPr>
        <w:spacing w:after="80" w:line="288" w:lineRule="auto"/>
      </w:pPr>
      <w:r>
        <w:rPr>
          <w:rFonts w:ascii="微软雅黑" w:hAnsi="微软雅黑"/>
          <w:b/>
          <w:color w:val="1E3A8A"/>
          <w:sz w:val="19"/>
        </w:rPr>
        <w:t>UI 原型交互：</w:t>
      </w:r>
      <w:r>
        <w:rPr>
          <w:rFonts w:ascii="微软雅黑" w:hAnsi="微软雅黑"/>
          <w:color w:val="1F2937"/>
          <w:sz w:val="19"/>
        </w:rPr>
        <w:t>1. 顶层切换：支持【经营单位及项目公司整体指标】、【产品管控指标】与【关键制造工序能耗管控指标】三大核心板块；</w:t>
        <w:br/>
        <w:t>2. 组织联动：左侧 StandardOrgTree 六级组织树驱动右侧数据联动，支持产业集团、二级公司及车间级下钻；</w:t>
        <w:br/>
        <w:t>3. Mode B 详情展开：点击任意指标卡片平滑展开 Mode B 详情内页，呈现指标标准定义、分子分母工程物理量、核算公式、仪表点位路径、近 12 个月趋势图与底层水电气汽折标台账。</w:t>
      </w:r>
    </w:p>
    <w:p>
      <w:pPr>
        <w:pStyle w:val="Heading3"/>
        <w:keepNext/>
        <w:spacing w:before="180" w:after="60"/>
      </w:pPr>
      <w:r>
        <w:rPr>
          <w:rFonts w:ascii="微软雅黑" w:hAnsi="微软雅黑"/>
          <w:b/>
          <w:color w:val="1E3A8A"/>
          <w:sz w:val="21"/>
        </w:rPr>
        <w:t>5.1.1 板块一：经营单位及项目公司整体指标 (10 项核心指标)</w:t>
      </w:r>
    </w:p>
    <w:tbl>
      <w:tblPr>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rPr>
          <w:tblHeader/>
        </w:trPr>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指标代码</w:t>
            </w:r>
          </w:p>
        </w:tc>
        <w:tc>
          <w:tcPr>
            <w:tcW w:type="dxa" w:w="201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指标中文名称</w:t>
            </w:r>
          </w:p>
        </w:tc>
        <w:tc>
          <w:tcPr>
            <w:tcW w:type="dxa" w:w="100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单位</w:t>
            </w:r>
          </w:p>
        </w:tc>
        <w:tc>
          <w:tcPr>
            <w:tcW w:type="dxa" w:w="216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核算数学模型</w:t>
            </w:r>
          </w:p>
        </w:tc>
        <w:tc>
          <w:tcPr>
            <w:tcW w:type="dxa" w:w="172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分子来源</w:t>
            </w:r>
          </w:p>
        </w:tc>
        <w:tc>
          <w:tcPr>
            <w:tcW w:type="dxa" w:w="158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分母来源</w:t>
            </w:r>
          </w:p>
        </w:tc>
        <w:tc>
          <w:tcPr>
            <w:tcW w:type="dxa" w:w="72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密级</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gm-total-energy</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综合能源消费量</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tce</w:t>
            </w:r>
          </w:p>
        </w:tc>
        <w:tc>
          <w:tcPr>
            <w:tcW w:type="dxa" w:w="216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E_total = ∑ (E_i × K_i)</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水电气汽等各介质计量表</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国家当量折标系数</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gm-unit-output-energy</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万元产值综合能耗</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tce/万元</w:t>
            </w:r>
          </w:p>
        </w:tc>
        <w:tc>
          <w:tcPr>
            <w:tcW w:type="dxa" w:w="216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e_gdp = (E_total / GDP) × 10000</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综合能源消费量 (tce)</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财务 ERP 月度营业总产值</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gm-unit-output-elec</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万元产值电耗</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kWh/万元</w:t>
            </w:r>
          </w:p>
        </w:tc>
        <w:tc>
          <w:tcPr>
            <w:tcW w:type="dxa" w:w="216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q_elec = (Q_elec / GDP) × 10000</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总用电量 (kWh)</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财务 ERP 月度营业总产值</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gm-unit-output-water</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ESG 万元产值水耗</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m³/万元</w:t>
            </w:r>
          </w:p>
        </w:tc>
        <w:tc>
          <w:tcPr>
            <w:tcW w:type="dxa" w:w="216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q_water = (Q_water / GDP) × 10000</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全厂自来水+地下水总表</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财务 ERP 月度营业总产值</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gm-green-energy-ratio</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综合绿电消纳占比</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16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R_green = (Q_green / Q_total) × 100%</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光伏自用量 + 绿电市场交易量</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全厂总用电量</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gm-energy-cost-ratio</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能源消费成本占比</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16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R_cost = (Cost_energy / Cost_prod) × 100%</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水电气汽总能耗账单金额</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财务系统产品生产制造成本</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L3</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gm-clean-energy-ratio</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清洁能源替代率</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16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R_clean = (E_clean / E_total) × 100%</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电力+天然气等清洁能源折标量</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综合能源消费总量</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gm-equip-efficiency</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重点设备综合效率</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16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η_equip = ∑ (η_j × P_rated_j) / ∑ P_rated_j</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设备在线监测有效做功量</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设备在线监测总输入功量</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gm-waste-heat-ratio</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余热余压利用率</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16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R_waste = (Q_recovered / Q_waste_total) × 100%</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余热锅炉/热泵回收蒸汽与热量</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可回收余热余压理论总量</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gm-carbon-intensity</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万元产值碳排放强度</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tCO2e/万元</w:t>
            </w:r>
          </w:p>
        </w:tc>
        <w:tc>
          <w:tcPr>
            <w:tcW w:type="dxa" w:w="216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I_co2 = (E_GHG / GDP) × 10000</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Scope 1 直接 + Scope 2 间接碳排</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财务 ERP 月度营业总产值</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bl>
    <w:p>
      <w:pPr>
        <w:spacing w:after="60"/>
      </w:pPr>
    </w:p>
    <w:p>
      <w:pPr>
        <w:pStyle w:val="Heading3"/>
        <w:keepNext/>
        <w:spacing w:before="180" w:after="60"/>
      </w:pPr>
      <w:r>
        <w:rPr>
          <w:rFonts w:ascii="微软雅黑" w:hAnsi="微软雅黑"/>
          <w:b/>
          <w:color w:val="1E3A8A"/>
          <w:sz w:val="21"/>
        </w:rPr>
        <w:t>5.1.2 板块二：产品管控指标 (5 项产品单位产品能耗指标)</w:t>
      </w:r>
    </w:p>
    <w:p>
      <w:pPr>
        <w:spacing w:after="80" w:line="288" w:lineRule="auto"/>
      </w:pPr>
      <w:r>
        <w:rPr>
          <w:rFonts w:ascii="微软雅黑" w:hAnsi="微软雅黑"/>
          <w:b/>
          <w:color w:val="1E3A8A"/>
          <w:sz w:val="19"/>
        </w:rPr>
        <w:t>算法与单位约束：</w:t>
      </w:r>
      <w:r>
        <w:rPr>
          <w:rFonts w:ascii="微软雅黑" w:hAnsi="微软雅黑"/>
          <w:color w:val="1F2937"/>
          <w:sz w:val="19"/>
        </w:rPr>
        <w:t>【产业分母严格隔离铁律】：</w:t>
        <w:br/>
        <w:t>1. 变压器产业：分母物理量统一为容量【万kVA】（或千伏安 kVA），单位产品综合能耗单位为【tce/万kVA】或【tce/kVA】；</w:t>
        <w:br/>
        <w:t>2. 线缆产业：分母物理量统一为导体规格【万km·mm²】（公里×毫米平方），单位产品综合能耗单位为【tce/万km·mm²】；</w:t>
        <w:br/>
        <w:t>3. QA 防除零拦截：当生产单位月度检修或产量为 0 时，系统后端必须捕获 ZeroDivisionError，前端单耗字段展示“--”，严禁抛出 NaN、Infinity 或引发页面崩溃。</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trPr>
        <w:tc>
          <w:tcPr>
            <w:tcW w:type="dxa" w:w="172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指标编码</w:t>
            </w:r>
          </w:p>
        </w:tc>
        <w:tc>
          <w:tcPr>
            <w:tcW w:type="dxa" w:w="201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产品管控指标名称</w:t>
            </w:r>
          </w:p>
        </w:tc>
        <w:tc>
          <w:tcPr>
            <w:tcW w:type="dxa" w:w="158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变压器产业单位</w:t>
            </w:r>
          </w:p>
        </w:tc>
        <w:tc>
          <w:tcPr>
            <w:tcW w:type="dxa" w:w="172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线缆产业单位</w:t>
            </w:r>
          </w:p>
        </w:tc>
        <w:tc>
          <w:tcPr>
            <w:tcW w:type="dxa" w:w="230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核算数学公式</w:t>
            </w:r>
          </w:p>
        </w:tc>
        <w:tc>
          <w:tcPr>
            <w:tcW w:type="dxa" w:w="72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密级</w:t>
            </w:r>
          </w:p>
        </w:tc>
      </w:tr>
      <w:tr>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pm-unit-energy</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单位产品综合能耗</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tce/万kVA</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tce/万km·mm²</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 = (E_total_period / M_product_period)</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pm-unit-elec</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单位产品电耗</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kWh/kVA</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kWh/km·mm²</w:t>
            </w:r>
          </w:p>
        </w:tc>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q_elec = (Q_elec_period / M_product_period)</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pm-unit-steam</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单位产品蒸汽耗</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GJ/kVA</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GJ/km·mm²</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q_steam = (Q_steam_period / M_product_period)</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pm-unit-gas</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单位产品天然气耗</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m³/kVA</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m³/km·mm²</w:t>
            </w:r>
          </w:p>
        </w:tc>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q_gas = (Q_gas_period / M_product_period)</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pm-unit-water</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单位产品水耗</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t/kVA</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t/km·mm²</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q_water = (Q_water_period / M_product_period)</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bl>
    <w:p>
      <w:pPr>
        <w:spacing w:after="60"/>
      </w:pPr>
    </w:p>
    <w:p>
      <w:pPr>
        <w:pStyle w:val="Heading3"/>
        <w:keepNext/>
        <w:spacing w:before="180" w:after="60"/>
      </w:pPr>
      <w:r>
        <w:rPr>
          <w:rFonts w:ascii="微软雅黑" w:hAnsi="微软雅黑"/>
          <w:b/>
          <w:color w:val="1E3A8A"/>
          <w:sz w:val="21"/>
        </w:rPr>
        <w:t>5.1.3 板块三：关键制造工序能耗管控指标 (47项工序白名单判定)</w:t>
      </w:r>
    </w:p>
    <w:tbl>
      <w:tblPr>
        <w:tblW w:type="auto" w:w="0"/>
        <w:jc w:val="center"/>
        <w:tblLayout w:type="fixed"/>
        <w:tblLook w:firstColumn="1" w:firstRow="1" w:lastColumn="0" w:lastRow="0" w:noHBand="0" w:noVBand="1" w:val="04A0"/>
      </w:tblPr>
      <w:tblGrid>
        <w:gridCol w:w="9792"/>
      </w:tblGrid>
      <w:tr>
        <w:tc>
          <w:tcPr>
            <w:tcW w:type="dxa" w:w="9648"/>
            <w:shd w:fill="FEF2F2"/>
            <w:tcMar>
              <w:top w:w="100" w:type="dxa"/>
              <w:bottom w:w="100" w:type="dxa"/>
              <w:left w:w="140" w:type="dxa"/>
              <w:right w:w="140" w:type="dxa"/>
            </w:tcMar>
            <w:tcBorders>
              <w:top w:val="none"/>
              <w:left w:val="single" w:color="DC2626" w:sz="24"/>
              <w:bottom w:val="none"/>
              <w:right w:val="none"/>
            </w:tcBorders>
          </w:tcPr>
          <w:p>
            <w:pPr>
              <w:spacing w:after="40"/>
            </w:pPr>
            <w:r>
              <w:rPr>
                <w:rFonts w:ascii="微软雅黑" w:hAnsi="微软雅黑"/>
                <w:b/>
                <w:color w:val="DC2626"/>
                <w:sz w:val="19"/>
              </w:rPr>
              <w:t>📌 【权威工序白名单与客观判空铁律】</w:t>
              <w:br/>
            </w:r>
            <w:r>
              <w:rPr>
                <w:rFonts w:ascii="微软雅黑" w:hAnsi="微软雅黑"/>
                <w:color w:val="1F2937"/>
                <w:sz w:val="18"/>
              </w:rPr>
              <w:t>【权威工序白名单判定与单行极简判空规则】</w:t>
              <w:br/>
              <w:t>依据集团《生产单位与涉及关键工序对应表(1).et》，全集团下属单位划分为两类：</w:t>
              <w:br/>
              <w:t>1. 实体制造单位（沈变、衡变、新变、鲁缆、新缆、德缆等）：仅展示其业务真实涉及的制造工序（如变压器绕制、铁芯叠装、真空干燥固化；线缆拉丝、绝缘挤出、交联等）；</w:t>
              <w:br/>
              <w:t>2. 10 家无工序单位（沈变智慧能源、衡变智慧能源、新变智慧能源、鲁缆智慧能源、天池能源管理、科技投资、新能源集控、特变电装总部、进出口贸易、工程建设）：</w:t>
              <w:br/>
              <w:t xml:space="preserve">   - 在切换至该类单位时，工序管控区域整行必须精准输出单行干练结论：【暂无相关工序！】；</w:t>
              <w:br/>
              <w:t xml:space="preserve">   - 严禁出现空白占位卡片，严禁出现“由于白名单未配置因此无工序...”等主观解释说教文案；</w:t>
              <w:br/>
              <w:t xml:space="preserve">   - 状态自解释：激活态仅由边框高亮呈现，严禁在卡片右上角增加“已联动过滤”等过程标签。</w:t>
            </w:r>
          </w:p>
        </w:tc>
      </w:tr>
    </w:tbl>
    <w:p>
      <w:pPr>
        <w:spacing w:after="40"/>
      </w:pPr>
    </w:p>
    <w:p>
      <w:pPr>
        <w:pStyle w:val="Heading3"/>
        <w:keepNext/>
        <w:spacing w:before="180" w:after="60"/>
      </w:pPr>
      <w:r>
        <w:rPr>
          <w:rFonts w:ascii="微软雅黑" w:hAnsi="微软雅黑"/>
          <w:b/>
          <w:color w:val="1E3A8A"/>
          <w:sz w:val="21"/>
        </w:rPr>
        <w:t>5.1.4 Mode B 深入分析内页数据字典与台账结构</w:t>
      </w:r>
    </w:p>
    <w:p>
      <w:pPr>
        <w:spacing w:after="80" w:line="288" w:lineRule="auto"/>
      </w:pPr>
      <w:r>
        <w:rPr>
          <w:rFonts w:ascii="微软雅黑" w:hAnsi="微软雅黑"/>
          <w:color w:val="1F2937"/>
          <w:sz w:val="19"/>
        </w:rPr>
        <w:t>在 Mode B 展开视图中，底部固定渲染【水电气汽四介质折标历史台账表】，表格行高强制固定为 44px (h-[44px])，垂直居中。</w:t>
      </w:r>
    </w:p>
    <w:tbl>
      <w:tblPr>
        <w:tblW w:type="auto" w:w="0"/>
        <w:jc w:val="center"/>
        <w:tblLayout w:type="fixed"/>
        <w:tblLook w:firstColumn="1" w:firstRow="1" w:lastColumn="0" w:lastRow="0" w:noHBand="0" w:noVBand="1" w:val="04A0"/>
      </w:tblPr>
      <w:tblGrid>
        <w:gridCol w:w="1088"/>
        <w:gridCol w:w="1088"/>
        <w:gridCol w:w="1088"/>
        <w:gridCol w:w="1088"/>
        <w:gridCol w:w="1088"/>
        <w:gridCol w:w="1088"/>
        <w:gridCol w:w="1088"/>
        <w:gridCol w:w="1088"/>
        <w:gridCol w:w="1088"/>
      </w:tblGrid>
      <w:tr>
        <w:trPr>
          <w:tblHeader/>
        </w:trPr>
        <w:tc>
          <w:tcPr>
            <w:tcW w:type="dxa" w:w="144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介质分类</w:t>
            </w:r>
          </w:p>
        </w:tc>
        <w:tc>
          <w:tcPr>
            <w:tcW w:type="dxa" w:w="172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计量表计编码</w:t>
            </w:r>
          </w:p>
        </w:tc>
        <w:tc>
          <w:tcPr>
            <w:tcW w:type="dxa" w:w="201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安装点位/回路</w:t>
            </w:r>
          </w:p>
        </w:tc>
        <w:tc>
          <w:tcPr>
            <w:tcW w:type="dxa" w:w="115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起码读数</w:t>
            </w:r>
          </w:p>
        </w:tc>
        <w:tc>
          <w:tcPr>
            <w:tcW w:type="dxa" w:w="115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止码读数</w:t>
            </w:r>
          </w:p>
        </w:tc>
        <w:tc>
          <w:tcPr>
            <w:tcW w:type="dxa" w:w="72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倍率</w:t>
            </w:r>
          </w:p>
        </w:tc>
        <w:tc>
          <w:tcPr>
            <w:tcW w:type="dxa" w:w="158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实物消费量</w:t>
            </w:r>
          </w:p>
        </w:tc>
        <w:tc>
          <w:tcPr>
            <w:tcW w:type="dxa" w:w="144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折标系数</w:t>
            </w:r>
          </w:p>
        </w:tc>
        <w:tc>
          <w:tcPr>
            <w:tcW w:type="dxa" w:w="12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折标能耗(tce)</w:t>
            </w:r>
          </w:p>
        </w:tc>
      </w:tr>
      <w:tr>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电力 (市电)</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EM-SB-TR01-01</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10kV 1#主变进线柜</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14,250.00</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15,890.00</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80.0</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131,200.00 kWh</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0.1229 kgce/kWh</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16.12</w:t>
            </w:r>
          </w:p>
        </w:tc>
      </w:tr>
      <w:tr>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电力 (光伏)</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EM-SB-PV01-02</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35kV 厂房屋顶光伏并网点</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8,200.00</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9,150.00</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40.0</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38,000.00 kWh</w:t>
            </w:r>
          </w:p>
        </w:tc>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0.1229 kgce/kWh</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4.67</w:t>
            </w:r>
          </w:p>
        </w:tc>
      </w:tr>
      <w:tr>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外购蒸汽</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SM-SB-DRY02</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真空干燥固化车间进汽总管</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1,120.50</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1,265.80</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1.0</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145.30 t</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0.1286 kgce/kg</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18.69</w:t>
            </w:r>
          </w:p>
        </w:tc>
      </w:tr>
      <w:tr>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天然气</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GM-SB-FURN01</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退火炉燃气调压站出口</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45,210.00</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46,380.00</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1.0</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1,170.00 m³</w:t>
            </w:r>
          </w:p>
        </w:tc>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1.2143 kgce/m³</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1.42</w:t>
            </w:r>
          </w:p>
        </w:tc>
      </w:tr>
      <w:tr>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自来水</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WM-SB-MAIN01</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变压器园区市政供水总表</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22,400.00</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22,820.00</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1.0</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420.00 m³</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0.2571 kgce/t</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0.11</w:t>
            </w:r>
          </w:p>
        </w:tc>
      </w:tr>
    </w:tbl>
    <w:p>
      <w:pPr>
        <w:spacing w:after="60"/>
      </w:pPr>
    </w:p>
    <w:p>
      <w:pPr>
        <w:pStyle w:val="Heading3"/>
        <w:keepNext/>
        <w:spacing w:before="180" w:after="60"/>
      </w:pPr>
      <w:r>
        <w:rPr>
          <w:rFonts w:ascii="微软雅黑" w:hAnsi="微软雅黑"/>
          <w:b/>
          <w:color w:val="1E3A8A"/>
          <w:sz w:val="21"/>
        </w:rPr>
        <w:t>5.2 用能在线监测 (NAV-ZC-MON-USAGE · /zero-carbon/monitor/online/usage)</w:t>
      </w:r>
    </w:p>
    <w:p>
      <w:pPr>
        <w:spacing w:after="80" w:line="288" w:lineRule="auto"/>
      </w:pPr>
      <w:r>
        <w:rPr>
          <w:rFonts w:ascii="微软雅黑" w:hAnsi="微软雅黑"/>
          <w:b/>
          <w:color w:val="1E3A8A"/>
          <w:sz w:val="19"/>
        </w:rPr>
        <w:t>功能交互规格：</w:t>
      </w:r>
      <w:r>
        <w:rPr>
          <w:rFonts w:ascii="微软雅黑" w:hAnsi="微软雅黑"/>
          <w:color w:val="1F2937"/>
          <w:sz w:val="19"/>
        </w:rPr>
        <w:t>1. 拓扑树规范：左侧固定采用【园区 ➔ 企业】两级拓扑树，未接入单位纯字体置灰禁用（opacity-35, cursor-not-allowed）；</w:t>
        <w:br/>
        <w:t>2. 顶部全局控制：支持“日监测”与“跨月区间选择器”（如 2026年01月 至 2026年08月），下方折线图 X 轴随之联动为各月份；</w:t>
        <w:br/>
        <w:t>3. 能源介质智能自适应与联动替换（双端同构铁律）：</w:t>
        <w:br/>
        <w:t xml:space="preserve">   - 选中电力介质（总用电量、市电量、直供绿电）：展示【当日/当月总体峰平谷构成】（尖/峰/平/谷 2×2 微卡片 + 逐时/逐日连续堆叠柱状图）；</w:t>
        <w:br/>
        <w:t xml:space="preserve">   - 选中非电介质（水资源、天然气、外购蒸汽、柴油、液氮）：彻底移除峰平谷字样与图表，100% 动态联动替换为【该介质重点工序/车间消耗结构与时段负荷分布】（左侧圆环图，右侧连续采样走势与额定基准对比）；</w:t>
        <w:br/>
        <w:t>4. 44px 工业高密表格：底部实时台账表格行高强制固定为 44px (h-[44px])，垂直居中。</w:t>
      </w:r>
    </w:p>
    <w:tbl>
      <w:tblPr>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rPr>
          <w:tblHeader/>
        </w:trPr>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字段标识</w:t>
            </w:r>
          </w:p>
        </w:tc>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字段中文名称</w:t>
            </w:r>
          </w:p>
        </w:tc>
        <w:tc>
          <w:tcPr>
            <w:tcW w:type="dxa" w:w="12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数据类型</w:t>
            </w:r>
          </w:p>
        </w:tc>
        <w:tc>
          <w:tcPr>
            <w:tcW w:type="dxa" w:w="12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工程单位</w:t>
            </w:r>
          </w:p>
        </w:tc>
        <w:tc>
          <w:tcPr>
            <w:tcW w:type="dxa" w:w="172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采集来源</w:t>
            </w:r>
          </w:p>
        </w:tc>
        <w:tc>
          <w:tcPr>
            <w:tcW w:type="dxa" w:w="172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校验与防错规则</w:t>
            </w:r>
          </w:p>
        </w:tc>
        <w:tc>
          <w:tcPr>
            <w:tcW w:type="dxa" w:w="72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密级</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timestamp</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数据采集时间戳</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DateTime</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YYYY-MM-DD HH:mm</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IoT 采集网关时序同步</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非空，不得晚于当前服务器时间</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meter_code</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能源计量表计编码</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String(32)</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计量资产档案台账</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字母数字下划线，唯一主键</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medium_type</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能源介质类型</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Enum</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电/水/气/汽/油/氮</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介质配置字典</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必须在 6 类受控介质枚举内</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val_peak_sharp</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尖峰时段用电量</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kWh</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TOU 时段电表寄存器</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0.00 (非电介质时置空)</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val_peak</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高峰时段用电量</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kWh</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TOU 时段电表寄存器</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0.00 (非电介质时置空)</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val_flat</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平时段用电量</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kWh</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TOU 时段电表寄存器</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0.00 (非电介质时置空)</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val_valley</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低谷时段用电量</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kWh</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TOU 时段电表寄存器</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0.00 (非电介质时置空)</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actual_consumption</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实物消耗量</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Decimal(12,2)</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kWh / m³ / t</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止码 - 起码 × 倍率</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0.00，突增超 200% 告警</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tce_consumption</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折标准煤能源量</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Decimal(10,4)</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tce</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实物量 × GB/T 2589系数</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0.0000</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bl>
    <w:p>
      <w:pPr>
        <w:spacing w:after="60"/>
      </w:pPr>
    </w:p>
    <w:tbl>
      <w:tblPr>
        <w:tblW w:type="auto" w:w="0"/>
        <w:jc w:val="center"/>
        <w:tblLayout w:type="fixed"/>
        <w:tblLook w:firstColumn="1" w:firstRow="1" w:lastColumn="0" w:lastRow="0" w:noHBand="0" w:noVBand="1" w:val="04A0"/>
      </w:tblPr>
      <w:tblGrid>
        <w:gridCol w:w="9792"/>
      </w:tblGrid>
      <w:tr>
        <w:tc>
          <w:tcPr>
            <w:tcW w:type="dxa" w:w="9648"/>
            <w:shd w:fill="F5F3FF"/>
            <w:tcMar>
              <w:top w:w="90" w:type="dxa"/>
              <w:bottom w:w="90" w:type="dxa"/>
              <w:left w:w="130" w:type="dxa"/>
              <w:right w:w="130" w:type="dxa"/>
            </w:tcMar>
            <w:tcBorders>
              <w:top w:val="none"/>
              <w:left w:val="single" w:color="7C3AED" w:sz="24"/>
              <w:bottom w:val="none"/>
              <w:right w:val="none"/>
            </w:tcBorders>
          </w:tcPr>
          <w:p>
            <w:pPr>
              <w:spacing w:after="40"/>
            </w:pPr>
            <w:r>
              <w:rPr>
                <w:rFonts w:ascii="微软雅黑" w:hAnsi="微软雅黑"/>
                <w:b/>
                <w:color w:val="7C3AED"/>
                <w:sz w:val="18"/>
              </w:rPr>
              <w:t>🧪 【QA 自动化验收准则 · Gherkin 用例】 Feature: 用能在线监测非电介质智能替换</w:t>
              <w:br/>
            </w:r>
            <w:r>
              <w:rPr>
                <w:rFonts w:ascii="Consolas" w:hAnsi="Consolas"/>
                <w:b/>
                <w:color w:val="1E3A8A"/>
                <w:sz w:val="17"/>
              </w:rPr>
              <w:t>Scenario: 点击非电介质时彻底移除用电峰平谷并替换为工序消耗结构</w:t>
              <w:br/>
            </w:r>
            <w:r>
              <w:rPr>
                <w:rFonts w:ascii="Consolas" w:hAnsi="Consolas"/>
                <w:color w:val="1F2937"/>
                <w:sz w:val="17"/>
              </w:rPr>
              <w:t xml:space="preserve">  Given 用户处于用能在线监测页面，当前选中【电力介质】，下方展示尖峰平谷圆环图与堆叠柱状图</w:t>
              <w:br/>
            </w:r>
            <w:r>
              <w:rPr>
                <w:rFonts w:ascii="Consolas" w:hAnsi="Consolas"/>
                <w:color w:val="1F2937"/>
                <w:sz w:val="17"/>
              </w:rPr>
              <w:t xml:space="preserve">  When  用户点击上方介质切换卡片中的【外购蒸汽】</w:t>
              <w:br/>
            </w:r>
            <w:r>
              <w:rPr>
                <w:rFonts w:ascii="Consolas" w:hAnsi="Consolas"/>
                <w:b/>
                <w:color w:val="16A34A"/>
                <w:sz w:val="17"/>
              </w:rPr>
              <w:t xml:space="preserve">  Then  系统彻底卸载峰平谷相关组件与文本，平滑动态替换为左侧重点车间用汽占比圆环图及右侧蒸汽管道压力负荷曲线，0 报错且完全符合双端同构</w:t>
            </w:r>
          </w:p>
        </w:tc>
      </w:tr>
    </w:tbl>
    <w:p>
      <w:pPr>
        <w:spacing w:after="40"/>
      </w:pPr>
    </w:p>
    <w:p>
      <w:pPr>
        <w:pStyle w:val="Heading3"/>
        <w:keepNext/>
        <w:spacing w:before="180" w:after="60"/>
      </w:pPr>
      <w:r>
        <w:rPr>
          <w:rFonts w:ascii="微软雅黑" w:hAnsi="微软雅黑"/>
          <w:b/>
          <w:color w:val="1E3A8A"/>
          <w:sz w:val="21"/>
        </w:rPr>
        <w:t>5.3 设备在线监测 (NAV-ZC-MON-EQP · /zero-carbon/monitor/online/equipment)</w:t>
      </w:r>
    </w:p>
    <w:p>
      <w:pPr>
        <w:spacing w:after="80" w:line="288" w:lineRule="auto"/>
      </w:pPr>
      <w:r>
        <w:rPr>
          <w:rFonts w:ascii="微软雅黑" w:hAnsi="微软雅黑"/>
          <w:b/>
          <w:color w:val="1E3A8A"/>
          <w:sz w:val="19"/>
        </w:rPr>
        <w:t>功能交互规则：</w:t>
      </w:r>
      <w:r>
        <w:rPr>
          <w:rFonts w:ascii="微软雅黑" w:hAnsi="微软雅黑"/>
          <w:color w:val="1F2937"/>
          <w:sz w:val="19"/>
        </w:rPr>
        <w:t>1. 拓扑树规范：左侧展示【企业 ➔ 设备】（全量纳入 23 台电力驱动设备与 9 台热力用能设备），设备节点前置语义图标（Zap/Flame），彻底剥离末尾冗余胶囊徽章；未接入单位字体置灰禁用；</w:t>
        <w:br/>
        <w:t>2. 核心自适应机制：选中电力设备自动呈现有功功率、累计电量、功率因数与负荷率（环比维度）；选中热力设备自动呈现瞬时蒸汽流量、蒸汽消耗量、供汽压力与供汽温度；</w:t>
        <w:br/>
        <w:t>3. 客观中立准则：工况对比统一使用时序“环比”（如负荷率环比 +1.8%），严禁出现主观评价文字（如“电能品质优良”等）。原“管道工作压力”统一标准化更名为【蒸汽消耗量】。</w:t>
      </w:r>
    </w:p>
    <w:tbl>
      <w:tblPr>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rPr>
          <w:tblHeader/>
        </w:trPr>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字段标识</w:t>
            </w:r>
          </w:p>
        </w:tc>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字段中文名称</w:t>
            </w:r>
          </w:p>
        </w:tc>
        <w:tc>
          <w:tcPr>
            <w:tcW w:type="dxa" w:w="12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数据类型</w:t>
            </w:r>
          </w:p>
        </w:tc>
        <w:tc>
          <w:tcPr>
            <w:tcW w:type="dxa" w:w="115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工程单位</w:t>
            </w:r>
          </w:p>
        </w:tc>
        <w:tc>
          <w:tcPr>
            <w:tcW w:type="dxa" w:w="12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适用设备类型</w:t>
            </w:r>
          </w:p>
        </w:tc>
        <w:tc>
          <w:tcPr>
            <w:tcW w:type="dxa" w:w="201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计算模型/来源</w:t>
            </w:r>
          </w:p>
        </w:tc>
        <w:tc>
          <w:tcPr>
            <w:tcW w:type="dxa" w:w="72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密级</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real_power_kw</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实时有功功率</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Decimal(8,2)</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kW</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电力设备</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P = √3 × U × I × cosφ / 1s采集</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elec_total_kwh</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累计用电量</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Decimal(12,2)</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kWh</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电力设备</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电能表底数累加，每日0点清零日累计</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power_factor</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运行功率因数</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Decimal(4,3)</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cosφ</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电力设备</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cosφ = P / S (有功功率 / 视在功率)</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load_ratio</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设备负荷率</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Decimal(5,2)</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电力/热力</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Load = (P_actual / P_rated) × 100%</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load_mom</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负荷率环比变动</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String(16)</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电力/热力</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MoM = (Load_t - Load_t-1) / Load_t-1</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steam_flow_th</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瞬时蒸汽流量</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Decimal(6,2)</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t/h</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热力设备</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涡街/孔板流量计温度压力补偿积算</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steam_consumption</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蒸汽消耗量</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热力设备</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瞬时流量时间积分累加量</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steam_pressure_mpa</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供汽管道工作压力</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Decimal(5,2)</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MPa</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热力设备</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压力变送器 4-20mA 实时遥测</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bl>
    <w:p>
      <w:pPr>
        <w:spacing w:after="60"/>
      </w:pPr>
    </w:p>
    <w:p>
      <w:pPr>
        <w:pStyle w:val="Heading3"/>
        <w:keepNext/>
        <w:spacing w:before="180" w:after="60"/>
      </w:pPr>
      <w:r>
        <w:rPr>
          <w:rFonts w:ascii="微软雅黑" w:hAnsi="微软雅黑"/>
          <w:b/>
          <w:color w:val="1E3A8A"/>
          <w:sz w:val="21"/>
        </w:rPr>
        <w:t>5.4 工业微电网与能源碳排放监测</w:t>
      </w:r>
    </w:p>
    <w:p>
      <w:pPr>
        <w:spacing w:after="80" w:line="288" w:lineRule="auto"/>
      </w:pPr>
      <w:r>
        <w:rPr>
          <w:rFonts w:ascii="微软雅黑" w:hAnsi="微软雅黑"/>
          <w:b/>
          <w:color w:val="1E3A8A"/>
          <w:sz w:val="19"/>
        </w:rPr>
        <w:t>功能概述：</w:t>
      </w:r>
      <w:r>
        <w:rPr>
          <w:rFonts w:ascii="微软雅黑" w:hAnsi="微软雅黑"/>
          <w:color w:val="1F2937"/>
          <w:sz w:val="19"/>
        </w:rPr>
        <w:t>1. 工业微电网监测 (NAV-ZC-MON-MICROGRID · /zero-carbon/monitor/online/microgrid)：</w:t>
        <w:br/>
        <w:t xml:space="preserve">   - 汇聚屋顶分布式光伏、磷酸铁锂储能系统 (PCS+BMS) 及工业负荷构成交直流混合微电网；</w:t>
        <w:br/>
        <w:t xml:space="preserve">   - 核心监控指标：光伏出力曲线 (24h走势)、储能充放电状态 (SOC/SOH/充放功率)、微电网绿电自发自用消纳率 R_micro；</w:t>
        <w:br/>
        <w:t xml:space="preserve">   - 防逆流保护：实时计算下级负荷与光伏出力差额，当倒送电网功率 ≥ 10kW 时，微电网控制器毫秒级调节逆变器有功降额；</w:t>
        <w:br/>
        <w:t>2. 能源碳排放监测 (NAV-ZC-MON-CARBON · /zero-carbon/monitor/carbon)：</w:t>
        <w:br/>
        <w:t xml:space="preserve">   - Scope 1 化石燃烧直接排放：监测厂内退火炉天然气、备用发电机柴油等化石燃料燃烧产生的温室气体；</w:t>
        <w:br/>
        <w:t xml:space="preserve">   - Scope 2 外购电热间接排放：监测外部电网输入电力及热网外购蒸汽隐含排放；</w:t>
        <w:br/>
        <w:t xml:space="preserve">   - 碳减排抵消量：实时计算绿电使用折算的 CO2 减排当量并绘制走势图。</w:t>
      </w:r>
    </w:p>
    <w:tbl>
      <w:tblPr>
        <w:tblW w:type="auto" w:w="0"/>
        <w:jc w:val="center"/>
        <w:tblLayout w:type="fixed"/>
        <w:tblLook w:firstColumn="1" w:firstRow="1" w:lastColumn="0" w:lastRow="0" w:noHBand="0" w:noVBand="1" w:val="04A0"/>
      </w:tblPr>
      <w:tblGrid>
        <w:gridCol w:w="9792"/>
      </w:tblGrid>
      <w:tr>
        <w:tc>
          <w:tcPr>
            <w:tcW w:type="dxa" w:w="9648"/>
            <w:shd w:fill="F0FDF4"/>
            <w:tcMar>
              <w:top w:w="100" w:type="dxa"/>
              <w:bottom w:w="100" w:type="dxa"/>
              <w:left w:w="140" w:type="dxa"/>
              <w:right w:w="140" w:type="dxa"/>
            </w:tcMar>
            <w:tcBorders>
              <w:top w:val="none"/>
              <w:left w:val="single" w:color="16A34A" w:sz="24"/>
              <w:bottom w:val="none"/>
              <w:right w:val="none"/>
            </w:tcBorders>
          </w:tcPr>
          <w:p>
            <w:pPr>
              <w:spacing w:after="40"/>
            </w:pPr>
            <w:r>
              <w:rPr>
                <w:rFonts w:ascii="微软雅黑" w:hAnsi="微软雅黑"/>
                <w:b/>
                <w:color w:val="16A34A"/>
                <w:sz w:val="19"/>
              </w:rPr>
              <w:t>📐 【核心数学模型与算法公式】</w:t>
              <w:br/>
            </w:r>
            <w:r>
              <w:rPr>
                <w:rFonts w:ascii="Consolas" w:hAnsi="Consolas"/>
                <w:b/>
                <w:color w:val="1E3A8A"/>
                <w:sz w:val="19"/>
              </w:rPr>
              <w:t>【核算公式】：E_Scope1 = ∑ [ FC_i × NCV_i × CC_i × OF_i × (44/12) ] ; E_Scope2 = AD_grid × EF_grid + AD_steam × EF_steam</w:t>
              <w:br/>
            </w:r>
            <w:r>
              <w:rPr>
                <w:rFonts w:ascii="微软雅黑" w:hAnsi="微软雅黑"/>
                <w:color w:val="1F2937"/>
                <w:sz w:val="18"/>
              </w:rPr>
              <w:t>【逻辑说明】：符合 GB/T 32150-2015 工业企业温室气体排放核算通则。Scope 1 直接由燃料实物量经低位发热量、单位热值含碳量与氧化率滚算；Scope 2 采用生态环境部最新发布的全国电网平均排放因子 (0.5703 tCO2/MWh) 与区域电网因子动态切换。</w:t>
            </w:r>
            <w:r>
              <w:rPr>
                <w:rFonts w:ascii="微软雅黑" w:hAnsi="微软雅黑"/>
                <w:color w:val="64748B"/>
                <w:sz w:val="17"/>
              </w:rPr>
              <w:br/>
              <w:t>【变量定义与取值约定】：</w:t>
              <w:br/>
              <w:t>FC_i: 燃料消耗量；NCV_i: 平均低位发热量；CC_i: 单位热值含碳量；OF_i: 碳氧化率；EF_grid: 电网排放因子</w:t>
            </w:r>
          </w:p>
        </w:tc>
      </w:tr>
    </w:tbl>
    <w:p>
      <w:pPr>
        <w:spacing w:after="40"/>
      </w:pPr>
    </w:p>
    <w:p>
      <w:pPr>
        <w:pStyle w:val="Heading2"/>
        <w:keepNext/>
        <w:spacing w:before="260" w:after="100"/>
      </w:pPr>
      <w:r>
        <w:rPr>
          <w:rFonts w:ascii="微软雅黑" w:hAnsi="微软雅黑"/>
          <w:b/>
          <w:color w:val="0284C7"/>
          <w:sz w:val="25"/>
        </w:rPr>
        <w:t>第 6 章 一级导航【能耗能效分析】</w:t>
      </w:r>
    </w:p>
    <w:p>
      <w:pPr>
        <w:pStyle w:val="Heading3"/>
        <w:keepNext/>
        <w:spacing w:before="180" w:after="60"/>
      </w:pPr>
      <w:r>
        <w:rPr>
          <w:rFonts w:ascii="微软雅黑" w:hAnsi="微软雅黑"/>
          <w:b/>
          <w:color w:val="1E3A8A"/>
          <w:sz w:val="21"/>
        </w:rPr>
        <w:t>6.1 用能结构分析与成本分析</w:t>
      </w:r>
    </w:p>
    <w:p>
      <w:pPr>
        <w:spacing w:after="80" w:line="288" w:lineRule="auto"/>
      </w:pPr>
      <w:r>
        <w:rPr>
          <w:rFonts w:ascii="微软雅黑" w:hAnsi="微软雅黑"/>
          <w:b/>
          <w:color w:val="1E3A8A"/>
          <w:sz w:val="19"/>
        </w:rPr>
        <w:t>业务模型说明：</w:t>
      </w:r>
      <w:r>
        <w:rPr>
          <w:rFonts w:ascii="微软雅黑" w:hAnsi="微软雅黑"/>
          <w:color w:val="1F2937"/>
          <w:sz w:val="19"/>
        </w:rPr>
        <w:t>1. 用能结构分析 (NAV-ZC-ENG-STRUCT · /zero-carbon/energy/structure)：</w:t>
        <w:br/>
        <w:t xml:space="preserve">   - 绘制电、水、气、汽多能互补能量流向桑基图 (Sankey Flow)，量化多级能量转换与输配损失；</w:t>
        <w:br/>
        <w:t xml:space="preserve">   - 采用南丁格尔玫瑰图与环形图展示各二级公司用能占比与能源品位分布；</w:t>
        <w:br/>
        <w:t>2. 能源成本分析 (NAV-ZC-ENG-COST · /zero-carbon/energy/cost)：</w:t>
        <w:br/>
        <w:t xml:space="preserve">   - TOU 尖峰平谷分时电费优化模型：核算各车间错峰用电度电综合成本，提供需量申报优化与绿色降本测算；</w:t>
        <w:br/>
        <w:t xml:space="preserve">   - 功率因数奖惩电费模型：实时跟踪力率调整电费，避免力调罚款。</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trPr>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字段标识</w:t>
            </w:r>
          </w:p>
        </w:tc>
        <w:tc>
          <w:tcPr>
            <w:tcW w:type="dxa" w:w="201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字段中文名称</w:t>
            </w:r>
          </w:p>
        </w:tc>
        <w:tc>
          <w:tcPr>
            <w:tcW w:type="dxa" w:w="12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数据类型</w:t>
            </w:r>
          </w:p>
        </w:tc>
        <w:tc>
          <w:tcPr>
            <w:tcW w:type="dxa" w:w="115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工程单位</w:t>
            </w:r>
          </w:p>
        </w:tc>
        <w:tc>
          <w:tcPr>
            <w:tcW w:type="dxa" w:w="288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计算模型/来源</w:t>
            </w:r>
          </w:p>
        </w:tc>
        <w:tc>
          <w:tcPr>
            <w:tcW w:type="dxa" w:w="72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密级</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cost_peak_sharp</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尖峰时段电费</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元</w:t>
            </w:r>
          </w:p>
        </w:tc>
        <w:tc>
          <w:tcPr>
            <w:tcW w:type="dxa" w:w="288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Q_尖 × P_尖 (高电价时段)</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cost_peak</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高峰时段电费</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元</w:t>
            </w:r>
          </w:p>
        </w:tc>
        <w:tc>
          <w:tcPr>
            <w:tcW w:type="dxa" w:w="288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Q_峰 × P_峰</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cost_flat</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平时段电费</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元</w:t>
            </w:r>
          </w:p>
        </w:tc>
        <w:tc>
          <w:tcPr>
            <w:tcW w:type="dxa" w:w="288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Q_平 × P_平</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cost_valley</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低谷时段电费</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元</w:t>
            </w:r>
          </w:p>
        </w:tc>
        <w:tc>
          <w:tcPr>
            <w:tcW w:type="dxa" w:w="288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Q_谷 × P_谷 (低电价谷段)</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cost_base</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基本电费</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元</w:t>
            </w:r>
          </w:p>
        </w:tc>
        <w:tc>
          <w:tcPr>
            <w:tcW w:type="dxa" w:w="288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按变压器容量 (元/kVA·月) 或最大需量 (元/kW·月)</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cost_pf_adj</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功率因数调整电费</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Decimal(8,2)</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元</w:t>
            </w:r>
          </w:p>
        </w:tc>
        <w:tc>
          <w:tcPr>
            <w:tcW w:type="dxa" w:w="288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依据国家电力力率调整系数表计算奖惩金额</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cost_total_wan</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总用电成本</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Decimal(12,2)</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万元</w:t>
            </w:r>
          </w:p>
        </w:tc>
        <w:tc>
          <w:tcPr>
            <w:tcW w:type="dxa" w:w="288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分时电费 + 基本电费 ± 力调电费</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avg_elec_price</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综合度电综合单价</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Decimal(6,4)</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元/kWh</w:t>
            </w:r>
          </w:p>
        </w:tc>
        <w:tc>
          <w:tcPr>
            <w:tcW w:type="dxa" w:w="288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总用能费用 / 总用能实物量</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bl>
    <w:p>
      <w:pPr>
        <w:spacing w:after="60"/>
      </w:pPr>
    </w:p>
    <w:p>
      <w:pPr>
        <w:pStyle w:val="Heading3"/>
        <w:keepNext/>
        <w:spacing w:before="180" w:after="60"/>
      </w:pPr>
      <w:r>
        <w:rPr>
          <w:rFonts w:ascii="微软雅黑" w:hAnsi="微软雅黑"/>
          <w:b/>
          <w:color w:val="1E3A8A"/>
          <w:sz w:val="21"/>
        </w:rPr>
        <w:t>6.2 单位产品能耗 (NAV-ZC-ENG-PROD · /zero-carbon/energy/unit-product)</w:t>
      </w:r>
    </w:p>
    <w:p>
      <w:pPr>
        <w:spacing w:after="80" w:line="288" w:lineRule="auto"/>
      </w:pPr>
      <w:r>
        <w:rPr>
          <w:rFonts w:ascii="微软雅黑" w:hAnsi="微软雅黑"/>
          <w:b/>
          <w:color w:val="1E3A8A"/>
          <w:sz w:val="19"/>
        </w:rPr>
        <w:t>算法与工程规则：</w:t>
      </w:r>
      <w:r>
        <w:rPr>
          <w:rFonts w:ascii="微软雅黑" w:hAnsi="微软雅黑"/>
          <w:color w:val="1F2937"/>
          <w:sz w:val="19"/>
        </w:rPr>
        <w:t>1. 产业物理分母严格隔离：</w:t>
        <w:br/>
        <w:t xml:space="preserve">   - 变压器产业：以【kVA】为基准分母，计算单耗 e = E / M_kVA (tce/kVA)；</w:t>
        <w:br/>
        <w:t xml:space="preserve">   - 线缆产业：以【km·mm²】为基准分母，计算单耗 e = E / M_km (tce/km·mm²)；</w:t>
        <w:br/>
        <w:t>2. 纵向对比原则：各基地与车间仅与自身历史同期（同比）或上期（环比）对比，严禁跨产业或跨厂横向拉踩；</w:t>
        <w:br/>
        <w:t>3. QA 除零极限拦截：当月度产量为 0 时，系统自动拦截除以零异常，单耗显示“--”，严禁抛出 NaN 或前端白屏崩溃。</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trPr>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字段标识</w:t>
            </w:r>
          </w:p>
        </w:tc>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字段中文名称</w:t>
            </w:r>
          </w:p>
        </w:tc>
        <w:tc>
          <w:tcPr>
            <w:tcW w:type="dxa" w:w="12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数据类型</w:t>
            </w:r>
          </w:p>
        </w:tc>
        <w:tc>
          <w:tcPr>
            <w:tcW w:type="dxa" w:w="158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工程单位</w:t>
            </w:r>
          </w:p>
        </w:tc>
        <w:tc>
          <w:tcPr>
            <w:tcW w:type="dxa" w:w="259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计算规则与防错逻辑</w:t>
            </w:r>
          </w:p>
        </w:tc>
        <w:tc>
          <w:tcPr>
            <w:tcW w:type="dxa" w:w="72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密级</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product_id</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产品型号编码</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String(32)</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ERP 物料主数据唯一编码</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industry_type</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所属产业分类</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Enum</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变压器/线缆</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严格决定分母物理量量纲</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L0</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period_output</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当期合格品产量</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Decimal(12,2)</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kVA 或 km·mm²</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MES 报工质检入库总量，若为0单耗置“--”</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period_energy_tce</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当期消耗总标煤量</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Decimal(12,4)</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tce</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车间各能源介质按工序分摊折标煤累加</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unit_energy_val</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单位产品综合能耗</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Decimal(8,6)</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tce/kVA 或 tce/km·mm²</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period_energy_tce / period_output</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yoy_percent</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同比变动率</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Decimal(5,2)</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(本期单耗 - 去年同期) / 去年同期 × 100%</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mom_percent</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环比变动率</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Decimal(5,2)</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(本期单耗 - 上月单耗) / 上月单耗 × 100%</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benchmark_diff</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与准入基准偏差</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Decimal(8,6)</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tce/单位</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本期单耗 - 国家准入先进值</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bl>
    <w:p>
      <w:pPr>
        <w:spacing w:after="60"/>
      </w:pPr>
    </w:p>
    <w:p>
      <w:pPr>
        <w:pStyle w:val="Heading3"/>
        <w:keepNext/>
        <w:spacing w:before="180" w:after="60"/>
      </w:pPr>
      <w:r>
        <w:rPr>
          <w:rFonts w:ascii="微软雅黑" w:hAnsi="微软雅黑"/>
          <w:b/>
          <w:color w:val="1E3A8A"/>
          <w:sz w:val="21"/>
        </w:rPr>
        <w:t>6.3 单位产值能耗与对标管理</w:t>
      </w:r>
    </w:p>
    <w:p>
      <w:pPr>
        <w:spacing w:after="80" w:line="288" w:lineRule="auto"/>
      </w:pPr>
      <w:r>
        <w:rPr>
          <w:rFonts w:ascii="微软雅黑" w:hAnsi="微软雅黑"/>
          <w:b/>
          <w:color w:val="1E3A8A"/>
          <w:sz w:val="19"/>
        </w:rPr>
        <w:t>对标规范：</w:t>
      </w:r>
      <w:r>
        <w:rPr>
          <w:rFonts w:ascii="微软雅黑" w:hAnsi="微软雅黑"/>
          <w:color w:val="1F2937"/>
          <w:sz w:val="19"/>
        </w:rPr>
        <w:t>1. 单位产值能耗 (NAV-ZC-ENG-OUTPUT · /zero-carbon/energy/unit-output)：</w:t>
        <w:br/>
        <w:t xml:space="preserve">   - 测算万元产值综合能耗（tce/万元）与万元产值水耗（m³/万元）；</w:t>
        <w:br/>
        <w:t>2. 能效对标管理 (NAV-ZC-ENG-BENCHMARK · /zero-carbon/energy/benchmark)：</w:t>
        <w:br/>
        <w:t xml:space="preserve">   - 引入【国家先进值】、【国家准入值】与【特变电工领跑线】三线对标体系；</w:t>
        <w:br/>
        <w:t xml:space="preserve">   - 图表悬停游标强制微透科技蓝 rgba(56, 189, 248, 0.08)，浅色为 rgba(0, 0, 0, 0.04)，严禁纯白眩光。</w:t>
      </w:r>
    </w:p>
    <w:p>
      <w:pPr>
        <w:pStyle w:val="Heading2"/>
        <w:keepNext/>
        <w:spacing w:before="260" w:after="100"/>
      </w:pPr>
      <w:r>
        <w:rPr>
          <w:rFonts w:ascii="微软雅黑" w:hAnsi="微软雅黑"/>
          <w:b/>
          <w:color w:val="0284C7"/>
          <w:sz w:val="25"/>
        </w:rPr>
        <w:t>第 7 章 一级导航【零碳项目评估】</w:t>
      </w:r>
    </w:p>
    <w:p>
      <w:pPr>
        <w:pStyle w:val="Heading3"/>
        <w:keepNext/>
        <w:spacing w:before="180" w:after="60"/>
      </w:pPr>
      <w:r>
        <w:rPr>
          <w:rFonts w:ascii="微软雅黑" w:hAnsi="微软雅黑"/>
          <w:b/>
          <w:color w:val="1E3A8A"/>
          <w:sz w:val="21"/>
        </w:rPr>
        <w:t>7.1 项目档案、实时监控与节能效益评估</w:t>
      </w:r>
    </w:p>
    <w:p>
      <w:pPr>
        <w:spacing w:after="80" w:line="288" w:lineRule="auto"/>
      </w:pPr>
      <w:r>
        <w:rPr>
          <w:rFonts w:ascii="微软雅黑" w:hAnsi="微软雅黑"/>
          <w:b/>
          <w:color w:val="1E3A8A"/>
          <w:sz w:val="19"/>
        </w:rPr>
        <w:t>功能模块定义：</w:t>
      </w:r>
      <w:r>
        <w:rPr>
          <w:rFonts w:ascii="微软雅黑" w:hAnsi="微软雅黑"/>
          <w:color w:val="1F2937"/>
          <w:sz w:val="19"/>
        </w:rPr>
        <w:t>1. 项目档案 (NAV-ZC-PRJ-ARCHIVE · /zero-carbon/project/archive)：管理光伏电站、蓄冷蓄热、空压机群控、变频改造等技改工程台账；</w:t>
        <w:br/>
        <w:t>2. 实时监控 (NAV-ZC-PRJ-MONITOR · /zero-carbon/project/monitoring)：直连技改项目现场 PLC 与电表，监测实时工况；</w:t>
        <w:br/>
        <w:t>3. 节能效益评估 (NAV-ZC-PRJ-BENEFIT · /zero-carbon/project/benefit)：遵循国际通用 IPMVP 测量与验证 (M&amp;V) 规程，测算节能量、节约费用与动态投资回收期。</w:t>
      </w:r>
    </w:p>
    <w:tbl>
      <w:tblPr>
        <w:tblW w:type="auto" w:w="0"/>
        <w:jc w:val="center"/>
        <w:tblLayout w:type="fixed"/>
        <w:tblLook w:firstColumn="1" w:firstRow="1" w:lastColumn="0" w:lastRow="0" w:noHBand="0" w:noVBand="1" w:val="04A0"/>
      </w:tblPr>
      <w:tblGrid>
        <w:gridCol w:w="9792"/>
      </w:tblGrid>
      <w:tr>
        <w:tc>
          <w:tcPr>
            <w:tcW w:type="dxa" w:w="9648"/>
            <w:shd w:fill="F0FDF4"/>
            <w:tcMar>
              <w:top w:w="100" w:type="dxa"/>
              <w:bottom w:w="100" w:type="dxa"/>
              <w:left w:w="140" w:type="dxa"/>
              <w:right w:w="140" w:type="dxa"/>
            </w:tcMar>
            <w:tcBorders>
              <w:top w:val="none"/>
              <w:left w:val="single" w:color="16A34A" w:sz="24"/>
              <w:bottom w:val="none"/>
              <w:right w:val="none"/>
            </w:tcBorders>
          </w:tcPr>
          <w:p>
            <w:pPr>
              <w:spacing w:after="40"/>
            </w:pPr>
            <w:r>
              <w:rPr>
                <w:rFonts w:ascii="微软雅黑" w:hAnsi="微软雅黑"/>
                <w:b/>
                <w:color w:val="16A34A"/>
                <w:sz w:val="19"/>
              </w:rPr>
              <w:t>📐 【核心数学模型与算法公式】</w:t>
              <w:br/>
            </w:r>
            <w:r>
              <w:rPr>
                <w:rFonts w:ascii="Consolas" w:hAnsi="Consolas"/>
                <w:b/>
                <w:color w:val="1E3A8A"/>
                <w:sz w:val="19"/>
              </w:rPr>
              <w:t>【核算公式】：E_saved = ( E_baseline - E_post ) ± △E_adj ; PBP_dynamic = ln( CF / (CF - I_0 × r) ) / ln(1 + r)</w:t>
              <w:br/>
            </w:r>
            <w:r>
              <w:rPr>
                <w:rFonts w:ascii="微软雅黑" w:hAnsi="微软雅黑"/>
                <w:color w:val="1F2937"/>
                <w:sz w:val="18"/>
              </w:rPr>
              <w:t>【逻辑说明】：依据国际 IPMVP 规程选项 B/C 建立基线能耗模型，排除气象温湿度与产量波动影响；计算动态投资回收期（考虑资金贴现率 r）。</w:t>
            </w:r>
            <w:r>
              <w:rPr>
                <w:rFonts w:ascii="微软雅黑" w:hAnsi="微软雅黑"/>
                <w:color w:val="64748B"/>
                <w:sz w:val="17"/>
              </w:rPr>
              <w:br/>
              <w:t>【变量定义与取值约定】：</w:t>
              <w:br/>
              <w:t>E_baseline: 基准期调整后能耗；E_post: 改造后实际能耗；△E_adj: 生产工况修正量；I_0: 技改初次投资；CF: 年净节能现金流；r: 贴现率 (基准8%)</w:t>
            </w:r>
          </w:p>
        </w:tc>
      </w:tr>
    </w:tbl>
    <w:p>
      <w:pPr>
        <w:spacing w:after="40"/>
      </w:pPr>
    </w:p>
    <w:p>
      <w:pPr>
        <w:pStyle w:val="Heading3"/>
        <w:keepNext/>
        <w:spacing w:before="180" w:after="60"/>
      </w:pPr>
      <w:r>
        <w:rPr>
          <w:rFonts w:ascii="微软雅黑" w:hAnsi="微软雅黑"/>
          <w:b/>
          <w:color w:val="1E3A8A"/>
          <w:sz w:val="21"/>
        </w:rPr>
        <w:t>7.2 零碳工厂自评估 (NAV-ZC-PRJ-SELF · /zero-carbon/project/self)</w:t>
      </w:r>
    </w:p>
    <w:p>
      <w:pPr>
        <w:spacing w:after="80" w:line="288" w:lineRule="auto"/>
      </w:pPr>
      <w:r>
        <w:rPr>
          <w:rFonts w:ascii="微软雅黑" w:hAnsi="微软雅黑"/>
          <w:b/>
          <w:color w:val="1E3A8A"/>
          <w:sz w:val="19"/>
        </w:rPr>
        <w:t>三层评估架构：</w:t>
      </w:r>
      <w:r>
        <w:rPr>
          <w:rFonts w:ascii="微软雅黑" w:hAnsi="微软雅黑"/>
          <w:color w:val="1F2937"/>
          <w:sz w:val="19"/>
        </w:rPr>
        <w:t>构建三层穿透体系：第 1 层集团大盘雷达与星级分布 ➔ 第 2 层二级公司总分达标率 ➔ 第 3 层工厂 6 大维度 100 分细化考核表：</w:t>
        <w:br/>
        <w:t>- 评级星级标准：五星级 (≥90分)、四星级 (80~89分)、三星级 (70~79分)、未达标 (&lt;70分)。</w:t>
      </w:r>
    </w:p>
    <w:tbl>
      <w:tblPr>
        <w:tblW w:type="auto" w:w="0"/>
        <w:jc w:val="center"/>
        <w:tblLayout w:type="fixed"/>
        <w:tblLook w:firstColumn="1" w:firstRow="1" w:lastColumn="0" w:lastRow="0" w:noHBand="0" w:noVBand="1" w:val="04A0"/>
      </w:tblPr>
      <w:tblGrid>
        <w:gridCol w:w="2448"/>
        <w:gridCol w:w="2448"/>
        <w:gridCol w:w="2448"/>
        <w:gridCol w:w="2448"/>
      </w:tblGrid>
      <w:tr>
        <w:trPr>
          <w:tblHeader/>
        </w:trPr>
        <w:tc>
          <w:tcPr>
            <w:tcW w:type="dxa" w:w="158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评估维度</w:t>
            </w:r>
          </w:p>
        </w:tc>
        <w:tc>
          <w:tcPr>
            <w:tcW w:type="dxa" w:w="115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标准分值</w:t>
            </w:r>
          </w:p>
        </w:tc>
        <w:tc>
          <w:tcPr>
            <w:tcW w:type="dxa" w:w="403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核心考评条款与扣分规则</w:t>
            </w:r>
          </w:p>
        </w:tc>
        <w:tc>
          <w:tcPr>
            <w:tcW w:type="dxa" w:w="288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数据来源与佐证材料</w:t>
            </w:r>
          </w:p>
        </w:tc>
      </w:tr>
      <w:tr>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基础设施</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15 分</w:t>
            </w:r>
          </w:p>
        </w:tc>
        <w:tc>
          <w:tcPr>
            <w:tcW w:type="dxa" w:w="403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厂房采光天窗采光比、一级能效节能变压器配置率。不达标扣 2 分/项</w:t>
            </w:r>
          </w:p>
        </w:tc>
        <w:tc>
          <w:tcPr>
            <w:tcW w:type="dxa" w:w="288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基础设施台账、工程竣工图纸</w:t>
            </w:r>
          </w:p>
        </w:tc>
      </w:tr>
      <w:tr>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能源利用</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30 分</w:t>
            </w:r>
          </w:p>
        </w:tc>
        <w:tc>
          <w:tcPr>
            <w:tcW w:type="dxa" w:w="403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屋顶分布式光伏消纳率(≥30%)、储能削峰填谷、工业余热余压回收。消纳每低 5% 扣 2 分</w:t>
            </w:r>
          </w:p>
        </w:tc>
        <w:tc>
          <w:tcPr>
            <w:tcW w:type="dxa" w:w="288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微电网采集数据、绿电交易凭证</w:t>
            </w:r>
          </w:p>
        </w:tc>
      </w:tr>
      <w:tr>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产品生态</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20 分</w:t>
            </w:r>
          </w:p>
        </w:tc>
        <w:tc>
          <w:tcPr>
            <w:tcW w:type="dxa" w:w="403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主力产品全生命周期 LCA 碳足迹认证、绿色包装材料使用率。出口产品无碳标签扣 3 分</w:t>
            </w:r>
          </w:p>
        </w:tc>
        <w:tc>
          <w:tcPr>
            <w:tcW w:type="dxa" w:w="288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ISO 14067 第三方认证证书</w:t>
            </w:r>
          </w:p>
        </w:tc>
      </w:tr>
      <w:tr>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温室气体</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15 分</w:t>
            </w:r>
          </w:p>
        </w:tc>
        <w:tc>
          <w:tcPr>
            <w:tcW w:type="dxa" w:w="403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ISO 14064 组织碳盘查报告、年度减排目标达成率。未出具盘查报告扣 5 分</w:t>
            </w:r>
          </w:p>
        </w:tc>
        <w:tc>
          <w:tcPr>
            <w:tcW w:type="dxa" w:w="288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权威第三方核查声明</w:t>
            </w:r>
          </w:p>
        </w:tc>
      </w:tr>
      <w:tr>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碳抵消</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10 分</w:t>
            </w:r>
          </w:p>
        </w:tc>
        <w:tc>
          <w:tcPr>
            <w:tcW w:type="dxa" w:w="403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国家绿色电力证书 (GEC) 批量核销、CCER 碳资产抵消额度。未核销绿证扣 3 分</w:t>
            </w:r>
          </w:p>
        </w:tc>
        <w:tc>
          <w:tcPr>
            <w:tcW w:type="dxa" w:w="288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国家绿证平台核销证明文件</w:t>
            </w:r>
          </w:p>
        </w:tc>
      </w:tr>
      <w:tr>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运营管理</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10 分</w:t>
            </w:r>
          </w:p>
        </w:tc>
        <w:tc>
          <w:tcPr>
            <w:tcW w:type="dxa" w:w="403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ISO 50001 能源管理体系认证、专职能碳工程师岗位。体系未年审扣 3 分</w:t>
            </w:r>
          </w:p>
        </w:tc>
        <w:tc>
          <w:tcPr>
            <w:tcW w:type="dxa" w:w="288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体系证书、管理制度任命文件</w:t>
            </w:r>
          </w:p>
        </w:tc>
      </w:tr>
    </w:tbl>
    <w:p>
      <w:pPr>
        <w:spacing w:after="60"/>
      </w:pPr>
    </w:p>
    <w:p>
      <w:pPr>
        <w:pStyle w:val="Heading2"/>
        <w:keepNext/>
        <w:spacing w:before="260" w:after="100"/>
      </w:pPr>
      <w:r>
        <w:rPr>
          <w:rFonts w:ascii="微软雅黑" w:hAnsi="微软雅黑"/>
          <w:b/>
          <w:color w:val="0284C7"/>
          <w:sz w:val="25"/>
        </w:rPr>
        <w:t>第 8 章 一级导航【统计报表】</w:t>
      </w:r>
    </w:p>
    <w:p>
      <w:pPr>
        <w:spacing w:after="80" w:line="288" w:lineRule="auto"/>
      </w:pPr>
      <w:r>
        <w:rPr>
          <w:rFonts w:ascii="微软雅黑" w:hAnsi="微软雅黑"/>
          <w:b/>
          <w:color w:val="1E3A8A"/>
          <w:sz w:val="19"/>
        </w:rPr>
        <w:t>功能要求：</w:t>
      </w:r>
      <w:r>
        <w:rPr>
          <w:rFonts w:ascii="微软雅黑" w:hAnsi="微软雅黑"/>
          <w:color w:val="1F2937"/>
          <w:sz w:val="19"/>
        </w:rPr>
        <w:t>涵盖用能报表 (NAV-ZC-RPT-USAGE)、成本报表 (NAV-ZC-RPT-COST)、单耗报表 (NAV-ZC-RPT-UNIT) 与碳排报表 (NAV-ZC-RPT-CARBON)。</w:t>
        <w:br/>
        <w:t>1. 44px 强制行高：所有表格 &lt;tr&gt; 高度固定为 44px，垂直居中；</w:t>
        <w:br/>
        <w:t>2. 产业分类隔离：变压器以 kVA 汇算，线缆以 km·mm² 汇算；</w:t>
        <w:br/>
        <w:t>3. 防伪动态水印：导出 Excel/PDF 强制注入导出员工号、姓名、操作时间戳与防截屏防篡改哈希校验码。</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trPr>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报表字段</w:t>
            </w:r>
          </w:p>
        </w:tc>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字段中文名称</w:t>
            </w:r>
          </w:p>
        </w:tc>
        <w:tc>
          <w:tcPr>
            <w:tcW w:type="dxa" w:w="12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数据类型</w:t>
            </w:r>
          </w:p>
        </w:tc>
        <w:tc>
          <w:tcPr>
            <w:tcW w:type="dxa" w:w="12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工程单位</w:t>
            </w:r>
          </w:p>
        </w:tc>
        <w:tc>
          <w:tcPr>
            <w:tcW w:type="dxa" w:w="259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聚合滚算规则</w:t>
            </w:r>
          </w:p>
        </w:tc>
        <w:tc>
          <w:tcPr>
            <w:tcW w:type="dxa" w:w="72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密级</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report_period</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统计周期标签</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String(16)</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日/月/年</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日报按0点截断，月报按自然月自然闭环</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org_name</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组织节点名称</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String(64)</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集团/产业/二级公司/车间层级树</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elec_consumption</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用电量总计</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Decimal(12,2)</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kWh</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(尖峰 + 高峰 + 平段 + 低谷)</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water_consumption</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自来水用量</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m³</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市政总表与自备井流量累加</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steam_consumption</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外购蒸汽量</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车间进汽流量计温压补偿积算</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gas_consumption</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天然气消耗量</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m³</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燃气调压计量站流量计</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total_energy_tce</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折标准煤总能耗</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Decimal(12,4)</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tce</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(各介质消耗量 × 当量折标系数)</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total_cost_wan</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综合能源总成本</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Decimal(12,2)</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万元</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(各介质实物量 × 现行能源单价)</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bl>
    <w:p>
      <w:pPr>
        <w:spacing w:after="60"/>
      </w:pPr>
    </w:p>
    <w:p>
      <w:pPr>
        <w:pStyle w:val="Heading2"/>
        <w:keepNext/>
        <w:spacing w:before="260" w:after="100"/>
      </w:pPr>
      <w:r>
        <w:rPr>
          <w:rFonts w:ascii="微软雅黑" w:hAnsi="微软雅黑"/>
          <w:b/>
          <w:color w:val="0284C7"/>
          <w:sz w:val="25"/>
        </w:rPr>
        <w:t>第 9 章 一级导航【基础管理】</w:t>
      </w:r>
    </w:p>
    <w:p>
      <w:pPr>
        <w:pStyle w:val="Heading3"/>
        <w:keepNext/>
        <w:spacing w:before="180" w:after="60"/>
      </w:pPr>
      <w:r>
        <w:rPr>
          <w:rFonts w:ascii="微软雅黑" w:hAnsi="微软雅黑"/>
          <w:b/>
          <w:color w:val="1E3A8A"/>
          <w:sz w:val="21"/>
        </w:rPr>
        <w:t>9.1 数据录入工作台 (NAV-ZC-CON-ENTRY · /zero-carbon/config/entry)</w:t>
      </w:r>
    </w:p>
    <w:p>
      <w:pPr>
        <w:spacing w:after="80" w:line="288" w:lineRule="auto"/>
      </w:pPr>
      <w:r>
        <w:rPr>
          <w:rFonts w:ascii="微软雅黑" w:hAnsi="微软雅黑"/>
          <w:b/>
          <w:color w:val="1E3A8A"/>
          <w:sz w:val="19"/>
        </w:rPr>
        <w:t>PM 业务定位：</w:t>
      </w:r>
      <w:r>
        <w:rPr>
          <w:rFonts w:ascii="微软雅黑" w:hAnsi="微软雅黑"/>
          <w:color w:val="1F2937"/>
          <w:sz w:val="19"/>
        </w:rPr>
        <w:t>专为车间统计员 (P3) 打造的高效数据录入中枢，解决基层离线生产台账人工录入痛点，按标签页划分 4 大核心工作台：</w:t>
      </w:r>
    </w:p>
    <w:p>
      <w:pPr>
        <w:pStyle w:val="Heading3"/>
        <w:keepNext/>
        <w:spacing w:before="180" w:after="60"/>
      </w:pPr>
      <w:r>
        <w:rPr>
          <w:rFonts w:ascii="微软雅黑" w:hAnsi="微软雅黑"/>
          <w:b/>
          <w:color w:val="1E3A8A"/>
          <w:sz w:val="21"/>
        </w:rPr>
        <w:t>9.1.1 Tab 1：产品产量录入 (Product Output Entry)</w:t>
      </w:r>
    </w:p>
    <w:p>
      <w:pPr>
        <w:spacing w:after="80" w:line="288" w:lineRule="auto"/>
      </w:pPr>
      <w:r>
        <w:rPr>
          <w:rFonts w:ascii="微软雅黑" w:hAnsi="微软雅黑"/>
          <w:color w:val="1F2937"/>
          <w:sz w:val="19"/>
        </w:rPr>
        <w:t>1. 布局与跨行合并：同生产单位、同工序的跨行单元格自动合并居中；</w:t>
        <w:br/>
        <w:t>2. 单位自适应联动：选择变压器产品单位自动锁定为台/kVA；选择线缆自动联动为 km·mm²；</w:t>
        <w:br/>
        <w:t>3. 防错校验：产量输入必须 ≥ 0，录入负数即时触发 E_VAL_ENERGY_NEGATIVE 阻断。</w:t>
      </w:r>
    </w:p>
    <w:tbl>
      <w:tblPr>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rPr>
          <w:tblHeader/>
        </w:trPr>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字段标识</w:t>
            </w:r>
          </w:p>
        </w:tc>
        <w:tc>
          <w:tcPr>
            <w:tcW w:type="dxa" w:w="172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字段中文名称</w:t>
            </w:r>
          </w:p>
        </w:tc>
        <w:tc>
          <w:tcPr>
            <w:tcW w:type="dxa" w:w="12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数据类型</w:t>
            </w:r>
          </w:p>
        </w:tc>
        <w:tc>
          <w:tcPr>
            <w:tcW w:type="dxa" w:w="100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单位</w:t>
            </w:r>
          </w:p>
        </w:tc>
        <w:tc>
          <w:tcPr>
            <w:tcW w:type="dxa" w:w="172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界面控件</w:t>
            </w:r>
          </w:p>
        </w:tc>
        <w:tc>
          <w:tcPr>
            <w:tcW w:type="dxa" w:w="216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校验与约束规则</w:t>
            </w:r>
          </w:p>
        </w:tc>
        <w:tc>
          <w:tcPr>
            <w:tcW w:type="dxa" w:w="72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密级</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unit_name</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生产单位名称</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Enum</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下拉级联选择器</w:t>
            </w:r>
          </w:p>
        </w:tc>
        <w:tc>
          <w:tcPr>
            <w:tcW w:type="dxa" w:w="216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必须在六级组织架构有效生产基地内</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process_name</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生产涉及工序</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Enum</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下拉级联选择器</w:t>
            </w:r>
          </w:p>
        </w:tc>
        <w:tc>
          <w:tcPr>
            <w:tcW w:type="dxa" w:w="216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严格受控于《关键工序对应表》白名单</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product_category</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产品大类分类</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Enum</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变压器/线缆</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单选 Radio</w:t>
            </w:r>
          </w:p>
        </w:tc>
        <w:tc>
          <w:tcPr>
            <w:tcW w:type="dxa" w:w="216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决定规格型号联动字典</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L0</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product_model</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产品规格型号</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String(64)</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文本输入/模糊匹配</w:t>
            </w:r>
          </w:p>
        </w:tc>
        <w:tc>
          <w:tcPr>
            <w:tcW w:type="dxa" w:w="216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非空，最长 64 字符</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output_quantity</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产品产量数值</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Decimal(12,2)</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自适应</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数字输入框 (Number)</w:t>
            </w:r>
          </w:p>
        </w:tc>
        <w:tc>
          <w:tcPr>
            <w:tcW w:type="dxa" w:w="216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必须 ≥ 0.00，录入负数前端即时拦截</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operator_name</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录入填报人员</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String(32)</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系统登录态自动带出</w:t>
            </w:r>
          </w:p>
        </w:tc>
        <w:tc>
          <w:tcPr>
            <w:tcW w:type="dxa" w:w="216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只读禁用，记录员工真实工号</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report_date</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统计核算月份</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Date</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YYYY-MM</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月份选择器 (MonthPicker)</w:t>
            </w:r>
          </w:p>
        </w:tc>
        <w:tc>
          <w:tcPr>
            <w:tcW w:type="dxa" w:w="216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不可晚于当前月，关账后禁止填报</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bl>
    <w:p>
      <w:pPr>
        <w:spacing w:after="60"/>
      </w:pPr>
    </w:p>
    <w:p>
      <w:pPr>
        <w:pStyle w:val="Heading3"/>
        <w:keepNext/>
        <w:spacing w:before="180" w:after="60"/>
      </w:pPr>
      <w:r>
        <w:rPr>
          <w:rFonts w:ascii="微软雅黑" w:hAnsi="微软雅黑"/>
          <w:b/>
          <w:color w:val="1E3A8A"/>
          <w:sz w:val="21"/>
        </w:rPr>
        <w:t>9.1.2 Tab 2：能源消耗录入 (Energy Consumption Entry)</w:t>
      </w:r>
    </w:p>
    <w:p>
      <w:pPr>
        <w:spacing w:after="80" w:line="288" w:lineRule="auto"/>
      </w:pPr>
      <w:r>
        <w:rPr>
          <w:rFonts w:ascii="微软雅黑" w:hAnsi="微软雅黑"/>
          <w:color w:val="1F2937"/>
          <w:sz w:val="19"/>
        </w:rPr>
        <w:t>结构与 Tab 1 严格 100% 同构，按电力、水资源、天然气、蒸汽四介质分组合并展示。支持起码、止码输入自动计算实物量，并带非负拦截校验。</w:t>
      </w:r>
    </w:p>
    <w:p>
      <w:pPr>
        <w:pStyle w:val="Heading3"/>
        <w:keepNext/>
        <w:spacing w:before="180" w:after="60"/>
      </w:pPr>
      <w:r>
        <w:rPr>
          <w:rFonts w:ascii="微软雅黑" w:hAnsi="微软雅黑"/>
          <w:b/>
          <w:color w:val="1E3A8A"/>
          <w:sz w:val="21"/>
        </w:rPr>
        <w:t>9.1.3 Tab 3：园区相册维护 与 Tab 4：园区大事记维护</w:t>
      </w:r>
    </w:p>
    <w:p>
      <w:pPr>
        <w:spacing w:after="80" w:line="288" w:lineRule="auto"/>
      </w:pPr>
      <w:r>
        <w:rPr>
          <w:rFonts w:ascii="微软雅黑" w:hAnsi="微软雅黑"/>
          <w:b/>
          <w:color w:val="1E3A8A"/>
          <w:sz w:val="19"/>
        </w:rPr>
        <w:t>功能概述：</w:t>
      </w:r>
      <w:r>
        <w:rPr>
          <w:rFonts w:ascii="微软雅黑" w:hAnsi="微软雅黑"/>
          <w:color w:val="1F2937"/>
          <w:sz w:val="19"/>
        </w:rPr>
        <w:t>1. 园区相册维护：支持各基地实景高清图上传（限制 10MB，JPG/PNG/WEBP），配置相册标题、拍摄日期、展示排序与轮播激活开关；</w:t>
        <w:br/>
        <w:t>2. 园区大事记维护：时间轴节点式录入里程碑事件（如光伏全容量并网、获批国家级零碳工厂等），支持事件标题、发生日期、详细描述与荣誉徽章配置。</w:t>
      </w:r>
    </w:p>
    <w:p>
      <w:pPr>
        <w:pStyle w:val="Heading3"/>
        <w:keepNext/>
        <w:spacing w:before="180" w:after="60"/>
      </w:pPr>
      <w:r>
        <w:rPr>
          <w:rFonts w:ascii="微软雅黑" w:hAnsi="微软雅黑"/>
          <w:b/>
          <w:color w:val="1E3A8A"/>
          <w:sz w:val="21"/>
        </w:rPr>
        <w:t>9.2 基础参数配置 (NAV-ZC-CON-PARAM)</w:t>
      </w:r>
    </w:p>
    <w:p>
      <w:pPr>
        <w:spacing w:after="80" w:line="288" w:lineRule="auto"/>
      </w:pPr>
      <w:r>
        <w:rPr>
          <w:rFonts w:ascii="微软雅黑" w:hAnsi="微软雅黑"/>
          <w:color w:val="1F2937"/>
          <w:sz w:val="19"/>
        </w:rPr>
        <w:t>包含能源价格管理 (NAV-ZC-CON-PRICE) 与折标系数管理 (NAV-ZC-CON-COEFF)。实现峰平谷分时电价阶梯版本化维护与国家标准当量/等价折标系数审计留痕。</w:t>
      </w:r>
    </w:p>
    <w:p>
      <w:r>
        <w:br w:type="page"/>
      </w:r>
    </w:p>
    <w:p>
      <w:pPr>
        <w:pStyle w:val="Heading1"/>
        <w:keepNext/>
        <w:spacing w:before="360" w:after="160"/>
      </w:pPr>
      <w:r>
        <w:rPr>
          <w:rFonts w:ascii="微软雅黑" w:hAnsi="微软雅黑"/>
          <w:b/>
          <w:color w:val="1E3A8A"/>
          <w:sz w:val="31"/>
        </w:rPr>
        <w:t>第三篇：【平台二】产品碳足迹集采中心功能需求规格（逐层拆解）</w:t>
      </w:r>
    </w:p>
    <w:p>
      <w:pPr>
        <w:spacing w:after="80" w:line="288" w:lineRule="auto"/>
      </w:pPr>
      <w:r>
        <w:rPr>
          <w:rFonts w:ascii="微软雅黑" w:hAnsi="微软雅黑"/>
          <w:color w:val="1F2937"/>
          <w:sz w:val="19"/>
        </w:rPr>
        <w:t>严格对应系统切换至【产品碳足迹集采中心】时的 6 大一级主导航逐层展开，全面支撑产品全生命周期 LCA 建模、ISO 14067 认证、二维码数字碳标签与欧盟 CBAM 关税申报。</w:t>
      </w:r>
    </w:p>
    <w:p>
      <w:pPr>
        <w:pStyle w:val="Heading2"/>
        <w:keepNext/>
        <w:spacing w:before="260" w:after="100"/>
      </w:pPr>
      <w:r>
        <w:rPr>
          <w:rFonts w:ascii="微软雅黑" w:hAnsi="微软雅黑"/>
          <w:b/>
          <w:color w:val="0284C7"/>
          <w:sz w:val="25"/>
        </w:rPr>
        <w:t>第 10 章 一级导航【对外示范窗口】(NAV-CF-DEMO-COCKPIT · /carbon-footprint/cockpit)</w:t>
      </w:r>
    </w:p>
    <w:p>
      <w:pPr>
        <w:spacing w:after="80" w:line="288" w:lineRule="auto"/>
      </w:pPr>
      <w:r>
        <w:rPr>
          <w:rFonts w:ascii="微软雅黑" w:hAnsi="微软雅黑"/>
          <w:b/>
          <w:color w:val="1E3A8A"/>
          <w:sz w:val="19"/>
        </w:rPr>
        <w:t>功能概述：</w:t>
      </w:r>
      <w:r>
        <w:rPr>
          <w:rFonts w:ascii="微软雅黑" w:hAnsi="微软雅黑"/>
          <w:color w:val="1F2937"/>
          <w:sz w:val="19"/>
        </w:rPr>
        <w:t>面向国际客户、海外驻华使节及欧盟碳关税审查专员的高端碳驾驶舱，全屏呈现特变电工主力出口特高压变压器与高端特种电缆 LCA 碳足迹全景桑基图、可交互验证的防伪二维码数字碳标签、全厂绿电消纳减碳量化成果以及欧盟 CBAM 关税节省测算总览。</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trPr>
        <w:tc>
          <w:tcPr>
            <w:tcW w:type="dxa" w:w="201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字段标识</w:t>
            </w:r>
          </w:p>
        </w:tc>
        <w:tc>
          <w:tcPr>
            <w:tcW w:type="dxa" w:w="201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字段中文名称</w:t>
            </w:r>
          </w:p>
        </w:tc>
        <w:tc>
          <w:tcPr>
            <w:tcW w:type="dxa" w:w="12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数据类型</w:t>
            </w:r>
          </w:p>
        </w:tc>
        <w:tc>
          <w:tcPr>
            <w:tcW w:type="dxa" w:w="158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工程单位</w:t>
            </w:r>
          </w:p>
        </w:tc>
        <w:tc>
          <w:tcPr>
            <w:tcW w:type="dxa" w:w="273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数据来源与核算逻辑</w:t>
            </w:r>
          </w:p>
        </w:tc>
        <w:tc>
          <w:tcPr>
            <w:tcW w:type="dxa" w:w="72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密级</w:t>
            </w:r>
          </w:p>
        </w:tc>
      </w:tr>
      <w:tr>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product_pcf_co2e</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单台产品全生命周期碳排</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kgCO2e/台 或 kgCO2e/km</w:t>
            </w:r>
          </w:p>
        </w:tc>
        <w:tc>
          <w:tcPr>
            <w:tcW w:type="dxa" w:w="273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LCA 5大阶段排放滚算累加</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pcf_raw_ratio</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原材料获取阶段碳排占比</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Decimal(5,2)</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73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(E_原材料 / E_总碳足迹) × 100%</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pcf_manuf_ratio</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制造加工阶段碳排占比</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Decimal(5,2)</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73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(E_加工 / E_总碳足迹) × 100%</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green_elec_offset</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绿电消纳贡献减排量</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kgCO2e</w:t>
            </w:r>
          </w:p>
        </w:tc>
        <w:tc>
          <w:tcPr>
            <w:tcW w:type="dxa" w:w="273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光伏自发自用量 × 区域电网碳因子</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cbam_tariff_saved</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CBAM 关税累计节省金额</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(欧元)</w:t>
            </w:r>
          </w:p>
        </w:tc>
        <w:tc>
          <w:tcPr>
            <w:tcW w:type="dxa" w:w="273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已抵扣国内碳成本折算节省关税</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L3</w:t>
            </w:r>
          </w:p>
        </w:tc>
      </w:tr>
      <w:tr>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qr_verify_hash</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防伪数字验真哈希</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String(64)</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SHA-256</w:t>
            </w:r>
          </w:p>
        </w:tc>
        <w:tc>
          <w:tcPr>
            <w:tcW w:type="dxa" w:w="273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产品批次+认证机构私钥数字签名</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L0</w:t>
            </w:r>
          </w:p>
        </w:tc>
      </w:tr>
    </w:tbl>
    <w:p>
      <w:pPr>
        <w:spacing w:after="60"/>
      </w:pPr>
    </w:p>
    <w:p>
      <w:pPr>
        <w:pStyle w:val="Heading2"/>
        <w:keepNext/>
        <w:spacing w:before="260" w:after="100"/>
      </w:pPr>
      <w:r>
        <w:rPr>
          <w:rFonts w:ascii="微软雅黑" w:hAnsi="微软雅黑"/>
          <w:b/>
          <w:color w:val="0284C7"/>
          <w:sz w:val="25"/>
        </w:rPr>
        <w:t>第 11 章 一级导航【多维分析】</w:t>
      </w:r>
    </w:p>
    <w:p>
      <w:pPr>
        <w:pStyle w:val="Heading3"/>
        <w:keepNext/>
        <w:spacing w:before="180" w:after="60"/>
      </w:pPr>
      <w:r>
        <w:rPr>
          <w:rFonts w:ascii="微软雅黑" w:hAnsi="微软雅黑"/>
          <w:b/>
          <w:color w:val="1E3A8A"/>
          <w:sz w:val="21"/>
        </w:rPr>
        <w:t>11.1 横向对比分析 (NAV-CF-ANA-COMPARE · /carbon-footprint/analysis/compare)</w:t>
      </w:r>
    </w:p>
    <w:p>
      <w:pPr>
        <w:spacing w:after="80" w:line="288" w:lineRule="auto"/>
      </w:pPr>
      <w:r>
        <w:rPr>
          <w:rFonts w:ascii="微软雅黑" w:hAnsi="微软雅黑"/>
          <w:b/>
          <w:color w:val="1E3A8A"/>
          <w:sz w:val="19"/>
        </w:rPr>
        <w:t>业务逻辑：</w:t>
      </w:r>
      <w:r>
        <w:rPr>
          <w:rFonts w:ascii="微软雅黑" w:hAnsi="微软雅黑"/>
          <w:color w:val="1F2937"/>
          <w:sz w:val="19"/>
        </w:rPr>
        <w:t>支持选择不同生产基地生产的同规格产品（例如沈变厂与衡变厂同型号 220kV 油浸式变压器），按【原材料获取】、【上游运输】、【制造加工】、【试验检测】与【包装出厂】五大阶段进行横向雷达图与柱状图对标，深入挖掘各基地工艺工序降碳潜力。</w:t>
      </w:r>
    </w:p>
    <w:p>
      <w:pPr>
        <w:pStyle w:val="Heading3"/>
        <w:keepNext/>
        <w:spacing w:before="180" w:after="60"/>
      </w:pPr>
      <w:r>
        <w:rPr>
          <w:rFonts w:ascii="微软雅黑" w:hAnsi="微软雅黑"/>
          <w:b/>
          <w:color w:val="1E3A8A"/>
          <w:sz w:val="21"/>
        </w:rPr>
        <w:t>11.2 纵向追溯分析 (NAV-CF-ANA-RANKING · /carbon-footprint/analysis/ranking)</w:t>
      </w:r>
    </w:p>
    <w:p>
      <w:pPr>
        <w:spacing w:after="80" w:line="288" w:lineRule="auto"/>
      </w:pPr>
      <w:r>
        <w:rPr>
          <w:rFonts w:ascii="微软雅黑" w:hAnsi="微软雅黑"/>
          <w:b/>
          <w:color w:val="1E3A8A"/>
          <w:sz w:val="19"/>
        </w:rPr>
        <w:t>业务逻辑：</w:t>
      </w:r>
      <w:r>
        <w:rPr>
          <w:rFonts w:ascii="微软雅黑" w:hAnsi="微软雅黑"/>
          <w:color w:val="1F2937"/>
          <w:sz w:val="19"/>
        </w:rPr>
        <w:t>支持按批次号追踪同一产品历年碳足迹演变趋势，提供原材料替代（如高磁感取向硅钢片替代传统硅钢）、绿电消纳提升及工艺优化对碳排变动的敏感性归因瀑布图。</w:t>
      </w:r>
    </w:p>
    <w:p>
      <w:pPr>
        <w:pStyle w:val="Heading2"/>
        <w:keepNext/>
        <w:spacing w:before="260" w:after="100"/>
      </w:pPr>
      <w:r>
        <w:rPr>
          <w:rFonts w:ascii="微软雅黑" w:hAnsi="微软雅黑"/>
          <w:b/>
          <w:color w:val="0284C7"/>
          <w:sz w:val="25"/>
        </w:rPr>
        <w:t>第 12 章 一级导航【实景数据库与碳足迹核算】</w:t>
      </w:r>
    </w:p>
    <w:p>
      <w:pPr>
        <w:pStyle w:val="Heading3"/>
        <w:keepNext/>
        <w:spacing w:before="180" w:after="60"/>
      </w:pPr>
      <w:r>
        <w:rPr>
          <w:rFonts w:ascii="微软雅黑" w:hAnsi="微软雅黑"/>
          <w:b/>
          <w:color w:val="1E3A8A"/>
          <w:sz w:val="21"/>
        </w:rPr>
        <w:t>12.1 工业实景数据库 (NAV-CF-DB-REALSCENE · /carbon-footprint/database/realscene)</w:t>
      </w:r>
    </w:p>
    <w:p>
      <w:pPr>
        <w:spacing w:after="80" w:line="288" w:lineRule="auto"/>
      </w:pPr>
      <w:r>
        <w:rPr>
          <w:rFonts w:ascii="微软雅黑" w:hAnsi="微软雅黑"/>
          <w:b/>
          <w:color w:val="1E3A8A"/>
          <w:sz w:val="19"/>
        </w:rPr>
        <w:t>功能概述：</w:t>
      </w:r>
      <w:r>
        <w:rPr>
          <w:rFonts w:ascii="微软雅黑" w:hAnsi="微软雅黑"/>
          <w:color w:val="1F2937"/>
          <w:sz w:val="19"/>
        </w:rPr>
        <w:t>汇聚硅钢片、电解铜、变压器油、绝缘纸板、结构钢材等重点原材料本土实测碳排放因子图谱。每个物料节点均具备完整的供应链溯源链条、实测检测报告附件与第三方认证声明编号。</w:t>
      </w:r>
    </w:p>
    <w:p>
      <w:pPr>
        <w:pStyle w:val="Heading3"/>
        <w:keepNext/>
        <w:spacing w:before="180" w:after="60"/>
      </w:pPr>
      <w:r>
        <w:rPr>
          <w:rFonts w:ascii="微软雅黑" w:hAnsi="微软雅黑"/>
          <w:b/>
          <w:color w:val="1E3A8A"/>
          <w:sz w:val="21"/>
        </w:rPr>
        <w:t>12.2 LCA 碳足迹核算引擎 (NAV-CF-DB-ACCOUNTING · /carbon-footprint/database/accounting)</w:t>
      </w:r>
    </w:p>
    <w:p>
      <w:pPr>
        <w:spacing w:after="80" w:line="288" w:lineRule="auto"/>
      </w:pPr>
      <w:r>
        <w:rPr>
          <w:rFonts w:ascii="微软雅黑" w:hAnsi="微软雅黑"/>
          <w:b/>
          <w:color w:val="1E3A8A"/>
          <w:sz w:val="19"/>
        </w:rPr>
        <w:t>核心业务逻辑：</w:t>
      </w:r>
      <w:r>
        <w:rPr>
          <w:rFonts w:ascii="微软雅黑" w:hAnsi="微软雅黑"/>
          <w:color w:val="1F2937"/>
          <w:sz w:val="19"/>
        </w:rPr>
        <w:t>1. BOM 层级自动展开：从 ERP/PLM 自动拉取多级产品工程物料清单 (BOM)，计算物料损耗系数 Q_mat = Q_bom × (1 + R_loss)；</w:t>
        <w:br/>
        <w:t>2. 5 大阶段 LCA 滚算模型：严格依照 ISO 14067 标准执行生命周期评价滚算；</w:t>
        <w:br/>
        <w:t>3. 工艺能耗分摊：基于工时或产量权重分摊真空干燥、退火炉等公共工序的水电气能耗。</w:t>
      </w:r>
    </w:p>
    <w:tbl>
      <w:tblPr>
        <w:tblW w:type="auto" w:w="0"/>
        <w:jc w:val="center"/>
        <w:tblLayout w:type="fixed"/>
        <w:tblLook w:firstColumn="1" w:firstRow="1" w:lastColumn="0" w:lastRow="0" w:noHBand="0" w:noVBand="1" w:val="04A0"/>
      </w:tblPr>
      <w:tblGrid>
        <w:gridCol w:w="9792"/>
      </w:tblGrid>
      <w:tr>
        <w:tc>
          <w:tcPr>
            <w:tcW w:type="dxa" w:w="9648"/>
            <w:shd w:fill="F0FDF4"/>
            <w:tcMar>
              <w:top w:w="100" w:type="dxa"/>
              <w:bottom w:w="100" w:type="dxa"/>
              <w:left w:w="140" w:type="dxa"/>
              <w:right w:w="140" w:type="dxa"/>
            </w:tcMar>
            <w:tcBorders>
              <w:top w:val="none"/>
              <w:left w:val="single" w:color="16A34A" w:sz="24"/>
              <w:bottom w:val="none"/>
              <w:right w:val="none"/>
            </w:tcBorders>
          </w:tcPr>
          <w:p>
            <w:pPr>
              <w:spacing w:after="40"/>
            </w:pPr>
            <w:r>
              <w:rPr>
                <w:rFonts w:ascii="微软雅黑" w:hAnsi="微软雅黑"/>
                <w:b/>
                <w:color w:val="16A34A"/>
                <w:sz w:val="19"/>
              </w:rPr>
              <w:t>📐 【核心数学模型与算法公式】</w:t>
              <w:br/>
            </w:r>
            <w:r>
              <w:rPr>
                <w:rFonts w:ascii="Consolas" w:hAnsi="Consolas"/>
                <w:b/>
                <w:color w:val="1E3A8A"/>
                <w:sz w:val="19"/>
              </w:rPr>
              <w:t>【核算公式】：E_PCF = E_raw + E_trans + E_manuf + E_test + E_pack</w:t>
              <w:br/>
            </w:r>
            <w:r>
              <w:rPr>
                <w:rFonts w:ascii="微软雅黑" w:hAnsi="微软雅黑"/>
                <w:color w:val="1F2937"/>
                <w:sz w:val="18"/>
              </w:rPr>
              <w:t>【逻辑说明】：全生命周期碳足迹核算涵盖摇篮到大门 (Cradle-to-Gate) 5 大阶段。各阶段严密计算公式如下：</w:t>
              <w:br/>
              <w:t>1. 原材料获取：E_raw = ∑ [ M_i × (1 + R_loss_i) × EF_mat_i ]</w:t>
              <w:br/>
              <w:t>2. 上游运输：E_trans = ∑ [ M_i × D_i × EF_trans_mode ]</w:t>
              <w:br/>
              <w:t>3. 制造加工：E_manuf = ∑ [ (E_process_energy / Batch_Output) × EF_energy ]</w:t>
              <w:br/>
              <w:t>4. 试验检测：E_test = ( Q_test_elec / Test_Capacity ) × EF_grid</w:t>
              <w:br/>
              <w:t>5. 包装出厂：E_pack = ∑ [ M_pack_k × EF_pack_k ]</w:t>
            </w:r>
            <w:r>
              <w:rPr>
                <w:rFonts w:ascii="微软雅黑" w:hAnsi="微软雅黑"/>
                <w:color w:val="64748B"/>
                <w:sz w:val="17"/>
              </w:rPr>
              <w:br/>
              <w:t>【变量定义与取值约定】：</w:t>
              <w:br/>
              <w:t>M_i: 物料净重 (t)；R_loss_i: 工艺损耗率 (%)；EF_mat_i: 物料实测碳因子 (kgCO2e/kg)；D_i: 运输距离 (km)；EF_trans: 吨公里运输因子</w:t>
            </w:r>
          </w:p>
        </w:tc>
      </w:tr>
    </w:tbl>
    <w:p>
      <w:pPr>
        <w:spacing w:after="40"/>
      </w:pP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trPr>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字段标识</w:t>
            </w:r>
          </w:p>
        </w:tc>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字段中文名称</w:t>
            </w:r>
          </w:p>
        </w:tc>
        <w:tc>
          <w:tcPr>
            <w:tcW w:type="dxa" w:w="12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数据类型</w:t>
            </w:r>
          </w:p>
        </w:tc>
        <w:tc>
          <w:tcPr>
            <w:tcW w:type="dxa" w:w="12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工程单位</w:t>
            </w:r>
          </w:p>
        </w:tc>
        <w:tc>
          <w:tcPr>
            <w:tcW w:type="dxa" w:w="259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核算来源与约束规则</w:t>
            </w:r>
          </w:p>
        </w:tc>
        <w:tc>
          <w:tcPr>
            <w:tcW w:type="dxa" w:w="72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密级</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sku_code</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产品唯一物料号</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String(32)</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ERP/PLM 主物料编号，唯一主键</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bom_version</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BOM 清单版本号</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String(16)</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工程技术部生效版本，如 REV-C</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batch_no</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生产批次流水号</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String(32)</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MES 制造工单流水号</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e_raw_total</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原材料阶段碳排</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kgCO2e</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(物料重量 × 实测因子)，占比通常超 70%</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e_trans_total</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上游运输阶段碳排</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Decimal(8,2)</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kgCO2e</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(吨公里 × 运输工具排放因子)</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e_manuf_total</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生产加工阶段碳排</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Decimal(8,2)</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kgCO2e</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制造工序电/汽/气消耗公摊碳排</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e_test_total</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试验检测阶段碳排</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Decimal(8,2)</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kgCO2e</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出厂耐压/温升试验用电碳排</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e_pack_total</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包装出厂阶段碳排</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Decimal(8,2)</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kgCO2e</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包装箱木材/缠绕膜碳排</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pcf_total</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总碳足迹数值</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Decimal(12,2)</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kgCO2e</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5 大阶段排放量严密累加和</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calc_status</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核算审批状态</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Enum</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草稿/已提交/认证中/已签发/已归档</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L1</w:t>
            </w:r>
          </w:p>
        </w:tc>
      </w:tr>
    </w:tbl>
    <w:p>
      <w:pPr>
        <w:spacing w:after="60"/>
      </w:pPr>
    </w:p>
    <w:p>
      <w:pPr>
        <w:pStyle w:val="Heading3"/>
        <w:keepNext/>
        <w:spacing w:before="180" w:after="60"/>
      </w:pPr>
      <w:r>
        <w:rPr>
          <w:rFonts w:ascii="微软雅黑" w:hAnsi="微软雅黑"/>
          <w:b/>
          <w:color w:val="1E3A8A"/>
          <w:sz w:val="21"/>
        </w:rPr>
        <w:t>12.3 碳足迹报告与数字碳标签 (NAV-CF-DB-REPORT · /carbon-footprint/database/report)</w:t>
      </w:r>
    </w:p>
    <w:p>
      <w:pPr>
        <w:spacing w:after="80" w:line="288" w:lineRule="auto"/>
      </w:pPr>
      <w:r>
        <w:rPr>
          <w:rFonts w:ascii="微软雅黑" w:hAnsi="微软雅黑"/>
          <w:b/>
          <w:color w:val="1E3A8A"/>
          <w:sz w:val="19"/>
        </w:rPr>
        <w:t>功能概述：</w:t>
      </w:r>
      <w:r>
        <w:rPr>
          <w:rFonts w:ascii="微软雅黑" w:hAnsi="微软雅黑"/>
          <w:color w:val="1F2937"/>
          <w:sz w:val="19"/>
        </w:rPr>
        <w:t>1. 双语报告导出：一键导出符合 ISO 14067:2018 规范的双语（中、英文）官方碳足迹核算报告；</w:t>
        <w:br/>
        <w:t>2. 数字碳标签：生成包含产品唯一 EPC 编码与防伪签名哈希的二维码标签，支持手机扫码穿透查验原材料来源与第三方证书。</w:t>
      </w:r>
    </w:p>
    <w:p>
      <w:pPr>
        <w:pStyle w:val="Heading2"/>
        <w:keepNext/>
        <w:spacing w:before="260" w:after="100"/>
      </w:pPr>
      <w:r>
        <w:rPr>
          <w:rFonts w:ascii="微软雅黑" w:hAnsi="微软雅黑"/>
          <w:b/>
          <w:color w:val="0284C7"/>
          <w:sz w:val="25"/>
        </w:rPr>
        <w:t>第 13 章 一级导航【CBAM管理】</w:t>
      </w:r>
    </w:p>
    <w:p>
      <w:pPr>
        <w:pStyle w:val="Heading3"/>
        <w:keepNext/>
        <w:spacing w:before="180" w:after="60"/>
      </w:pPr>
      <w:r>
        <w:rPr>
          <w:rFonts w:ascii="微软雅黑" w:hAnsi="微软雅黑"/>
          <w:b/>
          <w:color w:val="1E3A8A"/>
          <w:sz w:val="21"/>
        </w:rPr>
        <w:t>13.1 欧盟合规管理 (NAV-CF-CBAM-COMPLIANCE · /carbon-footprint/cbam/compliance)</w:t>
      </w:r>
    </w:p>
    <w:p>
      <w:pPr>
        <w:spacing w:after="80" w:line="288" w:lineRule="auto"/>
      </w:pPr>
      <w:r>
        <w:rPr>
          <w:rFonts w:ascii="微软雅黑" w:hAnsi="微软雅黑"/>
          <w:b/>
          <w:color w:val="1E3A8A"/>
          <w:sz w:val="19"/>
        </w:rPr>
        <w:t>合规规则：</w:t>
      </w:r>
      <w:r>
        <w:rPr>
          <w:rFonts w:ascii="微软雅黑" w:hAnsi="微软雅黑"/>
          <w:color w:val="1F2937"/>
          <w:sz w:val="19"/>
        </w:rPr>
        <w:t>维护特变电工出口欧盟电气装备海关 CN 税号白名单（变压器 CN 85042100、85042200、85042300；电缆 CN 85444920 等），明确直接排放 (Direct Emissions) 与前驱物隐含间接排放 (Indirect Emissions) 的法定边界。</w:t>
      </w:r>
    </w:p>
    <w:p>
      <w:pPr>
        <w:pStyle w:val="Heading3"/>
        <w:keepNext/>
        <w:spacing w:before="180" w:after="60"/>
      </w:pPr>
      <w:r>
        <w:rPr>
          <w:rFonts w:ascii="微软雅黑" w:hAnsi="微软雅黑"/>
          <w:b/>
          <w:color w:val="1E3A8A"/>
          <w:sz w:val="21"/>
        </w:rPr>
        <w:t>13.2 关税申报模拟器 (NAV-CF-CBAM-DECLARATION · /carbon-footprint/cbam/declaration)</w:t>
      </w:r>
    </w:p>
    <w:p>
      <w:pPr>
        <w:spacing w:after="80" w:line="288" w:lineRule="auto"/>
      </w:pPr>
      <w:r>
        <w:rPr>
          <w:rFonts w:ascii="微软雅黑" w:hAnsi="微软雅黑"/>
          <w:b/>
          <w:color w:val="1E3A8A"/>
          <w:sz w:val="19"/>
        </w:rPr>
        <w:t>关税模型：</w:t>
      </w:r>
      <w:r>
        <w:rPr>
          <w:rFonts w:ascii="微软雅黑" w:hAnsi="微软雅黑"/>
          <w:color w:val="1F2937"/>
          <w:sz w:val="19"/>
        </w:rPr>
        <w:t>1. 隐含碳强度核算：测算出口单位产品直接与间接隐含碳强度 Embedded_Carbon (tCO2e/t)；</w:t>
        <w:br/>
        <w:t>2. 欧盟 ETS 实时碳价联动：API 动态对接欧洲能源交易所 (EEX) 碳配额拍卖结算均价（€75 ~ €95/tCO2e）；</w:t>
        <w:br/>
        <w:t>3. 国内已支付碳成本抵扣：严格计算在国内已承担的全国碳市场配额费用或绿电附加成本，依法申请等额抵扣；</w:t>
        <w:br/>
        <w:t>4. 官方 XML 申报包导出：生成完全符合欧盟委员会 CBAM Communication Template v2.1 规范的结构化 XML 申报包。</w:t>
      </w:r>
    </w:p>
    <w:tbl>
      <w:tblPr>
        <w:tblW w:type="auto" w:w="0"/>
        <w:jc w:val="center"/>
        <w:tblLayout w:type="fixed"/>
        <w:tblLook w:firstColumn="1" w:firstRow="1" w:lastColumn="0" w:lastRow="0" w:noHBand="0" w:noVBand="1" w:val="04A0"/>
      </w:tblPr>
      <w:tblGrid>
        <w:gridCol w:w="9792"/>
      </w:tblGrid>
      <w:tr>
        <w:tc>
          <w:tcPr>
            <w:tcW w:type="dxa" w:w="9648"/>
            <w:shd w:fill="F0FDF4"/>
            <w:tcMar>
              <w:top w:w="100" w:type="dxa"/>
              <w:bottom w:w="100" w:type="dxa"/>
              <w:left w:w="140" w:type="dxa"/>
              <w:right w:w="140" w:type="dxa"/>
            </w:tcMar>
            <w:tcBorders>
              <w:top w:val="none"/>
              <w:left w:val="single" w:color="16A34A" w:sz="24"/>
              <w:bottom w:val="none"/>
              <w:right w:val="none"/>
            </w:tcBorders>
          </w:tcPr>
          <w:p>
            <w:pPr>
              <w:spacing w:after="40"/>
            </w:pPr>
            <w:r>
              <w:rPr>
                <w:rFonts w:ascii="微软雅黑" w:hAnsi="微软雅黑"/>
                <w:b/>
                <w:color w:val="16A34A"/>
                <w:sz w:val="19"/>
              </w:rPr>
              <w:t>📐 【核心数学模型与算法公式】</w:t>
              <w:br/>
            </w:r>
            <w:r>
              <w:rPr>
                <w:rFonts w:ascii="Consolas" w:hAnsi="Consolas"/>
                <w:b/>
                <w:color w:val="1E3A8A"/>
                <w:sz w:val="19"/>
              </w:rPr>
              <w:t>【核算公式】：Cost_CBAM = [ (Direct_Em + Indirect_Em) / Output ] × Export_Qty × ( Price_EU_ETS - Price_Domestic_Paid )</w:t>
              <w:br/>
            </w:r>
            <w:r>
              <w:rPr>
                <w:rFonts w:ascii="微软雅黑" w:hAnsi="微软雅黑"/>
                <w:color w:val="1F2937"/>
                <w:sz w:val="18"/>
              </w:rPr>
              <w:t>【逻辑说明】：符合欧盟正式法规 EU 2023/956 条例。若国内已支付碳成本等于或高于欧盟 ETS 碳价，则当期应缴 CBAM 关税凭证金额为 0（零关税入欧）。</w:t>
            </w:r>
            <w:r>
              <w:rPr>
                <w:rFonts w:ascii="微软雅黑" w:hAnsi="微软雅黑"/>
                <w:color w:val="64748B"/>
                <w:sz w:val="17"/>
              </w:rPr>
              <w:br/>
              <w:t>【变量定义与取值约定】：</w:t>
              <w:br/>
              <w:t>Direct_Em: 工厂直接化石燃烧排放；Indirect_Em: 外购电热及前驱物间接排放；Export_Qty: 出口实物总量；Price_EU_ETS: 欧盟碳价；Price_Domestic: 国内已付碳价</w:t>
            </w:r>
          </w:p>
        </w:tc>
      </w:tr>
    </w:tbl>
    <w:p>
      <w:pPr>
        <w:spacing w:after="40"/>
      </w:pP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trPr>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字段标识</w:t>
            </w:r>
          </w:p>
        </w:tc>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字段中文名称</w:t>
            </w:r>
          </w:p>
        </w:tc>
        <w:tc>
          <w:tcPr>
            <w:tcW w:type="dxa" w:w="12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数据类型</w:t>
            </w:r>
          </w:p>
        </w:tc>
        <w:tc>
          <w:tcPr>
            <w:tcW w:type="dxa" w:w="12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工程单位</w:t>
            </w:r>
          </w:p>
        </w:tc>
        <w:tc>
          <w:tcPr>
            <w:tcW w:type="dxa" w:w="259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核算模型与业务规则</w:t>
            </w:r>
          </w:p>
        </w:tc>
        <w:tc>
          <w:tcPr>
            <w:tcW w:type="dxa" w:w="72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密级</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cn_code</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欧盟海关 CN 税号</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String(16)</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欧盟海关税则编码，如 85042100</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L0</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export_quantity</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申报出口数量</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台 / km / t</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国际贸易报关单提单实际数量</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L3</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direct_em_t</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制造直接排放量</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tCO2e</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厂内燃烧直接排放总量</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indirect_em_t</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外购电热间接排放量</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tCO2e</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外购电力及前驱物隐含间接排放</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embedded_carbon</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单位产品隐含碳强度</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Decimal(8,4)</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tCO2e/单位</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(Direct + Indirect) / 总产量</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ets_price_eur</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欧盟 ETS 结算碳价</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Decimal(6,2)</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€/tCO2e</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EEX 官方接口实时拉取最新周结算均价</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L0</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domestic_paid_eur</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国内已付碳成本折算</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Decimal(6,2)</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€/tCO2e</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中国碳市场价格汇率折算 (€)</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L2</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cbam_certificates</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应缴 CBAM 凭证数</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Decimal(10,2)</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张</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每张对应 1 tCO2e 需清缴凭证</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L3</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est_tariff_eur</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预计应纳 CBAM 关税</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Decimal(12,2)</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 (欧元)</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应缴凭证数 × (ETS碳价 - 国内已付成本)</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L3</w:t>
            </w:r>
          </w:p>
        </w:tc>
      </w:tr>
    </w:tbl>
    <w:p>
      <w:pPr>
        <w:spacing w:after="60"/>
      </w:pPr>
    </w:p>
    <w:p>
      <w:pPr>
        <w:pStyle w:val="Heading3"/>
        <w:keepNext/>
        <w:spacing w:before="180" w:after="60"/>
      </w:pPr>
      <w:r>
        <w:rPr>
          <w:rFonts w:ascii="微软雅黑" w:hAnsi="微软雅黑"/>
          <w:b/>
          <w:color w:val="1E3A8A"/>
          <w:sz w:val="21"/>
        </w:rPr>
        <w:t>13.3 CBAM 规则知识库 (NAV-CF-CBAM-KNOWLEDGE · /carbon-footprint/cbam/knowledge)</w:t>
      </w:r>
    </w:p>
    <w:p>
      <w:pPr>
        <w:spacing w:after="80" w:line="288" w:lineRule="auto"/>
      </w:pPr>
      <w:r>
        <w:rPr>
          <w:rFonts w:ascii="微软雅黑" w:hAnsi="微软雅黑"/>
          <w:b/>
          <w:color w:val="1E3A8A"/>
          <w:sz w:val="19"/>
        </w:rPr>
        <w:t>功能概述：</w:t>
      </w:r>
      <w:r>
        <w:rPr>
          <w:rFonts w:ascii="微软雅黑" w:hAnsi="微软雅黑"/>
          <w:color w:val="1F2937"/>
          <w:sz w:val="19"/>
        </w:rPr>
        <w:t>集中收录欧盟委员会官方最新发布的行业填报指引、默认值 (Default Values) 清单、过渡期质询问答库与豁免条款法规释义。</w:t>
      </w:r>
    </w:p>
    <w:p>
      <w:pPr>
        <w:pStyle w:val="Heading2"/>
        <w:keepNext/>
        <w:spacing w:before="260" w:after="100"/>
      </w:pPr>
      <w:r>
        <w:rPr>
          <w:rFonts w:ascii="微软雅黑" w:hAnsi="微软雅黑"/>
          <w:b/>
          <w:color w:val="0284C7"/>
          <w:sz w:val="25"/>
        </w:rPr>
        <w:t>第 14 章 一级导航【第三方认证管理】(NAV-CF-CERT-MAIN · /carbon-footprint/certification)</w:t>
      </w:r>
    </w:p>
    <w:p>
      <w:pPr>
        <w:spacing w:after="80" w:line="288" w:lineRule="auto"/>
      </w:pPr>
      <w:r>
        <w:rPr>
          <w:rFonts w:ascii="微软雅黑" w:hAnsi="微软雅黑"/>
          <w:b/>
          <w:color w:val="1E3A8A"/>
          <w:sz w:val="19"/>
        </w:rPr>
        <w:t>功能概述：</w:t>
      </w:r>
      <w:r>
        <w:rPr>
          <w:rFonts w:ascii="微软雅黑" w:hAnsi="微软雅黑"/>
          <w:color w:val="1F2937"/>
          <w:sz w:val="19"/>
        </w:rPr>
        <w:t>1. 认证资料维护 (/material)：全套 LCA 计算原始凭证、物料平衡单与绿电发票在线封装；</w:t>
        <w:br/>
        <w:t>2. 认证申请流转 (/apply)：向 SGS、TÜV 南德、中国方圆等国际认证机构发起协同在线核验；</w:t>
        <w:br/>
        <w:t>3. 认证证书存证 (/result)：结构化存储证书流水号、颁证机构、有效期限、标准代号与证书 PDF 存证哈希。</w:t>
      </w:r>
    </w:p>
    <w:p>
      <w:pPr>
        <w:pStyle w:val="Heading2"/>
        <w:keepNext/>
        <w:spacing w:before="260" w:after="100"/>
      </w:pPr>
      <w:r>
        <w:rPr>
          <w:rFonts w:ascii="微软雅黑" w:hAnsi="微软雅黑"/>
          <w:b/>
          <w:color w:val="0284C7"/>
          <w:sz w:val="25"/>
        </w:rPr>
        <w:t>第 15 章 一级导航【因子库管理】(NAV-CF-FAC-MAIN · /carbon-footprint/factor)</w:t>
      </w:r>
    </w:p>
    <w:p>
      <w:pPr>
        <w:spacing w:after="80" w:line="288" w:lineRule="auto"/>
      </w:pPr>
      <w:r>
        <w:rPr>
          <w:rFonts w:ascii="微软雅黑" w:hAnsi="微软雅黑"/>
          <w:b/>
          <w:color w:val="1E3A8A"/>
          <w:sz w:val="19"/>
        </w:rPr>
        <w:t>功能概述：</w:t>
      </w:r>
      <w:r>
        <w:rPr>
          <w:rFonts w:ascii="微软雅黑" w:hAnsi="微软雅黑"/>
          <w:color w:val="1F2937"/>
          <w:sz w:val="19"/>
        </w:rPr>
        <w:t>建立 4 大专业子库架构：原材料碳因子库 (/material)、电网碳排放因子库 (/power)、能源活动因子库 (/energy) 与国家折标煤系数库 (/coal)。</w:t>
        <w:br/>
        <w:t>严格执行【草稿 ➔ 审核中 ➔ 已生效 ➔ 已废止】生命周期管理与变更审计留痕。</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trPr>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字段标识</w:t>
            </w:r>
          </w:p>
        </w:tc>
        <w:tc>
          <w:tcPr>
            <w:tcW w:type="dxa" w:w="201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字段中文名称</w:t>
            </w:r>
          </w:p>
        </w:tc>
        <w:tc>
          <w:tcPr>
            <w:tcW w:type="dxa" w:w="129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数据类型</w:t>
            </w:r>
          </w:p>
        </w:tc>
        <w:tc>
          <w:tcPr>
            <w:tcW w:type="dxa" w:w="144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工程单位</w:t>
            </w:r>
          </w:p>
        </w:tc>
        <w:tc>
          <w:tcPr>
            <w:tcW w:type="dxa" w:w="230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因子取值范围与版本规则</w:t>
            </w:r>
          </w:p>
        </w:tc>
        <w:tc>
          <w:tcPr>
            <w:tcW w:type="dxa" w:w="72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密级</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factor_code</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因子唯一编码</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String(32)</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FAC-MAT-COPPER-01 等唯一标识</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L0</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factor_name</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因子中文名称</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String(64)</w:t>
            </w:r>
          </w:p>
        </w:tc>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如：高纯阴极铜 (含冶炼)</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L0</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factor_val</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排放因子数值</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Decimal(10,4)</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kgCO2e/单位</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必须严格 &gt; 0.0000</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L0</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data_source</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权威数据来源</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String(64)</w:t>
            </w:r>
          </w:p>
        </w:tc>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实测 / Ecoinvent 3.8 / CLCD / 官方公报</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L0</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version_no</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因子版本编号</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String(16)</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如 v2026.1，支持多版本并存追溯</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L0</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valid_start</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版本生效日期</w:t>
            </w:r>
          </w:p>
        </w:tc>
        <w:tc>
          <w:tcPr>
            <w:tcW w:type="dxa" w:w="129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Date</w:t>
            </w:r>
          </w:p>
        </w:tc>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YYYY-MM-DD</w:t>
            </w:r>
          </w:p>
        </w:tc>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生效开始时间戳</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L0</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status</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生命周期状态</w:t>
            </w:r>
          </w:p>
        </w:tc>
        <w:tc>
          <w:tcPr>
            <w:tcW w:type="dxa" w:w="129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Enum</w:t>
            </w:r>
          </w:p>
        </w:tc>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草稿 / 待审 / 生效中 / 历史废止</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L0</w:t>
            </w:r>
          </w:p>
        </w:tc>
      </w:tr>
    </w:tbl>
    <w:p>
      <w:pPr>
        <w:spacing w:after="60"/>
      </w:pPr>
    </w:p>
    <w:p>
      <w:r>
        <w:br w:type="page"/>
      </w:r>
    </w:p>
    <w:p>
      <w:pPr>
        <w:pStyle w:val="Heading1"/>
        <w:keepNext/>
        <w:spacing w:before="360" w:after="160"/>
      </w:pPr>
      <w:r>
        <w:rPr>
          <w:rFonts w:ascii="微软雅黑" w:hAnsi="微软雅黑"/>
          <w:b/>
          <w:color w:val="1E3A8A"/>
          <w:sz w:val="31"/>
        </w:rPr>
        <w:t>第四篇：系统底座、接口契约与 QA 质量验收</w:t>
      </w:r>
    </w:p>
    <w:p>
      <w:pPr>
        <w:pStyle w:val="Heading2"/>
        <w:keepNext/>
        <w:spacing w:before="260" w:after="100"/>
      </w:pPr>
      <w:r>
        <w:rPr>
          <w:rFonts w:ascii="微软雅黑" w:hAnsi="微软雅黑"/>
          <w:b/>
          <w:color w:val="0284C7"/>
          <w:sz w:val="25"/>
        </w:rPr>
        <w:t>第 16 章 六级组织架构与穿透鉴权体系</w:t>
      </w:r>
    </w:p>
    <w:p>
      <w:pPr>
        <w:spacing w:after="80" w:line="288" w:lineRule="auto"/>
      </w:pPr>
      <w:r>
        <w:rPr>
          <w:rFonts w:ascii="微软雅黑" w:hAnsi="微软雅黑"/>
          <w:b/>
          <w:color w:val="1E3A8A"/>
          <w:sz w:val="19"/>
        </w:rPr>
        <w:t>架构规范：</w:t>
      </w:r>
      <w:r>
        <w:rPr>
          <w:rFonts w:ascii="微软雅黑" w:hAnsi="微软雅黑"/>
          <w:color w:val="1F2937"/>
          <w:sz w:val="19"/>
        </w:rPr>
        <w:t>系统严格执行【特变电工集团 ➔ 产业集团 ➔ 二级公司 ➔ 生产园区 ➔ 制造车间 ➔ 用能设备】六级穿透鉴权与数据物理隔离。上级节点通过物化视图自动聚合下级指标，下级节点严格隔离，越权请求触发 E_AUTH_RBAC_FORBIDDEN。</w:t>
      </w:r>
    </w:p>
    <w:p>
      <w:pPr>
        <w:pStyle w:val="Heading2"/>
        <w:keepNext/>
        <w:spacing w:before="260" w:after="100"/>
      </w:pPr>
      <w:r>
        <w:rPr>
          <w:rFonts w:ascii="微软雅黑" w:hAnsi="微软雅黑"/>
          <w:b/>
          <w:color w:val="0284C7"/>
          <w:sz w:val="25"/>
        </w:rPr>
        <w:t>第 17 章 外部系统集成与 API 契约 (OpenAPI 3.0 &amp; IoT)</w:t>
      </w:r>
    </w:p>
    <w:p>
      <w:pPr>
        <w:spacing w:after="80" w:line="288" w:lineRule="auto"/>
      </w:pPr>
      <w:r>
        <w:rPr>
          <w:rFonts w:ascii="微软雅黑" w:hAnsi="微软雅黑"/>
          <w:b/>
          <w:color w:val="1E3A8A"/>
          <w:sz w:val="19"/>
        </w:rPr>
        <w:t>接口协议：</w:t>
      </w:r>
      <w:r>
        <w:rPr>
          <w:rFonts w:ascii="微软雅黑" w:hAnsi="微软雅黑"/>
          <w:color w:val="1F2937"/>
          <w:sz w:val="19"/>
        </w:rPr>
        <w:t>1. IoT 物联采集网关：通过 Modbus-TCP / MQTT 协议实现全厂数千台数字电表、变送器秒级遥测高频采集，写入分布式时序数据库 (InfluxDB/TDengine)；</w:t>
        <w:br/>
        <w:t>2. 企业 ERP/MES 集成：基于 OpenAPI 3.0 契约，自动定时同步产品批次 BOM 清单、实际报工产量工时及财务电费账单。</w:t>
      </w:r>
    </w:p>
    <w:p>
      <w:pPr>
        <w:pStyle w:val="Heading2"/>
        <w:keepNext/>
        <w:spacing w:before="260" w:after="100"/>
      </w:pPr>
      <w:r>
        <w:rPr>
          <w:rFonts w:ascii="微软雅黑" w:hAnsi="微软雅黑"/>
          <w:b/>
          <w:color w:val="0284C7"/>
          <w:sz w:val="25"/>
        </w:rPr>
        <w:t>第 18 章 质量保障体系与全量验收测试用例矩阵 (QA Matrix)</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trPr>
        <w:tc>
          <w:tcPr>
            <w:tcW w:type="dxa" w:w="115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用例编号</w:t>
            </w:r>
          </w:p>
        </w:tc>
        <w:tc>
          <w:tcPr>
            <w:tcW w:type="dxa" w:w="201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验证要点</w:t>
            </w:r>
          </w:p>
        </w:tc>
        <w:tc>
          <w:tcPr>
            <w:tcW w:type="dxa" w:w="230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测试输入与方法</w:t>
            </w:r>
          </w:p>
        </w:tc>
        <w:tc>
          <w:tcPr>
            <w:tcW w:type="dxa" w:w="302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期望输出与验收指标</w:t>
            </w:r>
          </w:p>
        </w:tc>
        <w:tc>
          <w:tcPr>
            <w:tcW w:type="dxa" w:w="115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阻断级别</w:t>
            </w:r>
          </w:p>
        </w:tc>
      </w:tr>
      <w:tr>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TC-01</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44px 工业表格行高</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CSS 样式扫描 + 像素检查</w:t>
            </w:r>
          </w:p>
        </w:tc>
        <w:tc>
          <w:tcPr>
            <w:tcW w:type="dxa" w:w="302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全站所有 &lt;tr&gt; 固定为 h-[44px]，垂直居中无抖动</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阻断 (Red-Line)</w:t>
            </w:r>
          </w:p>
        </w:tc>
      </w:tr>
      <w:tr>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TC-02</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双端 100% 同构</w:t>
            </w:r>
          </w:p>
        </w:tc>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自动化对标双端 76 路由</w:t>
            </w:r>
          </w:p>
        </w:tc>
        <w:tc>
          <w:tcPr>
            <w:tcW w:type="dxa" w:w="302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暗黑端(3000)与浅色端(3001)功能、图表与样式 100% 一致</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阻断 (Red-Line)</w:t>
            </w:r>
          </w:p>
        </w:tc>
      </w:tr>
      <w:tr>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TC-03</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工序白名单判空</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选择沈变/鲁缆智慧能源等无工序单位</w:t>
            </w:r>
          </w:p>
        </w:tc>
        <w:tc>
          <w:tcPr>
            <w:tcW w:type="dxa" w:w="302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工序区域整行仅输出单行“暂无相关工序！”，无大段说教</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阻断 (Red-Line)</w:t>
            </w:r>
          </w:p>
        </w:tc>
      </w:tr>
      <w:tr>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TC-04</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客观中立性纯洁度</w:t>
            </w:r>
          </w:p>
        </w:tc>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全系统文字定性词正则扫描</w:t>
            </w:r>
          </w:p>
        </w:tc>
        <w:tc>
          <w:tcPr>
            <w:tcW w:type="dxa" w:w="302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零主观定性词汇（“表现优异/运行欠佳/落后单位”等）</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阻断 (Red-Line)</w:t>
            </w:r>
          </w:p>
        </w:tc>
      </w:tr>
      <w:tr>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TC-05</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极限除零边界防御</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BVA 极限输入月度产量 M = 0</w:t>
            </w:r>
          </w:p>
        </w:tc>
        <w:tc>
          <w:tcPr>
            <w:tcW w:type="dxa" w:w="302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自动拦截除以零异常，单耗显示“--”，严禁出现 NaN 或白屏</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阻断 (Red-Line)</w:t>
            </w:r>
          </w:p>
        </w:tc>
      </w:tr>
      <w:tr>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TC-06</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数据录入并发防刷</w:t>
            </w:r>
          </w:p>
        </w:tc>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100ms 内快速连续点击提交 3 次</w:t>
            </w:r>
          </w:p>
        </w:tc>
        <w:tc>
          <w:tcPr>
            <w:tcW w:type="dxa" w:w="302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Token 幂等拦截，仅首笔入库，提示防刷，防止重复记账</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阻断 (Red-Line)</w:t>
            </w:r>
          </w:p>
        </w:tc>
      </w:tr>
      <w:tr>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TC-07</w:t>
            </w:r>
          </w:p>
        </w:tc>
        <w:tc>
          <w:tcPr>
            <w:tcW w:type="dxa" w:w="201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非负防错校验</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录入工作台输入产量为 -500 kVA</w:t>
            </w:r>
          </w:p>
        </w:tc>
        <w:tc>
          <w:tcPr>
            <w:tcW w:type="dxa" w:w="302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前端即时拦截并红框高亮，禁止发送请求</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阻断 (Red-Line)</w:t>
            </w:r>
          </w:p>
        </w:tc>
      </w:tr>
      <w:tr>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TC-08</w:t>
            </w:r>
          </w:p>
        </w:tc>
        <w:tc>
          <w:tcPr>
            <w:tcW w:type="dxa" w:w="201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网络故障降级容灾</w:t>
            </w:r>
          </w:p>
        </w:tc>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断网混沌工程故障注入</w:t>
            </w:r>
          </w:p>
        </w:tc>
        <w:tc>
          <w:tcPr>
            <w:tcW w:type="dxa" w:w="302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优雅提示网络连接异常，恢复后支持一键重试刷新</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高优先级</w:t>
            </w:r>
          </w:p>
        </w:tc>
      </w:tr>
    </w:tbl>
    <w:p>
      <w:pPr>
        <w:spacing w:after="60"/>
      </w:pPr>
    </w:p>
    <w:p>
      <w:r>
        <w:br w:type="page"/>
      </w:r>
    </w:p>
    <w:p>
      <w:pPr>
        <w:pStyle w:val="Heading1"/>
        <w:keepNext/>
        <w:spacing w:before="360" w:after="160"/>
      </w:pPr>
      <w:r>
        <w:rPr>
          <w:rFonts w:ascii="微软雅黑" w:hAnsi="微软雅黑"/>
          <w:b/>
          <w:color w:val="1E3A8A"/>
          <w:sz w:val="31"/>
        </w:rPr>
        <w:t>第五篇：工程治理、状态机与合规保障体系 (v1.1.0 补强专篇)</w:t>
      </w:r>
    </w:p>
    <w:p>
      <w:pPr>
        <w:pStyle w:val="Heading2"/>
        <w:keepNext/>
        <w:spacing w:before="260" w:after="100"/>
      </w:pPr>
      <w:r>
        <w:rPr>
          <w:rFonts w:ascii="微软雅黑" w:hAnsi="微软雅黑"/>
          <w:b/>
          <w:color w:val="0284C7"/>
          <w:sz w:val="25"/>
        </w:rPr>
        <w:t>第 19 章 数据治理与商密合规 (Data Governance &amp; Confidentiality)</w:t>
      </w:r>
    </w:p>
    <w:p>
      <w:pPr>
        <w:spacing w:after="80" w:line="288" w:lineRule="auto"/>
      </w:pPr>
      <w:r>
        <w:rPr>
          <w:rFonts w:ascii="微软雅黑" w:hAnsi="微软雅黑"/>
          <w:color w:val="1F2937"/>
          <w:sz w:val="19"/>
        </w:rPr>
        <w:t>依据大型央国企商密规范与海外出海安全条例，建立严格的 L0~L4 数据分级、脱敏与审计留痕机制：</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trPr>
        <w:tc>
          <w:tcPr>
            <w:tcW w:type="dxa" w:w="86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级别标签</w:t>
            </w:r>
          </w:p>
        </w:tc>
        <w:tc>
          <w:tcPr>
            <w:tcW w:type="dxa" w:w="158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密级名称</w:t>
            </w:r>
          </w:p>
        </w:tc>
        <w:tc>
          <w:tcPr>
            <w:tcW w:type="dxa" w:w="244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典型业务字段</w:t>
            </w:r>
          </w:p>
        </w:tc>
        <w:tc>
          <w:tcPr>
            <w:tcW w:type="dxa" w:w="230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展示脱敏规则</w:t>
            </w:r>
          </w:p>
        </w:tc>
        <w:tc>
          <w:tcPr>
            <w:tcW w:type="dxa" w:w="244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导出与存储处理要求</w:t>
            </w:r>
          </w:p>
        </w:tc>
      </w:tr>
      <w:tr>
        <w:tc>
          <w:tcPr>
            <w:tcW w:type="dxa" w:w="86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L0</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公开 (PUBLIC)</w:t>
            </w:r>
          </w:p>
        </w:tc>
        <w:tc>
          <w:tcPr>
            <w:tcW w:type="dxa" w:w="244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国家行业能耗先进值、国家准入值、折标煤系数</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明文正常展示</w:t>
            </w:r>
          </w:p>
        </w:tc>
        <w:tc>
          <w:tcPr>
            <w:tcW w:type="dxa" w:w="244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允许对外发布与公开引用</w:t>
            </w:r>
          </w:p>
        </w:tc>
      </w:tr>
      <w:tr>
        <w:tc>
          <w:tcPr>
            <w:tcW w:type="dxa" w:w="86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L1</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内部 (INTERNAL)</w:t>
            </w:r>
          </w:p>
        </w:tc>
        <w:tc>
          <w:tcPr>
            <w:tcW w:type="dxa" w:w="244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各基地万元产值能耗、单位产品单耗、绿电消纳率</w:t>
            </w:r>
          </w:p>
        </w:tc>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全集团统一内网展示</w:t>
            </w:r>
          </w:p>
        </w:tc>
        <w:tc>
          <w:tcPr>
            <w:tcW w:type="dxa" w:w="244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仅限特变电工内部网络访问与流转</w:t>
            </w:r>
          </w:p>
        </w:tc>
      </w:tr>
      <w:tr>
        <w:tc>
          <w:tcPr>
            <w:tcW w:type="dxa" w:w="86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L2</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敏感 (SENSITIVE)</w:t>
            </w:r>
          </w:p>
        </w:tc>
        <w:tc>
          <w:tcPr>
            <w:tcW w:type="dxa" w:w="244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重点设备编码、车间统计员手机号、采集表计 UUID</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手机号保留前3后4，UUID保留尾4位</w:t>
            </w:r>
          </w:p>
        </w:tc>
        <w:tc>
          <w:tcPr>
            <w:tcW w:type="dxa" w:w="244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访问审计留痕，导出带工号动态水印</w:t>
            </w:r>
          </w:p>
        </w:tc>
      </w:tr>
      <w:tr>
        <w:tc>
          <w:tcPr>
            <w:tcW w:type="dxa" w:w="86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L3</w:t>
            </w:r>
          </w:p>
        </w:tc>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商密 (CONFIDENTIAL)</w:t>
            </w:r>
          </w:p>
        </w:tc>
        <w:tc>
          <w:tcPr>
            <w:tcW w:type="dxa" w:w="244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变压器工艺配方、月度电费金额、CBAM 申报底表</w:t>
            </w:r>
          </w:p>
        </w:tc>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电费四舍五入到万元，CBAM底表仅P5/PM可见</w:t>
            </w:r>
          </w:p>
        </w:tc>
        <w:tc>
          <w:tcPr>
            <w:tcW w:type="dxa" w:w="244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落盘AES-256加密存储，操作链式Hash留痕</w:t>
            </w:r>
          </w:p>
        </w:tc>
      </w:tr>
      <w:tr>
        <w:tc>
          <w:tcPr>
            <w:tcW w:type="dxa" w:w="86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L4</w:t>
            </w:r>
          </w:p>
        </w:tc>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绝密 (TOP_SECRET)</w:t>
            </w:r>
          </w:p>
        </w:tc>
        <w:tc>
          <w:tcPr>
            <w:tcW w:type="dxa" w:w="244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集团双碳战略投资路线图、上市公司核心能耗决算</w:t>
            </w:r>
          </w:p>
        </w:tc>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高管双重鉴权展示，强制显式全屏防截屏水印</w:t>
            </w:r>
          </w:p>
        </w:tc>
        <w:tc>
          <w:tcPr>
            <w:tcW w:type="dxa" w:w="244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仅P1集团决策层授权访问，双人签批导出</w:t>
            </w:r>
          </w:p>
        </w:tc>
      </w:tr>
    </w:tbl>
    <w:p>
      <w:pPr>
        <w:spacing w:after="60"/>
      </w:pPr>
    </w:p>
    <w:p>
      <w:pPr>
        <w:spacing w:after="80" w:line="288" w:lineRule="auto"/>
      </w:pPr>
      <w:r>
        <w:rPr>
          <w:rFonts w:ascii="微软雅黑" w:hAnsi="微软雅黑"/>
          <w:color w:val="1F2937"/>
          <w:sz w:val="19"/>
        </w:rPr>
        <w:t>【数据法定保留与销毁期限】：</w:t>
        <w:br/>
        <w:t>1. 工业时序遥测数据：在线存储 ≥ 3 年，冷归档存储 ≥ 10 年；</w:t>
        <w:br/>
        <w:t>2. 财务电费与用能台账：法定保留 ≥ 10 年，到期按国家档案法规销毁；</w:t>
        <w:br/>
        <w:t>3. 欧盟 CBAM 申报底表：法定保留 ≥ 10 年（欧盟海关追溯要求）；</w:t>
        <w:br/>
        <w:t>4. LCA 碳足迹报告与认证声明：永久留底，严禁销毁。</w:t>
      </w:r>
    </w:p>
    <w:p>
      <w:pPr>
        <w:pStyle w:val="Heading2"/>
        <w:keepNext/>
        <w:spacing w:before="260" w:after="100"/>
      </w:pPr>
      <w:r>
        <w:rPr>
          <w:rFonts w:ascii="微软雅黑" w:hAnsi="微软雅黑"/>
          <w:b/>
          <w:color w:val="0284C7"/>
          <w:sz w:val="25"/>
        </w:rPr>
        <w:t>第 20 章 关键业务长流程状态机图谱 (Business State Machines)</w:t>
      </w:r>
    </w:p>
    <w:p>
      <w:pPr>
        <w:spacing w:after="80" w:line="288" w:lineRule="auto"/>
      </w:pPr>
      <w:r>
        <w:rPr>
          <w:rFonts w:ascii="微软雅黑" w:hAnsi="微软雅黑"/>
          <w:color w:val="1F2937"/>
          <w:sz w:val="19"/>
        </w:rPr>
        <w:t>为全系统长流程、跨角色、涉及审批与回退的业务节点定义标准化状态流转机制：</w:t>
      </w:r>
    </w:p>
    <w:tbl>
      <w:tblPr>
        <w:tblW w:type="auto" w:w="0"/>
        <w:jc w:val="center"/>
        <w:tblLayout w:type="fixed"/>
        <w:tblLook w:firstColumn="1" w:firstRow="1" w:lastColumn="0" w:lastRow="0" w:noHBand="0" w:noVBand="1" w:val="04A0"/>
      </w:tblPr>
      <w:tblGrid>
        <w:gridCol w:w="2448"/>
        <w:gridCol w:w="2448"/>
        <w:gridCol w:w="2448"/>
        <w:gridCol w:w="2448"/>
      </w:tblGrid>
      <w:tr>
        <w:trPr>
          <w:tblHeader/>
        </w:trPr>
        <w:tc>
          <w:tcPr>
            <w:tcW w:type="dxa" w:w="158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业务流程名称</w:t>
            </w:r>
          </w:p>
        </w:tc>
        <w:tc>
          <w:tcPr>
            <w:tcW w:type="dxa" w:w="331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全生命周期状态流转链</w:t>
            </w:r>
          </w:p>
        </w:tc>
        <w:tc>
          <w:tcPr>
            <w:tcW w:type="dxa" w:w="288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可触发动作与角色边界</w:t>
            </w:r>
          </w:p>
        </w:tc>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异常回退策略</w:t>
            </w:r>
          </w:p>
        </w:tc>
      </w:tr>
      <w:tr>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LCA 碳足迹核算</w:t>
            </w:r>
          </w:p>
        </w:tc>
        <w:tc>
          <w:tcPr>
            <w:tcW w:type="dxa" w:w="331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草稿 (DRAFT) ➔ 送审 (SUBMITTED) ➔ 认证中 (CERTIFYING) ➔ 已认证 (CERTIFIED) ➔ 已发布 (PUBLISHED) ➔ 已归档 (ARCHIVED)</w:t>
            </w:r>
          </w:p>
        </w:tc>
        <w:tc>
          <w:tcPr>
            <w:tcW w:type="dxa" w:w="288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草稿仅 P4 自身编辑；送审后锁定；认证中第三方介入；发布需 P4+PM 联合签字</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机构退回时状态回退至“草稿”，释放编辑锁并记录退回意见</w:t>
            </w:r>
          </w:p>
        </w:tc>
      </w:tr>
      <w:tr>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CBAM 关税申报</w:t>
            </w:r>
          </w:p>
        </w:tc>
        <w:tc>
          <w:tcPr>
            <w:tcW w:type="dxa" w:w="331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模拟测算 (SIMULATING) ➔ 待审 (PENDING_REVIEW) ➔ 已提交 (SUBMITTED) ➔ 海关反馈 (CUSTOMS_FEEDBACK) ➔ 已归档 (ARCHIVED)</w:t>
            </w:r>
          </w:p>
        </w:tc>
        <w:tc>
          <w:tcPr>
            <w:tcW w:type="dxa" w:w="288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模拟仅 P5 可触发；提交必须经 P5 报关专家与 P1 集团决策层双重电子签章</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海关质询时转入“海关反馈”，补正后重新提交并生成新修订流水号</w:t>
            </w:r>
          </w:p>
        </w:tc>
      </w:tr>
      <w:tr>
        <w:tc>
          <w:tcPr>
            <w:tcW w:type="dxa" w:w="158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节能效益评估</w:t>
            </w:r>
          </w:p>
        </w:tc>
        <w:tc>
          <w:tcPr>
            <w:tcW w:type="dxa" w:w="331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项目立项 (REGISTERED) ➔ 建设施工 (CONSTRUCTING) ➔ 并网试运行 (TRIAL_RUN) ➔ 稳定运行 (STABLE) ➔ 已完结 (CLOSED)</w:t>
            </w:r>
          </w:p>
        </w:tc>
        <w:tc>
          <w:tcPr>
            <w:tcW w:type="dxa" w:w="288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并网试运行需满足 90 天 M&amp;V 连续采数，验收通过方可流转至“稳定运行”</w:t>
            </w:r>
          </w:p>
        </w:tc>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年度复评未达标时转入“整改 (RECTIFICATION)”，整改完毕复核转回</w:t>
            </w:r>
          </w:p>
        </w:tc>
      </w:tr>
      <w:tr>
        <w:tc>
          <w:tcPr>
            <w:tcW w:type="dxa" w:w="158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基层数据填报</w:t>
            </w:r>
          </w:p>
        </w:tc>
        <w:tc>
          <w:tcPr>
            <w:tcW w:type="dxa" w:w="331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空白 (BLANK) ➔ 录入中 (EDITING) ➔ 已暂存 (SAVED) ➔ 已提交 (SUBMITTED) ➔ 已入账 (POSTED) ➔ 锁账 (LOCKED)</w:t>
            </w:r>
          </w:p>
        </w:tc>
        <w:tc>
          <w:tcPr>
            <w:tcW w:type="dxa" w:w="288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车间统计员 (P3) 录入暂存；动力处长审核提交；月度终了财务关账后状态变为“锁账”</w:t>
            </w:r>
          </w:p>
        </w:tc>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审核驳回时退回至“已暂存”，入账后如需纠错须走特批反冲审批流程</w:t>
            </w:r>
          </w:p>
        </w:tc>
      </w:tr>
    </w:tbl>
    <w:p>
      <w:pPr>
        <w:spacing w:after="60"/>
      </w:pPr>
    </w:p>
    <w:p>
      <w:pPr>
        <w:pStyle w:val="Heading2"/>
        <w:keepNext/>
        <w:spacing w:before="260" w:after="100"/>
      </w:pPr>
      <w:r>
        <w:rPr>
          <w:rFonts w:ascii="微软雅黑" w:hAnsi="微软雅黑"/>
          <w:b/>
          <w:color w:val="0284C7"/>
          <w:sz w:val="25"/>
        </w:rPr>
        <w:t>第 21 章 术语表与缩略语大全 (Glossary &amp; Abbreviations)</w:t>
      </w:r>
    </w:p>
    <w:tbl>
      <w:tblPr>
        <w:tblW w:type="auto" w:w="0"/>
        <w:jc w:val="center"/>
        <w:tblLayout w:type="fixed"/>
        <w:tblLook w:firstColumn="1" w:firstRow="1" w:lastColumn="0" w:lastRow="0" w:noHBand="0" w:noVBand="1" w:val="04A0"/>
      </w:tblPr>
      <w:tblGrid>
        <w:gridCol w:w="2448"/>
        <w:gridCol w:w="2448"/>
        <w:gridCol w:w="2448"/>
        <w:gridCol w:w="2448"/>
      </w:tblGrid>
      <w:tr>
        <w:trPr>
          <w:tblHeader/>
        </w:trPr>
        <w:tc>
          <w:tcPr>
            <w:tcW w:type="dxa" w:w="144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术语/缩写</w:t>
            </w:r>
          </w:p>
        </w:tc>
        <w:tc>
          <w:tcPr>
            <w:tcW w:type="dxa" w:w="259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英文全称</w:t>
            </w:r>
          </w:p>
        </w:tc>
        <w:tc>
          <w:tcPr>
            <w:tcW w:type="dxa" w:w="388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工业/业务释义</w:t>
            </w:r>
          </w:p>
        </w:tc>
        <w:tc>
          <w:tcPr>
            <w:tcW w:type="dxa" w:w="172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PRD 关联章节</w:t>
            </w:r>
          </w:p>
        </w:tc>
      </w:tr>
      <w:tr>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PRD</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Product Requirements Document</w:t>
            </w:r>
          </w:p>
        </w:tc>
        <w:tc>
          <w:tcPr>
            <w:tcW w:type="dxa" w:w="388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产品需求规格说明书，最高研发与交付契约</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全文</w:t>
            </w:r>
          </w:p>
        </w:tc>
      </w:tr>
      <w:tr>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CBAM</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Carbon Border Adjustment Mechanism</w:t>
            </w:r>
          </w:p>
        </w:tc>
        <w:tc>
          <w:tcPr>
            <w:tcW w:type="dxa" w:w="388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欧盟碳边境调节机制（碳关税），2026年正式开征</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13 章</w:t>
            </w:r>
          </w:p>
        </w:tc>
      </w:tr>
      <w:tr>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ETS</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Emissions Trading System</w:t>
            </w:r>
          </w:p>
        </w:tc>
        <w:tc>
          <w:tcPr>
            <w:tcW w:type="dxa" w:w="388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欧盟碳排放交易体系，碳配额实时拍卖价格</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13 章</w:t>
            </w:r>
          </w:p>
        </w:tc>
      </w:tr>
      <w:tr>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LCA</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Life Cycle Assessment</w:t>
            </w:r>
          </w:p>
        </w:tc>
        <w:tc>
          <w:tcPr>
            <w:tcW w:type="dxa" w:w="388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生命周期评价（涵盖原材料、制造、运输、使用、废弃）</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12 章</w:t>
            </w:r>
          </w:p>
        </w:tc>
      </w:tr>
      <w:tr>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BOM</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Bill of Materials</w:t>
            </w:r>
          </w:p>
        </w:tc>
        <w:tc>
          <w:tcPr>
            <w:tcW w:type="dxa" w:w="388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产品物料清单，碳足迹核算层级分解的基础输入</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12 章</w:t>
            </w:r>
          </w:p>
        </w:tc>
      </w:tr>
      <w:tr>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SCADA</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Supervisory Control and Data Acquisition</w:t>
            </w:r>
          </w:p>
        </w:tc>
        <w:tc>
          <w:tcPr>
            <w:tcW w:type="dxa" w:w="388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数据采集与监视控制系统，变配电秒级遥测来源</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5、17 章</w:t>
            </w:r>
          </w:p>
        </w:tc>
      </w:tr>
      <w:tr>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MQTT</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Message Queuing Telemetry Transport</w:t>
            </w:r>
          </w:p>
        </w:tc>
        <w:tc>
          <w:tcPr>
            <w:tcW w:type="dxa" w:w="388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轻量级物联网消息发布订阅协议，传感器上报标准</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17 章</w:t>
            </w:r>
          </w:p>
        </w:tc>
      </w:tr>
      <w:tr>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M&amp;V</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Measurement and Verification</w:t>
            </w:r>
          </w:p>
        </w:tc>
        <w:tc>
          <w:tcPr>
            <w:tcW w:type="dxa" w:w="388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节能量测量与验证（遵循国际通用 IPMVP 规程）</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7 章</w:t>
            </w:r>
          </w:p>
        </w:tc>
      </w:tr>
      <w:tr>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kgce / tce</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kilogram / ton of coal equivalent</w:t>
            </w:r>
          </w:p>
        </w:tc>
        <w:tc>
          <w:tcPr>
            <w:tcW w:type="dxa" w:w="388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千克标准煤 / 吨标准煤，我国通用综合能源计量单位</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5、6、8 章</w:t>
            </w:r>
          </w:p>
        </w:tc>
      </w:tr>
      <w:tr>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Scope 1</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Direct GHG Emissions</w:t>
            </w:r>
          </w:p>
        </w:tc>
        <w:tc>
          <w:tcPr>
            <w:tcW w:type="dxa" w:w="388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范围一：企业拥有或控制的排放源燃烧化石燃料的直接排放</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5 章</w:t>
            </w:r>
          </w:p>
        </w:tc>
      </w:tr>
      <w:tr>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Scope 2</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Electricity Indirect GHG Emissions</w:t>
            </w:r>
          </w:p>
        </w:tc>
        <w:tc>
          <w:tcPr>
            <w:tcW w:type="dxa" w:w="388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范围二：外购电力、热力或蒸汽消费导致的间接温室气体排放</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5 章</w:t>
            </w:r>
          </w:p>
        </w:tc>
      </w:tr>
      <w:tr>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Scope 3</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Other Indirect GHG Emissions</w:t>
            </w:r>
          </w:p>
        </w:tc>
        <w:tc>
          <w:tcPr>
            <w:tcW w:type="dxa" w:w="388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范围三：企业价值链上下游所有其他间接排放（采购、外协等）</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12 章</w:t>
            </w:r>
          </w:p>
        </w:tc>
      </w:tr>
      <w:tr>
        <w:tc>
          <w:tcPr>
            <w:tcW w:type="dxa" w:w="144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EQP / BVA</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Equivalence Partitioning / Boundary Value Analysis</w:t>
            </w:r>
          </w:p>
        </w:tc>
        <w:tc>
          <w:tcPr>
            <w:tcW w:type="dxa" w:w="388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等价类划分与边界值分析，QA 极限测试方法论</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18 章</w:t>
            </w:r>
          </w:p>
        </w:tc>
      </w:tr>
      <w:tr>
        <w:tc>
          <w:tcPr>
            <w:tcW w:type="dxa" w:w="144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RACI</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Responsible / Accountable / Consulted / Informed</w:t>
            </w:r>
          </w:p>
        </w:tc>
        <w:tc>
          <w:tcPr>
            <w:tcW w:type="dxa" w:w="388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责任分配矩阵，明确各项决策的唯一最终责任人</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23 章</w:t>
            </w:r>
          </w:p>
        </w:tc>
      </w:tr>
    </w:tbl>
    <w:p>
      <w:pPr>
        <w:spacing w:after="60"/>
      </w:pPr>
    </w:p>
    <w:p>
      <w:pPr>
        <w:pStyle w:val="Heading2"/>
        <w:keepNext/>
        <w:spacing w:before="260" w:after="100"/>
      </w:pPr>
      <w:r>
        <w:rPr>
          <w:rFonts w:ascii="微软雅黑" w:hAnsi="微软雅黑"/>
          <w:b/>
          <w:color w:val="0284C7"/>
          <w:sz w:val="25"/>
        </w:rPr>
        <w:t>第 22 章 标准化错误码字典与异常分级 (Error Code Catalog)</w:t>
      </w:r>
    </w:p>
    <w:p>
      <w:pPr>
        <w:spacing w:after="80" w:line="288" w:lineRule="auto"/>
      </w:pPr>
      <w:r>
        <w:rPr>
          <w:rFonts w:ascii="微软雅黑" w:hAnsi="微软雅黑"/>
          <w:color w:val="1F2937"/>
          <w:sz w:val="19"/>
        </w:rPr>
        <w:t>全平台执行统一规范格式：E_&lt;DOMAIN&gt;_&lt;MODULE&gt;_&lt;REASON&gt;[_&lt;SUFFIX&gt;]，分划 P0 系统级、P1 业务级、P2 提示级、P3 信息级四大级别：</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trPr>
        <w:tc>
          <w:tcPr>
            <w:tcW w:type="dxa" w:w="230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标准错误码</w:t>
            </w:r>
          </w:p>
        </w:tc>
        <w:tc>
          <w:tcPr>
            <w:tcW w:type="dxa" w:w="100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HTTP状态</w:t>
            </w:r>
          </w:p>
        </w:tc>
        <w:tc>
          <w:tcPr>
            <w:tcW w:type="dxa" w:w="72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级别</w:t>
            </w:r>
          </w:p>
        </w:tc>
        <w:tc>
          <w:tcPr>
            <w:tcW w:type="dxa" w:w="259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触发业务场景</w:t>
            </w:r>
          </w:p>
        </w:tc>
        <w:tc>
          <w:tcPr>
            <w:tcW w:type="dxa" w:w="302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前端交互与后端处理建议</w:t>
            </w:r>
          </w:p>
        </w:tc>
      </w:tr>
      <w:tr>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E_VAL_ENERGY_NEGATIVE</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400</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P2</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车间能源消耗或产品产量录入负数</w:t>
            </w:r>
          </w:p>
        </w:tc>
        <w:tc>
          <w:tcPr>
            <w:tcW w:type="dxa" w:w="302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输入框即时红框高亮，拦截表单提交，提示请输入非负数</w:t>
            </w:r>
          </w:p>
        </w:tc>
      </w:tr>
      <w:tr>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E_VAL_MON_KVA_ZERO</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400</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P2</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测算单位产品能耗时分母产量录入为零</w:t>
            </w:r>
          </w:p>
        </w:tc>
        <w:tc>
          <w:tcPr>
            <w:tcW w:type="dxa" w:w="302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拦截除零运算，单耗显示为“--”，提示无生产批次</w:t>
            </w:r>
          </w:p>
        </w:tc>
      </w:tr>
      <w:tr>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E_CALC_UNIT_DIV_ZERO_SOFT</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200</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P3</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图表渲染遭遇除以零异常</w:t>
            </w:r>
          </w:p>
        </w:tc>
        <w:tc>
          <w:tcPr>
            <w:tcW w:type="dxa" w:w="302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前端软降级显示“--”，严禁出现 NaN 或页面崩溃</w:t>
            </w:r>
          </w:p>
        </w:tc>
      </w:tr>
      <w:tr>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E_IO_MQTT_TIMEOUT</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504</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P1</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微电网或设备采集网关超过 5 秒未响应</w:t>
            </w:r>
          </w:p>
        </w:tc>
        <w:tc>
          <w:tcPr>
            <w:tcW w:type="dxa" w:w="302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图表展示最近一次缓存读数并打上“数据延迟”微标签</w:t>
            </w:r>
          </w:p>
        </w:tc>
      </w:tr>
      <w:tr>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E_AUTH_RBAC_FORBIDDEN</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403</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P1</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非授权角色（如P3）试图访问CBAM底表</w:t>
            </w:r>
          </w:p>
        </w:tc>
        <w:tc>
          <w:tcPr>
            <w:tcW w:type="dxa" w:w="302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拦截操作，展示无权访问提示并记录越权审计日志</w:t>
            </w:r>
          </w:p>
        </w:tc>
      </w:tr>
      <w:tr>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E_EXT_ETS_PRICE_STALE</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200</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P2</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CBAM 模拟时欧盟 ETS 价格超 24h 未更新</w:t>
            </w:r>
          </w:p>
        </w:tc>
        <w:tc>
          <w:tcPr>
            <w:tcW w:type="dxa" w:w="302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测算结果上方以黄色提示框注明碳价滞后，提供手动拉取按钮</w:t>
            </w:r>
          </w:p>
        </w:tc>
      </w:tr>
      <w:tr>
        <w:tc>
          <w:tcPr>
            <w:tcW w:type="dxa" w:w="230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E_SYS_DB_CONN_LOST</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503</w:t>
            </w:r>
          </w:p>
        </w:tc>
        <w:tc>
          <w:tcPr>
            <w:tcW w:type="dxa" w:w="72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P0</w:t>
            </w:r>
          </w:p>
        </w:tc>
        <w:tc>
          <w:tcPr>
            <w:tcW w:type="dxa" w:w="259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时序数仓或业务主库连接中断</w:t>
            </w:r>
          </w:p>
        </w:tc>
        <w:tc>
          <w:tcPr>
            <w:tcW w:type="dxa" w:w="302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双中心自动切换至只读备灾集群，触发 PagerDuty 报警</w:t>
            </w:r>
          </w:p>
        </w:tc>
      </w:tr>
      <w:tr>
        <w:tc>
          <w:tcPr>
            <w:tcW w:type="dxa" w:w="230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E_QM_WHITE_LIST_MISS</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200</w:t>
            </w:r>
          </w:p>
        </w:tc>
        <w:tc>
          <w:tcPr>
            <w:tcW w:type="dxa" w:w="72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P3</w:t>
            </w:r>
          </w:p>
        </w:tc>
        <w:tc>
          <w:tcPr>
            <w:tcW w:type="dxa" w:w="259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选中企业在关键工序对应表无映射工序</w:t>
            </w:r>
          </w:p>
        </w:tc>
        <w:tc>
          <w:tcPr>
            <w:tcW w:type="dxa" w:w="302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单行干练输出：暂无相关工序！，无空白卡片与说教文案</w:t>
            </w:r>
          </w:p>
        </w:tc>
      </w:tr>
    </w:tbl>
    <w:p>
      <w:pPr>
        <w:spacing w:after="60"/>
      </w:pPr>
    </w:p>
    <w:p>
      <w:pPr>
        <w:pStyle w:val="Heading2"/>
        <w:keepNext/>
        <w:spacing w:before="260" w:after="100"/>
      </w:pPr>
      <w:r>
        <w:rPr>
          <w:rFonts w:ascii="微软雅黑" w:hAnsi="微软雅黑"/>
          <w:b/>
          <w:color w:val="0284C7"/>
          <w:sz w:val="25"/>
        </w:rPr>
        <w:t>第 23 章 决策治理 RACI 责任矩阵</w:t>
      </w:r>
    </w:p>
    <w:p>
      <w:pPr>
        <w:spacing w:after="80" w:line="288" w:lineRule="auto"/>
      </w:pPr>
      <w:r>
        <w:rPr>
          <w:rFonts w:ascii="微软雅黑" w:hAnsi="微软雅黑"/>
          <w:color w:val="1F2937"/>
          <w:sz w:val="19"/>
        </w:rPr>
        <w:t>明确关键决策点单一 A (Accountable 唯一最终责任人)，杜绝职责推诿：</w:t>
      </w:r>
    </w:p>
    <w:tbl>
      <w:tblPr>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trPr>
        <w:tc>
          <w:tcPr>
            <w:tcW w:type="dxa" w:w="244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核心决策事项</w:t>
            </w:r>
          </w:p>
        </w:tc>
        <w:tc>
          <w:tcPr>
            <w:tcW w:type="dxa" w:w="100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P1 集团</w:t>
            </w:r>
          </w:p>
        </w:tc>
        <w:tc>
          <w:tcPr>
            <w:tcW w:type="dxa" w:w="100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P4 碳专员</w:t>
            </w:r>
          </w:p>
        </w:tc>
        <w:tc>
          <w:tcPr>
            <w:tcW w:type="dxa" w:w="100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P5 报关</w:t>
            </w:r>
          </w:p>
        </w:tc>
        <w:tc>
          <w:tcPr>
            <w:tcW w:type="dxa" w:w="100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PM</w:t>
            </w:r>
          </w:p>
        </w:tc>
        <w:tc>
          <w:tcPr>
            <w:tcW w:type="dxa" w:w="100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Dev</w:t>
            </w:r>
          </w:p>
        </w:tc>
        <w:tc>
          <w:tcPr>
            <w:tcW w:type="dxa" w:w="100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QA</w:t>
            </w:r>
          </w:p>
        </w:tc>
        <w:tc>
          <w:tcPr>
            <w:tcW w:type="dxa" w:w="115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法务</w:t>
            </w:r>
          </w:p>
        </w:tc>
      </w:tr>
      <w:tr>
        <w:tc>
          <w:tcPr>
            <w:tcW w:type="dxa" w:w="244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北极星指标与业务范围定义</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A</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R</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I</w:t>
            </w:r>
          </w:p>
        </w:tc>
      </w:tr>
      <w:tr>
        <w:tc>
          <w:tcPr>
            <w:tcW w:type="dxa" w:w="244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LCA 碳足迹报告正式对外签发</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I</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A</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R</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w:t>
            </w:r>
          </w:p>
        </w:tc>
      </w:tr>
      <w:tr>
        <w:tc>
          <w:tcPr>
            <w:tcW w:type="dxa" w:w="244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欧盟 CBAM 申报数据包终审报送</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I</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A</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R</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A</w:t>
            </w:r>
          </w:p>
        </w:tc>
      </w:tr>
      <w:tr>
        <w:tc>
          <w:tcPr>
            <w:tcW w:type="dxa" w:w="244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月度基层数据关账与反冲审批</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I</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A</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R</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I</w:t>
            </w:r>
          </w:p>
        </w:tc>
      </w:tr>
      <w:tr>
        <w:tc>
          <w:tcPr>
            <w:tcW w:type="dxa" w:w="244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统一错误码与 API 契约变更</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I</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A</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R</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I</w:t>
            </w:r>
          </w:p>
        </w:tc>
      </w:tr>
      <w:tr>
        <w:tc>
          <w:tcPr>
            <w:tcW w:type="dxa" w:w="244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tbea-industrial-design 铁律修订</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I</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I</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I</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A</w:t>
            </w:r>
          </w:p>
        </w:tc>
        <w:tc>
          <w:tcPr>
            <w:tcW w:type="dxa" w:w="100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R</w:t>
            </w:r>
          </w:p>
        </w:tc>
        <w:tc>
          <w:tcPr>
            <w:tcW w:type="dxa" w:w="115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I</w:t>
            </w:r>
          </w:p>
        </w:tc>
      </w:tr>
      <w:tr>
        <w:tc>
          <w:tcPr>
            <w:tcW w:type="dxa" w:w="244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权威工序白名单判定扩展</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I</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R</w:t>
            </w:r>
          </w:p>
        </w:tc>
        <w:tc>
          <w:tcPr>
            <w:tcW w:type="dxa" w:w="100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A</w:t>
            </w:r>
          </w:p>
        </w:tc>
        <w:tc>
          <w:tcPr>
            <w:tcW w:type="dxa" w:w="115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I</w:t>
            </w:r>
          </w:p>
        </w:tc>
      </w:tr>
    </w:tbl>
    <w:p>
      <w:pPr>
        <w:spacing w:after="60"/>
      </w:pPr>
    </w:p>
    <w:p>
      <w:pPr>
        <w:pStyle w:val="Heading2"/>
        <w:keepNext/>
        <w:spacing w:before="260" w:after="100"/>
      </w:pPr>
      <w:r>
        <w:rPr>
          <w:rFonts w:ascii="微软雅黑" w:hAnsi="微软雅黑"/>
          <w:b/>
          <w:color w:val="0284C7"/>
          <w:sz w:val="25"/>
        </w:rPr>
        <w:t>第 24 章 Skill 依赖契约与降级策略</w:t>
      </w:r>
    </w:p>
    <w:p>
      <w:pPr>
        <w:spacing w:after="80" w:line="288" w:lineRule="auto"/>
      </w:pPr>
      <w:r>
        <w:rPr>
          <w:rFonts w:ascii="微软雅黑" w:hAnsi="微软雅黑"/>
          <w:color w:val="1F2937"/>
          <w:sz w:val="19"/>
        </w:rPr>
        <w:t>1. 强制硬依赖：tbea-industrial-design（44px表格/客观中立/状态自解释/单行判空/微透蓝游标/双端同构），缺失时系统与 Agent 必须显式阻断并拒绝出稿；</w:t>
        <w:br/>
        <w:t>2. 软依赖优雅降级：tbea-data-dictionary、tbea-qa-destructive-testing、tbea-domain-glossary 缺失时，自动启用本文档内联标准规范平滑继续执行，并在文档头部打上 [FALLBACK] 降级标识。</w:t>
      </w:r>
    </w:p>
    <w:p>
      <w:pPr>
        <w:pStyle w:val="Heading2"/>
        <w:keepNext/>
        <w:spacing w:before="260" w:after="100"/>
      </w:pPr>
      <w:r>
        <w:rPr>
          <w:rFonts w:ascii="微软雅黑" w:hAnsi="微软雅黑"/>
          <w:b/>
          <w:color w:val="0284C7"/>
          <w:sz w:val="25"/>
        </w:rPr>
        <w:t>附录 A：现行国标 / 行标 / 欧标 法规映射表</w:t>
      </w:r>
    </w:p>
    <w:tbl>
      <w:tblPr>
        <w:tblW w:type="auto" w:w="0"/>
        <w:jc w:val="center"/>
        <w:tblLayout w:type="fixed"/>
        <w:tblLook w:firstColumn="1" w:firstRow="1" w:lastColumn="0" w:lastRow="0" w:noHBand="0" w:noVBand="1" w:val="04A0"/>
      </w:tblPr>
      <w:tblGrid>
        <w:gridCol w:w="2448"/>
        <w:gridCol w:w="2448"/>
        <w:gridCol w:w="2448"/>
        <w:gridCol w:w="2448"/>
      </w:tblGrid>
      <w:tr>
        <w:trPr>
          <w:tblHeader/>
        </w:trPr>
        <w:tc>
          <w:tcPr>
            <w:tcW w:type="dxa" w:w="1872"/>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标准代号</w:t>
            </w:r>
          </w:p>
        </w:tc>
        <w:tc>
          <w:tcPr>
            <w:tcW w:type="dxa" w:w="316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标准名称</w:t>
            </w:r>
          </w:p>
        </w:tc>
        <w:tc>
          <w:tcPr>
            <w:tcW w:type="dxa" w:w="2880"/>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工程适用范围</w:t>
            </w:r>
          </w:p>
        </w:tc>
        <w:tc>
          <w:tcPr>
            <w:tcW w:type="dxa" w:w="172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PRD 关联章节</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GB/T 2589-2020</w:t>
            </w:r>
          </w:p>
        </w:tc>
        <w:tc>
          <w:tcPr>
            <w:tcW w:type="dxa" w:w="316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综合能耗计算通则</w:t>
            </w:r>
          </w:p>
        </w:tc>
        <w:tc>
          <w:tcPr>
            <w:tcW w:type="dxa" w:w="288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全平台能耗折算、折标煤系数库</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3、5、6、8 章</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GB 17167-2006</w:t>
            </w:r>
          </w:p>
        </w:tc>
        <w:tc>
          <w:tcPr>
            <w:tcW w:type="dxa" w:w="316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用能单位能源计量器具配备和管理通则</w:t>
            </w:r>
          </w:p>
        </w:tc>
        <w:tc>
          <w:tcPr>
            <w:tcW w:type="dxa" w:w="288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重点用能设备表计配备、物联点位布设</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5、17 章</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GB/T 32150-2015</w:t>
            </w:r>
          </w:p>
        </w:tc>
        <w:tc>
          <w:tcPr>
            <w:tcW w:type="dxa" w:w="316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工业企业温室气体排放核算和报告通则</w:t>
            </w:r>
          </w:p>
        </w:tc>
        <w:tc>
          <w:tcPr>
            <w:tcW w:type="dxa" w:w="288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Scope 1 直接化石燃烧 + Scope 2 外购电热测算</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5 章</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ISO 14067:2018</w:t>
            </w:r>
          </w:p>
        </w:tc>
        <w:tc>
          <w:tcPr>
            <w:tcW w:type="dxa" w:w="316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温室气体 产品碳足迹 量化要求和指南</w:t>
            </w:r>
          </w:p>
        </w:tc>
        <w:tc>
          <w:tcPr>
            <w:tcW w:type="dxa" w:w="288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变压器/线缆生命周期评价与双语报告导出</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12 章</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ISO 14064-1:2018</w:t>
            </w:r>
          </w:p>
        </w:tc>
        <w:tc>
          <w:tcPr>
            <w:tcW w:type="dxa" w:w="316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组织层次上温室气体排放清单编制指南</w:t>
            </w:r>
          </w:p>
        </w:tc>
        <w:tc>
          <w:tcPr>
            <w:tcW w:type="dxa" w:w="288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零碳园区全景碳盘查与减排抵消量核算</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5 章</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ISO 50001:2018</w:t>
            </w:r>
          </w:p>
        </w:tc>
        <w:tc>
          <w:tcPr>
            <w:tcW w:type="dxa" w:w="316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能源管理体系 要求及使用指南</w:t>
            </w:r>
          </w:p>
        </w:tc>
        <w:tc>
          <w:tcPr>
            <w:tcW w:type="dxa" w:w="288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零碳工厂自评估运营管理考核维度</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7 章</w:t>
            </w:r>
          </w:p>
        </w:tc>
      </w:tr>
      <w:tr>
        <w:tc>
          <w:tcPr>
            <w:tcW w:type="dxa" w:w="1872"/>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EU CBAM 2023/956</w:t>
            </w:r>
          </w:p>
        </w:tc>
        <w:tc>
          <w:tcPr>
            <w:tcW w:type="dxa" w:w="316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欧盟碳边境调节机制正式条例</w:t>
            </w:r>
          </w:p>
        </w:tc>
        <w:tc>
          <w:tcPr>
            <w:tcW w:type="dxa" w:w="2880"/>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欧盟海关税号映射、前驱物测算、XML导出</w:t>
            </w:r>
          </w:p>
        </w:tc>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13 章</w:t>
            </w:r>
          </w:p>
        </w:tc>
      </w:tr>
      <w:tr>
        <w:tc>
          <w:tcPr>
            <w:tcW w:type="dxa" w:w="1872"/>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EU ETS 2003/87/EC</w:t>
            </w:r>
          </w:p>
        </w:tc>
        <w:tc>
          <w:tcPr>
            <w:tcW w:type="dxa" w:w="316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欧盟温室气体排放配额交易体系指令</w:t>
            </w:r>
          </w:p>
        </w:tc>
        <w:tc>
          <w:tcPr>
            <w:tcW w:type="dxa" w:w="2880"/>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CBAM 关税扣减测算联动实时 ETS 碳价</w:t>
            </w:r>
          </w:p>
        </w:tc>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第 13 章</w:t>
            </w:r>
          </w:p>
        </w:tc>
      </w:tr>
    </w:tbl>
    <w:p>
      <w:pPr>
        <w:spacing w:after="60"/>
      </w:pPr>
    </w:p>
    <w:p>
      <w:pPr>
        <w:pStyle w:val="Heading2"/>
        <w:keepNext/>
        <w:spacing w:before="260" w:after="100"/>
      </w:pPr>
      <w:r>
        <w:rPr>
          <w:rFonts w:ascii="微软雅黑" w:hAnsi="微软雅黑"/>
          <w:b/>
          <w:color w:val="0284C7"/>
          <w:sz w:val="25"/>
        </w:rPr>
        <w:t>附录 B：反模式与反例对照治理清单</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1728"/>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反模式类别</w:t>
            </w:r>
          </w:p>
        </w:tc>
        <w:tc>
          <w:tcPr>
            <w:tcW w:type="dxa" w:w="3744"/>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典型错误反例 (严禁使用)</w:t>
            </w:r>
          </w:p>
        </w:tc>
        <w:tc>
          <w:tcPr>
            <w:tcW w:type="dxa" w:w="4176"/>
            <w:shd w:fill="1E3A8A"/>
            <w:tcMar>
              <w:top w:w="70" w:type="dxa"/>
              <w:bottom w:w="70" w:type="dxa"/>
              <w:left w:w="90" w:type="dxa"/>
              <w:right w:w="90" w:type="dxa"/>
            </w:tcMar>
            <w:tcBorders>
              <w:top w:val="single" w:color="CBD5E1" w:sz="4"/>
              <w:left w:val="single" w:color="CBD5E1" w:sz="4"/>
              <w:bottom w:val="single" w:color="CBD5E1" w:sz="4"/>
              <w:right w:val="single" w:color="CBD5E1" w:sz="4"/>
            </w:tcBorders>
          </w:tcPr>
          <w:p>
            <w:pPr>
              <w:jc w:val="center"/>
            </w:pPr>
            <w:r>
              <w:rPr>
                <w:rFonts w:ascii="微软雅黑" w:hAnsi="微软雅黑"/>
                <w:b/>
                <w:color w:val="FFFFFF"/>
                <w:sz w:val="18"/>
              </w:rPr>
              <w:t>工业级标准正例 (强制执行)</w:t>
            </w:r>
          </w:p>
        </w:tc>
      </w:tr>
      <w:tr>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主观定性评价</w:t>
            </w:r>
          </w:p>
        </w:tc>
        <w:tc>
          <w:tcPr>
            <w:tcW w:type="dxa" w:w="374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该车间电能品质优良，运行表现极为欠佳，处于落后单位</w:t>
            </w:r>
          </w:p>
        </w:tc>
        <w:tc>
          <w:tcPr>
            <w:tcW w:type="dxa" w:w="417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功率因数 0.96，负荷率 68.5%，万元产值能耗同比 +5.2% ↑</w:t>
            </w:r>
          </w:p>
        </w:tc>
      </w:tr>
      <w:tr>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说教指责建议</w:t>
            </w:r>
          </w:p>
        </w:tc>
        <w:tc>
          <w:tcPr>
            <w:tcW w:type="dxa" w:w="374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沈变厂处于领跑标杆；鲁缆公司能效偏低，需限期推进技改</w:t>
            </w:r>
          </w:p>
        </w:tc>
        <w:tc>
          <w:tcPr>
            <w:tcW w:type="dxa" w:w="417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客观绘制行业先进基准虚线与集团历史平均线，数据位置自解释</w:t>
            </w:r>
          </w:p>
        </w:tc>
      </w:tr>
      <w:tr>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模糊状态标签</w:t>
            </w:r>
          </w:p>
        </w:tc>
        <w:tc>
          <w:tcPr>
            <w:tcW w:type="dxa" w:w="374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卡片右上角显示“已选中”、“图表正在联动中，请稍候”</w:t>
            </w:r>
          </w:p>
        </w:tc>
        <w:tc>
          <w:tcPr>
            <w:tcW w:type="dxa" w:w="417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卡片边框高亮 (border-primary ring-2) 自解释，右上角纯留白</w:t>
            </w:r>
          </w:p>
        </w:tc>
      </w:tr>
      <w:tr>
        <w:tc>
          <w:tcPr>
            <w:tcW w:type="dxa" w:w="1728"/>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大段解释判空</w:t>
            </w:r>
          </w:p>
        </w:tc>
        <w:tc>
          <w:tcPr>
            <w:tcW w:type="dxa" w:w="3744"/>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未查到相关工序数据，请核对生产单位白名单配置或联系管理员</w:t>
            </w:r>
          </w:p>
        </w:tc>
        <w:tc>
          <w:tcPr>
            <w:tcW w:type="dxa" w:w="4176"/>
            <w:shd w:fill="F8FAFC"/>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单行干练输出：暂无相关工序！</w:t>
            </w:r>
          </w:p>
        </w:tc>
      </w:tr>
      <w:tr>
        <w:tc>
          <w:tcPr>
            <w:tcW w:type="dxa" w:w="1728"/>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center"/>
            </w:pPr>
            <w:r>
              <w:rPr>
                <w:rFonts w:ascii="微软雅黑" w:hAnsi="微软雅黑"/>
                <w:color w:val="1F2937"/>
                <w:sz w:val="17"/>
              </w:rPr>
              <w:t>负数非法吞没</w:t>
            </w:r>
          </w:p>
        </w:tc>
        <w:tc>
          <w:tcPr>
            <w:tcW w:type="dxa" w:w="3744"/>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录入 -500 kVA 产量前端静默通过或存入负数</w:t>
            </w:r>
          </w:p>
        </w:tc>
        <w:tc>
          <w:tcPr>
            <w:tcW w:type="dxa" w:w="4176"/>
            <w:shd w:fill="FFFFFF"/>
            <w:tcMar>
              <w:top w:w="60" w:type="dxa"/>
              <w:bottom w:w="60" w:type="dxa"/>
              <w:left w:w="80" w:type="dxa"/>
              <w:right w:w="80" w:type="dxa"/>
            </w:tcMar>
            <w:tcBorders>
              <w:top w:val="single" w:color="CBD5E1" w:sz="4"/>
              <w:left w:val="single" w:color="CBD5E1" w:sz="4"/>
              <w:bottom w:val="single" w:color="CBD5E1" w:sz="4"/>
              <w:right w:val="single" w:color="CBD5E1" w:sz="4"/>
            </w:tcBorders>
          </w:tcPr>
          <w:p>
            <w:pPr>
              <w:jc w:val="left"/>
            </w:pPr>
            <w:r>
              <w:rPr>
                <w:rFonts w:ascii="微软雅黑" w:hAnsi="微软雅黑"/>
                <w:color w:val="1F2937"/>
                <w:sz w:val="17"/>
              </w:rPr>
              <w:t>触发 E_VAL_ENERGY_NEGATIVE，输入框红框拦截并提示请输入非负数</w:t>
            </w:r>
          </w:p>
        </w:tc>
      </w:tr>
    </w:tbl>
    <w:p>
      <w:pPr>
        <w:spacing w:after="60"/>
      </w:pPr>
    </w:p>
    <w:sectPr w:rsidR="00FC693F" w:rsidRPr="0006063C" w:rsidSect="00034616">
      <w:headerReference w:type="default" r:id="rId9"/>
      <w:footerReference w:type="default" r:id="rId10"/>
      <w:pgSz w:w="12240" w:h="15840"/>
      <w:pgMar w:top="1224" w:right="1224" w:bottom="1224"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color w:val="64748B"/>
        <w:sz w:val="17"/>
      </w:rPr>
      <w:t>特变电工股份有限公司 · 商业绝密技术资产 严禁未经授权复制与外传</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color w:val="64748B"/>
        <w:sz w:val="17"/>
      </w:rPr>
      <w:t>特变电工能碳数字化双中心 · 产品需求规格说明书 (PRD) v1.1.0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